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D94D5" w14:textId="6DCB0F0E" w:rsidR="00324343" w:rsidRDefault="00BD59BF" w:rsidP="00BD59BF">
      <w:pPr>
        <w:spacing w:after="196" w:line="259" w:lineRule="auto"/>
        <w:ind w:right="0"/>
        <w:jc w:val="left"/>
      </w:pPr>
      <w:r w:rsidRPr="00BD59BF">
        <w:rPr>
          <w:noProof/>
        </w:rPr>
        <w:drawing>
          <wp:inline distT="0" distB="0" distL="0" distR="0" wp14:anchorId="220D89BE" wp14:editId="53E208F2">
            <wp:extent cx="2042100" cy="784225"/>
            <wp:effectExtent l="0" t="0" r="0" b="0"/>
            <wp:docPr id="5" name="Picture 4" descr="Discover University of Wales Trinity Saint David">
              <a:extLst xmlns:a="http://schemas.openxmlformats.org/drawingml/2006/main">
                <a:ext uri="{FF2B5EF4-FFF2-40B4-BE49-F238E27FC236}">
                  <a16:creationId xmlns:a16="http://schemas.microsoft.com/office/drawing/2014/main" id="{96794F12-EF74-B404-A6A9-0A323F5265E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Discover University of Wales Trinity Saint David">
                      <a:extLst>
                        <a:ext uri="{FF2B5EF4-FFF2-40B4-BE49-F238E27FC236}">
                          <a16:creationId xmlns:a16="http://schemas.microsoft.com/office/drawing/2014/main" id="{96794F12-EF74-B404-A6A9-0A323F5265E4}"/>
                        </a:ext>
                      </a:extLst>
                    </pic:cNvPr>
                    <pic:cNvPicPr>
                      <a:picLocks noChangeAspect="1"/>
                    </pic:cNvPicPr>
                  </pic:nvPicPr>
                  <pic:blipFill>
                    <a:blip r:embed="rId8"/>
                    <a:stretch>
                      <a:fillRect/>
                    </a:stretch>
                  </pic:blipFill>
                  <pic:spPr>
                    <a:xfrm>
                      <a:off x="0" y="0"/>
                      <a:ext cx="2070989" cy="795319"/>
                    </a:xfrm>
                    <a:prstGeom prst="rect">
                      <a:avLst/>
                    </a:prstGeom>
                  </pic:spPr>
                </pic:pic>
              </a:graphicData>
            </a:graphic>
          </wp:inline>
        </w:drawing>
      </w:r>
    </w:p>
    <w:p w14:paraId="66837B47" w14:textId="77777777" w:rsidR="00324343" w:rsidRDefault="00C31AD0">
      <w:pPr>
        <w:spacing w:after="347" w:line="259" w:lineRule="auto"/>
        <w:ind w:left="0" w:right="0" w:firstLine="0"/>
        <w:jc w:val="left"/>
      </w:pPr>
      <w:r>
        <w:t xml:space="preserve"> </w:t>
      </w:r>
    </w:p>
    <w:p w14:paraId="5D1D5312" w14:textId="77777777" w:rsidR="00324343" w:rsidRDefault="00C31AD0">
      <w:pPr>
        <w:spacing w:after="347" w:line="259" w:lineRule="auto"/>
        <w:ind w:left="0" w:right="0" w:firstLine="0"/>
        <w:jc w:val="left"/>
      </w:pPr>
      <w:r>
        <w:t xml:space="preserve"> </w:t>
      </w:r>
    </w:p>
    <w:p w14:paraId="4908B22E" w14:textId="77777777" w:rsidR="00324343" w:rsidRDefault="00C31AD0">
      <w:pPr>
        <w:spacing w:after="342" w:line="259" w:lineRule="auto"/>
        <w:ind w:left="61" w:right="0" w:firstLine="0"/>
        <w:jc w:val="center"/>
      </w:pPr>
      <w:r>
        <w:t xml:space="preserve"> </w:t>
      </w:r>
    </w:p>
    <w:p w14:paraId="6DA863FA" w14:textId="77777777" w:rsidR="00324343" w:rsidRDefault="00C31AD0">
      <w:pPr>
        <w:spacing w:after="342" w:line="265" w:lineRule="auto"/>
        <w:ind w:right="1616"/>
        <w:jc w:val="right"/>
      </w:pPr>
      <w:r>
        <w:rPr>
          <w:b/>
        </w:rPr>
        <w:t xml:space="preserve">Programme: MSc Public Health and Social Care in Practice </w:t>
      </w:r>
    </w:p>
    <w:p w14:paraId="701062C8" w14:textId="77777777" w:rsidR="00324343" w:rsidRDefault="00C31AD0">
      <w:pPr>
        <w:spacing w:after="341" w:line="265" w:lineRule="auto"/>
        <w:ind w:right="1658"/>
        <w:jc w:val="right"/>
      </w:pPr>
      <w:r>
        <w:rPr>
          <w:b/>
        </w:rPr>
        <w:t xml:space="preserve">Module: Health Care System Organisation and Leadership </w:t>
      </w:r>
    </w:p>
    <w:p w14:paraId="3FAA8153" w14:textId="77777777" w:rsidR="00324343" w:rsidRDefault="00C31AD0">
      <w:pPr>
        <w:spacing w:after="342" w:line="265" w:lineRule="auto"/>
        <w:ind w:right="11"/>
        <w:jc w:val="center"/>
      </w:pPr>
      <w:r>
        <w:rPr>
          <w:b/>
        </w:rPr>
        <w:t xml:space="preserve">Module code: LCHS7002 </w:t>
      </w:r>
    </w:p>
    <w:p w14:paraId="0B3031EF" w14:textId="77777777" w:rsidR="00324343" w:rsidRDefault="00C31AD0">
      <w:pPr>
        <w:spacing w:after="342" w:line="265" w:lineRule="auto"/>
        <w:ind w:left="2301" w:right="0"/>
        <w:jc w:val="left"/>
      </w:pPr>
      <w:r>
        <w:rPr>
          <w:b/>
        </w:rPr>
        <w:t xml:space="preserve">Assignment title: Case Study Analysis Report </w:t>
      </w:r>
    </w:p>
    <w:p w14:paraId="52F85D10" w14:textId="77777777" w:rsidR="00324343" w:rsidRDefault="00C31AD0">
      <w:pPr>
        <w:spacing w:after="347" w:line="259" w:lineRule="auto"/>
        <w:ind w:left="61" w:right="0" w:firstLine="0"/>
        <w:jc w:val="center"/>
      </w:pPr>
      <w:r>
        <w:t xml:space="preserve"> </w:t>
      </w:r>
    </w:p>
    <w:p w14:paraId="1D171458" w14:textId="19AA1B62" w:rsidR="00324343" w:rsidRDefault="00C31AD0">
      <w:pPr>
        <w:spacing w:after="342" w:line="265" w:lineRule="auto"/>
        <w:ind w:right="9"/>
        <w:jc w:val="center"/>
      </w:pPr>
      <w:r>
        <w:rPr>
          <w:b/>
        </w:rPr>
        <w:t xml:space="preserve">Student name: </w:t>
      </w:r>
      <w:r w:rsidR="00BD59BF">
        <w:rPr>
          <w:b/>
        </w:rPr>
        <w:t>Galina Bleidere</w:t>
      </w:r>
    </w:p>
    <w:p w14:paraId="19742C2B" w14:textId="00C93BCB" w:rsidR="00324343" w:rsidRDefault="00C31AD0">
      <w:pPr>
        <w:spacing w:after="342" w:line="265" w:lineRule="auto"/>
        <w:ind w:right="8"/>
        <w:jc w:val="center"/>
      </w:pPr>
      <w:r>
        <w:rPr>
          <w:b/>
        </w:rPr>
        <w:t xml:space="preserve">Student ID: </w:t>
      </w:r>
      <w:r w:rsidR="00BD59BF">
        <w:rPr>
          <w:b/>
        </w:rPr>
        <w:t>2244841</w:t>
      </w:r>
    </w:p>
    <w:p w14:paraId="18CF29F1" w14:textId="454FE4BE" w:rsidR="00324343" w:rsidRDefault="00C31AD0">
      <w:pPr>
        <w:spacing w:after="342" w:line="265" w:lineRule="auto"/>
        <w:ind w:right="9"/>
        <w:jc w:val="center"/>
      </w:pPr>
      <w:r>
        <w:rPr>
          <w:b/>
        </w:rPr>
        <w:t xml:space="preserve">Lecturer name:  </w:t>
      </w:r>
      <w:r w:rsidR="00894962" w:rsidRPr="3E5FF394">
        <w:rPr>
          <w:b/>
          <w:bCs/>
        </w:rPr>
        <w:t>Pascal Navelle</w:t>
      </w:r>
    </w:p>
    <w:p w14:paraId="2802E671" w14:textId="28A26A8C" w:rsidR="19D62303" w:rsidRDefault="19D62303" w:rsidP="19D62303">
      <w:pPr>
        <w:spacing w:after="342" w:line="265" w:lineRule="auto"/>
        <w:ind w:right="9"/>
        <w:jc w:val="center"/>
        <w:rPr>
          <w:b/>
          <w:bCs/>
        </w:rPr>
      </w:pPr>
    </w:p>
    <w:p w14:paraId="1D13A042" w14:textId="39BF1166" w:rsidR="19D62303" w:rsidRDefault="19D62303" w:rsidP="19D62303">
      <w:pPr>
        <w:spacing w:after="342" w:line="265" w:lineRule="auto"/>
        <w:ind w:right="9"/>
        <w:jc w:val="center"/>
        <w:rPr>
          <w:b/>
          <w:bCs/>
        </w:rPr>
      </w:pPr>
    </w:p>
    <w:p w14:paraId="6CE467CA" w14:textId="49EE068A" w:rsidR="19D62303" w:rsidRDefault="19D62303" w:rsidP="19D62303">
      <w:pPr>
        <w:spacing w:after="342" w:line="265" w:lineRule="auto"/>
        <w:ind w:right="9"/>
        <w:jc w:val="center"/>
        <w:rPr>
          <w:b/>
          <w:bCs/>
        </w:rPr>
      </w:pPr>
    </w:p>
    <w:p w14:paraId="7023B3D3" w14:textId="32AB2A63" w:rsidR="19D62303" w:rsidRDefault="19D62303" w:rsidP="19D62303">
      <w:pPr>
        <w:spacing w:after="342" w:line="265" w:lineRule="auto"/>
        <w:ind w:right="9"/>
        <w:jc w:val="center"/>
        <w:rPr>
          <w:b/>
          <w:bCs/>
        </w:rPr>
      </w:pPr>
    </w:p>
    <w:p w14:paraId="327B4ADD" w14:textId="70AAB758" w:rsidR="19D62303" w:rsidRDefault="19D62303" w:rsidP="19D62303">
      <w:pPr>
        <w:spacing w:after="342" w:line="265" w:lineRule="auto"/>
        <w:ind w:right="9"/>
        <w:jc w:val="center"/>
        <w:rPr>
          <w:b/>
          <w:bCs/>
        </w:rPr>
      </w:pPr>
    </w:p>
    <w:p w14:paraId="68B061BC" w14:textId="33055C19" w:rsidR="19D62303" w:rsidRDefault="19D62303" w:rsidP="19D62303">
      <w:pPr>
        <w:spacing w:after="342" w:line="265" w:lineRule="auto"/>
        <w:ind w:right="9"/>
        <w:jc w:val="center"/>
        <w:rPr>
          <w:b/>
          <w:bCs/>
        </w:rPr>
      </w:pPr>
    </w:p>
    <w:p w14:paraId="1729C838" w14:textId="77777777" w:rsidR="00AF73BE" w:rsidRDefault="00AF73BE" w:rsidP="19D62303">
      <w:pPr>
        <w:spacing w:after="342" w:line="265" w:lineRule="auto"/>
        <w:ind w:right="9"/>
        <w:jc w:val="center"/>
        <w:rPr>
          <w:b/>
          <w:bCs/>
        </w:rPr>
      </w:pPr>
    </w:p>
    <w:p w14:paraId="730475A4" w14:textId="7B212FEB" w:rsidR="19D62303" w:rsidRDefault="19D62303" w:rsidP="19D62303">
      <w:pPr>
        <w:spacing w:after="342" w:line="265" w:lineRule="auto"/>
        <w:ind w:right="9"/>
        <w:jc w:val="center"/>
        <w:rPr>
          <w:b/>
          <w:bCs/>
        </w:rPr>
      </w:pPr>
    </w:p>
    <w:sdt>
      <w:sdtPr>
        <w:id w:val="-1739702125"/>
        <w:docPartObj>
          <w:docPartGallery w:val="Table of Contents"/>
        </w:docPartObj>
      </w:sdtPr>
      <w:sdtEndPr/>
      <w:sdtContent>
        <w:p w14:paraId="5E88BE7E" w14:textId="77777777" w:rsidR="00324343" w:rsidRDefault="00C31AD0">
          <w:pPr>
            <w:spacing w:after="347" w:line="259" w:lineRule="auto"/>
            <w:ind w:left="0" w:right="0" w:firstLine="0"/>
            <w:jc w:val="left"/>
          </w:pPr>
          <w:r>
            <w:rPr>
              <w:b/>
              <w:color w:val="2F5496"/>
            </w:rPr>
            <w:t xml:space="preserve">Table of Contents </w:t>
          </w:r>
        </w:p>
        <w:p w14:paraId="3F00CD9A" w14:textId="77777777" w:rsidR="00324343" w:rsidRDefault="00C31AD0">
          <w:pPr>
            <w:pStyle w:val="TOC1"/>
            <w:tabs>
              <w:tab w:val="right" w:leader="dot" w:pos="9365"/>
            </w:tabs>
          </w:pPr>
          <w:r>
            <w:fldChar w:fldCharType="begin"/>
          </w:r>
          <w:r>
            <w:instrText xml:space="preserve"> TOC \o "1-3" \h \z \u </w:instrText>
          </w:r>
          <w:r>
            <w:fldChar w:fldCharType="separate"/>
          </w:r>
          <w:hyperlink w:anchor="_Toc30592">
            <w:r>
              <w:t>1. Introduction</w:t>
            </w:r>
            <w:r>
              <w:tab/>
            </w:r>
            <w:r>
              <w:fldChar w:fldCharType="begin"/>
            </w:r>
            <w:r>
              <w:instrText>PAGEREF _Toc30592 \h</w:instrText>
            </w:r>
            <w:r>
              <w:fldChar w:fldCharType="separate"/>
            </w:r>
            <w:r>
              <w:t xml:space="preserve">3 </w:t>
            </w:r>
            <w:r>
              <w:fldChar w:fldCharType="end"/>
            </w:r>
          </w:hyperlink>
        </w:p>
        <w:p w14:paraId="1CDC6104" w14:textId="77777777" w:rsidR="00324343" w:rsidRDefault="00C31AD0">
          <w:pPr>
            <w:pStyle w:val="TOC1"/>
            <w:tabs>
              <w:tab w:val="right" w:leader="dot" w:pos="9365"/>
            </w:tabs>
          </w:pPr>
          <w:hyperlink w:anchor="_Toc30593">
            <w:r>
              <w:t>2. Main Body and Analysis</w:t>
            </w:r>
            <w:r>
              <w:tab/>
            </w:r>
            <w:r>
              <w:fldChar w:fldCharType="begin"/>
            </w:r>
            <w:r>
              <w:instrText>PAGEREF _Toc30593 \h</w:instrText>
            </w:r>
            <w:r>
              <w:fldChar w:fldCharType="separate"/>
            </w:r>
            <w:r>
              <w:t xml:space="preserve">4 </w:t>
            </w:r>
            <w:r>
              <w:fldChar w:fldCharType="end"/>
            </w:r>
          </w:hyperlink>
        </w:p>
        <w:p w14:paraId="4D82A8A6" w14:textId="77777777" w:rsidR="00324343" w:rsidRDefault="00C31AD0">
          <w:pPr>
            <w:pStyle w:val="TOC3"/>
            <w:tabs>
              <w:tab w:val="right" w:leader="dot" w:pos="9365"/>
            </w:tabs>
          </w:pPr>
          <w:hyperlink w:anchor="_Toc30594">
            <w:r>
              <w:t xml:space="preserve">2.1 Identifying the Problem and Setting the System Context- Applying Systems Thinking and </w:t>
            </w:r>
            <w:r>
              <w:tab/>
            </w:r>
            <w:r>
              <w:fldChar w:fldCharType="begin"/>
            </w:r>
            <w:r>
              <w:instrText>PAGEREF _Toc30594 \h</w:instrText>
            </w:r>
            <w:r>
              <w:fldChar w:fldCharType="separate"/>
            </w:r>
            <w:r>
              <w:fldChar w:fldCharType="end"/>
            </w:r>
          </w:hyperlink>
        </w:p>
        <w:p w14:paraId="288CCC1C" w14:textId="77777777" w:rsidR="00324343" w:rsidRDefault="00C31AD0">
          <w:pPr>
            <w:pStyle w:val="TOC2"/>
            <w:tabs>
              <w:tab w:val="right" w:leader="dot" w:pos="9365"/>
            </w:tabs>
          </w:pPr>
          <w:hyperlink w:anchor="_Toc30595">
            <w:r>
              <w:t>the Rich Picture</w:t>
            </w:r>
            <w:r>
              <w:tab/>
            </w:r>
            <w:r>
              <w:fldChar w:fldCharType="begin"/>
            </w:r>
            <w:r>
              <w:instrText>PAGEREF _Toc30595 \h</w:instrText>
            </w:r>
            <w:r>
              <w:fldChar w:fldCharType="separate"/>
            </w:r>
            <w:r>
              <w:t xml:space="preserve">4 </w:t>
            </w:r>
            <w:r>
              <w:fldChar w:fldCharType="end"/>
            </w:r>
          </w:hyperlink>
        </w:p>
        <w:p w14:paraId="3C7F25EA" w14:textId="77777777" w:rsidR="00324343" w:rsidRDefault="00C31AD0">
          <w:pPr>
            <w:pStyle w:val="TOC2"/>
            <w:tabs>
              <w:tab w:val="right" w:leader="dot" w:pos="9365"/>
            </w:tabs>
          </w:pPr>
          <w:hyperlink w:anchor="_Toc30596">
            <w:r>
              <w:t>2.2 Centralisation or Decentralisation within the Case Study</w:t>
            </w:r>
            <w:r>
              <w:tab/>
            </w:r>
            <w:r>
              <w:fldChar w:fldCharType="begin"/>
            </w:r>
            <w:r>
              <w:instrText>PAGEREF _Toc30596 \h</w:instrText>
            </w:r>
            <w:r>
              <w:fldChar w:fldCharType="separate"/>
            </w:r>
            <w:r>
              <w:t xml:space="preserve">6 </w:t>
            </w:r>
            <w:r>
              <w:fldChar w:fldCharType="end"/>
            </w:r>
          </w:hyperlink>
        </w:p>
        <w:p w14:paraId="74DE5061" w14:textId="77777777" w:rsidR="00324343" w:rsidRDefault="00C31AD0">
          <w:pPr>
            <w:pStyle w:val="TOC2"/>
            <w:tabs>
              <w:tab w:val="right" w:leader="dot" w:pos="9365"/>
            </w:tabs>
          </w:pPr>
          <w:hyperlink w:anchor="_Toc30597">
            <w:r>
              <w:t>2.3 Leadership Theories and Applied to the Case Study</w:t>
            </w:r>
            <w:r>
              <w:tab/>
            </w:r>
            <w:r>
              <w:fldChar w:fldCharType="begin"/>
            </w:r>
            <w:r>
              <w:instrText>PAGEREF _Toc30597 \h</w:instrText>
            </w:r>
            <w:r>
              <w:fldChar w:fldCharType="separate"/>
            </w:r>
            <w:r>
              <w:t xml:space="preserve">9 </w:t>
            </w:r>
            <w:r>
              <w:fldChar w:fldCharType="end"/>
            </w:r>
          </w:hyperlink>
        </w:p>
        <w:p w14:paraId="0FBE994B" w14:textId="0869E723" w:rsidR="00324343" w:rsidRDefault="00A60CB3">
          <w:pPr>
            <w:pStyle w:val="TOC2"/>
            <w:tabs>
              <w:tab w:val="right" w:leader="dot" w:pos="9365"/>
            </w:tabs>
          </w:pPr>
          <w:hyperlink w:anchor="_Toc30598">
            <w:r>
              <w:t>2.4 Improvement and Lessons Learned</w:t>
            </w:r>
            <w:r>
              <w:tab/>
              <w:t xml:space="preserve">12 </w:t>
            </w:r>
          </w:hyperlink>
        </w:p>
        <w:p w14:paraId="1E0B960F" w14:textId="39E4AB1A" w:rsidR="00324343" w:rsidRDefault="00A60CB3">
          <w:pPr>
            <w:pStyle w:val="TOC1"/>
            <w:tabs>
              <w:tab w:val="right" w:leader="dot" w:pos="9365"/>
            </w:tabs>
          </w:pPr>
          <w:hyperlink w:anchor="_Toc30599">
            <w:r>
              <w:t>3. Recommendations</w:t>
            </w:r>
            <w:r>
              <w:tab/>
              <w:t xml:space="preserve">14 </w:t>
            </w:r>
          </w:hyperlink>
        </w:p>
        <w:p w14:paraId="3D887FB0" w14:textId="77777777" w:rsidR="00324343" w:rsidRDefault="00C31AD0">
          <w:pPr>
            <w:pStyle w:val="TOC1"/>
            <w:tabs>
              <w:tab w:val="right" w:leader="dot" w:pos="9365"/>
            </w:tabs>
          </w:pPr>
          <w:hyperlink w:anchor="_Toc30600">
            <w:r>
              <w:t>4. Conclusion</w:t>
            </w:r>
            <w:r>
              <w:tab/>
            </w:r>
            <w:r>
              <w:fldChar w:fldCharType="begin"/>
            </w:r>
            <w:r>
              <w:instrText>PAGEREF _Toc30600 \h</w:instrText>
            </w:r>
            <w:r>
              <w:fldChar w:fldCharType="separate"/>
            </w:r>
            <w:r>
              <w:t xml:space="preserve">16 </w:t>
            </w:r>
            <w:r>
              <w:fldChar w:fldCharType="end"/>
            </w:r>
          </w:hyperlink>
        </w:p>
        <w:p w14:paraId="38974C4B" w14:textId="77777777" w:rsidR="00324343" w:rsidRDefault="00C31AD0">
          <w:pPr>
            <w:pStyle w:val="TOC1"/>
            <w:tabs>
              <w:tab w:val="right" w:leader="dot" w:pos="9365"/>
            </w:tabs>
          </w:pPr>
          <w:hyperlink w:anchor="_Toc30601">
            <w:r>
              <w:t>5. References</w:t>
            </w:r>
            <w:r>
              <w:tab/>
            </w:r>
            <w:r>
              <w:fldChar w:fldCharType="begin"/>
            </w:r>
            <w:r>
              <w:instrText>PAGEREF _Toc30601 \h</w:instrText>
            </w:r>
            <w:r>
              <w:fldChar w:fldCharType="separate"/>
            </w:r>
            <w:r>
              <w:t xml:space="preserve">17 </w:t>
            </w:r>
            <w:r>
              <w:fldChar w:fldCharType="end"/>
            </w:r>
          </w:hyperlink>
        </w:p>
        <w:p w14:paraId="1F56AC6B" w14:textId="77777777" w:rsidR="00324343" w:rsidRDefault="00C31AD0">
          <w:r>
            <w:fldChar w:fldCharType="end"/>
          </w:r>
        </w:p>
      </w:sdtContent>
    </w:sdt>
    <w:p w14:paraId="5B21502C" w14:textId="77777777" w:rsidR="00324343" w:rsidRDefault="00C31AD0">
      <w:pPr>
        <w:spacing w:after="331" w:line="277" w:lineRule="auto"/>
        <w:ind w:left="0" w:right="-11"/>
        <w:jc w:val="left"/>
      </w:pPr>
      <w:r>
        <w:t xml:space="preserve">6. Appendix ................................................................................................................................... 18 </w:t>
      </w:r>
    </w:p>
    <w:p w14:paraId="280D96E1" w14:textId="77777777" w:rsidR="00324343" w:rsidRDefault="00C31AD0">
      <w:pPr>
        <w:spacing w:after="0" w:line="588" w:lineRule="auto"/>
        <w:ind w:left="0" w:right="4621" w:firstLine="0"/>
        <w:jc w:val="left"/>
      </w:pPr>
      <w:r>
        <w:t xml:space="preserve"> </w:t>
      </w:r>
      <w:r>
        <w:rPr>
          <w:b/>
          <w:color w:val="2F5496"/>
        </w:rPr>
        <w:t xml:space="preserve"> </w:t>
      </w:r>
    </w:p>
    <w:p w14:paraId="1DAA5AAB" w14:textId="2AC942FF" w:rsidR="19D62303" w:rsidRDefault="19D62303" w:rsidP="19D62303">
      <w:pPr>
        <w:spacing w:after="0" w:line="588" w:lineRule="auto"/>
        <w:ind w:left="0" w:right="4621" w:firstLine="0"/>
        <w:jc w:val="left"/>
        <w:rPr>
          <w:b/>
          <w:bCs/>
          <w:color w:val="2F5496"/>
        </w:rPr>
      </w:pPr>
    </w:p>
    <w:p w14:paraId="6E47A03E" w14:textId="63F30BBE" w:rsidR="19D62303" w:rsidRDefault="19D62303" w:rsidP="19D62303">
      <w:pPr>
        <w:spacing w:after="0" w:line="588" w:lineRule="auto"/>
        <w:ind w:left="0" w:right="4621" w:firstLine="0"/>
        <w:jc w:val="left"/>
        <w:rPr>
          <w:b/>
          <w:bCs/>
          <w:color w:val="2F5496"/>
        </w:rPr>
      </w:pPr>
    </w:p>
    <w:p w14:paraId="43AEDFB3" w14:textId="2B8ED2D4" w:rsidR="19D62303" w:rsidRDefault="19D62303" w:rsidP="19D62303">
      <w:pPr>
        <w:spacing w:after="0" w:line="588" w:lineRule="auto"/>
        <w:ind w:left="0" w:right="4621" w:firstLine="0"/>
        <w:jc w:val="left"/>
        <w:rPr>
          <w:b/>
          <w:bCs/>
          <w:color w:val="2F5496"/>
        </w:rPr>
      </w:pPr>
    </w:p>
    <w:p w14:paraId="1DE83052" w14:textId="2C349541" w:rsidR="19D62303" w:rsidRDefault="19D62303" w:rsidP="19D62303">
      <w:pPr>
        <w:spacing w:after="0" w:line="588" w:lineRule="auto"/>
        <w:ind w:left="0" w:right="4621" w:firstLine="0"/>
        <w:jc w:val="left"/>
        <w:rPr>
          <w:b/>
          <w:bCs/>
          <w:color w:val="2F5496"/>
        </w:rPr>
      </w:pPr>
    </w:p>
    <w:p w14:paraId="6144D648" w14:textId="7E707198" w:rsidR="19D62303" w:rsidRDefault="19D62303" w:rsidP="19D62303">
      <w:pPr>
        <w:spacing w:after="0" w:line="588" w:lineRule="auto"/>
        <w:ind w:left="0" w:right="4621" w:firstLine="0"/>
        <w:jc w:val="left"/>
        <w:rPr>
          <w:b/>
          <w:bCs/>
          <w:color w:val="2F5496"/>
        </w:rPr>
      </w:pPr>
    </w:p>
    <w:p w14:paraId="25B05EEF" w14:textId="3B623581" w:rsidR="19D62303" w:rsidRDefault="19D62303" w:rsidP="19D62303">
      <w:pPr>
        <w:spacing w:after="0" w:line="588" w:lineRule="auto"/>
        <w:ind w:left="0" w:right="4621" w:firstLine="0"/>
        <w:jc w:val="left"/>
        <w:rPr>
          <w:b/>
          <w:bCs/>
          <w:color w:val="2F5496"/>
        </w:rPr>
      </w:pPr>
    </w:p>
    <w:p w14:paraId="37B01512" w14:textId="087FDF64" w:rsidR="19D62303" w:rsidRDefault="19D62303" w:rsidP="19D62303">
      <w:pPr>
        <w:spacing w:after="0" w:line="588" w:lineRule="auto"/>
        <w:ind w:left="0" w:right="4621" w:firstLine="0"/>
        <w:jc w:val="left"/>
        <w:rPr>
          <w:b/>
          <w:bCs/>
          <w:color w:val="2F5496"/>
        </w:rPr>
      </w:pPr>
    </w:p>
    <w:p w14:paraId="2C6208FC" w14:textId="77777777" w:rsidR="00324343" w:rsidRDefault="00C31AD0">
      <w:pPr>
        <w:pStyle w:val="Heading1"/>
        <w:spacing w:after="341"/>
        <w:ind w:left="-5" w:right="0"/>
      </w:pPr>
      <w:bookmarkStart w:id="0" w:name="_Toc30592"/>
      <w:r>
        <w:rPr>
          <w:color w:val="2F5496"/>
        </w:rPr>
        <w:t xml:space="preserve">1. Introduction </w:t>
      </w:r>
      <w:bookmarkEnd w:id="0"/>
    </w:p>
    <w:p w14:paraId="47FF7DD1" w14:textId="5B7ACB93" w:rsidR="00324343" w:rsidRDefault="00C31AD0">
      <w:pPr>
        <w:ind w:left="-5" w:right="-4"/>
      </w:pPr>
      <w:r>
        <w:t xml:space="preserve">This report presents the example of </w:t>
      </w:r>
      <w:r w:rsidR="00A60CB3">
        <w:t xml:space="preserve">an </w:t>
      </w:r>
      <w:r>
        <w:t xml:space="preserve">unintentional overdose of morphine sulphate oral solution of Len, </w:t>
      </w:r>
      <w:proofErr w:type="gramStart"/>
      <w:r w:rsidR="237D08B8">
        <w:t>an elderly</w:t>
      </w:r>
      <w:proofErr w:type="gramEnd"/>
      <w:r>
        <w:t xml:space="preserve"> 89-year-old man with a medical condition known as Charcot-Marie-Tooth (CMT) disease</w:t>
      </w:r>
      <w:r w:rsidR="01849682">
        <w:t>,</w:t>
      </w:r>
      <w:r>
        <w:t xml:space="preserve"> that was investigated by the Healthcare Services Safety Investigation Branch (HSSIB). Len was taken to the hospital and medically examined by his general practitioner (GP)</w:t>
      </w:r>
      <w:r w:rsidR="004F20BF">
        <w:t>,</w:t>
      </w:r>
      <w:r>
        <w:t xml:space="preserve"> and after falling and feeling pain in the chest and</w:t>
      </w:r>
      <w:r w:rsidR="56030C5E">
        <w:t xml:space="preserve"> being</w:t>
      </w:r>
      <w:r>
        <w:t xml:space="preserve"> out of breath</w:t>
      </w:r>
      <w:r w:rsidR="004F20BF">
        <w:t>,</w:t>
      </w:r>
      <w:r>
        <w:t xml:space="preserve"> he was issued with morphine oral solution to aid him </w:t>
      </w:r>
      <w:r w:rsidR="00376FE1">
        <w:t xml:space="preserve">in </w:t>
      </w:r>
      <w:r>
        <w:t>reliev</w:t>
      </w:r>
      <w:r w:rsidR="00136CC1">
        <w:t>ing</w:t>
      </w:r>
      <w:r>
        <w:t xml:space="preserve"> his pain</w:t>
      </w:r>
      <w:r w:rsidRPr="1BBCDEC6">
        <w:rPr>
          <w:color w:val="222222"/>
        </w:rPr>
        <w:t xml:space="preserve"> (De Grado </w:t>
      </w:r>
      <w:r w:rsidRPr="1BBCDEC6">
        <w:rPr>
          <w:i/>
          <w:iCs/>
          <w:color w:val="222222"/>
        </w:rPr>
        <w:t>et al</w:t>
      </w:r>
      <w:r w:rsidRPr="1BBCDEC6">
        <w:rPr>
          <w:color w:val="222222"/>
        </w:rPr>
        <w:t>., 2025)</w:t>
      </w:r>
      <w:r>
        <w:t>. However, the drug label was read incorrectly by Len and his wife</w:t>
      </w:r>
      <w:r w:rsidR="3C3D4759">
        <w:t>,</w:t>
      </w:r>
      <w:r>
        <w:t xml:space="preserve"> who</w:t>
      </w:r>
      <w:r w:rsidR="00136CC1">
        <w:t>,</w:t>
      </w:r>
      <w:r>
        <w:t xml:space="preserve"> in an act of posing knowingly, took a lot of medication rather than the intended dose. Len was discovered in an unconscious state the next </w:t>
      </w:r>
      <w:r w:rsidR="799A6684">
        <w:t>morning and</w:t>
      </w:r>
      <w:r>
        <w:t xml:space="preserve"> was admitted into the hospital with </w:t>
      </w:r>
      <w:r w:rsidR="00D84C9D">
        <w:t xml:space="preserve">a </w:t>
      </w:r>
      <w:r>
        <w:t xml:space="preserve">possible morphine overdose, pneumonia, and progressive CMT. He became better, but eventually became worsened, and he died. Then, </w:t>
      </w:r>
      <w:r w:rsidR="00D84C9D">
        <w:t xml:space="preserve">the </w:t>
      </w:r>
      <w:r>
        <w:t>HSSIB inquiry revealed that all the factors interacted</w:t>
      </w:r>
      <w:r w:rsidR="00376FE1">
        <w:t>,</w:t>
      </w:r>
      <w:r>
        <w:t xml:space="preserve"> </w:t>
      </w:r>
      <w:r w:rsidR="64FCDDF7">
        <w:t>leading to</w:t>
      </w:r>
      <w:r>
        <w:t xml:space="preserve"> a breakdown in communications, medication labelling, patient understanding and the vulnerability of the whole system, but not one person</w:t>
      </w:r>
      <w:r w:rsidR="00376FE1">
        <w:t>’s</w:t>
      </w:r>
      <w:r>
        <w:t xml:space="preserve"> mistake</w:t>
      </w:r>
      <w:r w:rsidR="66F3E9FA">
        <w:t xml:space="preserve"> (Crompton et al., </w:t>
      </w:r>
      <w:r w:rsidR="32921CCF">
        <w:t>2025; Macrae</w:t>
      </w:r>
      <w:r w:rsidR="66F3E9FA">
        <w:t>,</w:t>
      </w:r>
      <w:r w:rsidR="2DAB769B">
        <w:t xml:space="preserve"> 2025</w:t>
      </w:r>
      <w:r w:rsidR="66F3E9FA">
        <w:t>)</w:t>
      </w:r>
      <w:r>
        <w:t>. The case illustrates the significance of patient safety, effective communication, learning in an organisation and excellent leadership in health and social care services</w:t>
      </w:r>
      <w:r w:rsidR="008E1416">
        <w:t xml:space="preserve"> (</w:t>
      </w:r>
      <w:proofErr w:type="spellStart"/>
      <w:r w:rsidR="0092784D">
        <w:t>Payane</w:t>
      </w:r>
      <w:proofErr w:type="spellEnd"/>
      <w:r w:rsidR="0092784D">
        <w:t xml:space="preserve"> et al.,</w:t>
      </w:r>
      <w:r w:rsidR="009C05D8">
        <w:t xml:space="preserve"> 2024</w:t>
      </w:r>
      <w:r w:rsidR="00306B44">
        <w:t>; Crompton et al., 2025</w:t>
      </w:r>
      <w:r w:rsidR="009C05D8">
        <w:t>)</w:t>
      </w:r>
    </w:p>
    <w:p w14:paraId="2F8AA5B3" w14:textId="7A3C7787" w:rsidR="00324343" w:rsidRDefault="00C31AD0">
      <w:pPr>
        <w:ind w:left="-5" w:right="-4"/>
      </w:pPr>
      <w:r>
        <w:t>Achieving common goals, providing safe, effective, and person-centred care, and persuading people and the multidisciplinary staff may be considered the key characteristics of health and social care leadership</w:t>
      </w:r>
      <w:r w:rsidR="00C43A9A">
        <w:t xml:space="preserve"> </w:t>
      </w:r>
      <w:r w:rsidR="00630A03">
        <w:t>(</w:t>
      </w:r>
      <w:r w:rsidR="00C43A9A">
        <w:t>McCormack et al., 2021)</w:t>
      </w:r>
      <w:r>
        <w:t xml:space="preserve">. Effective leaders develop a vision, empower teamwork, promote ongoing learning and establish an organisational culture in which patient safety is the </w:t>
      </w:r>
      <w:r w:rsidR="00924031">
        <w:t xml:space="preserve">central </w:t>
      </w:r>
      <w:r>
        <w:t>focus</w:t>
      </w:r>
      <w:r w:rsidR="002914AC">
        <w:t xml:space="preserve"> (B</w:t>
      </w:r>
      <w:r w:rsidR="00B12A0C">
        <w:t xml:space="preserve">erisha </w:t>
      </w:r>
      <w:r w:rsidR="00B12A0C" w:rsidRPr="00B12A0C">
        <w:rPr>
          <w:i/>
          <w:iCs/>
        </w:rPr>
        <w:t>et al</w:t>
      </w:r>
      <w:r w:rsidR="00B12A0C">
        <w:t>., 2024)</w:t>
      </w:r>
      <w:r>
        <w:t>. In various organisations, there are various leadership styles</w:t>
      </w:r>
      <w:r w:rsidR="003A54A6">
        <w:t xml:space="preserve"> that </w:t>
      </w:r>
      <w:r>
        <w:t xml:space="preserve">would be suitable. Transformational leadership inspires employees in </w:t>
      </w:r>
      <w:r w:rsidR="003A54A6">
        <w:t>a</w:t>
      </w:r>
      <w:r>
        <w:t xml:space="preserve"> common vision and creativity</w:t>
      </w:r>
      <w:r w:rsidR="003A54A6">
        <w:t>;</w:t>
      </w:r>
      <w:r>
        <w:t xml:space="preserve"> transactional leadership emphasis</w:t>
      </w:r>
      <w:r w:rsidR="00BF00E7">
        <w:t>es</w:t>
      </w:r>
      <w:r>
        <w:t xml:space="preserve"> a sequence of actions, responsibility and </w:t>
      </w:r>
      <w:r w:rsidR="002862FE">
        <w:t>outcomes</w:t>
      </w:r>
      <w:r w:rsidR="00523E84">
        <w:t>;</w:t>
      </w:r>
      <w:r>
        <w:t xml:space="preserve"> and situational leadership allows people to adapt their leadership approach based on the complexity of situations and </w:t>
      </w:r>
      <w:r w:rsidR="00523E84">
        <w:t xml:space="preserve">the </w:t>
      </w:r>
      <w:r>
        <w:t>needs of individuals and groups. Various organisational structures also exist in which</w:t>
      </w:r>
      <w:r w:rsidR="00523E84">
        <w:t xml:space="preserve"> </w:t>
      </w:r>
      <w:r>
        <w:t xml:space="preserve">healthcare organisations operate. Within a centralised system, the power of </w:t>
      </w:r>
      <w:r w:rsidR="008315C6">
        <w:t>decision-making is concentrated at the apex of the leadership structure, where uniformity and standardisation are advocated,</w:t>
      </w:r>
      <w:r>
        <w:t xml:space="preserve"> with responsiveness at the frontline. </w:t>
      </w:r>
      <w:r w:rsidR="00900494">
        <w:t>By contrast</w:t>
      </w:r>
      <w:r>
        <w:t xml:space="preserve">, decentralised systems decentralise </w:t>
      </w:r>
      <w:r w:rsidR="008315C6">
        <w:t>control over local teams, which may result in a much quicker decision-making process, more empowered employees, and better responsiveness to patient needs</w:t>
      </w:r>
      <w:r w:rsidR="00924031">
        <w:t>,</w:t>
      </w:r>
      <w:r>
        <w:t xml:space="preserve"> but it may also be harder to ensure uniformity (</w:t>
      </w:r>
      <w:r>
        <w:rPr>
          <w:color w:val="222222"/>
        </w:rPr>
        <w:t xml:space="preserve">Corbett </w:t>
      </w:r>
      <w:r>
        <w:rPr>
          <w:i/>
          <w:color w:val="222222"/>
        </w:rPr>
        <w:t>et al.,</w:t>
      </w:r>
      <w:r>
        <w:rPr>
          <w:color w:val="222222"/>
        </w:rPr>
        <w:t xml:space="preserve"> 2020).</w:t>
      </w:r>
      <w:r>
        <w:t xml:space="preserve"> </w:t>
      </w:r>
    </w:p>
    <w:p w14:paraId="750397A5" w14:textId="77777777" w:rsidR="00324343" w:rsidRDefault="00C31AD0">
      <w:pPr>
        <w:pStyle w:val="Heading1"/>
        <w:spacing w:after="341"/>
        <w:ind w:left="-5" w:right="0"/>
      </w:pPr>
      <w:bookmarkStart w:id="1" w:name="_Toc30593"/>
      <w:r>
        <w:rPr>
          <w:color w:val="2F5496"/>
        </w:rPr>
        <w:lastRenderedPageBreak/>
        <w:t xml:space="preserve">2. Main Body and Analysis </w:t>
      </w:r>
      <w:bookmarkEnd w:id="1"/>
    </w:p>
    <w:p w14:paraId="25DD8A0E" w14:textId="4DFAC683" w:rsidR="00324343" w:rsidRDefault="00C31AD0">
      <w:pPr>
        <w:pStyle w:val="Heading3"/>
      </w:pPr>
      <w:bookmarkStart w:id="2" w:name="_Toc30594"/>
      <w:r>
        <w:t>2.1 Identifying the Problem and System Context</w:t>
      </w:r>
      <w:r w:rsidR="51889F1B">
        <w:t>:</w:t>
      </w:r>
      <w:r>
        <w:t xml:space="preserve"> Applying Systems Thinking </w:t>
      </w:r>
      <w:bookmarkEnd w:id="2"/>
    </w:p>
    <w:p w14:paraId="3F061154" w14:textId="77777777" w:rsidR="00324343" w:rsidRDefault="00C31AD0">
      <w:pPr>
        <w:pStyle w:val="Heading2"/>
        <w:spacing w:after="240" w:line="361" w:lineRule="auto"/>
        <w:ind w:left="-5"/>
      </w:pPr>
      <w:bookmarkStart w:id="3" w:name="_Toc30595"/>
      <w:r>
        <w:t xml:space="preserve">and the Rich Picture </w:t>
      </w:r>
      <w:bookmarkEnd w:id="3"/>
    </w:p>
    <w:p w14:paraId="66D39FFA" w14:textId="2D932363" w:rsidR="00324343" w:rsidRDefault="00C31AD0">
      <w:pPr>
        <w:ind w:left="-5" w:right="-4"/>
      </w:pPr>
      <w:r>
        <w:t xml:space="preserve">The biggest challenge identified in this case study is unintentional overdose of morphine sulphate oral solution in the case of Len, an 89-year-old man with Charcot-Marie-Tooth (CMT) disease. One day, Len had a fall and was treated with paracetamol and ibuprofen first because he felt pain in the chest and </w:t>
      </w:r>
      <w:r w:rsidR="00BA63D2">
        <w:t xml:space="preserve">was </w:t>
      </w:r>
      <w:r>
        <w:t>breathless. His pain had not been controlled</w:t>
      </w:r>
      <w:r w:rsidR="00BA63D2">
        <w:t>,</w:t>
      </w:r>
      <w:r>
        <w:t xml:space="preserve"> and thus he was given morphine oral solution in </w:t>
      </w:r>
      <w:r w:rsidR="5CEFDE9E">
        <w:t>a lower</w:t>
      </w:r>
      <w:r>
        <w:t xml:space="preserve"> dosage by his general practitioner according to his age and renal </w:t>
      </w:r>
      <w:r w:rsidR="0C230D03">
        <w:t>function</w:t>
      </w:r>
      <w:r>
        <w:t>. The prescription itself was based on national clinical guidance</w:t>
      </w:r>
      <w:r w:rsidR="001F5534">
        <w:t>,</w:t>
      </w:r>
      <w:r>
        <w:t xml:space="preserve"> although the two labels on the bottle of morphine by the manufacturer, which Len and his wife misconnect</w:t>
      </w:r>
      <w:r w:rsidR="00BF1464">
        <w:t>ed</w:t>
      </w:r>
      <w:r>
        <w:t xml:space="preserve">, </w:t>
      </w:r>
      <w:r w:rsidR="00995773">
        <w:t>stated</w:t>
      </w:r>
      <w:r>
        <w:t xml:space="preserve"> that the str</w:t>
      </w:r>
      <w:r w:rsidR="00BA63D2">
        <w:t>en</w:t>
      </w:r>
      <w:r w:rsidR="004F59AF">
        <w:t>g</w:t>
      </w:r>
      <w:r w:rsidR="00BA63D2">
        <w:t>th</w:t>
      </w:r>
      <w:r>
        <w:t xml:space="preserve"> of the medicine (10 mg in 5 ml) is the dosage prescribed to the patient</w:t>
      </w:r>
      <w:r w:rsidRPr="1BBCDEC6">
        <w:rPr>
          <w:color w:val="222222"/>
          <w:sz w:val="20"/>
          <w:szCs w:val="20"/>
        </w:rPr>
        <w:t xml:space="preserve"> (</w:t>
      </w:r>
      <w:r w:rsidRPr="1BBCDEC6">
        <w:rPr>
          <w:color w:val="222222"/>
        </w:rPr>
        <w:t xml:space="preserve">Ferner </w:t>
      </w:r>
      <w:r w:rsidRPr="1BBCDEC6">
        <w:rPr>
          <w:i/>
          <w:iCs/>
          <w:color w:val="222222"/>
        </w:rPr>
        <w:t>et al.,</w:t>
      </w:r>
      <w:r w:rsidRPr="1BBCDEC6">
        <w:rPr>
          <w:color w:val="222222"/>
        </w:rPr>
        <w:t xml:space="preserve"> 2023)</w:t>
      </w:r>
      <w:r>
        <w:t>. This resulted in Len taking a lot more morphine than planned. The label dispensing letter that was exterior and contained the proper dosage instructions was not examined. The next morning</w:t>
      </w:r>
      <w:r w:rsidR="3EABB699">
        <w:t>,</w:t>
      </w:r>
      <w:r>
        <w:t xml:space="preserve"> Len did not respond and was admitted to hospital with an assumed morphine overdose, pneumonia and deteriorating CMT. He has been responsive to treatment, but his condition has subsequently worsened, and he has passed away. The conclusions of the HSSIB study </w:t>
      </w:r>
      <w:r w:rsidR="00EF00A4">
        <w:t>found that the accident resulted from a complex system of factors, rather than a single</w:t>
      </w:r>
      <w:r>
        <w:t xml:space="preserve"> human </w:t>
      </w:r>
      <w:r w:rsidR="0262BDE0">
        <w:t xml:space="preserve">error </w:t>
      </w:r>
      <w:r w:rsidR="00A80B38">
        <w:t>(</w:t>
      </w:r>
      <w:r w:rsidRPr="1BBCDEC6">
        <w:rPr>
          <w:b/>
          <w:bCs/>
          <w:i/>
          <w:iCs/>
        </w:rPr>
        <w:t>see Appendix A</w:t>
      </w:r>
      <w:r w:rsidR="00A80B38">
        <w:rPr>
          <w:b/>
          <w:bCs/>
          <w:i/>
          <w:iCs/>
        </w:rPr>
        <w:t xml:space="preserve">) </w:t>
      </w:r>
      <w:r w:rsidR="00FE6131" w:rsidRPr="00FE6131">
        <w:t>(HSSIB, 2022)</w:t>
      </w:r>
      <w:r w:rsidRPr="00FE6131">
        <w:t>.</w:t>
      </w:r>
      <w:r>
        <w:t xml:space="preserve"> </w:t>
      </w:r>
    </w:p>
    <w:p w14:paraId="5FAD1934" w14:textId="51C2BB11" w:rsidR="00324343" w:rsidRDefault="00C31AD0">
      <w:pPr>
        <w:ind w:left="-5" w:right="-4"/>
      </w:pPr>
      <w:r>
        <w:t xml:space="preserve">It is one of a series of patient safety cases in the world </w:t>
      </w:r>
      <w:r w:rsidR="001F5534">
        <w:t>regarding drug-related</w:t>
      </w:r>
      <w:r>
        <w:t xml:space="preserve"> injuries. The World Health Organisation (WHO</w:t>
      </w:r>
      <w:r w:rsidR="00C82381">
        <w:t xml:space="preserve">, </w:t>
      </w:r>
      <w:r w:rsidR="001405BD">
        <w:t>2023</w:t>
      </w:r>
      <w:r>
        <w:t xml:space="preserve">) </w:t>
      </w:r>
      <w:r w:rsidR="001F5534">
        <w:t>reports</w:t>
      </w:r>
      <w:r>
        <w:t xml:space="preserve"> that in every ten patients, on average, one suffers some form of injury when they seek medical care; that over 50 </w:t>
      </w:r>
      <w:r w:rsidR="00EF00A4">
        <w:t>per cent</w:t>
      </w:r>
      <w:r>
        <w:t xml:space="preserve"> of this injury could be avoided. The incidence of being exposed to medication-related harm is approximately one per thirty individuals, and one- quarter of all the incidents are severe or even life-threatening. The fact that about one half of all preventable patient injury can be related to medication errors is one more indication that safe medication administration is one of the uniformly low priorities of healthcare organisations on the international level</w:t>
      </w:r>
      <w:r w:rsidR="00572D40">
        <w:t xml:space="preserve"> (WHO</w:t>
      </w:r>
      <w:r w:rsidR="008C60BA">
        <w:t>, 2023)</w:t>
      </w:r>
      <w:r>
        <w:t xml:space="preserve">. </w:t>
      </w:r>
    </w:p>
    <w:p w14:paraId="0EACC280" w14:textId="54E0E42F" w:rsidR="00324343" w:rsidRDefault="00C31AD0">
      <w:pPr>
        <w:ind w:left="-5" w:right="-4"/>
      </w:pPr>
      <w:r>
        <w:t xml:space="preserve">Medication errors also have great economic and organisational impacts. </w:t>
      </w:r>
      <w:r w:rsidR="001F5534">
        <w:t xml:space="preserve">According </w:t>
      </w:r>
      <w:r w:rsidR="0014779B">
        <w:t>to</w:t>
      </w:r>
      <w:r>
        <w:t xml:space="preserve"> the </w:t>
      </w:r>
      <w:r w:rsidR="00D623D9">
        <w:t>WHO,</w:t>
      </w:r>
      <w:r>
        <w:t xml:space="preserve"> it is estimated that the world healthcare system incurs the world about US 42 billion every year </w:t>
      </w:r>
      <w:proofErr w:type="gramStart"/>
      <w:r>
        <w:t>as a result of</w:t>
      </w:r>
      <w:proofErr w:type="gramEnd"/>
      <w:r>
        <w:t xml:space="preserve"> poor medication practices</w:t>
      </w:r>
      <w:r w:rsidR="00E5419E">
        <w:t xml:space="preserve"> (WHO, 2023)</w:t>
      </w:r>
      <w:r>
        <w:t xml:space="preserve">. Drugs, like opioids </w:t>
      </w:r>
      <w:r w:rsidR="00FA7727">
        <w:t>such as</w:t>
      </w:r>
      <w:r>
        <w:t xml:space="preserve"> morphine, which have a high risk</w:t>
      </w:r>
      <w:r w:rsidR="0014779B">
        <w:t>,</w:t>
      </w:r>
      <w:r>
        <w:t xml:space="preserve"> must have extra protection since a little misconception about dosage may cause breathing slowness, hospitali</w:t>
      </w:r>
      <w:r w:rsidR="0014779B">
        <w:t>s</w:t>
      </w:r>
      <w:r>
        <w:t xml:space="preserve">ation or even death. </w:t>
      </w:r>
      <w:r w:rsidR="009A6F82">
        <w:t>WHO's</w:t>
      </w:r>
      <w:r>
        <w:t xml:space="preserve"> Medication Without Harm program, </w:t>
      </w:r>
      <w:r>
        <w:lastRenderedPageBreak/>
        <w:t>therefore, aim</w:t>
      </w:r>
      <w:r w:rsidR="004506E7">
        <w:t>s</w:t>
      </w:r>
      <w:r>
        <w:t xml:space="preserve"> </w:t>
      </w:r>
      <w:r w:rsidR="004506E7">
        <w:t>to</w:t>
      </w:r>
      <w:r>
        <w:t xml:space="preserve"> improv</w:t>
      </w:r>
      <w:r w:rsidR="004506E7">
        <w:t>e</w:t>
      </w:r>
      <w:r>
        <w:t xml:space="preserve"> medication safety through a variety of means, namely, making communication simpler, labelling more effective, educating patient</w:t>
      </w:r>
      <w:r w:rsidR="00F45333">
        <w:t>s</w:t>
      </w:r>
      <w:r>
        <w:t xml:space="preserve"> and organisational systems</w:t>
      </w:r>
      <w:r w:rsidR="00F31E68">
        <w:t xml:space="preserve"> (WHO, 2023)</w:t>
      </w:r>
      <w:r>
        <w:t>. Medication safety continues to be one of the patient safety issues in England</w:t>
      </w:r>
      <w:r w:rsidR="009A6F82">
        <w:t xml:space="preserve"> (</w:t>
      </w:r>
      <w:r w:rsidR="008F6671">
        <w:t>HSSIB, 2022)</w:t>
      </w:r>
      <w:r>
        <w:t xml:space="preserve">. HSSIB shows that the most frequent intervention provided through the services of </w:t>
      </w:r>
      <w:r w:rsidR="00F8525F">
        <w:t xml:space="preserve">the </w:t>
      </w:r>
      <w:r>
        <w:t xml:space="preserve">NHS is medication and that untimely, misplaced or wrongly taken drugs may lead to disastrous consequences, such as </w:t>
      </w:r>
      <w:r w:rsidR="00F8525F">
        <w:t>irreversible</w:t>
      </w:r>
      <w:r>
        <w:t xml:space="preserve"> worsening of the conditions and even death. Even though electronic prescribing systems have also reduced the number of prescription errors, there are still cases because eff</w:t>
      </w:r>
      <w:r w:rsidR="00686CB2">
        <w:t>ective</w:t>
      </w:r>
      <w:r>
        <w:t xml:space="preserve"> communication among dispensing pharmacists, prescribers, carers, patients and healthcare workers is a prerequisite to</w:t>
      </w:r>
      <w:r w:rsidR="00EF00A4">
        <w:t xml:space="preserve"> </w:t>
      </w:r>
      <w:r>
        <w:t>ensur</w:t>
      </w:r>
      <w:r w:rsidR="00EF00A4">
        <w:t>e</w:t>
      </w:r>
      <w:r>
        <w:t xml:space="preserve"> efficient medication management. The case of Len shows that the only method of prescribing a drug or treatment cannot be helpful when patients are unable to use and interpret the prescription (</w:t>
      </w:r>
      <w:r>
        <w:rPr>
          <w:color w:val="222222"/>
        </w:rPr>
        <w:t xml:space="preserve">Elliott </w:t>
      </w:r>
      <w:r>
        <w:rPr>
          <w:i/>
          <w:color w:val="222222"/>
        </w:rPr>
        <w:t>et al.,</w:t>
      </w:r>
      <w:r>
        <w:rPr>
          <w:color w:val="222222"/>
        </w:rPr>
        <w:t xml:space="preserve"> 2021).</w:t>
      </w:r>
      <w:r>
        <w:t xml:space="preserve"> </w:t>
      </w:r>
    </w:p>
    <w:p w14:paraId="14AE5D7A" w14:textId="66E935D2" w:rsidR="00324343" w:rsidRDefault="00C31AD0">
      <w:pPr>
        <w:ind w:left="-5" w:right="-4"/>
      </w:pPr>
      <w:r>
        <w:t xml:space="preserve">The case reflects </w:t>
      </w:r>
      <w:proofErr w:type="gramStart"/>
      <w:r>
        <w:t>a number of</w:t>
      </w:r>
      <w:proofErr w:type="gramEnd"/>
      <w:r>
        <w:t xml:space="preserve"> systemic vulnerabilities </w:t>
      </w:r>
      <w:r w:rsidR="004E1E79">
        <w:t>rather than</w:t>
      </w:r>
      <w:r>
        <w:t xml:space="preserve"> individual professional incompetence. Firstly, there existed a lack of communication between the patient and health care professionals. The GP had given the right dose, but there was </w:t>
      </w:r>
      <w:r w:rsidR="009175FF">
        <w:t>no</w:t>
      </w:r>
      <w:r>
        <w:t xml:space="preserve"> confirmation that Len and his wife kn</w:t>
      </w:r>
      <w:r w:rsidR="00F45333">
        <w:t>e</w:t>
      </w:r>
      <w:r>
        <w:t xml:space="preserve">w how to take the medicine </w:t>
      </w:r>
      <w:r w:rsidR="009175FF">
        <w:t>correctly</w:t>
      </w:r>
      <w:r>
        <w:t>. Second, the bottles with the medications carried disorienting labelling</w:t>
      </w:r>
      <w:r w:rsidR="00F8525F">
        <w:t>,</w:t>
      </w:r>
      <w:r>
        <w:t xml:space="preserve"> as the </w:t>
      </w:r>
      <w:r w:rsidR="00612379">
        <w:t>manufacturer's label</w:t>
      </w:r>
      <w:r>
        <w:t xml:space="preserve"> displaying the strength size was bigger than the one on the outside box used </w:t>
      </w:r>
      <w:r w:rsidR="001C280C">
        <w:t>for</w:t>
      </w:r>
      <w:r>
        <w:t xml:space="preserve"> dispensing directions. Thirdly, the system was </w:t>
      </w:r>
      <w:proofErr w:type="gramStart"/>
      <w:r>
        <w:t>based on the fact that</w:t>
      </w:r>
      <w:proofErr w:type="gramEnd"/>
      <w:r>
        <w:t xml:space="preserve"> the patients had all the information about the difference between the strength of the medicine and the dose by which they received the prescription, though they were not introduced to checking </w:t>
      </w:r>
      <w:r w:rsidR="00F8525F">
        <w:t>during</w:t>
      </w:r>
      <w:r>
        <w:t xml:space="preserve"> the verbal counselling and demonstration exercise. All the interacting factors led to </w:t>
      </w:r>
      <w:proofErr w:type="gramStart"/>
      <w:r>
        <w:t>a number of</w:t>
      </w:r>
      <w:proofErr w:type="gramEnd"/>
      <w:r>
        <w:t xml:space="preserve"> failures </w:t>
      </w:r>
      <w:r w:rsidR="00154FE6">
        <w:t xml:space="preserve">and </w:t>
      </w:r>
      <w:r>
        <w:t>opportunities before the overdose (</w:t>
      </w:r>
      <w:r>
        <w:rPr>
          <w:color w:val="222222"/>
        </w:rPr>
        <w:t xml:space="preserve">Elliott </w:t>
      </w:r>
      <w:r>
        <w:rPr>
          <w:i/>
          <w:color w:val="222222"/>
        </w:rPr>
        <w:t>et al.,</w:t>
      </w:r>
      <w:r>
        <w:rPr>
          <w:color w:val="222222"/>
        </w:rPr>
        <w:t xml:space="preserve"> 2021).</w:t>
      </w:r>
      <w:r>
        <w:t xml:space="preserve"> </w:t>
      </w:r>
    </w:p>
    <w:p w14:paraId="0044D4E9" w14:textId="274593B8" w:rsidR="00324343" w:rsidRDefault="00C31AD0">
      <w:pPr>
        <w:ind w:left="-5" w:right="-4"/>
      </w:pPr>
      <w:r>
        <w:t xml:space="preserve">The patient safety incident process may be a product of people, work processes, technology and organisational structure rather than an output of the efforts of an individual in the systems thinking approach. </w:t>
      </w:r>
      <w:r w:rsidR="008728D5">
        <w:t>G</w:t>
      </w:r>
      <w:r>
        <w:t xml:space="preserve">eneral practice </w:t>
      </w:r>
      <w:r w:rsidR="008728D5">
        <w:t>and</w:t>
      </w:r>
      <w:r>
        <w:t xml:space="preserve"> community pharmacy, dispensing procedure</w:t>
      </w:r>
      <w:r w:rsidR="002B6D23">
        <w:t>s</w:t>
      </w:r>
      <w:r>
        <w:t>, medication wrapping, family education, patient education, and patient education as well as emergency services/hospital services constituted the integrated healthcare system, in which Len lived. The inappropriate performance of one aspect was putting a strain on the other aspects. Feedback mechanisms were not good, and hence no miscommunication was witnessed until the actual point of the overdose. Therefore, the negative outcome was a multiplicity of failures at multiple phases of healthcare processes</w:t>
      </w:r>
      <w:r w:rsidR="004D3F45">
        <w:t>,</w:t>
      </w:r>
      <w:r>
        <w:t xml:space="preserve"> not a single-point failure. The management that impacted this accident was mainly on a local and national </w:t>
      </w:r>
      <w:r w:rsidR="00CF38B4">
        <w:t>level</w:t>
      </w:r>
      <w:r>
        <w:t xml:space="preserve">. </w:t>
      </w:r>
      <w:r w:rsidR="00572B77">
        <w:t>P</w:t>
      </w:r>
      <w:r>
        <w:t xml:space="preserve">rescribing practice, pharmacy dispensing procedures, communication within healthcare professionals, and the roles of seeking counselling </w:t>
      </w:r>
      <w:r w:rsidR="0095044D">
        <w:t>for</w:t>
      </w:r>
      <w:r>
        <w:t xml:space="preserve"> patients </w:t>
      </w:r>
      <w:r>
        <w:lastRenderedPageBreak/>
        <w:t>were also regarded as local governance</w:t>
      </w:r>
      <w:r w:rsidR="006B76AC">
        <w:t xml:space="preserve"> (</w:t>
      </w:r>
      <w:r w:rsidR="00E04CD9">
        <w:t>HSSIB, 2022;</w:t>
      </w:r>
      <w:r w:rsidR="0095044D">
        <w:t xml:space="preserve"> </w:t>
      </w:r>
      <w:r w:rsidR="0095044D">
        <w:rPr>
          <w:color w:val="222222"/>
        </w:rPr>
        <w:t xml:space="preserve">Elliott </w:t>
      </w:r>
      <w:r w:rsidR="0095044D">
        <w:rPr>
          <w:i/>
          <w:color w:val="222222"/>
        </w:rPr>
        <w:t>et al.,</w:t>
      </w:r>
      <w:r w:rsidR="0095044D">
        <w:rPr>
          <w:color w:val="222222"/>
        </w:rPr>
        <w:t xml:space="preserve"> 2021</w:t>
      </w:r>
      <w:r w:rsidR="00E04CD9">
        <w:t>)</w:t>
      </w:r>
      <w:r>
        <w:t xml:space="preserve">. The standards of medication labelling, regulation of medicines, </w:t>
      </w:r>
      <w:r w:rsidR="000D2EB0">
        <w:t xml:space="preserve">and </w:t>
      </w:r>
      <w:r>
        <w:t xml:space="preserve">professional policies governing patient safety were impacted by national governance. HSSIB concluded that there should be a transformation at both individual organisations and </w:t>
      </w:r>
      <w:r w:rsidR="00DB2DE5">
        <w:t xml:space="preserve">the </w:t>
      </w:r>
      <w:r>
        <w:t>national process of regulati</w:t>
      </w:r>
      <w:r w:rsidR="00CC2FAA">
        <w:t>ng</w:t>
      </w:r>
      <w:r>
        <w:t xml:space="preserve"> medication</w:t>
      </w:r>
      <w:r w:rsidR="00DB2DE5">
        <w:t xml:space="preserve"> </w:t>
      </w:r>
      <w:r>
        <w:t>packaging, dosing device</w:t>
      </w:r>
      <w:r w:rsidR="00DB2DE5">
        <w:t>s</w:t>
      </w:r>
      <w:r>
        <w:t xml:space="preserve"> and learning </w:t>
      </w:r>
      <w:r w:rsidR="00DB2DE5">
        <w:t>about</w:t>
      </w:r>
      <w:r>
        <w:t xml:space="preserve"> patient safety question</w:t>
      </w:r>
      <w:r w:rsidR="00DB2DE5">
        <w:t>s</w:t>
      </w:r>
      <w:r>
        <w:t>. These results show that to ensure proper governance, there should be co-ordination between frontline healthcare givers and national policy makers to ensure that unnecessary harm is minimised</w:t>
      </w:r>
      <w:r w:rsidR="003D7285">
        <w:t xml:space="preserve"> (</w:t>
      </w:r>
      <w:r w:rsidR="00B24FE9">
        <w:t>HSSIB, 2022)</w:t>
      </w:r>
      <w:r>
        <w:t xml:space="preserve">. </w:t>
      </w:r>
      <w:r w:rsidR="00B24FE9">
        <w:t>System</w:t>
      </w:r>
      <w:r>
        <w:t xml:space="preserve"> stresses are an added contribution to risks of drug-related accidents (</w:t>
      </w:r>
      <w:r>
        <w:rPr>
          <w:color w:val="222222"/>
        </w:rPr>
        <w:t xml:space="preserve">Payne </w:t>
      </w:r>
      <w:r>
        <w:rPr>
          <w:i/>
          <w:color w:val="222222"/>
        </w:rPr>
        <w:t>et al.,</w:t>
      </w:r>
      <w:r>
        <w:rPr>
          <w:color w:val="222222"/>
        </w:rPr>
        <w:t xml:space="preserve"> 2024).</w:t>
      </w:r>
      <w:r>
        <w:t xml:space="preserve"> </w:t>
      </w:r>
    </w:p>
    <w:p w14:paraId="6BA89BF9" w14:textId="77777777" w:rsidR="00324343" w:rsidRDefault="00C31AD0">
      <w:pPr>
        <w:pStyle w:val="Heading2"/>
        <w:ind w:left="-5"/>
      </w:pPr>
      <w:bookmarkStart w:id="4" w:name="_Toc30596"/>
      <w:r>
        <w:t>2.2 Centralisation or Decentralisation within the Case Study</w:t>
      </w:r>
      <w:r>
        <w:rPr>
          <w:b w:val="0"/>
        </w:rPr>
        <w:t xml:space="preserve"> </w:t>
      </w:r>
      <w:bookmarkEnd w:id="4"/>
    </w:p>
    <w:p w14:paraId="3E749B8A" w14:textId="70F2B5A0" w:rsidR="00324343" w:rsidRDefault="00C31AD0">
      <w:pPr>
        <w:ind w:left="-5" w:right="-4"/>
      </w:pPr>
      <w:r>
        <w:t xml:space="preserve">The healthcare services involved </w:t>
      </w:r>
      <w:r w:rsidR="000A6EAC">
        <w:t>in</w:t>
      </w:r>
      <w:r>
        <w:t xml:space="preserve"> the care of Len were run under a hybrid organisational structure which was inclusive of both the centralisation and the decentralisation process. </w:t>
      </w:r>
      <w:r w:rsidR="005940D6">
        <w:t>N</w:t>
      </w:r>
      <w:r>
        <w:t>ational bodies have set the national policies, norms of prescribing and safeguarding of medications</w:t>
      </w:r>
      <w:r w:rsidR="000C432C">
        <w:t>;</w:t>
      </w:r>
      <w:r>
        <w:t xml:space="preserve"> the</w:t>
      </w:r>
      <w:r w:rsidR="00323B09">
        <w:t>se</w:t>
      </w:r>
      <w:r>
        <w:t xml:space="preserve"> include: the Department of Health and Social Care (DHSC), NHS England, the Medicines and Healthcare products Regulatory Agency (MHRA) and the professional regulators. These standards are </w:t>
      </w:r>
      <w:r w:rsidR="000C432C">
        <w:t>delegated</w:t>
      </w:r>
      <w:r>
        <w:t xml:space="preserve"> to local organisations, namely</w:t>
      </w:r>
      <w:r w:rsidR="000C432C">
        <w:t xml:space="preserve"> </w:t>
      </w:r>
      <w:r>
        <w:t>general practitioners (GPs), local pharmacies, and local clinical departments of a hospital and multidisciplinary teams. According to the HSSIB study</w:t>
      </w:r>
      <w:r w:rsidR="00764A7B">
        <w:t xml:space="preserve"> (</w:t>
      </w:r>
      <w:r w:rsidR="0073127B">
        <w:t>HSSIB</w:t>
      </w:r>
      <w:r>
        <w:t>,</w:t>
      </w:r>
      <w:r w:rsidR="0073127B">
        <w:t>2022)</w:t>
      </w:r>
      <w:r w:rsidR="000C432C">
        <w:t>,</w:t>
      </w:r>
      <w:r>
        <w:t xml:space="preserve"> with the flexibility to deliver patient-centred care in combination, the lack of sufficient coordination between the national guidance and practice in the region might be at risk of disrupting patient care due to ineffective communication, governance, and accountability (</w:t>
      </w:r>
      <w:r>
        <w:rPr>
          <w:color w:val="222222"/>
        </w:rPr>
        <w:t xml:space="preserve">Ferlie </w:t>
      </w:r>
      <w:r>
        <w:rPr>
          <w:i/>
          <w:color w:val="222222"/>
        </w:rPr>
        <w:t>et al.,</w:t>
      </w:r>
      <w:r>
        <w:rPr>
          <w:color w:val="222222"/>
        </w:rPr>
        <w:t xml:space="preserve"> 2025).</w:t>
      </w:r>
      <w:r>
        <w:t xml:space="preserve"> </w:t>
      </w:r>
    </w:p>
    <w:p w14:paraId="1A7FDD91" w14:textId="46F01614" w:rsidR="00324343" w:rsidRDefault="00C31AD0">
      <w:pPr>
        <w:ind w:left="-5" w:right="-4"/>
      </w:pPr>
      <w:r>
        <w:t xml:space="preserve">The centralised system concentrates power in decision-making </w:t>
      </w:r>
      <w:r w:rsidR="009F1599">
        <w:t>in</w:t>
      </w:r>
      <w:r>
        <w:t xml:space="preserve"> the top management or national organisations. Through centralisation in the NHS, the development of policies, prescription, medication, clinical governance, and patient safety would be made so that they are formulated on a similar basis in England</w:t>
      </w:r>
      <w:r w:rsidR="00A171BF">
        <w:t xml:space="preserve"> (C</w:t>
      </w:r>
      <w:r w:rsidR="000E4C9B">
        <w:t xml:space="preserve">hesser </w:t>
      </w:r>
      <w:r w:rsidR="000E4C9B" w:rsidRPr="000E4C9B">
        <w:rPr>
          <w:i/>
          <w:iCs/>
        </w:rPr>
        <w:t>et al</w:t>
      </w:r>
      <w:r w:rsidR="000E4C9B">
        <w:t>., 2022)</w:t>
      </w:r>
      <w:r>
        <w:t>. One</w:t>
      </w:r>
      <w:r w:rsidR="009F1599">
        <w:t xml:space="preserve"> example</w:t>
      </w:r>
      <w:r>
        <w:t xml:space="preserve"> of centralised governance that broadened the principles of evidence-based and standardised clinical practice</w:t>
      </w:r>
      <w:r w:rsidR="007C55AA">
        <w:t>,</w:t>
      </w:r>
      <w:r>
        <w:t xml:space="preserve"> as in the case of Len, was the prescribing decision of the GP</w:t>
      </w:r>
      <w:r w:rsidR="007C55AA">
        <w:t>,</w:t>
      </w:r>
      <w:r>
        <w:t xml:space="preserve"> which is nationally recognised clinical guidance on opioid prescribing. In the same way, national legislation and dispensing pharmacy regulations in medication labelling aim to lessen the variations and affect patient safety positively. These standards are nationally developed to assist in making sure that patients receiv</w:t>
      </w:r>
      <w:r w:rsidR="00932D63">
        <w:t>e</w:t>
      </w:r>
      <w:r>
        <w:t xml:space="preserve"> uniform care irrespective of their geographical location (</w:t>
      </w:r>
      <w:r>
        <w:rPr>
          <w:color w:val="222222"/>
        </w:rPr>
        <w:t xml:space="preserve">Chesser </w:t>
      </w:r>
      <w:r>
        <w:rPr>
          <w:i/>
          <w:color w:val="222222"/>
        </w:rPr>
        <w:t>et al.,</w:t>
      </w:r>
      <w:r>
        <w:rPr>
          <w:color w:val="222222"/>
        </w:rPr>
        <w:t xml:space="preserve"> 2022).</w:t>
      </w:r>
      <w:r>
        <w:t xml:space="preserve"> </w:t>
      </w:r>
    </w:p>
    <w:p w14:paraId="3663D4C0" w14:textId="50B0E505" w:rsidR="00324343" w:rsidRDefault="00C31AD0">
      <w:pPr>
        <w:ind w:left="-5" w:right="-4"/>
      </w:pPr>
      <w:r>
        <w:lastRenderedPageBreak/>
        <w:t xml:space="preserve">Among the advantages of centralisation are a host of benefits. One is that it enhances standardisation of clinical practice by national guidance, which minimises unwarranted variability in prescribing decisions and medication management. Second, it boosts governance as organisations </w:t>
      </w:r>
      <w:proofErr w:type="gramStart"/>
      <w:r>
        <w:t>are able to</w:t>
      </w:r>
      <w:proofErr w:type="gramEnd"/>
      <w:r>
        <w:t xml:space="preserve"> meet common regulatory requirements and professional standards. Thirdly, national oversight of learning aids in learning about a serious case of patient safety. The investigations, e.g. one that was performed by Len, can be used to recommend the NHS on a larger scale, rather than to the organisation itself. The HSSIB investigations are more strateg</w:t>
      </w:r>
      <w:r w:rsidR="00194E0B">
        <w:t xml:space="preserve">ic </w:t>
      </w:r>
      <w:r w:rsidR="007F0C3F">
        <w:t xml:space="preserve">in </w:t>
      </w:r>
      <w:r>
        <w:t>pursu</w:t>
      </w:r>
      <w:r w:rsidR="007F0C3F">
        <w:t>ing</w:t>
      </w:r>
      <w:r>
        <w:t xml:space="preserve"> learning at the system</w:t>
      </w:r>
      <w:r w:rsidR="007F0C3F">
        <w:t xml:space="preserve"> level</w:t>
      </w:r>
      <w:r>
        <w:t xml:space="preserve"> rather than individualisation to allow improvements that can be inclusive to healthcare organisations in the country (</w:t>
      </w:r>
      <w:r w:rsidR="006A2474">
        <w:t>H</w:t>
      </w:r>
      <w:r w:rsidR="006D62F7">
        <w:t xml:space="preserve">SSIB, 2022; </w:t>
      </w:r>
      <w:r>
        <w:rPr>
          <w:color w:val="222222"/>
        </w:rPr>
        <w:t xml:space="preserve">Hansen </w:t>
      </w:r>
      <w:r>
        <w:rPr>
          <w:i/>
          <w:color w:val="222222"/>
        </w:rPr>
        <w:t>et al.,</w:t>
      </w:r>
      <w:r>
        <w:rPr>
          <w:color w:val="222222"/>
        </w:rPr>
        <w:t xml:space="preserve"> 2020).</w:t>
      </w:r>
      <w:r>
        <w:t xml:space="preserve"> </w:t>
      </w:r>
    </w:p>
    <w:p w14:paraId="2EE591C2" w14:textId="4E650BD8" w:rsidR="00324343" w:rsidRDefault="00C31AD0">
      <w:pPr>
        <w:ind w:left="-5" w:right="-4"/>
      </w:pPr>
      <w:r>
        <w:t xml:space="preserve">However, </w:t>
      </w:r>
      <w:r w:rsidR="00FE1201">
        <w:t>despite</w:t>
      </w:r>
      <w:r>
        <w:t xml:space="preserve"> these advantages, drawbacks of </w:t>
      </w:r>
      <w:r w:rsidR="00C13311">
        <w:t>excessive</w:t>
      </w:r>
      <w:r>
        <w:t xml:space="preserve"> centralisation are also exhibited in </w:t>
      </w:r>
      <w:r w:rsidR="007F0C3F">
        <w:t>this</w:t>
      </w:r>
      <w:r>
        <w:t xml:space="preserve"> case. Prescription guidance </w:t>
      </w:r>
      <w:r w:rsidR="00E94632">
        <w:t>at</w:t>
      </w:r>
      <w:r>
        <w:t xml:space="preserve"> an international level cannot eradicate any risks when locally improper planning is taken. Although the prescript</w:t>
      </w:r>
      <w:r w:rsidR="00C13311">
        <w:t>ion</w:t>
      </w:r>
      <w:r>
        <w:t xml:space="preserve"> was right, the national labelling standards still did not prevent confusion </w:t>
      </w:r>
      <w:r w:rsidR="00AD62E6">
        <w:t>about</w:t>
      </w:r>
      <w:r>
        <w:t xml:space="preserve"> the medicine strength</w:t>
      </w:r>
      <w:r w:rsidR="00C13311">
        <w:t>,</w:t>
      </w:r>
      <w:r>
        <w:t xml:space="preserve"> which was printed by the manufacturer and the dosage</w:t>
      </w:r>
      <w:r w:rsidR="00AD62E6">
        <w:t xml:space="preserve"> </w:t>
      </w:r>
      <w:r>
        <w:t xml:space="preserve">instructions printed by the pharmacy. Subsequently, </w:t>
      </w:r>
      <w:r w:rsidR="007049B1">
        <w:t>compliance with national policy was not enough to help</w:t>
      </w:r>
      <w:r>
        <w:t xml:space="preserve"> patients understand it. More so, centralised policies might fail to effectively consider the personal needs of the elderly, those with long-term neurological disorders or those of the family carers/hesitant who need extra care when using the high-risk medicines. T</w:t>
      </w:r>
      <w:r w:rsidR="00AD62E6">
        <w:t>his</w:t>
      </w:r>
      <w:r>
        <w:t xml:space="preserve"> </w:t>
      </w:r>
      <w:r w:rsidR="0016615A">
        <w:t>shows</w:t>
      </w:r>
      <w:r>
        <w:t xml:space="preserve"> that normalisation needs to be complemented by good local communication and personal considerations. </w:t>
      </w:r>
    </w:p>
    <w:p w14:paraId="3815884F" w14:textId="496EA51D" w:rsidR="00324343" w:rsidRDefault="00C31AD0">
      <w:pPr>
        <w:ind w:left="-5" w:right="-4"/>
      </w:pPr>
      <w:r>
        <w:t xml:space="preserve">On the other hand, decentralisation is seen to give authority in decision-making to frontline </w:t>
      </w:r>
      <w:r w:rsidR="00F04DA2">
        <w:t xml:space="preserve">health care workers, as they treat </w:t>
      </w:r>
      <w:r>
        <w:t xml:space="preserve">patients at the frontline. In Len, there was </w:t>
      </w:r>
      <w:r w:rsidR="00651A9D">
        <w:t>decentralised decision-making</w:t>
      </w:r>
      <w:r>
        <w:t xml:space="preserve"> in the healthcare pathway</w:t>
      </w:r>
      <w:r>
        <w:rPr>
          <w:color w:val="222222"/>
        </w:rPr>
        <w:t xml:space="preserve"> (Demir </w:t>
      </w:r>
      <w:r>
        <w:rPr>
          <w:i/>
          <w:color w:val="222222"/>
        </w:rPr>
        <w:t>et al.,</w:t>
      </w:r>
      <w:r>
        <w:rPr>
          <w:color w:val="222222"/>
        </w:rPr>
        <w:t xml:space="preserve"> 2025)</w:t>
      </w:r>
      <w:r>
        <w:t xml:space="preserve">. The GP evaluated the symptoms of Len and planned to tailor the pain management based on his clinical case and prescribed him to take morphine based on the evaluation made. Dispensing the medication, counselling and ensuring that patients were aware </w:t>
      </w:r>
      <w:r w:rsidR="005069D3">
        <w:t xml:space="preserve">of </w:t>
      </w:r>
      <w:r>
        <w:t>how to administer the medication in a safe manner were the work of community pharmacists</w:t>
      </w:r>
      <w:r w:rsidR="009F2064">
        <w:t xml:space="preserve"> (</w:t>
      </w:r>
      <w:r w:rsidR="00651A9D">
        <w:t xml:space="preserve">Elliot </w:t>
      </w:r>
      <w:r w:rsidR="00651A9D" w:rsidRPr="00651A9D">
        <w:rPr>
          <w:i/>
          <w:iCs/>
        </w:rPr>
        <w:t>et al.,</w:t>
      </w:r>
      <w:r w:rsidR="00651A9D">
        <w:t xml:space="preserve"> 2021)</w:t>
      </w:r>
      <w:r>
        <w:t xml:space="preserve">. On their own, the hospital clinicians appraised the situation provided by Len upon his </w:t>
      </w:r>
      <w:r w:rsidR="005069D3">
        <w:t>hospitalisation</w:t>
      </w:r>
      <w:r>
        <w:t xml:space="preserve"> and </w:t>
      </w:r>
      <w:proofErr w:type="gramStart"/>
      <w:r>
        <w:t>made a decision</w:t>
      </w:r>
      <w:proofErr w:type="gramEnd"/>
      <w:r>
        <w:t xml:space="preserve"> regarding what </w:t>
      </w:r>
      <w:proofErr w:type="gramStart"/>
      <w:r>
        <w:t>was considered to be</w:t>
      </w:r>
      <w:proofErr w:type="gramEnd"/>
      <w:r>
        <w:t xml:space="preserve"> appropriate treatment of the potential opioid toxicity, pneumonia, and complications due to the presence of Charcot-Marie-Tooth disease. In this case, the diagrams show that devolved power can help medical personnel to react quickly </w:t>
      </w:r>
      <w:r w:rsidR="005069D3">
        <w:t>to</w:t>
      </w:r>
      <w:r>
        <w:t xml:space="preserve"> the new clinical statuses</w:t>
      </w:r>
      <w:r w:rsidR="00A15332">
        <w:t xml:space="preserve"> (</w:t>
      </w:r>
      <w:r w:rsidR="00183DB3">
        <w:t xml:space="preserve">Demir </w:t>
      </w:r>
      <w:r w:rsidR="00183DB3" w:rsidRPr="00183DB3">
        <w:rPr>
          <w:i/>
          <w:iCs/>
        </w:rPr>
        <w:t>et al.,</w:t>
      </w:r>
      <w:r w:rsidR="00183DB3">
        <w:t xml:space="preserve"> 2025)</w:t>
      </w:r>
      <w:r>
        <w:t xml:space="preserve">. </w:t>
      </w:r>
    </w:p>
    <w:p w14:paraId="2D1B0775" w14:textId="77777777" w:rsidR="00324343" w:rsidRDefault="00C31AD0">
      <w:pPr>
        <w:spacing w:after="107" w:line="259" w:lineRule="auto"/>
        <w:ind w:left="-5" w:right="-4"/>
      </w:pPr>
      <w:r>
        <w:t xml:space="preserve">The healthcare organisations have </w:t>
      </w:r>
      <w:proofErr w:type="gramStart"/>
      <w:r>
        <w:t>a number of</w:t>
      </w:r>
      <w:proofErr w:type="gramEnd"/>
      <w:r>
        <w:t xml:space="preserve"> benefits as far as decentralisation is concerned. </w:t>
      </w:r>
    </w:p>
    <w:p w14:paraId="00F9D54C" w14:textId="47302181" w:rsidR="00324343" w:rsidRDefault="00C31AD0">
      <w:pPr>
        <w:ind w:left="-5" w:right="-4"/>
      </w:pPr>
      <w:r>
        <w:lastRenderedPageBreak/>
        <w:t xml:space="preserve">Frontline professionals learn directly about </w:t>
      </w:r>
      <w:r w:rsidR="00D65426">
        <w:t>patients' clinical needs and can modify care based on those needs</w:t>
      </w:r>
      <w:r>
        <w:t xml:space="preserve">. There will also be a more responsive decision-making process since clinicians will not be required to consult top-level management to authorise </w:t>
      </w:r>
      <w:r w:rsidR="00E50EF8">
        <w:t>treating</w:t>
      </w:r>
      <w:r>
        <w:t xml:space="preserve"> somebody. Moreover, decentralisation increases the multidisciplinary nature of doctors, nurses, pharmacists and other members of the health sector </w:t>
      </w:r>
      <w:proofErr w:type="gramStart"/>
      <w:r>
        <w:t>in order to</w:t>
      </w:r>
      <w:proofErr w:type="gramEnd"/>
      <w:r>
        <w:t xml:space="preserve"> create a community where the experience of other disciplines could be tapped to arrive at safer decision-making in clinical practices. In patients with complex healthcare needs like Len, who is an older and vulnerable individual due to frailty and multiple health issues, personalised decision-making is needed (</w:t>
      </w:r>
      <w:proofErr w:type="spellStart"/>
      <w:r>
        <w:rPr>
          <w:color w:val="222222"/>
        </w:rPr>
        <w:t>Elhussein</w:t>
      </w:r>
      <w:proofErr w:type="spellEnd"/>
      <w:r>
        <w:rPr>
          <w:color w:val="222222"/>
        </w:rPr>
        <w:t xml:space="preserve"> </w:t>
      </w:r>
      <w:r>
        <w:rPr>
          <w:i/>
          <w:color w:val="222222"/>
        </w:rPr>
        <w:t>et al.,</w:t>
      </w:r>
      <w:r>
        <w:rPr>
          <w:color w:val="222222"/>
        </w:rPr>
        <w:t xml:space="preserve"> 2023).</w:t>
      </w:r>
      <w:r>
        <w:t xml:space="preserve"> </w:t>
      </w:r>
    </w:p>
    <w:p w14:paraId="0B786428" w14:textId="3281334F" w:rsidR="00324343" w:rsidRDefault="00C31AD0">
      <w:pPr>
        <w:ind w:left="-5" w:right="-4"/>
      </w:pPr>
      <w:r>
        <w:t xml:space="preserve">But there are numerous problems with the notions of decentralisation. There are communication differences in care delivery </w:t>
      </w:r>
      <w:r w:rsidR="00876505">
        <w:t>that</w:t>
      </w:r>
      <w:r>
        <w:t xml:space="preserve"> may arise </w:t>
      </w:r>
      <w:proofErr w:type="gramStart"/>
      <w:r>
        <w:t>as a result of</w:t>
      </w:r>
      <w:proofErr w:type="gramEnd"/>
      <w:r>
        <w:t xml:space="preserve"> </w:t>
      </w:r>
      <w:r w:rsidR="002C3DEF">
        <w:t>differences</w:t>
      </w:r>
      <w:r>
        <w:t xml:space="preserve"> in communication, experience of the staff, local practice and the organisational culture. In the case of Len, the responsibility of </w:t>
      </w:r>
      <w:r w:rsidR="002C3DEF">
        <w:t>ensuring</w:t>
      </w:r>
      <w:r>
        <w:t xml:space="preserve"> that he and his wife comprehended the regularly prescribed dose was shared between various healthcare providers. However, even though the process of medication was divided and every possible professional took a role </w:t>
      </w:r>
      <w:r w:rsidR="002C3DEF">
        <w:t>in</w:t>
      </w:r>
      <w:r>
        <w:t xml:space="preserve"> completion, nobody or any organisation could confirm that all instructions were correctly comprehended and th</w:t>
      </w:r>
      <w:r w:rsidR="002C3DEF">
        <w:t>at</w:t>
      </w:r>
      <w:r>
        <w:t xml:space="preserve"> the medicine was taken at home. Th</w:t>
      </w:r>
      <w:r w:rsidR="002C3DEF">
        <w:t xml:space="preserve">is </w:t>
      </w:r>
      <w:r>
        <w:t>show</w:t>
      </w:r>
      <w:r w:rsidR="002C3DEF">
        <w:t>s</w:t>
      </w:r>
      <w:r>
        <w:t xml:space="preserve"> a fla</w:t>
      </w:r>
      <w:r w:rsidR="00E04302">
        <w:t>w</w:t>
      </w:r>
      <w:r>
        <w:t xml:space="preserve"> </w:t>
      </w:r>
      <w:r w:rsidR="00E04302">
        <w:t xml:space="preserve">in the </w:t>
      </w:r>
      <w:r>
        <w:t xml:space="preserve">weakness of </w:t>
      </w:r>
      <w:r w:rsidR="002C3DEF">
        <w:t>decentralised</w:t>
      </w:r>
      <w:r>
        <w:t xml:space="preserve"> systems</w:t>
      </w:r>
      <w:r w:rsidR="00C24AE9">
        <w:t>, which</w:t>
      </w:r>
      <w:r>
        <w:t xml:space="preserve"> can diffuse accountability </w:t>
      </w:r>
      <w:r w:rsidR="00F952C8">
        <w:t>across</w:t>
      </w:r>
      <w:r>
        <w:t xml:space="preserve"> organisational lines. The burden of safety checks could be left unattended until the communication and governance activities are clearly defined by sharing the responsibility among a set of providers</w:t>
      </w:r>
      <w:r>
        <w:rPr>
          <w:color w:val="222222"/>
        </w:rPr>
        <w:t xml:space="preserve"> (Rodrigues </w:t>
      </w:r>
      <w:r>
        <w:rPr>
          <w:i/>
          <w:color w:val="222222"/>
        </w:rPr>
        <w:t>et al.,</w:t>
      </w:r>
      <w:r>
        <w:rPr>
          <w:color w:val="222222"/>
        </w:rPr>
        <w:t xml:space="preserve"> 2020).</w:t>
      </w:r>
      <w:r>
        <w:t xml:space="preserve"> </w:t>
      </w:r>
    </w:p>
    <w:p w14:paraId="24A71811" w14:textId="63ED6B80" w:rsidR="00324343" w:rsidRDefault="00C31AD0">
      <w:pPr>
        <w:ind w:left="-5" w:right="-4"/>
      </w:pPr>
      <w:r>
        <w:t>Research conducted by HSSIB</w:t>
      </w:r>
      <w:r w:rsidR="00474B6E">
        <w:t xml:space="preserve"> (2022)</w:t>
      </w:r>
      <w:r>
        <w:t xml:space="preserve"> led to </w:t>
      </w:r>
      <w:r w:rsidR="00E04302">
        <w:t xml:space="preserve">the </w:t>
      </w:r>
      <w:r>
        <w:t>conclusion that the malfunctions in the system were the reasons</w:t>
      </w:r>
      <w:r w:rsidR="000D0D9F">
        <w:t xml:space="preserve"> for</w:t>
      </w:r>
      <w:r>
        <w:t xml:space="preserve"> the overdose and not necessarily because of misbehaviours by the professionals. The prescribers, pharmacists, patients</w:t>
      </w:r>
      <w:r w:rsidR="000D0D9F">
        <w:t>, and carers lacked communication, which allowed</w:t>
      </w:r>
      <w:r>
        <w:t xml:space="preserve"> misinterpretation of the medicine label. This enquiry also found that there were wider issues </w:t>
      </w:r>
      <w:r w:rsidR="00CE5EEA">
        <w:t>with</w:t>
      </w:r>
      <w:r>
        <w:t xml:space="preserve"> medication packaging</w:t>
      </w:r>
      <w:r w:rsidR="00F04DA2">
        <w:t>,</w:t>
      </w:r>
      <w:r>
        <w:t xml:space="preserve"> dose administration and patient education and learning at the organisation. The results help in comprehending that patient safety is not solely reliant on personal professional competence but on governance management within the healthcare system (</w:t>
      </w:r>
      <w:r>
        <w:rPr>
          <w:color w:val="222222"/>
        </w:rPr>
        <w:t xml:space="preserve">Martin </w:t>
      </w:r>
      <w:r>
        <w:rPr>
          <w:i/>
          <w:color w:val="222222"/>
        </w:rPr>
        <w:t>et al.,</w:t>
      </w:r>
      <w:r>
        <w:rPr>
          <w:color w:val="222222"/>
        </w:rPr>
        <w:t xml:space="preserve"> 2025).</w:t>
      </w:r>
      <w:r>
        <w:t xml:space="preserve"> </w:t>
      </w:r>
    </w:p>
    <w:p w14:paraId="395318BC" w14:textId="4E40A3B8" w:rsidR="00324343" w:rsidRDefault="00C31AD0">
      <w:pPr>
        <w:ind w:left="-5" w:right="-4"/>
      </w:pPr>
      <w:r>
        <w:t xml:space="preserve">The </w:t>
      </w:r>
      <w:r w:rsidR="00D075F8">
        <w:t>hybrid organisational setup made the decision-making process more complicated</w:t>
      </w:r>
      <w:r>
        <w:t xml:space="preserve"> when it comes to crisis management. </w:t>
      </w:r>
      <w:r w:rsidR="0032622A">
        <w:t>C</w:t>
      </w:r>
      <w:r>
        <w:t xml:space="preserve">entralised governance has also been helpful </w:t>
      </w:r>
      <w:r w:rsidR="00CE3502">
        <w:t>in</w:t>
      </w:r>
      <w:r>
        <w:t xml:space="preserve"> mak</w:t>
      </w:r>
      <w:r w:rsidR="00CE3502">
        <w:t>ing</w:t>
      </w:r>
      <w:r>
        <w:t xml:space="preserve"> sure that clinical advice, prescribing and regulatory standards of governance are accessible </w:t>
      </w:r>
      <w:r w:rsidR="005C251F">
        <w:t>throughout the patient's care journey</w:t>
      </w:r>
      <w:r>
        <w:t xml:space="preserve">. Simultaneously, decentralised clinical autonomy enabled healthcare specialists to promptly intervene as Len started to deteriorate. </w:t>
      </w:r>
      <w:r w:rsidR="00BF56CA">
        <w:t>However, communications</w:t>
      </w:r>
      <w:r>
        <w:t xml:space="preserve"> within </w:t>
      </w:r>
      <w:r>
        <w:lastRenderedPageBreak/>
        <w:t xml:space="preserve">the organisations were not effective, and the opportunity to check understanding of the patients was not provided, which did not enable them to detect the overdose in time. This meant that there was </w:t>
      </w:r>
      <w:r w:rsidR="00531EBC">
        <w:t>a</w:t>
      </w:r>
      <w:r>
        <w:t xml:space="preserve"> possibility of a missed intervention and Len </w:t>
      </w:r>
      <w:r w:rsidR="00EA0D71">
        <w:t>became</w:t>
      </w:r>
      <w:r>
        <w:t xml:space="preserve"> ill sooner than before. </w:t>
      </w:r>
    </w:p>
    <w:p w14:paraId="43E8AA3E" w14:textId="5C5F0A41" w:rsidR="00324343" w:rsidRDefault="00C31AD0">
      <w:pPr>
        <w:pStyle w:val="Heading2"/>
        <w:ind w:left="-5"/>
      </w:pPr>
      <w:bookmarkStart w:id="5" w:name="_Toc30597"/>
      <w:r>
        <w:t>2.3 Leadership Theories and Appli</w:t>
      </w:r>
      <w:r w:rsidR="736BDD91">
        <w:t>cation</w:t>
      </w:r>
      <w:r>
        <w:t xml:space="preserve"> to the Case Study </w:t>
      </w:r>
      <w:bookmarkEnd w:id="5"/>
    </w:p>
    <w:p w14:paraId="4FD7E8AF" w14:textId="4AA8E2BC" w:rsidR="00324343" w:rsidRDefault="0043750F">
      <w:pPr>
        <w:ind w:left="-5" w:right="-4"/>
      </w:pPr>
      <w:r>
        <w:t>L</w:t>
      </w:r>
      <w:r w:rsidR="00C31AD0">
        <w:t xml:space="preserve">eadership plays a critical role in enhancing patient safety, </w:t>
      </w:r>
      <w:r w:rsidR="00115FB3">
        <w:t>improving</w:t>
      </w:r>
      <w:r w:rsidR="00C31AD0">
        <w:t xml:space="preserve"> service delivery and shaping organisational cultures which influence the learning process rather than the blame game</w:t>
      </w:r>
      <w:r w:rsidR="00437361">
        <w:t xml:space="preserve"> (</w:t>
      </w:r>
      <w:proofErr w:type="spellStart"/>
      <w:r w:rsidR="00DF603A">
        <w:t>Althobaiti</w:t>
      </w:r>
      <w:proofErr w:type="spellEnd"/>
      <w:r w:rsidR="00DF603A">
        <w:t>, 2026)</w:t>
      </w:r>
      <w:r w:rsidR="00C31AD0">
        <w:t>. HCP leadership is more than managers and resource management</w:t>
      </w:r>
      <w:r w:rsidR="00465A04">
        <w:t>; it is about</w:t>
      </w:r>
      <w:r w:rsidR="00C31AD0">
        <w:t xml:space="preserve"> how an individual can entice a multidisciplinary team to provide evidence-based, person-centred, and safe care. A good example of an accidental morphine overdose case shown by the HSSIB accidentals investigation of the accidental Len case clearly shows that it requires good leadership to promote communication, accountability, governance and continuous improvement in a highly intricate healthcare system (</w:t>
      </w:r>
      <w:r w:rsidR="00C31AD0">
        <w:rPr>
          <w:color w:val="222222"/>
        </w:rPr>
        <w:t xml:space="preserve">McCormack </w:t>
      </w:r>
      <w:r w:rsidR="00C31AD0">
        <w:rPr>
          <w:i/>
          <w:color w:val="222222"/>
        </w:rPr>
        <w:t>et al.,</w:t>
      </w:r>
      <w:r w:rsidR="00C31AD0">
        <w:rPr>
          <w:color w:val="222222"/>
        </w:rPr>
        <w:t xml:space="preserve"> 2021).</w:t>
      </w:r>
      <w:r w:rsidR="00C31AD0">
        <w:t xml:space="preserve"> </w:t>
      </w:r>
    </w:p>
    <w:p w14:paraId="29066B73" w14:textId="07651A63" w:rsidR="00324343" w:rsidRDefault="00C31AD0">
      <w:pPr>
        <w:ind w:left="-5" w:right="-4"/>
      </w:pPr>
      <w:r>
        <w:t xml:space="preserve">Transformational leadership is one of the leadership theories that </w:t>
      </w:r>
      <w:r w:rsidR="00115FB3">
        <w:t>is</w:t>
      </w:r>
      <w:r>
        <w:t xml:space="preserve"> the most applicable in this case. Transformational leaders develop a common vision, spur innovativeness, empower and promote life-long learning. Transformation</w:t>
      </w:r>
      <w:r w:rsidR="00A57876">
        <w:t>al</w:t>
      </w:r>
      <w:r>
        <w:t xml:space="preserve"> leadership is not based on adherence to procedures but rather on </w:t>
      </w:r>
      <w:r w:rsidR="00D55CE5">
        <w:t>aligning</w:t>
      </w:r>
      <w:r>
        <w:t xml:space="preserve"> the organisational culture by encouraging collaboration, openness and decision-making that are </w:t>
      </w:r>
      <w:proofErr w:type="gramStart"/>
      <w:r>
        <w:t>patient-centred</w:t>
      </w:r>
      <w:proofErr w:type="gramEnd"/>
      <w:r>
        <w:t>. In the case of Len, transformational leadership would have motivated the healthcare professionals to go beyond prescri</w:t>
      </w:r>
      <w:r w:rsidR="006627D0">
        <w:t>bing</w:t>
      </w:r>
      <w:r>
        <w:t xml:space="preserve"> and </w:t>
      </w:r>
      <w:proofErr w:type="gramStart"/>
      <w:r>
        <w:t>dispensing  medication</w:t>
      </w:r>
      <w:proofErr w:type="gramEnd"/>
      <w:r>
        <w:t xml:space="preserve"> to patients and carers to </w:t>
      </w:r>
      <w:r w:rsidR="00454BCA">
        <w:t>develop</w:t>
      </w:r>
      <w:r>
        <w:t xml:space="preserve"> a comprehensive understanding of the way </w:t>
      </w:r>
      <w:r w:rsidR="003E4BB8">
        <w:t>how</w:t>
      </w:r>
      <w:r>
        <w:t xml:space="preserve"> the medicines were to be administered safely. A transformational leader would also </w:t>
      </w:r>
      <w:r w:rsidR="0063071F">
        <w:t xml:space="preserve">have </w:t>
      </w:r>
      <w:r>
        <w:t xml:space="preserve">enhanced communication across different disciplines between the general practitioners, pharmacists, </w:t>
      </w:r>
      <w:r w:rsidR="009D48ED">
        <w:t xml:space="preserve">and </w:t>
      </w:r>
      <w:r>
        <w:t>nurses</w:t>
      </w:r>
      <w:r w:rsidR="00780FC8">
        <w:t>,</w:t>
      </w:r>
      <w:r>
        <w:t xml:space="preserve"> </w:t>
      </w:r>
      <w:r w:rsidR="00760CEF">
        <w:t>reducing</w:t>
      </w:r>
      <w:r>
        <w:t xml:space="preserve"> the </w:t>
      </w:r>
      <w:r w:rsidR="006627D0">
        <w:t>likelihood</w:t>
      </w:r>
      <w:r>
        <w:t xml:space="preserve"> of misinterpretation in terms of medication</w:t>
      </w:r>
      <w:r w:rsidR="009D48ED">
        <w:t xml:space="preserve"> dosage</w:t>
      </w:r>
      <w:r w:rsidR="006627D0">
        <w:t xml:space="preserve"> would have b</w:t>
      </w:r>
      <w:r w:rsidR="00310468">
        <w:t>een</w:t>
      </w:r>
      <w:r>
        <w:t xml:space="preserve"> reduced. The HSSIB inquiry has </w:t>
      </w:r>
      <w:r w:rsidR="006627D0">
        <w:t>shown</w:t>
      </w:r>
      <w:r>
        <w:t xml:space="preserve"> that the failure of </w:t>
      </w:r>
      <w:r w:rsidR="00780FC8">
        <w:t xml:space="preserve">the </w:t>
      </w:r>
      <w:r>
        <w:t>interacting system was one of the causes of the overdose, and that leadership that makes efforts to identify potential risks before they are hurt and react to the fact that an inciden</w:t>
      </w:r>
      <w:r w:rsidR="00780FC8">
        <w:t>t</w:t>
      </w:r>
      <w:r>
        <w:t xml:space="preserve"> has already occurred would be more crucial (</w:t>
      </w:r>
      <w:r>
        <w:rPr>
          <w:color w:val="222222"/>
        </w:rPr>
        <w:t>Macrae, 2025).</w:t>
      </w:r>
      <w:r>
        <w:t xml:space="preserve"> </w:t>
      </w:r>
    </w:p>
    <w:p w14:paraId="7654E780" w14:textId="16AC359C" w:rsidR="00324343" w:rsidRDefault="00C31AD0">
      <w:pPr>
        <w:ind w:left="-5" w:right="-4"/>
      </w:pPr>
      <w:r>
        <w:t>Transformation</w:t>
      </w:r>
      <w:r w:rsidR="00655ACE">
        <w:t>al</w:t>
      </w:r>
      <w:r>
        <w:t xml:space="preserve"> leadership also helps to establish </w:t>
      </w:r>
      <w:r w:rsidR="00655ACE">
        <w:t xml:space="preserve">a </w:t>
      </w:r>
      <w:r>
        <w:t xml:space="preserve">positive patient safety culture, whereby staff </w:t>
      </w:r>
      <w:r w:rsidR="00A37DD8">
        <w:t>are</w:t>
      </w:r>
      <w:r>
        <w:t xml:space="preserve"> not daunted to report risk, and learn through mistakes. </w:t>
      </w:r>
      <w:r w:rsidR="00A37DD8">
        <w:t>H</w:t>
      </w:r>
      <w:r>
        <w:t>igh staff engagement enhanced communication</w:t>
      </w:r>
      <w:r w:rsidR="00D904D5">
        <w:t>,</w:t>
      </w:r>
      <w:r>
        <w:t xml:space="preserve"> and better performance in terms of patient safety are evidenced in organisations with supportive leadership. This also focuses on learning organisations</w:t>
      </w:r>
      <w:r w:rsidR="00B041AC">
        <w:t>,</w:t>
      </w:r>
      <w:r>
        <w:t xml:space="preserve"> with national patient safety studies showing that they focus</w:t>
      </w:r>
      <w:r w:rsidR="00B041AC">
        <w:t xml:space="preserve"> more</w:t>
      </w:r>
      <w:r>
        <w:t xml:space="preserve"> on </w:t>
      </w:r>
      <w:r w:rsidR="00B1341E">
        <w:t>identifying</w:t>
      </w:r>
      <w:r>
        <w:t xml:space="preserve"> weaknesses </w:t>
      </w:r>
      <w:r w:rsidR="00760CEF">
        <w:t>in</w:t>
      </w:r>
      <w:r>
        <w:t xml:space="preserve"> the system rather than </w:t>
      </w:r>
      <w:r>
        <w:lastRenderedPageBreak/>
        <w:t xml:space="preserve">this person. The transformational style would have been the most appropriate </w:t>
      </w:r>
      <w:r w:rsidR="003A2B26">
        <w:t>for</w:t>
      </w:r>
      <w:r>
        <w:t xml:space="preserve"> Len</w:t>
      </w:r>
      <w:r w:rsidR="008A4F80">
        <w:t>,</w:t>
      </w:r>
      <w:r>
        <w:t xml:space="preserve"> as it would have </w:t>
      </w:r>
      <w:r w:rsidR="00C109C1">
        <w:t>encouraged</w:t>
      </w:r>
      <w:r>
        <w:t xml:space="preserve"> initiative when examining the issue of medication labelling, informing patients and identifying potential communication</w:t>
      </w:r>
      <w:r w:rsidR="00472327">
        <w:t xml:space="preserve"> risks</w:t>
      </w:r>
      <w:r>
        <w:t xml:space="preserve"> prior to the overdose. As a result, transformational leadership seems to be extremely suitable to avoid the occurrence of such incidents due to the focus on</w:t>
      </w:r>
      <w:r w:rsidR="00742DDB">
        <w:t xml:space="preserve"> </w:t>
      </w:r>
      <w:r>
        <w:t>organisation</w:t>
      </w:r>
      <w:r w:rsidR="00742DDB">
        <w:t>al</w:t>
      </w:r>
      <w:r>
        <w:t xml:space="preserve"> culture and continual quality enhancement</w:t>
      </w:r>
      <w:r w:rsidR="00742DDB">
        <w:t xml:space="preserve"> (Wood </w:t>
      </w:r>
      <w:r w:rsidR="00742DDB" w:rsidRPr="00742DDB">
        <w:rPr>
          <w:i/>
          <w:iCs/>
        </w:rPr>
        <w:t>et al</w:t>
      </w:r>
      <w:r>
        <w:t>.</w:t>
      </w:r>
      <w:r w:rsidR="00742DDB">
        <w:t>, 2022).</w:t>
      </w:r>
      <w:r>
        <w:t xml:space="preserve"> </w:t>
      </w:r>
    </w:p>
    <w:p w14:paraId="324219B4" w14:textId="5ED04AC1" w:rsidR="00324343" w:rsidRDefault="00C31AD0">
      <w:pPr>
        <w:ind w:left="-5" w:right="-4"/>
      </w:pPr>
      <w:r>
        <w:t>The second theory is transactional leadership theory</w:t>
      </w:r>
      <w:r w:rsidR="00DE1D41">
        <w:t>,</w:t>
      </w:r>
      <w:r>
        <w:t xml:space="preserve"> </w:t>
      </w:r>
      <w:r w:rsidR="005C5812">
        <w:t>which</w:t>
      </w:r>
      <w:r>
        <w:t xml:space="preserve"> is more </w:t>
      </w:r>
      <w:r w:rsidR="00B041AC">
        <w:t>structure-oriented</w:t>
      </w:r>
      <w:r>
        <w:t>, compliant, accountable and conforming to</w:t>
      </w:r>
      <w:r w:rsidR="00DA236F">
        <w:t xml:space="preserve"> establishe</w:t>
      </w:r>
      <w:r w:rsidR="00B1341E">
        <w:t>d</w:t>
      </w:r>
      <w:r>
        <w:t xml:space="preserve"> policies and procedures. Transactional leaders </w:t>
      </w:r>
      <w:r w:rsidR="00A13BB4">
        <w:t>en</w:t>
      </w:r>
      <w:r>
        <w:t xml:space="preserve">sure that employees do not go against clinical guidelines, regulatory standards and medication safety procedures </w:t>
      </w:r>
      <w:proofErr w:type="gramStart"/>
      <w:r>
        <w:t>and also</w:t>
      </w:r>
      <w:proofErr w:type="gramEnd"/>
      <w:r>
        <w:t xml:space="preserve"> audit and govern performance quality. Transactional leadership was applied in the case of Len through the application of the national prescribing guidelines, pharmacy dispensing policies and medicines governance models. The GP </w:t>
      </w:r>
      <w:r w:rsidR="003A2B26">
        <w:t>who recommended</w:t>
      </w:r>
      <w:r>
        <w:t xml:space="preserve"> morphine wrote the file scripting standards by using conventional clinical practices. However, despite these structured processes, the medication error occurred </w:t>
      </w:r>
      <w:r w:rsidR="00EC6E20">
        <w:t>because</w:t>
      </w:r>
      <w:r>
        <w:t xml:space="preserve"> there was no compliance ahead in the form of a procedure to </w:t>
      </w:r>
      <w:r w:rsidR="005C5812">
        <w:t>ensure</w:t>
      </w:r>
      <w:r>
        <w:t xml:space="preserve"> compliance by Len and his wife with the dosage regimen. </w:t>
      </w:r>
      <w:r w:rsidR="005C5812">
        <w:t>This</w:t>
      </w:r>
      <w:r>
        <w:t xml:space="preserve"> demonstrates one of the main drawbacks of transactional leadership: it </w:t>
      </w:r>
      <w:r w:rsidR="00DE1D41">
        <w:t>can</w:t>
      </w:r>
      <w:r>
        <w:t xml:space="preserve"> be efficient due to its specialisation in everyday clinical activities but might not show an interest in human variables </w:t>
      </w:r>
      <w:r w:rsidR="00DE1D41">
        <w:t xml:space="preserve">such </w:t>
      </w:r>
      <w:r>
        <w:t>as communication, health literacy and patient understanding (</w:t>
      </w:r>
      <w:r>
        <w:rPr>
          <w:color w:val="222222"/>
        </w:rPr>
        <w:t xml:space="preserve">Berisha </w:t>
      </w:r>
      <w:r>
        <w:rPr>
          <w:i/>
          <w:color w:val="222222"/>
        </w:rPr>
        <w:t>et al.,</w:t>
      </w:r>
      <w:r>
        <w:rPr>
          <w:color w:val="222222"/>
        </w:rPr>
        <w:t xml:space="preserve"> 2024).</w:t>
      </w:r>
      <w:r>
        <w:t xml:space="preserve"> </w:t>
      </w:r>
    </w:p>
    <w:p w14:paraId="2CE0E024" w14:textId="0343F891" w:rsidR="00324343" w:rsidRDefault="00EC6E20">
      <w:pPr>
        <w:ind w:left="-5" w:right="-4"/>
      </w:pPr>
      <w:r>
        <w:t>However</w:t>
      </w:r>
      <w:r w:rsidR="00C31AD0">
        <w:t xml:space="preserve">, </w:t>
      </w:r>
      <w:r w:rsidR="0003479A">
        <w:t>for</w:t>
      </w:r>
      <w:r w:rsidR="00C31AD0">
        <w:t xml:space="preserve"> consistency and accountability, transactional leadership is linked</w:t>
      </w:r>
      <w:r>
        <w:t>;</w:t>
      </w:r>
      <w:r w:rsidR="00C31AD0">
        <w:t xml:space="preserve"> excessive emphasis on procedures may </w:t>
      </w:r>
      <w:r w:rsidR="00E12F19">
        <w:t xml:space="preserve">demotivate front-line workers </w:t>
      </w:r>
      <w:r w:rsidR="00466BDE">
        <w:t>from personalising care to suit patients' individual needs</w:t>
      </w:r>
      <w:r w:rsidR="00C31AD0">
        <w:t xml:space="preserve">. In this instance, more solid confirmation of the knowledge via verbal counselling, dose control demonstration or confirmation via the so-called teach-back method would have minimised the risk of overdose. This way, transactional leadership is a must in </w:t>
      </w:r>
      <w:r w:rsidR="00466BDE">
        <w:t>facilitating compliance and guideline adherence; it must be combined with leadership styles that assist in facilitating communication, adaptation,</w:t>
      </w:r>
      <w:r w:rsidR="00C31AD0">
        <w:t xml:space="preserve"> and patient-centred care. Enormous medication safety includes not only following the policy but also ensuring </w:t>
      </w:r>
      <w:r w:rsidR="00E12F19">
        <w:t>the</w:t>
      </w:r>
      <w:r w:rsidR="00C31AD0">
        <w:t xml:space="preserve"> realisation of the results. </w:t>
      </w:r>
    </w:p>
    <w:p w14:paraId="4A037F13" w14:textId="7484B121" w:rsidR="00324343" w:rsidRDefault="00C31AD0">
      <w:pPr>
        <w:ind w:left="-5" w:right="-4"/>
      </w:pPr>
      <w:r>
        <w:t xml:space="preserve">Among the theories </w:t>
      </w:r>
      <w:r w:rsidR="00B8094D">
        <w:t>that</w:t>
      </w:r>
      <w:r>
        <w:t xml:space="preserve"> prove to be especially relevant in the given situation, situational leadership is one of them. The hypotheses of situational leadership are that a leader should not have a constant leadership style depending on </w:t>
      </w:r>
      <w:r w:rsidR="00C04F57">
        <w:t xml:space="preserve">the </w:t>
      </w:r>
      <w:r>
        <w:t xml:space="preserve">complexity of </w:t>
      </w:r>
      <w:r w:rsidR="00C04F57">
        <w:t xml:space="preserve">the </w:t>
      </w:r>
      <w:r>
        <w:t>situation,</w:t>
      </w:r>
      <w:r w:rsidR="00C04F57">
        <w:t xml:space="preserve"> the</w:t>
      </w:r>
      <w:r>
        <w:t xml:space="preserve"> competence of team members</w:t>
      </w:r>
      <w:r w:rsidR="00C03AED">
        <w:t>,</w:t>
      </w:r>
      <w:r>
        <w:t xml:space="preserve"> and </w:t>
      </w:r>
      <w:r w:rsidR="00B7040D">
        <w:t xml:space="preserve">the </w:t>
      </w:r>
      <w:r>
        <w:t xml:space="preserve">needs of individual patients. The healthcare environment is very dynamic, and leaders should change their behaviour depending on the various clinical situations. Len was a risky patient because he was of advanced age, had a neurological condition, </w:t>
      </w:r>
      <w:r w:rsidR="00A5293E">
        <w:t xml:space="preserve">a </w:t>
      </w:r>
      <w:r>
        <w:t xml:space="preserve">recent fall, had many health problems and depended on his wife to give him medicine. </w:t>
      </w:r>
      <w:r w:rsidR="00E06619">
        <w:t>These</w:t>
      </w:r>
      <w:r>
        <w:t xml:space="preserve"> characteristics </w:t>
      </w:r>
      <w:r>
        <w:lastRenderedPageBreak/>
        <w:t xml:space="preserve">required increased support </w:t>
      </w:r>
      <w:r w:rsidR="00E06619">
        <w:t>from</w:t>
      </w:r>
      <w:r>
        <w:t xml:space="preserve"> healthcare professionals as compared to the normal discharge instructions. These other risks would have been noticed by a situational leader</w:t>
      </w:r>
      <w:r w:rsidR="00E06619">
        <w:t>,</w:t>
      </w:r>
      <w:r>
        <w:t xml:space="preserve"> </w:t>
      </w:r>
      <w:r w:rsidR="000C0662">
        <w:t>and communication</w:t>
      </w:r>
      <w:r>
        <w:t xml:space="preserve"> strategies would have been altered by providing more detailed explanations, live demonstrations</w:t>
      </w:r>
      <w:r w:rsidR="000C0662">
        <w:t>, written instructions,</w:t>
      </w:r>
      <w:r>
        <w:t xml:space="preserve"> or </w:t>
      </w:r>
      <w:r w:rsidR="00E06619">
        <w:t>follow-up</w:t>
      </w:r>
      <w:r>
        <w:t xml:space="preserve"> communication with the client after sampling the medication (</w:t>
      </w:r>
      <w:r>
        <w:rPr>
          <w:color w:val="222222"/>
        </w:rPr>
        <w:t xml:space="preserve">Heinemann </w:t>
      </w:r>
      <w:r>
        <w:rPr>
          <w:i/>
          <w:color w:val="222222"/>
        </w:rPr>
        <w:t>et al.,</w:t>
      </w:r>
      <w:r>
        <w:rPr>
          <w:color w:val="222222"/>
        </w:rPr>
        <w:t xml:space="preserve"> 2020).</w:t>
      </w:r>
      <w:r>
        <w:t xml:space="preserve"> </w:t>
      </w:r>
    </w:p>
    <w:p w14:paraId="032EC603" w14:textId="77777777" w:rsidR="00324343" w:rsidRDefault="00C31AD0">
      <w:pPr>
        <w:pStyle w:val="Heading2"/>
        <w:ind w:left="-5"/>
      </w:pPr>
      <w:bookmarkStart w:id="6" w:name="_Toc30598"/>
      <w:r>
        <w:t xml:space="preserve">2.4 Improvement and Lessons Learned </w:t>
      </w:r>
      <w:bookmarkEnd w:id="6"/>
    </w:p>
    <w:p w14:paraId="346F06DB" w14:textId="3619763B" w:rsidR="00324343" w:rsidRDefault="00C31AD0">
      <w:pPr>
        <w:ind w:left="-5" w:right="-4"/>
      </w:pPr>
      <w:r>
        <w:t>The case study on the accidental overdose of morphine on Len indicates that patient safety accidents are nearly impossible to be occasioned by only one clinical error, but a complex of the following influences results in the patient safety accident</w:t>
      </w:r>
      <w:r w:rsidR="004F2A3F">
        <w:t>:</w:t>
      </w:r>
      <w:r>
        <w:t xml:space="preserve"> leadership, governance, communication, organisational processes and human factors</w:t>
      </w:r>
      <w:r w:rsidR="00F37D94">
        <w:t xml:space="preserve"> (Wood </w:t>
      </w:r>
      <w:r w:rsidR="00F37D94" w:rsidRPr="00F37D94">
        <w:rPr>
          <w:i/>
          <w:iCs/>
        </w:rPr>
        <w:t>et al</w:t>
      </w:r>
      <w:r w:rsidR="00F37D94">
        <w:t>.,</w:t>
      </w:r>
      <w:r w:rsidR="00E14F1E">
        <w:t>2022)</w:t>
      </w:r>
      <w:r>
        <w:t>. Whereas the doctor had asked the general practitioner to administer morphine as per his national guideline at that time to re-adjust the dosage to Len's age and triggers of renal problems of Len, the healthcare system was not keen on ensuring that what was given was interpreted by Len and his spouse</w:t>
      </w:r>
      <w:r>
        <w:rPr>
          <w:color w:val="222222"/>
        </w:rPr>
        <w:t xml:space="preserve"> (Loucka, 2021)</w:t>
      </w:r>
      <w:r>
        <w:t xml:space="preserve">. The HSSIB inquiry </w:t>
      </w:r>
      <w:r w:rsidR="004F2A3F">
        <w:t>found</w:t>
      </w:r>
      <w:r>
        <w:t xml:space="preserve"> interrelated factors to the incident, such as failure to package the medications, system design and communication failures, which caused the incident and not health care professional negligence of a particular health care professional</w:t>
      </w:r>
      <w:r w:rsidR="0080085A">
        <w:t xml:space="preserve"> </w:t>
      </w:r>
      <w:r w:rsidR="006374A9">
        <w:t>(</w:t>
      </w:r>
      <w:r w:rsidR="0080085A">
        <w:t>HSSIB, 2022)</w:t>
      </w:r>
      <w:r>
        <w:t xml:space="preserve">. This </w:t>
      </w:r>
      <w:r w:rsidR="0071423A">
        <w:t xml:space="preserve">supports </w:t>
      </w:r>
      <w:r w:rsidR="00A35354">
        <w:t>the</w:t>
      </w:r>
      <w:r>
        <w:t xml:space="preserve"> argument that leadership and governance systems need to embrace a systems approach where organisations</w:t>
      </w:r>
      <w:r w:rsidR="00783D87">
        <w:t xml:space="preserve"> identify</w:t>
      </w:r>
      <w:r>
        <w:t xml:space="preserve"> and fix areas of </w:t>
      </w:r>
      <w:r w:rsidR="00C5654C">
        <w:t>weakness</w:t>
      </w:r>
      <w:r>
        <w:t xml:space="preserve"> before they lead to patients being harmed</w:t>
      </w:r>
      <w:r w:rsidR="00E14F1E">
        <w:t xml:space="preserve"> (</w:t>
      </w:r>
      <w:r w:rsidR="00417E55">
        <w:t xml:space="preserve">Wood </w:t>
      </w:r>
      <w:r w:rsidR="00417E55" w:rsidRPr="00417E55">
        <w:rPr>
          <w:i/>
          <w:iCs/>
        </w:rPr>
        <w:t>et al</w:t>
      </w:r>
      <w:r>
        <w:t>.</w:t>
      </w:r>
      <w:r w:rsidR="00417E55">
        <w:t>, 2022).</w:t>
      </w:r>
    </w:p>
    <w:p w14:paraId="2266C805" w14:textId="1D5858F6" w:rsidR="00324343" w:rsidRDefault="00C31AD0">
      <w:pPr>
        <w:ind w:left="-5" w:right="-4"/>
      </w:pPr>
      <w:r>
        <w:t>Leadership/governance w</w:t>
      </w:r>
      <w:r w:rsidR="0071423A">
        <w:t>ere</w:t>
      </w:r>
      <w:r>
        <w:t xml:space="preserve"> involved in </w:t>
      </w:r>
      <w:r w:rsidR="00FC55EE">
        <w:t xml:space="preserve">Len's care pathway </w:t>
      </w:r>
      <w:r>
        <w:t xml:space="preserve">and played a major role in the ultimate result. Governance at a national scale, including evidence-based prescribing procedures, medicine control and pharmaceutical regulations, was put in place to </w:t>
      </w:r>
      <w:r w:rsidR="00783D87">
        <w:t>support</w:t>
      </w:r>
      <w:r>
        <w:t xml:space="preserve"> patient safety</w:t>
      </w:r>
      <w:r w:rsidR="003F0939">
        <w:t xml:space="preserve"> (Wood </w:t>
      </w:r>
      <w:r w:rsidR="003F0939" w:rsidRPr="003E0D73">
        <w:rPr>
          <w:i/>
          <w:iCs/>
        </w:rPr>
        <w:t>et al</w:t>
      </w:r>
      <w:r w:rsidR="003F0939">
        <w:t>.,</w:t>
      </w:r>
      <w:r>
        <w:t xml:space="preserve"> </w:t>
      </w:r>
      <w:r w:rsidR="003F0939">
        <w:t>20</w:t>
      </w:r>
      <w:r w:rsidR="003E0D73">
        <w:t xml:space="preserve">22). </w:t>
      </w:r>
      <w:r>
        <w:t>The task</w:t>
      </w:r>
      <w:r w:rsidR="00C5654C">
        <w:t>,</w:t>
      </w:r>
      <w:r>
        <w:t xml:space="preserve"> however, was to convert these standards into successful clinical practice through effective communication, patient education and multidisciplinary collaboration with the local leadership. Governance made sure that the correct prescribing practice was applie</w:t>
      </w:r>
      <w:r w:rsidR="00C5654C">
        <w:t xml:space="preserve">d; </w:t>
      </w:r>
      <w:r>
        <w:t xml:space="preserve">however, they failed to verify that Len and his wife were aware that the morphine solution on the bottle and printed on the dispensing label on the outer wrapping </w:t>
      </w:r>
      <w:r w:rsidR="00530851">
        <w:t>matched</w:t>
      </w:r>
      <w:r>
        <w:t xml:space="preserve"> the required dose on the dispensing label on the prescription bottle. This confirms the fact that the governance system is inadequate to promote patient safety since the leaders ought to be keen on how implemented policies are performing on the ground and whether the patients are adequately informed </w:t>
      </w:r>
      <w:r w:rsidR="00270198">
        <w:t>about</w:t>
      </w:r>
      <w:r>
        <w:t xml:space="preserve"> their treatment (</w:t>
      </w:r>
      <w:r>
        <w:rPr>
          <w:color w:val="222222"/>
        </w:rPr>
        <w:t xml:space="preserve">van Riet-Nales </w:t>
      </w:r>
      <w:r>
        <w:rPr>
          <w:i/>
          <w:color w:val="222222"/>
        </w:rPr>
        <w:t>et al.,</w:t>
      </w:r>
      <w:r>
        <w:rPr>
          <w:color w:val="222222"/>
        </w:rPr>
        <w:t xml:space="preserve"> 2023)</w:t>
      </w:r>
      <w:r>
        <w:t xml:space="preserve"> </w:t>
      </w:r>
    </w:p>
    <w:p w14:paraId="5C1424BB" w14:textId="3EA18C97" w:rsidR="00324343" w:rsidRDefault="00C31AD0">
      <w:pPr>
        <w:ind w:left="-5" w:right="-4"/>
      </w:pPr>
      <w:r>
        <w:lastRenderedPageBreak/>
        <w:t xml:space="preserve">Medication counselling and patient education </w:t>
      </w:r>
      <w:r w:rsidR="00B8055B">
        <w:t>were</w:t>
      </w:r>
      <w:r>
        <w:t xml:space="preserve"> </w:t>
      </w:r>
      <w:r w:rsidR="00585682">
        <w:t>among</w:t>
      </w:r>
      <w:r>
        <w:t xml:space="preserve"> the best chances that were not utilised. Morphine used orally is deemed to be one of the high-risk drugs because overdoses of morphine may easily result in respiratory depression, hospitalisation, or even death. Since Len is of advanced age, was allergic and relies on his wife to feed him medication, there should have been extra precautions taken prior to his departure from the pharmacy. Healthcare staff might have shown how to inject the right amount using an oral tube via an oral syringe, explained the concept using the teach-back technique and </w:t>
      </w:r>
      <w:r w:rsidR="00DB399B">
        <w:t>provided</w:t>
      </w:r>
      <w:r>
        <w:t xml:space="preserve"> written instructions using simple</w:t>
      </w:r>
      <w:r w:rsidR="00893027">
        <w:t>,</w:t>
      </w:r>
      <w:r>
        <w:t xml:space="preserve"> clear language and a bigger font. The HSSIB investigation also noted that both Len and his wife had not noticed the label on the external box </w:t>
      </w:r>
      <w:r w:rsidR="008E722B">
        <w:t>indicating</w:t>
      </w:r>
      <w:r>
        <w:t xml:space="preserve"> it was not properly dispensed; instead, they utilised the one printed on the bottle</w:t>
      </w:r>
      <w:r w:rsidR="008E722B">
        <w:t>, which</w:t>
      </w:r>
      <w:r>
        <w:t xml:space="preserve"> point</w:t>
      </w:r>
      <w:r w:rsidR="004C4CA5">
        <w:t>s</w:t>
      </w:r>
      <w:r>
        <w:t xml:space="preserve"> to the aspect of packaging design in poor communication. These implications suggest that instead of the customary dispensing processes be</w:t>
      </w:r>
      <w:r w:rsidR="008E722B">
        <w:t>ing</w:t>
      </w:r>
      <w:r>
        <w:t xml:space="preserve"> </w:t>
      </w:r>
      <w:r w:rsidR="002840C3">
        <w:t>a</w:t>
      </w:r>
      <w:r w:rsidR="008E722B">
        <w:t>s</w:t>
      </w:r>
      <w:r w:rsidR="002840C3">
        <w:t>sumed</w:t>
      </w:r>
      <w:r>
        <w:t xml:space="preserve"> to have been in </w:t>
      </w:r>
      <w:r w:rsidR="00973059">
        <w:t>place for all</w:t>
      </w:r>
      <w:r>
        <w:t xml:space="preserve"> patients</w:t>
      </w:r>
      <w:r w:rsidR="00973059">
        <w:t>,</w:t>
      </w:r>
      <w:r>
        <w:t xml:space="preserve"> the best leadership practice should offer the centrality of communication to the patients (</w:t>
      </w:r>
      <w:r>
        <w:rPr>
          <w:color w:val="222222"/>
        </w:rPr>
        <w:t xml:space="preserve">Crompton </w:t>
      </w:r>
      <w:r>
        <w:rPr>
          <w:i/>
          <w:color w:val="222222"/>
        </w:rPr>
        <w:t>et al.,</w:t>
      </w:r>
      <w:r>
        <w:rPr>
          <w:color w:val="222222"/>
        </w:rPr>
        <w:t xml:space="preserve"> 2025).</w:t>
      </w:r>
      <w:r>
        <w:t xml:space="preserve"> </w:t>
      </w:r>
    </w:p>
    <w:p w14:paraId="0BD20DA0" w14:textId="7941AA44" w:rsidR="00324343" w:rsidRDefault="00C31AD0">
      <w:pPr>
        <w:ind w:left="-5" w:right="-4"/>
      </w:pPr>
      <w:r>
        <w:t xml:space="preserve">The other opportunity that was missed was intra-organisational communication. The medical environment that Len has been subjected to </w:t>
      </w:r>
      <w:r w:rsidR="00A87237">
        <w:t>suggests</w:t>
      </w:r>
      <w:r>
        <w:t xml:space="preserve"> an academic environment of healthcare givers (his GP), his local pharmacy, his ambulatory service and the employees of his hospital. Though every organisation had its respective role to play, their communication was not in good form</w:t>
      </w:r>
      <w:r w:rsidR="003348DA">
        <w:t>,</w:t>
      </w:r>
      <w:r>
        <w:t xml:space="preserve"> and no individual professional attested to the fact that the instructions regarding the medicines were properly heard and </w:t>
      </w:r>
      <w:r w:rsidR="003348DA">
        <w:t xml:space="preserve">understood </w:t>
      </w:r>
      <w:r>
        <w:t>before medication intake at home. Multidisciplinary communication is a vital element of safe healthcare since</w:t>
      </w:r>
      <w:r w:rsidR="00BA0F7B">
        <w:t xml:space="preserve"> </w:t>
      </w:r>
      <w:r w:rsidR="00DB399B">
        <w:t>patient safety</w:t>
      </w:r>
      <w:r>
        <w:t xml:space="preserve"> is distributed across the whole care pathway</w:t>
      </w:r>
      <w:r>
        <w:rPr>
          <w:color w:val="222222"/>
        </w:rPr>
        <w:t xml:space="preserve"> (Baxter </w:t>
      </w:r>
      <w:r>
        <w:rPr>
          <w:i/>
          <w:color w:val="222222"/>
        </w:rPr>
        <w:t>et al.,</w:t>
      </w:r>
      <w:r>
        <w:rPr>
          <w:color w:val="222222"/>
        </w:rPr>
        <w:t xml:space="preserve"> 2020)</w:t>
      </w:r>
      <w:r>
        <w:t>. Leaders must thus put in place mechanisms that would promote cooperation among prescribers, pharmacists, nurses, and patients</w:t>
      </w:r>
      <w:r w:rsidR="003348DA">
        <w:t>,</w:t>
      </w:r>
      <w:r>
        <w:t xml:space="preserve"> with critical information being shared between services. Having an accountability management team and responsibility among multidisciplinary teams, where the latter took part in collective responsibility, would have </w:t>
      </w:r>
      <w:r w:rsidR="00E45008">
        <w:t>increased accountability</w:t>
      </w:r>
      <w:r>
        <w:t xml:space="preserve"> and</w:t>
      </w:r>
      <w:r w:rsidR="00E45008">
        <w:t xml:space="preserve"> reduced</w:t>
      </w:r>
      <w:r>
        <w:t xml:space="preserve"> the chances of miscommunication. Incident reporting and organisational learning were also revealed to be weak in the investigation. HSSIB noted that larger learning opportunities were limited by the fact that community pharmacy declined to participate in the investigation, which might have given the investigators </w:t>
      </w:r>
      <w:r w:rsidR="006F1C7D">
        <w:t>greater</w:t>
      </w:r>
      <w:r>
        <w:t xml:space="preserve"> opportunities to explore all the contributing factors that resulted in the incident. </w:t>
      </w:r>
      <w:r w:rsidR="00E45008">
        <w:t>The i</w:t>
      </w:r>
      <w:r>
        <w:t xml:space="preserve">nvestigation also revealed that a Yellow Card report that was to have been filed by the </w:t>
      </w:r>
      <w:r w:rsidR="00BA4A12">
        <w:t>M</w:t>
      </w:r>
      <w:r>
        <w:t>edicines and Healthcare products regulatory agency (MHRA)</w:t>
      </w:r>
      <w:r w:rsidR="00BA4A12">
        <w:t xml:space="preserve"> for</w:t>
      </w:r>
      <w:r>
        <w:t xml:space="preserve"> an overdose was not filed due to </w:t>
      </w:r>
      <w:r w:rsidR="00BA4A12">
        <w:t>operational</w:t>
      </w:r>
      <w:r>
        <w:t xml:space="preserve"> pressures. The lack of reporting of medication-related incidents restricts </w:t>
      </w:r>
      <w:r>
        <w:lastRenderedPageBreak/>
        <w:t>learning at a national level and postpones the advancements in medicines safety (</w:t>
      </w:r>
      <w:r>
        <w:rPr>
          <w:color w:val="222222"/>
        </w:rPr>
        <w:t xml:space="preserve">Hillis </w:t>
      </w:r>
      <w:r>
        <w:rPr>
          <w:i/>
          <w:color w:val="222222"/>
        </w:rPr>
        <w:t>et al.,</w:t>
      </w:r>
      <w:r>
        <w:rPr>
          <w:color w:val="222222"/>
        </w:rPr>
        <w:t xml:space="preserve"> 2023).</w:t>
      </w:r>
      <w:r>
        <w:t xml:space="preserve"> </w:t>
      </w:r>
    </w:p>
    <w:p w14:paraId="146177FD" w14:textId="77777777" w:rsidR="00324343" w:rsidRDefault="00C31AD0">
      <w:pPr>
        <w:pStyle w:val="Heading1"/>
        <w:spacing w:after="341"/>
        <w:ind w:left="-5" w:right="0"/>
      </w:pPr>
      <w:bookmarkStart w:id="7" w:name="_Toc30599"/>
      <w:r>
        <w:rPr>
          <w:color w:val="2F5496"/>
        </w:rPr>
        <w:t xml:space="preserve">3.Recommendations </w:t>
      </w:r>
      <w:bookmarkEnd w:id="7"/>
    </w:p>
    <w:p w14:paraId="7A44D59C" w14:textId="41D256DC" w:rsidR="00324343" w:rsidRDefault="00C31AD0">
      <w:pPr>
        <w:ind w:left="-5" w:right="-4"/>
      </w:pPr>
      <w:r>
        <w:t>What the case study reports indicate is that the interventions should not only be implemented at the practice level but also at the leadership, governance</w:t>
      </w:r>
      <w:r w:rsidR="00BA4A12">
        <w:t>,</w:t>
      </w:r>
      <w:r>
        <w:t xml:space="preserve"> communications and organisational systems level to address issues related to medicine harm. A commission conducted by the Healthcare Services Safety Investigation Branch (HSSIB) showed that the unfortunate overdose of morphine that Len had had was not due to a single professional failure but to a chain of system failures (</w:t>
      </w:r>
      <w:r>
        <w:rPr>
          <w:color w:val="222222"/>
        </w:rPr>
        <w:t>Corkery, 2024).</w:t>
      </w:r>
      <w:r>
        <w:t xml:space="preserve"> </w:t>
      </w:r>
      <w:r w:rsidR="00C7720D">
        <w:t>Sys</w:t>
      </w:r>
      <w:r w:rsidR="009E4DBB">
        <w:t>tematic</w:t>
      </w:r>
      <w:r>
        <w:t xml:space="preserve"> improvement, which should be accepted in the organisation, and facilitat</w:t>
      </w:r>
      <w:r w:rsidR="00AA4C43">
        <w:t>ed</w:t>
      </w:r>
      <w:r>
        <w:t xml:space="preserve"> patient safety </w:t>
      </w:r>
      <w:r w:rsidR="006B402C">
        <w:t>with</w:t>
      </w:r>
      <w:r>
        <w:t xml:space="preserve"> the help of evidence-based leadership, integrated governance, effective communication, and sustainable learning in the organisation, is something that should be considered. </w:t>
      </w:r>
      <w:r w:rsidR="00F15C01">
        <w:t>To sustain long-term improvement, the organisation must consider applying</w:t>
      </w:r>
      <w:r>
        <w:t xml:space="preserve"> </w:t>
      </w:r>
      <w:r w:rsidR="00913CD7">
        <w:t xml:space="preserve">a </w:t>
      </w:r>
      <w:r>
        <w:t xml:space="preserve">transformational leadership style as the leadership model. </w:t>
      </w:r>
      <w:r w:rsidR="00B7144E">
        <w:t>Transformational leaders support a common vision, empower interdisciplinary teams, and develop a culture of innovation and lifelong learning</w:t>
      </w:r>
      <w:r>
        <w:t xml:space="preserve">. Transformational leadership as a component of medication safety would </w:t>
      </w:r>
      <w:r w:rsidR="00AA4C43">
        <w:t>encourage</w:t>
      </w:r>
      <w:r>
        <w:t xml:space="preserve"> healthcare workers to identify risks beforehand, report occurrence</w:t>
      </w:r>
      <w:r w:rsidR="00C375E9">
        <w:t>s</w:t>
      </w:r>
      <w:r>
        <w:t xml:space="preserve"> without fear of blame, and take part in quality improvement processes. However, distributed leadership should be used to compl</w:t>
      </w:r>
      <w:r w:rsidR="00913CD7">
        <w:t>e</w:t>
      </w:r>
      <w:r>
        <w:t>ment transformational leadership</w:t>
      </w:r>
      <w:r w:rsidR="00F8389F">
        <w:t>,</w:t>
      </w:r>
      <w:r>
        <w:t xml:space="preserve"> whereby responsibility </w:t>
      </w:r>
      <w:r w:rsidR="00F8389F">
        <w:t>for</w:t>
      </w:r>
      <w:r>
        <w:t xml:space="preserve"> patient safety </w:t>
      </w:r>
      <w:r w:rsidR="00F8389F">
        <w:t>is</w:t>
      </w:r>
      <w:r>
        <w:t xml:space="preserve"> </w:t>
      </w:r>
      <w:r w:rsidR="00377607">
        <w:t>shared</w:t>
      </w:r>
      <w:r>
        <w:t xml:space="preserve"> among general practitioners, pharmacists, nurses, managers, and other healthcare professionals. </w:t>
      </w:r>
      <w:r w:rsidR="00536A07">
        <w:t xml:space="preserve">Shared leadership </w:t>
      </w:r>
      <w:r>
        <w:t>would help improv</w:t>
      </w:r>
      <w:r w:rsidR="007C2A49">
        <w:t>e</w:t>
      </w:r>
      <w:r>
        <w:t xml:space="preserve"> teamwork</w:t>
      </w:r>
      <w:r w:rsidR="00F15C01">
        <w:t xml:space="preserve"> and responsibility across organisational lines; patient safety would be the responsibility of the entire healthcare team, as opposed to </w:t>
      </w:r>
      <w:r>
        <w:t>individual practitioners solely (</w:t>
      </w:r>
      <w:r>
        <w:rPr>
          <w:color w:val="222222"/>
        </w:rPr>
        <w:t xml:space="preserve">Morris </w:t>
      </w:r>
      <w:r>
        <w:rPr>
          <w:i/>
          <w:color w:val="222222"/>
        </w:rPr>
        <w:t>et al.,</w:t>
      </w:r>
      <w:r>
        <w:rPr>
          <w:color w:val="222222"/>
        </w:rPr>
        <w:t xml:space="preserve"> 2021).</w:t>
      </w:r>
      <w:r>
        <w:t xml:space="preserve"> </w:t>
      </w:r>
    </w:p>
    <w:p w14:paraId="3DC3C46C" w14:textId="7B740E0D" w:rsidR="00324343" w:rsidRDefault="0037407F">
      <w:pPr>
        <w:ind w:left="-5" w:right="-4"/>
      </w:pPr>
      <w:r>
        <w:t>M</w:t>
      </w:r>
      <w:r w:rsidR="00C31AD0">
        <w:t xml:space="preserve">anagement structures should also be enhanced </w:t>
      </w:r>
      <w:r w:rsidR="004A33FB">
        <w:t>to advance accountability and infrastructure</w:t>
      </w:r>
      <w:r w:rsidR="00C31AD0">
        <w:t xml:space="preserve"> in patient safety policies. The multidisciplinary governance committee should ensure that routine medication safety audit reviews, evaluation of prescribing and dispensing policies and assessment of medications at high risk, like opioids, are conducted by the organisation. The reporting of medication errors and near-misses, as well as the incident reporting system, should be encouraged and required analysis </w:t>
      </w:r>
      <w:r w:rsidR="00E71B07">
        <w:t>should</w:t>
      </w:r>
      <w:r w:rsidR="00C31AD0">
        <w:t xml:space="preserve"> be undertaken to check the flaws of the system. The results of lessons learnt </w:t>
      </w:r>
      <w:proofErr w:type="gramStart"/>
      <w:r w:rsidR="00C31AD0">
        <w:t>during the course of</w:t>
      </w:r>
      <w:proofErr w:type="gramEnd"/>
      <w:r w:rsidR="00C31AD0">
        <w:t xml:space="preserve"> investigation </w:t>
      </w:r>
      <w:proofErr w:type="gramStart"/>
      <w:r w:rsidR="00C31AD0">
        <w:t>have to</w:t>
      </w:r>
      <w:proofErr w:type="gramEnd"/>
      <w:r w:rsidR="00C31AD0">
        <w:t xml:space="preserve"> be shared among the various departments </w:t>
      </w:r>
      <w:r w:rsidR="00A8220F">
        <w:t>through</w:t>
      </w:r>
      <w:r w:rsidR="00C31AD0">
        <w:t xml:space="preserve"> frequent safety briefs, clinical governance and organisational learning programmes. Such measures will </w:t>
      </w:r>
      <w:r w:rsidR="00155DB2">
        <w:t>support long-term</w:t>
      </w:r>
      <w:r w:rsidR="00C31AD0">
        <w:t xml:space="preserve"> observation and help leaders in establishing whether the safety measures are bearing positive results (</w:t>
      </w:r>
      <w:r w:rsidR="00C31AD0">
        <w:rPr>
          <w:color w:val="222222"/>
        </w:rPr>
        <w:t xml:space="preserve">Kelly </w:t>
      </w:r>
      <w:r w:rsidR="00C31AD0">
        <w:rPr>
          <w:i/>
          <w:color w:val="222222"/>
        </w:rPr>
        <w:t>et al.,</w:t>
      </w:r>
      <w:r w:rsidR="00C31AD0">
        <w:rPr>
          <w:color w:val="222222"/>
        </w:rPr>
        <w:t xml:space="preserve"> 2023).</w:t>
      </w:r>
      <w:r w:rsidR="00C31AD0">
        <w:t xml:space="preserve"> Information should </w:t>
      </w:r>
      <w:r w:rsidR="00C31AD0">
        <w:lastRenderedPageBreak/>
        <w:t xml:space="preserve">flow up the medication management process ladder. </w:t>
      </w:r>
      <w:r w:rsidR="008922B1">
        <w:t>Healthcare professionals should also use a structured communication tool and standardised patient education procedures when prescribing</w:t>
      </w:r>
      <w:r w:rsidR="00C31AD0">
        <w:t xml:space="preserve"> high-risk medicines. Written information should be given to patients and their relatives using easy-to-understand language</w:t>
      </w:r>
      <w:r w:rsidR="00CA7C13">
        <w:t>, supported by</w:t>
      </w:r>
      <w:r w:rsidR="00C31AD0">
        <w:t xml:space="preserve"> verbal explanations. However, it must be adopted as standard practice before discharge or dispensing </w:t>
      </w:r>
      <w:r w:rsidR="00E71B07">
        <w:t>so that regular use of the teach-back method, where patients or carers explain medication instructions in their own words, is routine</w:t>
      </w:r>
      <w:r w:rsidR="00C31AD0">
        <w:t xml:space="preserve">. This intervention will allow health practitioners to detect misconceptions at an early stage and </w:t>
      </w:r>
      <w:r w:rsidR="00A8220F">
        <w:t>provide</w:t>
      </w:r>
      <w:r w:rsidR="00C31AD0">
        <w:t xml:space="preserve"> more chances to administer safe medications. Continuity of care will also be enhanced by </w:t>
      </w:r>
      <w:r w:rsidR="00901F31">
        <w:t>improving</w:t>
      </w:r>
      <w:r w:rsidR="00C31AD0">
        <w:t xml:space="preserve"> communication between primary care, community pharmacy, ambulance services</w:t>
      </w:r>
      <w:r w:rsidR="00CA7C13">
        <w:t>, and hospitals to minimise the chances of information being lost during patient transfers</w:t>
      </w:r>
      <w:r w:rsidR="00C31AD0">
        <w:t xml:space="preserve"> (</w:t>
      </w:r>
      <w:r w:rsidR="00C31AD0">
        <w:rPr>
          <w:color w:val="222222"/>
        </w:rPr>
        <w:t xml:space="preserve">Thomas </w:t>
      </w:r>
      <w:r w:rsidR="00C31AD0">
        <w:rPr>
          <w:i/>
          <w:color w:val="222222"/>
        </w:rPr>
        <w:t>et al.,</w:t>
      </w:r>
      <w:r w:rsidR="00C31AD0">
        <w:rPr>
          <w:color w:val="222222"/>
        </w:rPr>
        <w:t xml:space="preserve"> 2025).</w:t>
      </w:r>
      <w:r w:rsidR="00C31AD0">
        <w:t xml:space="preserve"> </w:t>
      </w:r>
    </w:p>
    <w:p w14:paraId="1A533BBA" w14:textId="77777777" w:rsidR="00324343" w:rsidRDefault="00C31AD0">
      <w:pPr>
        <w:spacing w:after="267" w:line="259" w:lineRule="auto"/>
        <w:ind w:left="0" w:right="0" w:firstLine="0"/>
        <w:jc w:val="left"/>
      </w:pPr>
      <w:r>
        <w:t xml:space="preserve"> </w:t>
      </w:r>
    </w:p>
    <w:p w14:paraId="062715E8" w14:textId="77777777" w:rsidR="00324343" w:rsidRDefault="00C31AD0">
      <w:pPr>
        <w:spacing w:after="0" w:line="259" w:lineRule="auto"/>
        <w:ind w:left="0" w:right="0" w:firstLine="0"/>
        <w:jc w:val="left"/>
      </w:pPr>
      <w:r>
        <w:rPr>
          <w:color w:val="2F5496"/>
        </w:rPr>
        <w:t xml:space="preserve"> </w:t>
      </w:r>
      <w:r>
        <w:br w:type="page"/>
      </w:r>
    </w:p>
    <w:p w14:paraId="248015C3" w14:textId="77777777" w:rsidR="00324343" w:rsidRDefault="00C31AD0">
      <w:pPr>
        <w:pStyle w:val="Heading1"/>
        <w:spacing w:after="341"/>
        <w:ind w:left="-5" w:right="0"/>
      </w:pPr>
      <w:bookmarkStart w:id="8" w:name="_Toc30600"/>
      <w:r>
        <w:rPr>
          <w:color w:val="2F5496"/>
        </w:rPr>
        <w:lastRenderedPageBreak/>
        <w:t xml:space="preserve">4. Conclusion </w:t>
      </w:r>
      <w:bookmarkEnd w:id="8"/>
    </w:p>
    <w:p w14:paraId="60CFA152" w14:textId="3D86A117" w:rsidR="00324343" w:rsidRDefault="00C31AD0">
      <w:pPr>
        <w:ind w:left="-5" w:right="-4"/>
      </w:pPr>
      <w:r>
        <w:t xml:space="preserve">The possible role of leadership, governance and organisational structures on patient safety outcomes and systems thinking was critically discussed in the case report of the accidental morphine overdose of Len, who is an 89-year-old male with CMT disease. This critique </w:t>
      </w:r>
      <w:r w:rsidR="008F6B77">
        <w:t>revealed</w:t>
      </w:r>
      <w:r>
        <w:t xml:space="preserve"> that the incident was caused by </w:t>
      </w:r>
      <w:r w:rsidR="008F6B77">
        <w:t>a</w:t>
      </w:r>
      <w:r>
        <w:t xml:space="preserve"> plethora of interacting system failures that contributed to </w:t>
      </w:r>
      <w:proofErr w:type="gramStart"/>
      <w:r>
        <w:t>the  inciden</w:t>
      </w:r>
      <w:r w:rsidR="00AB2646">
        <w:t>t</w:t>
      </w:r>
      <w:proofErr w:type="gramEnd"/>
      <w:r w:rsidR="00BC251C">
        <w:t>,</w:t>
      </w:r>
      <w:r>
        <w:t xml:space="preserve"> such as communication failures, lack of patient education, drug labelling errors, lack of responsibility and disorganisation among the health care professionals. All these contributed to an anticipated adverse event, and patient safety within health and social care organisations is a complex issue. </w:t>
      </w:r>
    </w:p>
    <w:p w14:paraId="186CAB92" w14:textId="28769FB4" w:rsidR="00324343" w:rsidRDefault="00C31AD0">
      <w:pPr>
        <w:spacing w:after="161"/>
        <w:ind w:left="-5" w:right="-4"/>
      </w:pPr>
      <w:r>
        <w:t>The report compar</w:t>
      </w:r>
      <w:r w:rsidR="00EF6F7D">
        <w:t>ed</w:t>
      </w:r>
      <w:r>
        <w:t xml:space="preserve"> the impact of centralised and decentralised organisational structures and concluded that </w:t>
      </w:r>
      <w:proofErr w:type="gramStart"/>
      <w:r>
        <w:t>both of the strategies</w:t>
      </w:r>
      <w:proofErr w:type="gramEnd"/>
      <w:r>
        <w:t xml:space="preserve"> play a great role in safe healthcare provision. Centralised governance pr</w:t>
      </w:r>
      <w:r w:rsidR="00414A4C">
        <w:t>ovides</w:t>
      </w:r>
      <w:r>
        <w:t xml:space="preserve"> uniform clinical care, control and management of organisational duties, but decentralised decision</w:t>
      </w:r>
      <w:r w:rsidR="00EF6F7D">
        <w:t>-</w:t>
      </w:r>
      <w:r>
        <w:t>making allows front</w:t>
      </w:r>
      <w:r w:rsidR="002A7A6C">
        <w:t>-</w:t>
      </w:r>
      <w:r>
        <w:t>line healthcare professionals to be flexible in meeting the needs of individual patients.</w:t>
      </w:r>
      <w:r w:rsidR="002A7A6C">
        <w:t xml:space="preserve"> However,</w:t>
      </w:r>
      <w:r>
        <w:t xml:space="preserve"> the case showed that organisational structures are unsustainable </w:t>
      </w:r>
      <w:r w:rsidR="006571B7">
        <w:t>for guaranteeing</w:t>
      </w:r>
      <w:r>
        <w:t xml:space="preserve"> patient safety in the absence of effective leadership, effective communication, and shared responsibility between the multidisciplinary teams. The introduction of transformational leadership, transactional leadership, situational leadership</w:t>
      </w:r>
      <w:r w:rsidR="0032740C">
        <w:t xml:space="preserve">, and distributed leadership theories also revealed that the workable implementation of patient safety involved leaders capable of encouraging collaborative practice, continuous learning, and employee empowerment, and who </w:t>
      </w:r>
      <w:proofErr w:type="gramStart"/>
      <w:r w:rsidR="0032740C">
        <w:t>were capable of taking</w:t>
      </w:r>
      <w:proofErr w:type="gramEnd"/>
      <w:r w:rsidR="0032740C">
        <w:t xml:space="preserve"> risks rather than</w:t>
      </w:r>
      <w:r>
        <w:t xml:space="preserve"> depending on the system. </w:t>
      </w:r>
    </w:p>
    <w:p w14:paraId="5EF5B07C" w14:textId="67B368F5" w:rsidR="1BBCDEC6" w:rsidRDefault="1BBCDEC6" w:rsidP="1BBCDEC6">
      <w:pPr>
        <w:spacing w:after="161"/>
        <w:ind w:left="-5" w:right="-4"/>
      </w:pPr>
    </w:p>
    <w:p w14:paraId="61F8AA45" w14:textId="0D45869A" w:rsidR="1BBCDEC6" w:rsidRDefault="1BBCDEC6" w:rsidP="1BBCDEC6">
      <w:pPr>
        <w:spacing w:after="161"/>
        <w:ind w:left="-5" w:right="-4"/>
      </w:pPr>
    </w:p>
    <w:p w14:paraId="7E4364D1" w14:textId="1C4E00C4" w:rsidR="1BBCDEC6" w:rsidRDefault="1BBCDEC6" w:rsidP="1BBCDEC6">
      <w:pPr>
        <w:spacing w:after="161"/>
        <w:ind w:left="-15" w:right="-4" w:firstLine="0"/>
      </w:pPr>
    </w:p>
    <w:p w14:paraId="277C8677" w14:textId="61D1D571" w:rsidR="1BBCDEC6" w:rsidRDefault="1BBCDEC6" w:rsidP="1BBCDEC6">
      <w:pPr>
        <w:spacing w:after="161"/>
        <w:ind w:left="-15" w:right="-4" w:firstLine="0"/>
      </w:pPr>
    </w:p>
    <w:p w14:paraId="70A22BB3" w14:textId="5A125C5D" w:rsidR="1BBCDEC6" w:rsidRDefault="1BBCDEC6" w:rsidP="1BBCDEC6">
      <w:pPr>
        <w:spacing w:after="161"/>
        <w:ind w:left="-15" w:right="-4" w:firstLine="0"/>
      </w:pPr>
    </w:p>
    <w:p w14:paraId="22F34D1A" w14:textId="77777777" w:rsidR="001B444C" w:rsidRDefault="001B444C" w:rsidP="1BBCDEC6">
      <w:pPr>
        <w:spacing w:after="161"/>
        <w:ind w:left="-15" w:right="-4" w:firstLine="0"/>
      </w:pPr>
    </w:p>
    <w:p w14:paraId="1BFEBF48" w14:textId="77777777" w:rsidR="00324343" w:rsidRDefault="00C31AD0">
      <w:pPr>
        <w:spacing w:after="0" w:line="259" w:lineRule="auto"/>
        <w:ind w:left="0" w:right="0" w:firstLine="0"/>
        <w:jc w:val="left"/>
      </w:pPr>
      <w:r>
        <w:t xml:space="preserve"> </w:t>
      </w:r>
    </w:p>
    <w:p w14:paraId="16FCEC53" w14:textId="77777777" w:rsidR="00324343" w:rsidRDefault="00C31AD0">
      <w:pPr>
        <w:pStyle w:val="Heading1"/>
        <w:spacing w:after="341"/>
        <w:ind w:left="-5" w:right="0"/>
        <w:rPr>
          <w:color w:val="2F5496"/>
        </w:rPr>
      </w:pPr>
      <w:bookmarkStart w:id="9" w:name="_Toc30601"/>
      <w:r>
        <w:rPr>
          <w:color w:val="2F5496"/>
        </w:rPr>
        <w:lastRenderedPageBreak/>
        <w:t xml:space="preserve">5. References </w:t>
      </w:r>
      <w:bookmarkEnd w:id="9"/>
    </w:p>
    <w:p w14:paraId="15B5759E" w14:textId="0B2CA457" w:rsidR="00AB4829" w:rsidRPr="00AB4829" w:rsidRDefault="00AB4829" w:rsidP="00AB4829">
      <w:proofErr w:type="spellStart"/>
      <w:r w:rsidRPr="00AB4829">
        <w:t>Althobaiti</w:t>
      </w:r>
      <w:proofErr w:type="spellEnd"/>
      <w:r w:rsidRPr="00AB4829">
        <w:t xml:space="preserve">, F.M. (2026) “The effects of leadership on patient safety culture in health care: a systematic review,” </w:t>
      </w:r>
      <w:r w:rsidRPr="00AB4829">
        <w:rPr>
          <w:i/>
          <w:iCs/>
        </w:rPr>
        <w:t>BMC nursing</w:t>
      </w:r>
      <w:r w:rsidRPr="00AB4829">
        <w:t xml:space="preserve">, 25(1). Available at: </w:t>
      </w:r>
      <w:hyperlink r:id="rId9" w:history="1">
        <w:r w:rsidR="009644C3" w:rsidRPr="009644C3">
          <w:rPr>
            <w:rStyle w:val="Hyperlink"/>
            <w:color w:val="0070C0"/>
          </w:rPr>
          <w:t>https://link.springer.com/article/10.1186/s12912-025-04263-7</w:t>
        </w:r>
      </w:hyperlink>
      <w:r w:rsidR="009644C3" w:rsidRPr="009644C3">
        <w:rPr>
          <w:color w:val="0070C0"/>
        </w:rPr>
        <w:t xml:space="preserve"> </w:t>
      </w:r>
      <w:r w:rsidR="009644C3" w:rsidRPr="009644C3">
        <w:rPr>
          <w:color w:val="000000" w:themeColor="text1"/>
        </w:rPr>
        <w:t>(</w:t>
      </w:r>
      <w:r w:rsidR="009644C3">
        <w:rPr>
          <w:color w:val="000000" w:themeColor="text1"/>
        </w:rPr>
        <w:t xml:space="preserve">Accessed: </w:t>
      </w:r>
      <w:r w:rsidR="0067727A">
        <w:rPr>
          <w:color w:val="000000" w:themeColor="text1"/>
        </w:rPr>
        <w:t>2</w:t>
      </w:r>
      <w:r w:rsidR="009644C3">
        <w:rPr>
          <w:color w:val="000000" w:themeColor="text1"/>
        </w:rPr>
        <w:t xml:space="preserve">1 </w:t>
      </w:r>
      <w:r w:rsidR="0067727A">
        <w:rPr>
          <w:color w:val="000000" w:themeColor="text1"/>
        </w:rPr>
        <w:t xml:space="preserve">July </w:t>
      </w:r>
      <w:r w:rsidR="009644C3">
        <w:rPr>
          <w:color w:val="000000" w:themeColor="text1"/>
        </w:rPr>
        <w:t>2026).</w:t>
      </w:r>
    </w:p>
    <w:p w14:paraId="0002E45A" w14:textId="0A9F811C" w:rsidR="00324343" w:rsidRDefault="00C31AD0">
      <w:pPr>
        <w:spacing w:after="239" w:line="361" w:lineRule="auto"/>
        <w:ind w:left="-5" w:right="-5"/>
      </w:pPr>
      <w:r>
        <w:rPr>
          <w:color w:val="222222"/>
        </w:rPr>
        <w:t xml:space="preserve">Baxter, R., Shannon, R., Murray, J., O’Hara, J.K., Sheard, L., Cracknell, A. and Lawton, R. (2020) “Delivering exceptionally safe transitions of care to older people: a qualitative study of multidisciplinary staff perspectives”. </w:t>
      </w:r>
      <w:r>
        <w:rPr>
          <w:i/>
          <w:color w:val="222222"/>
        </w:rPr>
        <w:t>BMC Health Services Research</w:t>
      </w:r>
      <w:r>
        <w:rPr>
          <w:color w:val="222222"/>
        </w:rPr>
        <w:t xml:space="preserve">, </w:t>
      </w:r>
      <w:r>
        <w:rPr>
          <w:i/>
          <w:color w:val="222222"/>
        </w:rPr>
        <w:t>20</w:t>
      </w:r>
      <w:r>
        <w:rPr>
          <w:color w:val="222222"/>
        </w:rPr>
        <w:t xml:space="preserve">(1), p.780. </w:t>
      </w:r>
      <w:r w:rsidR="00ED231F">
        <w:rPr>
          <w:color w:val="222222"/>
        </w:rPr>
        <w:t>A</w:t>
      </w:r>
      <w:r>
        <w:rPr>
          <w:color w:val="222222"/>
        </w:rPr>
        <w:t>vailable at:</w:t>
      </w:r>
      <w:hyperlink r:id="rId10">
        <w:r>
          <w:t xml:space="preserve"> </w:t>
        </w:r>
      </w:hyperlink>
      <w:hyperlink r:id="rId11">
        <w:r>
          <w:rPr>
            <w:color w:val="0563C1"/>
            <w:u w:val="single" w:color="0563C1"/>
          </w:rPr>
          <w:t>https://link.springer.com/article/10.1186/s12913</w:t>
        </w:r>
      </w:hyperlink>
      <w:hyperlink r:id="rId12">
        <w:r>
          <w:rPr>
            <w:color w:val="0563C1"/>
            <w:u w:val="single" w:color="0563C1"/>
          </w:rPr>
          <w:t>-</w:t>
        </w:r>
      </w:hyperlink>
      <w:hyperlink r:id="rId13">
        <w:r>
          <w:rPr>
            <w:color w:val="0563C1"/>
            <w:u w:val="single" w:color="0563C1"/>
          </w:rPr>
          <w:t>020</w:t>
        </w:r>
      </w:hyperlink>
      <w:hyperlink r:id="rId14">
        <w:r>
          <w:rPr>
            <w:color w:val="0563C1"/>
            <w:u w:val="single" w:color="0563C1"/>
          </w:rPr>
          <w:t>-</w:t>
        </w:r>
      </w:hyperlink>
      <w:hyperlink r:id="rId15">
        <w:r>
          <w:rPr>
            <w:color w:val="0563C1"/>
            <w:u w:val="single" w:color="0563C1"/>
          </w:rPr>
          <w:t>05641</w:t>
        </w:r>
      </w:hyperlink>
      <w:hyperlink r:id="rId16">
        <w:r>
          <w:rPr>
            <w:color w:val="0563C1"/>
            <w:u w:val="single" w:color="0563C1"/>
          </w:rPr>
          <w:t>-</w:t>
        </w:r>
      </w:hyperlink>
      <w:hyperlink r:id="rId17">
        <w:r>
          <w:rPr>
            <w:color w:val="0563C1"/>
            <w:u w:val="single" w:color="0563C1"/>
          </w:rPr>
          <w:t>4</w:t>
        </w:r>
      </w:hyperlink>
      <w:hyperlink r:id="rId18">
        <w:r>
          <w:rPr>
            <w:color w:val="222222"/>
          </w:rPr>
          <w:t xml:space="preserve"> </w:t>
        </w:r>
      </w:hyperlink>
      <w:r>
        <w:rPr>
          <w:color w:val="222222"/>
        </w:rPr>
        <w:t>(</w:t>
      </w:r>
      <w:r w:rsidR="00DE71BD">
        <w:t>A</w:t>
      </w:r>
      <w:r>
        <w:t xml:space="preserve">ccessed 21 </w:t>
      </w:r>
      <w:r w:rsidR="00DE71BD">
        <w:t>July</w:t>
      </w:r>
      <w:r>
        <w:t xml:space="preserve"> 2026). </w:t>
      </w:r>
    </w:p>
    <w:p w14:paraId="09FF0D04" w14:textId="77777777" w:rsidR="00324343" w:rsidRDefault="00C31AD0">
      <w:pPr>
        <w:spacing w:after="0" w:line="361" w:lineRule="auto"/>
        <w:ind w:left="-5" w:right="-5"/>
      </w:pPr>
      <w:r>
        <w:rPr>
          <w:color w:val="222222"/>
        </w:rPr>
        <w:t xml:space="preserve">Berisha, A., </w:t>
      </w:r>
      <w:proofErr w:type="spellStart"/>
      <w:r>
        <w:rPr>
          <w:color w:val="222222"/>
        </w:rPr>
        <w:t>Govori</w:t>
      </w:r>
      <w:proofErr w:type="spellEnd"/>
      <w:r>
        <w:rPr>
          <w:color w:val="222222"/>
        </w:rPr>
        <w:t xml:space="preserve">, A. and </w:t>
      </w:r>
      <w:proofErr w:type="spellStart"/>
      <w:r>
        <w:rPr>
          <w:color w:val="222222"/>
        </w:rPr>
        <w:t>Sejdija</w:t>
      </w:r>
      <w:proofErr w:type="spellEnd"/>
      <w:r>
        <w:rPr>
          <w:color w:val="222222"/>
        </w:rPr>
        <w:t xml:space="preserve">, Q. (2024) ‘Impact of leadership styles on employee performance in small and medium enterprises. </w:t>
      </w:r>
      <w:r>
        <w:rPr>
          <w:i/>
          <w:color w:val="222222"/>
        </w:rPr>
        <w:t xml:space="preserve">Corporate Governance and Organizational </w:t>
      </w:r>
    </w:p>
    <w:p w14:paraId="18A30E66" w14:textId="2EDC3F8E" w:rsidR="00324343" w:rsidRDefault="00C31AD0">
      <w:pPr>
        <w:spacing w:after="241"/>
        <w:ind w:left="-5" w:right="0"/>
      </w:pPr>
      <w:proofErr w:type="spellStart"/>
      <w:r>
        <w:rPr>
          <w:i/>
          <w:color w:val="222222"/>
        </w:rPr>
        <w:t>Behavior</w:t>
      </w:r>
      <w:proofErr w:type="spellEnd"/>
      <w:r>
        <w:rPr>
          <w:i/>
          <w:color w:val="222222"/>
        </w:rPr>
        <w:t xml:space="preserve"> Review</w:t>
      </w:r>
      <w:r>
        <w:rPr>
          <w:color w:val="222222"/>
        </w:rPr>
        <w:t xml:space="preserve">, </w:t>
      </w:r>
      <w:r>
        <w:rPr>
          <w:i/>
          <w:color w:val="222222"/>
        </w:rPr>
        <w:t>8</w:t>
      </w:r>
      <w:r>
        <w:rPr>
          <w:color w:val="222222"/>
        </w:rPr>
        <w:t xml:space="preserve">(2), pp.171-178. </w:t>
      </w:r>
      <w:r w:rsidR="00ED231F">
        <w:rPr>
          <w:color w:val="222222"/>
        </w:rPr>
        <w:t>A</w:t>
      </w:r>
      <w:r>
        <w:rPr>
          <w:color w:val="222222"/>
        </w:rPr>
        <w:t>vailable at:</w:t>
      </w:r>
      <w:r>
        <w:t xml:space="preserve"> </w:t>
      </w:r>
      <w:hyperlink r:id="rId19">
        <w:r>
          <w:rPr>
            <w:color w:val="0563C1"/>
            <w:u w:val="single" w:color="0563C1"/>
          </w:rPr>
          <w:t>https://pdfs.semanticscholar.org/671e/7a1d5eb29ee0f715c6f172dfa41bff93c8c9.pdf</w:t>
        </w:r>
      </w:hyperlink>
      <w:hyperlink r:id="rId20">
        <w:r>
          <w:rPr>
            <w:color w:val="222222"/>
          </w:rPr>
          <w:t xml:space="preserve"> </w:t>
        </w:r>
      </w:hyperlink>
      <w:r>
        <w:rPr>
          <w:color w:val="222222"/>
        </w:rPr>
        <w:t>(</w:t>
      </w:r>
      <w:r w:rsidR="00F308AF">
        <w:t>A</w:t>
      </w:r>
      <w:r>
        <w:t>ccessed 21</w:t>
      </w:r>
      <w:r w:rsidR="00A432A0">
        <w:t>J</w:t>
      </w:r>
      <w:r>
        <w:t xml:space="preserve">uly 2026). </w:t>
      </w:r>
    </w:p>
    <w:p w14:paraId="426C2C5A" w14:textId="6C2A35B2" w:rsidR="00324343" w:rsidRDefault="00C31AD0">
      <w:pPr>
        <w:spacing w:after="0" w:line="361" w:lineRule="auto"/>
        <w:ind w:left="-5" w:right="-5"/>
      </w:pPr>
      <w:r>
        <w:rPr>
          <w:color w:val="222222"/>
        </w:rPr>
        <w:t xml:space="preserve">Chesser, T.J., Javaid, M.K., Mohsin, Z., Pari, C., </w:t>
      </w:r>
      <w:proofErr w:type="spellStart"/>
      <w:r>
        <w:rPr>
          <w:color w:val="222222"/>
        </w:rPr>
        <w:t>Belluati</w:t>
      </w:r>
      <w:proofErr w:type="spellEnd"/>
      <w:r>
        <w:rPr>
          <w:color w:val="222222"/>
        </w:rPr>
        <w:t xml:space="preserve">, A., Contini, A., </w:t>
      </w:r>
      <w:proofErr w:type="spellStart"/>
      <w:r>
        <w:rPr>
          <w:color w:val="222222"/>
        </w:rPr>
        <w:t>Caiaffa</w:t>
      </w:r>
      <w:proofErr w:type="spellEnd"/>
      <w:r>
        <w:rPr>
          <w:color w:val="222222"/>
        </w:rPr>
        <w:t xml:space="preserve">, V., </w:t>
      </w:r>
      <w:proofErr w:type="spellStart"/>
      <w:r>
        <w:rPr>
          <w:color w:val="222222"/>
        </w:rPr>
        <w:t>ChanaRodríguez</w:t>
      </w:r>
      <w:proofErr w:type="spellEnd"/>
      <w:r>
        <w:rPr>
          <w:color w:val="222222"/>
        </w:rPr>
        <w:t xml:space="preserve">, F., Gómez-Vallejo, J., Sánchez-Pérez, C. and </w:t>
      </w:r>
      <w:proofErr w:type="spellStart"/>
      <w:r>
        <w:rPr>
          <w:color w:val="222222"/>
        </w:rPr>
        <w:t>Dailiana</w:t>
      </w:r>
      <w:proofErr w:type="spellEnd"/>
      <w:r>
        <w:rPr>
          <w:color w:val="222222"/>
        </w:rPr>
        <w:t xml:space="preserve">, Z.H. (2022) “Overview of fracture liaison services in the UK and Europe: standards, model of care, funding, and </w:t>
      </w:r>
      <w:proofErr w:type="gramStart"/>
      <w:r>
        <w:rPr>
          <w:color w:val="222222"/>
        </w:rPr>
        <w:t>challenges’</w:t>
      </w:r>
      <w:proofErr w:type="gramEnd"/>
      <w:r>
        <w:rPr>
          <w:color w:val="222222"/>
        </w:rPr>
        <w:t xml:space="preserve">. </w:t>
      </w:r>
      <w:r>
        <w:rPr>
          <w:i/>
          <w:color w:val="222222"/>
        </w:rPr>
        <w:t>OTA International</w:t>
      </w:r>
      <w:r>
        <w:rPr>
          <w:color w:val="222222"/>
        </w:rPr>
        <w:t xml:space="preserve">, </w:t>
      </w:r>
      <w:r>
        <w:rPr>
          <w:i/>
          <w:color w:val="222222"/>
        </w:rPr>
        <w:t>5</w:t>
      </w:r>
      <w:r>
        <w:rPr>
          <w:color w:val="222222"/>
        </w:rPr>
        <w:t xml:space="preserve">(3S), p.e198. </w:t>
      </w:r>
      <w:r w:rsidR="00F34493">
        <w:rPr>
          <w:color w:val="222222"/>
        </w:rPr>
        <w:t>A</w:t>
      </w:r>
      <w:r>
        <w:rPr>
          <w:color w:val="222222"/>
        </w:rPr>
        <w:t>vailable at:</w:t>
      </w:r>
      <w:r>
        <w:t xml:space="preserve"> </w:t>
      </w:r>
    </w:p>
    <w:p w14:paraId="4AEE5C80" w14:textId="56AF8743" w:rsidR="00324343" w:rsidRDefault="009B789E" w:rsidP="008519C7">
      <w:pPr>
        <w:spacing w:after="241"/>
        <w:ind w:right="0"/>
      </w:pPr>
      <w:hyperlink r:id="rId21" w:history="1">
        <w:r w:rsidRPr="009B789E">
          <w:rPr>
            <w:rStyle w:val="Hyperlink"/>
            <w:color w:val="0070C0"/>
          </w:rPr>
          <w:t>https://www.ovid.com/jnls/otainternational/fulltext/10.1097/oi9.0000000000000198~overview-of-fracture-liaison-services-in-the-uk-and-europe</w:t>
        </w:r>
      </w:hyperlink>
      <w:r>
        <w:t xml:space="preserve"> </w:t>
      </w:r>
      <w:hyperlink r:id="rId22">
        <w:r w:rsidR="00C31AD0">
          <w:rPr>
            <w:color w:val="222222"/>
          </w:rPr>
          <w:t xml:space="preserve"> </w:t>
        </w:r>
      </w:hyperlink>
      <w:r w:rsidR="00C31AD0">
        <w:t>(</w:t>
      </w:r>
      <w:r w:rsidR="00830E42">
        <w:t>A</w:t>
      </w:r>
      <w:r w:rsidR="00C31AD0">
        <w:t>ccessed 2</w:t>
      </w:r>
      <w:r w:rsidR="009C74C8">
        <w:t>4 July</w:t>
      </w:r>
      <w:r w:rsidR="00C31AD0">
        <w:t xml:space="preserve"> 2026). </w:t>
      </w:r>
    </w:p>
    <w:p w14:paraId="355F723E" w14:textId="62523B32" w:rsidR="00324343" w:rsidRDefault="00C31AD0">
      <w:pPr>
        <w:spacing w:after="239" w:line="361" w:lineRule="auto"/>
        <w:ind w:left="-5" w:right="-5"/>
      </w:pPr>
      <w:r>
        <w:rPr>
          <w:color w:val="222222"/>
        </w:rPr>
        <w:t xml:space="preserve">Corbett, T.K., Cummings, A., Lee, K., Calman, L., Fenerty, V., Farrington, N., Lewis, L., Young, A., Boddington, H., Wiseman, T. and Richardson, A. (2020) ‘Planning and optimising CHAT&amp;PLAN: A conversation-based intervention to promote person-centred care for older people living with multimorbidity’. </w:t>
      </w:r>
      <w:proofErr w:type="spellStart"/>
      <w:r>
        <w:rPr>
          <w:i/>
          <w:color w:val="222222"/>
        </w:rPr>
        <w:t>PloS</w:t>
      </w:r>
      <w:proofErr w:type="spellEnd"/>
      <w:r>
        <w:rPr>
          <w:i/>
          <w:color w:val="222222"/>
        </w:rPr>
        <w:t xml:space="preserve"> one</w:t>
      </w:r>
      <w:r>
        <w:rPr>
          <w:color w:val="222222"/>
        </w:rPr>
        <w:t xml:space="preserve">, </w:t>
      </w:r>
      <w:r>
        <w:rPr>
          <w:i/>
          <w:color w:val="222222"/>
        </w:rPr>
        <w:t>15</w:t>
      </w:r>
      <w:r>
        <w:rPr>
          <w:color w:val="222222"/>
        </w:rPr>
        <w:t xml:space="preserve">(10), p.e0240516. </w:t>
      </w:r>
      <w:r w:rsidR="00F34493">
        <w:rPr>
          <w:color w:val="222222"/>
        </w:rPr>
        <w:t>A</w:t>
      </w:r>
      <w:r>
        <w:rPr>
          <w:color w:val="222222"/>
        </w:rPr>
        <w:t>vailable at:</w:t>
      </w:r>
      <w:r>
        <w:t xml:space="preserve"> </w:t>
      </w:r>
      <w:hyperlink r:id="rId23">
        <w:r>
          <w:rPr>
            <w:color w:val="0563C1"/>
            <w:u w:val="single" w:color="0563C1"/>
          </w:rPr>
          <w:t>https://journals.plos.org/plosone/article?id=10.1371/journal.pone.0240516</w:t>
        </w:r>
      </w:hyperlink>
      <w:hyperlink r:id="rId24">
        <w:r>
          <w:rPr>
            <w:color w:val="222222"/>
          </w:rPr>
          <w:t xml:space="preserve"> </w:t>
        </w:r>
      </w:hyperlink>
      <w:r>
        <w:t>(</w:t>
      </w:r>
      <w:r w:rsidR="009C74C8">
        <w:t>A</w:t>
      </w:r>
      <w:r>
        <w:t>ccessed 21</w:t>
      </w:r>
      <w:r w:rsidR="00A432A0">
        <w:t xml:space="preserve"> </w:t>
      </w:r>
      <w:r w:rsidR="009C74C8">
        <w:t>J</w:t>
      </w:r>
      <w:r>
        <w:t xml:space="preserve">uly 2026). </w:t>
      </w:r>
    </w:p>
    <w:p w14:paraId="29AE82E6" w14:textId="76F65ECD" w:rsidR="00324343" w:rsidRDefault="00C31AD0">
      <w:pPr>
        <w:spacing w:after="239" w:line="361" w:lineRule="auto"/>
        <w:ind w:left="-5" w:right="-5"/>
      </w:pPr>
      <w:r>
        <w:rPr>
          <w:color w:val="222222"/>
        </w:rPr>
        <w:t xml:space="preserve">Corkery, J.M. (2024) ‘Developments in the epidemiology of drug-related mortality in the United Kingdom over the last 30 years: continuity, change, consistency, and challenge”. </w:t>
      </w:r>
      <w:r w:rsidR="002365DE">
        <w:rPr>
          <w:color w:val="222222"/>
        </w:rPr>
        <w:t>A</w:t>
      </w:r>
      <w:r>
        <w:rPr>
          <w:color w:val="222222"/>
        </w:rPr>
        <w:t>vailable at:</w:t>
      </w:r>
      <w:hyperlink r:id="rId25">
        <w:r>
          <w:t xml:space="preserve"> </w:t>
        </w:r>
      </w:hyperlink>
      <w:hyperlink r:id="rId26">
        <w:r>
          <w:rPr>
            <w:color w:val="0563C1"/>
            <w:u w:val="single" w:color="0563C1"/>
          </w:rPr>
          <w:t>https://uhra.herts.ac.uk/id/eprint/15986/</w:t>
        </w:r>
      </w:hyperlink>
      <w:hyperlink r:id="rId27">
        <w:r>
          <w:rPr>
            <w:color w:val="222222"/>
          </w:rPr>
          <w:t xml:space="preserve"> </w:t>
        </w:r>
      </w:hyperlink>
      <w:r>
        <w:rPr>
          <w:color w:val="222222"/>
        </w:rPr>
        <w:t>(</w:t>
      </w:r>
      <w:r w:rsidR="00141EAA">
        <w:t>A</w:t>
      </w:r>
      <w:r>
        <w:t xml:space="preserve">ccessed 21 </w:t>
      </w:r>
      <w:r w:rsidR="00141EAA">
        <w:t>July</w:t>
      </w:r>
      <w:r>
        <w:t xml:space="preserve"> 2026). </w:t>
      </w:r>
    </w:p>
    <w:p w14:paraId="26E08B3F" w14:textId="77777777" w:rsidR="00324343" w:rsidRDefault="00C31AD0">
      <w:pPr>
        <w:spacing w:after="0" w:line="361" w:lineRule="auto"/>
        <w:ind w:left="-5" w:right="-5"/>
      </w:pPr>
      <w:r>
        <w:rPr>
          <w:color w:val="222222"/>
        </w:rPr>
        <w:lastRenderedPageBreak/>
        <w:t xml:space="preserve">Crompton, A., Waring, J., Macrae, C., Overton, C. and </w:t>
      </w:r>
      <w:proofErr w:type="spellStart"/>
      <w:r>
        <w:rPr>
          <w:color w:val="222222"/>
        </w:rPr>
        <w:t>Benneyworth</w:t>
      </w:r>
      <w:proofErr w:type="spellEnd"/>
      <w:r>
        <w:rPr>
          <w:color w:val="222222"/>
        </w:rPr>
        <w:t xml:space="preserve">, R. (2025) ‘How can specialist investigation agencies inform system-wide learning for patient safety? A qualitative study of perspectives on the early years of the English Healthcare Safety Investigation </w:t>
      </w:r>
    </w:p>
    <w:p w14:paraId="0F4AB3A0" w14:textId="2DA8EC2F" w:rsidR="00324343" w:rsidRDefault="00C31AD0">
      <w:pPr>
        <w:spacing w:after="241"/>
        <w:ind w:left="-5" w:right="0"/>
      </w:pPr>
      <w:r>
        <w:rPr>
          <w:color w:val="222222"/>
        </w:rPr>
        <w:t xml:space="preserve">Branch’. </w:t>
      </w:r>
      <w:r>
        <w:rPr>
          <w:i/>
          <w:color w:val="222222"/>
        </w:rPr>
        <w:t>Journal of Health Services Research &amp; Policy</w:t>
      </w:r>
      <w:r>
        <w:rPr>
          <w:color w:val="222222"/>
        </w:rPr>
        <w:t xml:space="preserve">, </w:t>
      </w:r>
      <w:r>
        <w:rPr>
          <w:i/>
          <w:color w:val="222222"/>
        </w:rPr>
        <w:t>30</w:t>
      </w:r>
      <w:r>
        <w:rPr>
          <w:color w:val="222222"/>
        </w:rPr>
        <w:t xml:space="preserve">(1), pp.31-39. </w:t>
      </w:r>
      <w:r w:rsidR="002365DE">
        <w:rPr>
          <w:color w:val="222222"/>
        </w:rPr>
        <w:t>A</w:t>
      </w:r>
      <w:r>
        <w:rPr>
          <w:color w:val="222222"/>
        </w:rPr>
        <w:t>vailable at:</w:t>
      </w:r>
      <w:r>
        <w:t xml:space="preserve"> </w:t>
      </w:r>
      <w:hyperlink r:id="rId28">
        <w:r>
          <w:rPr>
            <w:color w:val="0563C1"/>
            <w:u w:val="single" w:color="0563C1"/>
          </w:rPr>
          <w:t>https://journals.sagepub.com/doi/full/10.1177/13558196241291816</w:t>
        </w:r>
      </w:hyperlink>
      <w:hyperlink r:id="rId29">
        <w:r>
          <w:rPr>
            <w:color w:val="222222"/>
          </w:rPr>
          <w:t xml:space="preserve"> </w:t>
        </w:r>
      </w:hyperlink>
      <w:r>
        <w:rPr>
          <w:color w:val="222222"/>
        </w:rPr>
        <w:t>(</w:t>
      </w:r>
      <w:r w:rsidR="00141EAA">
        <w:t>A</w:t>
      </w:r>
      <w:r>
        <w:t>ccessed 21</w:t>
      </w:r>
      <w:r w:rsidR="00141EAA">
        <w:t xml:space="preserve"> J</w:t>
      </w:r>
      <w:r>
        <w:t xml:space="preserve">uly 2026). </w:t>
      </w:r>
    </w:p>
    <w:p w14:paraId="3FD9BC65" w14:textId="77777777" w:rsidR="00324343" w:rsidRDefault="00C31AD0">
      <w:pPr>
        <w:spacing w:after="0" w:line="361" w:lineRule="auto"/>
        <w:ind w:left="-5" w:right="-5"/>
      </w:pPr>
      <w:r>
        <w:rPr>
          <w:color w:val="222222"/>
        </w:rPr>
        <w:t xml:space="preserve">De Grado, A., Serio, M., Saveri, P., Pisciotta, C. and </w:t>
      </w:r>
      <w:proofErr w:type="spellStart"/>
      <w:r>
        <w:rPr>
          <w:color w:val="222222"/>
        </w:rPr>
        <w:t>Pareyson</w:t>
      </w:r>
      <w:proofErr w:type="spellEnd"/>
      <w:r>
        <w:rPr>
          <w:color w:val="222222"/>
        </w:rPr>
        <w:t xml:space="preserve">, D. (2025) “Charcot-Marie-Tooth disease: a review of clinical developments and its management-What’s new in </w:t>
      </w:r>
      <w:proofErr w:type="gramStart"/>
      <w:r>
        <w:rPr>
          <w:color w:val="222222"/>
        </w:rPr>
        <w:t>2025?.</w:t>
      </w:r>
      <w:proofErr w:type="gramEnd"/>
      <w:r>
        <w:rPr>
          <w:color w:val="222222"/>
        </w:rPr>
        <w:t xml:space="preserve"> </w:t>
      </w:r>
      <w:r>
        <w:rPr>
          <w:i/>
          <w:color w:val="222222"/>
        </w:rPr>
        <w:t xml:space="preserve">Expert </w:t>
      </w:r>
    </w:p>
    <w:p w14:paraId="1F1D3C2B" w14:textId="3C389013" w:rsidR="00324343" w:rsidRDefault="00C31AD0">
      <w:pPr>
        <w:spacing w:after="241"/>
        <w:ind w:left="-5" w:right="0"/>
      </w:pPr>
      <w:r>
        <w:rPr>
          <w:i/>
          <w:color w:val="222222"/>
        </w:rPr>
        <w:t>Review of Neurotherapeutics</w:t>
      </w:r>
      <w:r>
        <w:rPr>
          <w:color w:val="222222"/>
        </w:rPr>
        <w:t xml:space="preserve">, </w:t>
      </w:r>
      <w:r>
        <w:rPr>
          <w:i/>
          <w:color w:val="222222"/>
        </w:rPr>
        <w:t>25</w:t>
      </w:r>
      <w:r>
        <w:rPr>
          <w:color w:val="222222"/>
        </w:rPr>
        <w:t>(4), pp.427-442.</w:t>
      </w:r>
      <w:r w:rsidR="00C439AE">
        <w:rPr>
          <w:color w:val="222222"/>
        </w:rPr>
        <w:t xml:space="preserve"> A</w:t>
      </w:r>
      <w:r>
        <w:rPr>
          <w:color w:val="222222"/>
        </w:rPr>
        <w:t xml:space="preserve">vailable at: </w:t>
      </w:r>
      <w:hyperlink r:id="rId30">
        <w:r>
          <w:rPr>
            <w:color w:val="0563C1"/>
            <w:u w:val="single" w:color="0563C1"/>
          </w:rPr>
          <w:t>https://www.tandfonline.com/doi/abs/10.1080/14737175.2025.24709806</w:t>
        </w:r>
      </w:hyperlink>
      <w:hyperlink r:id="rId31">
        <w:r>
          <w:rPr>
            <w:b/>
          </w:rPr>
          <w:t xml:space="preserve"> </w:t>
        </w:r>
      </w:hyperlink>
      <w:r>
        <w:t>(</w:t>
      </w:r>
      <w:r w:rsidR="00141EAA">
        <w:t>A</w:t>
      </w:r>
      <w:r>
        <w:t>ccessed 21</w:t>
      </w:r>
      <w:r w:rsidR="00141EAA">
        <w:t xml:space="preserve"> J</w:t>
      </w:r>
      <w:r>
        <w:t xml:space="preserve">uly 2026). </w:t>
      </w:r>
    </w:p>
    <w:p w14:paraId="3F9A106B" w14:textId="62646176" w:rsidR="00324343" w:rsidRDefault="00C31AD0">
      <w:pPr>
        <w:spacing w:after="239" w:line="361" w:lineRule="auto"/>
        <w:ind w:left="-5" w:right="-5"/>
      </w:pPr>
      <w:r>
        <w:rPr>
          <w:color w:val="222222"/>
        </w:rPr>
        <w:t xml:space="preserve">Demir, E., </w:t>
      </w:r>
      <w:proofErr w:type="spellStart"/>
      <w:r>
        <w:rPr>
          <w:color w:val="222222"/>
        </w:rPr>
        <w:t>Yakutcan</w:t>
      </w:r>
      <w:proofErr w:type="spellEnd"/>
      <w:r>
        <w:rPr>
          <w:color w:val="222222"/>
        </w:rPr>
        <w:t xml:space="preserve">, U. and Page, S. (2025) ‘informed decision-making for empowering integrated care system development: Co-creating innovative solutions to facilitate enhanced service provision”. </w:t>
      </w:r>
      <w:proofErr w:type="spellStart"/>
      <w:r>
        <w:rPr>
          <w:i/>
          <w:color w:val="222222"/>
        </w:rPr>
        <w:t>PLoS</w:t>
      </w:r>
      <w:proofErr w:type="spellEnd"/>
      <w:r>
        <w:rPr>
          <w:i/>
          <w:color w:val="222222"/>
        </w:rPr>
        <w:t xml:space="preserve"> One</w:t>
      </w:r>
      <w:r>
        <w:rPr>
          <w:color w:val="222222"/>
        </w:rPr>
        <w:t xml:space="preserve">, </w:t>
      </w:r>
      <w:r>
        <w:rPr>
          <w:i/>
          <w:color w:val="222222"/>
        </w:rPr>
        <w:t>20</w:t>
      </w:r>
      <w:r>
        <w:rPr>
          <w:color w:val="222222"/>
        </w:rPr>
        <w:t xml:space="preserve">(4), p.e0321994. </w:t>
      </w:r>
      <w:r w:rsidR="00C439AE">
        <w:rPr>
          <w:color w:val="222222"/>
        </w:rPr>
        <w:t>A</w:t>
      </w:r>
      <w:r>
        <w:rPr>
          <w:color w:val="222222"/>
        </w:rPr>
        <w:t>vailable at:</w:t>
      </w:r>
      <w:r>
        <w:t xml:space="preserve"> </w:t>
      </w:r>
      <w:hyperlink r:id="rId32">
        <w:r>
          <w:rPr>
            <w:color w:val="0563C1"/>
            <w:u w:val="single" w:color="0563C1"/>
          </w:rPr>
          <w:t>https://journals.plos.org/plosone/article?id=10.1371/journal.pone.0321994</w:t>
        </w:r>
      </w:hyperlink>
      <w:hyperlink r:id="rId33">
        <w:r>
          <w:rPr>
            <w:color w:val="222222"/>
          </w:rPr>
          <w:t xml:space="preserve"> </w:t>
        </w:r>
      </w:hyperlink>
      <w:r>
        <w:rPr>
          <w:color w:val="222222"/>
        </w:rPr>
        <w:t>(</w:t>
      </w:r>
      <w:r w:rsidR="00141EAA">
        <w:t>A</w:t>
      </w:r>
      <w:r>
        <w:t>ccessed 21</w:t>
      </w:r>
      <w:r w:rsidR="00141EAA">
        <w:t xml:space="preserve"> J</w:t>
      </w:r>
      <w:r>
        <w:t xml:space="preserve">uly 2026). </w:t>
      </w:r>
    </w:p>
    <w:p w14:paraId="1474A7B3" w14:textId="5D94090F" w:rsidR="00324343" w:rsidRDefault="00C31AD0">
      <w:pPr>
        <w:spacing w:after="239" w:line="361" w:lineRule="auto"/>
        <w:ind w:left="-5" w:right="-5"/>
      </w:pPr>
      <w:proofErr w:type="spellStart"/>
      <w:r>
        <w:rPr>
          <w:color w:val="222222"/>
        </w:rPr>
        <w:t>Elhussein</w:t>
      </w:r>
      <w:proofErr w:type="spellEnd"/>
      <w:r>
        <w:rPr>
          <w:color w:val="222222"/>
        </w:rPr>
        <w:t xml:space="preserve">, L., </w:t>
      </w:r>
      <w:proofErr w:type="spellStart"/>
      <w:r>
        <w:rPr>
          <w:color w:val="222222"/>
        </w:rPr>
        <w:t>Jödicke</w:t>
      </w:r>
      <w:proofErr w:type="spellEnd"/>
      <w:r>
        <w:rPr>
          <w:color w:val="222222"/>
        </w:rPr>
        <w:t xml:space="preserve">, A.M., He, Y., </w:t>
      </w:r>
      <w:proofErr w:type="spellStart"/>
      <w:r>
        <w:rPr>
          <w:color w:val="222222"/>
        </w:rPr>
        <w:t>Delmestri</w:t>
      </w:r>
      <w:proofErr w:type="spellEnd"/>
      <w:r>
        <w:rPr>
          <w:color w:val="222222"/>
        </w:rPr>
        <w:t xml:space="preserve">, A., Robinson, D.E., Strauss, V.Y. and </w:t>
      </w:r>
      <w:proofErr w:type="spellStart"/>
      <w:r>
        <w:rPr>
          <w:color w:val="222222"/>
        </w:rPr>
        <w:t>PrietoAlhambra</w:t>
      </w:r>
      <w:proofErr w:type="spellEnd"/>
      <w:r>
        <w:rPr>
          <w:color w:val="222222"/>
        </w:rPr>
        <w:t xml:space="preserve">, D., (2023). Characterising complex health needs and the use of preventive therapies in the older population: a population-based cohort analysis of UK primary care and hospital linked data. </w:t>
      </w:r>
      <w:r>
        <w:rPr>
          <w:i/>
          <w:color w:val="222222"/>
        </w:rPr>
        <w:t>BMC geriatrics</w:t>
      </w:r>
      <w:r>
        <w:rPr>
          <w:color w:val="222222"/>
        </w:rPr>
        <w:t xml:space="preserve">, </w:t>
      </w:r>
      <w:r>
        <w:rPr>
          <w:i/>
          <w:color w:val="222222"/>
        </w:rPr>
        <w:t>23</w:t>
      </w:r>
      <w:r>
        <w:rPr>
          <w:color w:val="222222"/>
        </w:rPr>
        <w:t xml:space="preserve">(1), p.58. </w:t>
      </w:r>
      <w:r w:rsidR="00C439AE">
        <w:rPr>
          <w:color w:val="222222"/>
        </w:rPr>
        <w:t>A</w:t>
      </w:r>
      <w:r>
        <w:rPr>
          <w:color w:val="222222"/>
        </w:rPr>
        <w:t>vailable at:</w:t>
      </w:r>
      <w:r>
        <w:t xml:space="preserve"> </w:t>
      </w:r>
      <w:hyperlink r:id="rId34">
        <w:r>
          <w:rPr>
            <w:color w:val="0563C1"/>
            <w:u w:val="single" w:color="0563C1"/>
          </w:rPr>
          <w:t>https://link.springer.com/article/10.1186/s12877</w:t>
        </w:r>
      </w:hyperlink>
      <w:hyperlink r:id="rId35">
        <w:r>
          <w:rPr>
            <w:color w:val="0563C1"/>
            <w:u w:val="single" w:color="0563C1"/>
          </w:rPr>
          <w:t>-</w:t>
        </w:r>
      </w:hyperlink>
      <w:hyperlink r:id="rId36">
        <w:r>
          <w:rPr>
            <w:color w:val="0563C1"/>
            <w:u w:val="single" w:color="0563C1"/>
          </w:rPr>
          <w:t>023</w:t>
        </w:r>
      </w:hyperlink>
      <w:hyperlink r:id="rId37">
        <w:r>
          <w:rPr>
            <w:color w:val="0563C1"/>
            <w:u w:val="single" w:color="0563C1"/>
          </w:rPr>
          <w:t>-</w:t>
        </w:r>
      </w:hyperlink>
      <w:hyperlink r:id="rId38">
        <w:r>
          <w:rPr>
            <w:color w:val="0563C1"/>
            <w:u w:val="single" w:color="0563C1"/>
          </w:rPr>
          <w:t>03770</w:t>
        </w:r>
      </w:hyperlink>
      <w:hyperlink r:id="rId39">
        <w:r>
          <w:rPr>
            <w:color w:val="0563C1"/>
            <w:u w:val="single" w:color="0563C1"/>
          </w:rPr>
          <w:t>-</w:t>
        </w:r>
      </w:hyperlink>
      <w:hyperlink r:id="rId40">
        <w:r>
          <w:rPr>
            <w:color w:val="0563C1"/>
            <w:u w:val="single" w:color="0563C1"/>
          </w:rPr>
          <w:t>z</w:t>
        </w:r>
      </w:hyperlink>
      <w:hyperlink r:id="rId41">
        <w:r>
          <w:rPr>
            <w:color w:val="222222"/>
          </w:rPr>
          <w:t xml:space="preserve"> </w:t>
        </w:r>
      </w:hyperlink>
      <w:r>
        <w:rPr>
          <w:color w:val="222222"/>
        </w:rPr>
        <w:t>(</w:t>
      </w:r>
      <w:r w:rsidR="0014629D">
        <w:t>A</w:t>
      </w:r>
      <w:r>
        <w:t>ccessed 2</w:t>
      </w:r>
      <w:r w:rsidR="00B516A8">
        <w:t>5</w:t>
      </w:r>
      <w:r w:rsidR="0014629D">
        <w:t xml:space="preserve"> J</w:t>
      </w:r>
      <w:r>
        <w:t xml:space="preserve">uly 2026). </w:t>
      </w:r>
    </w:p>
    <w:p w14:paraId="5A5234CC" w14:textId="77777777" w:rsidR="00324343" w:rsidRDefault="00C31AD0">
      <w:pPr>
        <w:spacing w:after="0" w:line="361" w:lineRule="auto"/>
        <w:ind w:left="-5" w:right="-5"/>
      </w:pPr>
      <w:r>
        <w:rPr>
          <w:color w:val="222222"/>
        </w:rPr>
        <w:t xml:space="preserve">Elliott, R.A., Camacho, E., Jankovic, D., </w:t>
      </w:r>
      <w:proofErr w:type="spellStart"/>
      <w:r>
        <w:rPr>
          <w:color w:val="222222"/>
        </w:rPr>
        <w:t>Sculpher</w:t>
      </w:r>
      <w:proofErr w:type="spellEnd"/>
      <w:r>
        <w:rPr>
          <w:color w:val="222222"/>
        </w:rPr>
        <w:t xml:space="preserve">, M.J. and Faria, R. (2021) ‘Economic analysis of the prevalence and clinical and economic burden of medication error in England. </w:t>
      </w:r>
      <w:r>
        <w:rPr>
          <w:i/>
          <w:color w:val="222222"/>
        </w:rPr>
        <w:t xml:space="preserve">BMJ Quality </w:t>
      </w:r>
    </w:p>
    <w:p w14:paraId="1EC06DD9" w14:textId="05265D86" w:rsidR="00324343" w:rsidRDefault="00C31AD0">
      <w:pPr>
        <w:spacing w:after="241"/>
        <w:ind w:left="-5" w:right="0"/>
      </w:pPr>
      <w:r>
        <w:rPr>
          <w:i/>
          <w:color w:val="222222"/>
        </w:rPr>
        <w:t>&amp; Safety</w:t>
      </w:r>
      <w:r>
        <w:rPr>
          <w:color w:val="222222"/>
        </w:rPr>
        <w:t xml:space="preserve">, </w:t>
      </w:r>
      <w:r>
        <w:rPr>
          <w:i/>
          <w:color w:val="222222"/>
        </w:rPr>
        <w:t>30</w:t>
      </w:r>
      <w:r>
        <w:rPr>
          <w:color w:val="222222"/>
        </w:rPr>
        <w:t xml:space="preserve">(2), pp.96-105. </w:t>
      </w:r>
      <w:r w:rsidR="004E156F">
        <w:rPr>
          <w:color w:val="222222"/>
        </w:rPr>
        <w:t>A</w:t>
      </w:r>
      <w:r>
        <w:rPr>
          <w:color w:val="222222"/>
        </w:rPr>
        <w:t>vailable at:</w:t>
      </w:r>
      <w:r>
        <w:t xml:space="preserve"> </w:t>
      </w:r>
      <w:hyperlink r:id="rId42">
        <w:r>
          <w:rPr>
            <w:color w:val="0563C1"/>
            <w:u w:val="single" w:color="0563C1"/>
          </w:rPr>
          <w:t>https://qualitysafety.bmj.com/content/30/2/96.abstract</w:t>
        </w:r>
      </w:hyperlink>
      <w:hyperlink r:id="rId43">
        <w:r>
          <w:rPr>
            <w:color w:val="222222"/>
          </w:rPr>
          <w:t xml:space="preserve"> </w:t>
        </w:r>
      </w:hyperlink>
      <w:r>
        <w:t>(</w:t>
      </w:r>
      <w:r w:rsidR="00B516A8">
        <w:t>A</w:t>
      </w:r>
      <w:r>
        <w:t>ccessed 2</w:t>
      </w:r>
      <w:r w:rsidR="00B516A8">
        <w:t>4 J</w:t>
      </w:r>
      <w:r>
        <w:t xml:space="preserve">uly 2026). </w:t>
      </w:r>
    </w:p>
    <w:p w14:paraId="57F82F83" w14:textId="77777777" w:rsidR="00987099" w:rsidRDefault="00987099">
      <w:pPr>
        <w:spacing w:after="241"/>
        <w:ind w:left="-5" w:right="0"/>
      </w:pPr>
    </w:p>
    <w:p w14:paraId="0EFA12AE" w14:textId="77777777" w:rsidR="0038588F" w:rsidRDefault="0038588F">
      <w:pPr>
        <w:spacing w:after="241"/>
        <w:ind w:left="-5" w:right="0"/>
      </w:pPr>
    </w:p>
    <w:p w14:paraId="0C81FC3D" w14:textId="77777777" w:rsidR="0038588F" w:rsidRDefault="0038588F">
      <w:pPr>
        <w:spacing w:after="241"/>
        <w:ind w:left="-5" w:right="0"/>
      </w:pPr>
    </w:p>
    <w:p w14:paraId="7CC5D9A2" w14:textId="77777777" w:rsidR="0038588F" w:rsidRDefault="0038588F">
      <w:pPr>
        <w:spacing w:after="241"/>
        <w:ind w:left="-5" w:right="0"/>
      </w:pPr>
    </w:p>
    <w:p w14:paraId="5742DB59" w14:textId="77777777" w:rsidR="00324343" w:rsidRDefault="00C31AD0">
      <w:pPr>
        <w:spacing w:after="19" w:line="361" w:lineRule="auto"/>
        <w:ind w:left="-5" w:right="-6"/>
        <w:jc w:val="left"/>
      </w:pPr>
      <w:r>
        <w:rPr>
          <w:color w:val="222222"/>
        </w:rPr>
        <w:lastRenderedPageBreak/>
        <w:t xml:space="preserve">Ferlie, E., Fitzgerald, L., McGivern, G., Dopson, S. and Bennett, C. (2025) </w:t>
      </w:r>
      <w:r>
        <w:rPr>
          <w:i/>
          <w:color w:val="222222"/>
        </w:rPr>
        <w:t xml:space="preserve">Making Wicked Problems </w:t>
      </w:r>
      <w:proofErr w:type="gramStart"/>
      <w:r>
        <w:rPr>
          <w:i/>
          <w:color w:val="222222"/>
        </w:rPr>
        <w:t>Governable?:</w:t>
      </w:r>
      <w:proofErr w:type="gramEnd"/>
      <w:r>
        <w:rPr>
          <w:i/>
          <w:color w:val="222222"/>
        </w:rPr>
        <w:t xml:space="preserve"> The Continuing Case of Managed Networks in Health Care</w:t>
      </w:r>
      <w:r>
        <w:rPr>
          <w:color w:val="222222"/>
        </w:rPr>
        <w:t xml:space="preserve">. Oxford </w:t>
      </w:r>
    </w:p>
    <w:p w14:paraId="3AE5C40B" w14:textId="001DC238" w:rsidR="00324343" w:rsidRDefault="00C31AD0">
      <w:pPr>
        <w:tabs>
          <w:tab w:val="center" w:pos="2779"/>
          <w:tab w:val="center" w:pos="4915"/>
          <w:tab w:val="center" w:pos="7171"/>
          <w:tab w:val="right" w:pos="9365"/>
        </w:tabs>
        <w:spacing w:after="109" w:line="259" w:lineRule="auto"/>
        <w:ind w:left="-15" w:right="-5" w:firstLine="0"/>
        <w:jc w:val="left"/>
      </w:pPr>
      <w:r>
        <w:rPr>
          <w:color w:val="222222"/>
        </w:rPr>
        <w:t xml:space="preserve">University </w:t>
      </w:r>
      <w:r>
        <w:rPr>
          <w:color w:val="222222"/>
        </w:rPr>
        <w:tab/>
        <w:t xml:space="preserve">Press. </w:t>
      </w:r>
      <w:r>
        <w:rPr>
          <w:color w:val="222222"/>
        </w:rPr>
        <w:tab/>
      </w:r>
      <w:r w:rsidR="00E4642B">
        <w:rPr>
          <w:color w:val="222222"/>
        </w:rPr>
        <w:t>A</w:t>
      </w:r>
      <w:r>
        <w:rPr>
          <w:color w:val="222222"/>
        </w:rPr>
        <w:t xml:space="preserve">vailable </w:t>
      </w:r>
      <w:r>
        <w:rPr>
          <w:color w:val="222222"/>
        </w:rPr>
        <w:tab/>
        <w:t>at:</w:t>
      </w:r>
      <w:r>
        <w:t xml:space="preserve"> </w:t>
      </w:r>
    </w:p>
    <w:p w14:paraId="1B9EA441" w14:textId="3C7DE43F" w:rsidR="00324343" w:rsidRDefault="00C31AD0">
      <w:pPr>
        <w:spacing w:after="0" w:line="361" w:lineRule="auto"/>
        <w:ind w:left="0" w:right="0" w:firstLine="0"/>
        <w:jc w:val="left"/>
      </w:pPr>
      <w:hyperlink r:id="rId44" w:anchor="v=onepage&amp;q&amp;f=false">
        <w:r>
          <w:rPr>
            <w:color w:val="0563C1"/>
            <w:u w:val="single" w:color="0563C1"/>
          </w:rPr>
          <w:t xml:space="preserve">https://books.google.co.in/books?hl=en&amp;lr=&amp;id=hDN3EQAAQBAJ&amp;oi=fnd&amp;pg=PP1&amp;dq=uk+bas </w:t>
        </w:r>
      </w:hyperlink>
      <w:hyperlink r:id="rId45" w:anchor="v=onepage&amp;q&amp;f=false">
        <w:r>
          <w:rPr>
            <w:color w:val="0563C1"/>
            <w:u w:val="single" w:color="0563C1"/>
          </w:rPr>
          <w:t xml:space="preserve">ed++healthcare+services+involved+to+the+care+of+Len+were+run+under+a+hybrid+organisati </w:t>
        </w:r>
      </w:hyperlink>
      <w:hyperlink r:id="rId46" w:anchor="v=onepage&amp;q&amp;f=false">
        <w:r>
          <w:rPr>
            <w:color w:val="0563C1"/>
            <w:u w:val="single" w:color="0563C1"/>
          </w:rPr>
          <w:t>onal+structure+which+was+inclusive+of+both+the+centralisation+and+the+decentralisation+&amp;</w:t>
        </w:r>
      </w:hyperlink>
      <w:hyperlink r:id="rId47" w:anchor="v=onepage&amp;q&amp;f=false">
        <w:r>
          <w:rPr>
            <w:color w:val="0563C1"/>
            <w:u w:val="single" w:color="0563C1"/>
          </w:rPr>
          <w:t xml:space="preserve">o </w:t>
        </w:r>
      </w:hyperlink>
      <w:hyperlink r:id="rId48" w:anchor="v=onepage&amp;q&amp;f=false">
        <w:r>
          <w:rPr>
            <w:color w:val="0563C1"/>
            <w:u w:val="single" w:color="0563C1"/>
          </w:rPr>
          <w:t>ts=bdxTO1A70H&amp;sig=OM9S_jxk</w:t>
        </w:r>
      </w:hyperlink>
      <w:hyperlink r:id="rId49" w:anchor="v=onepage&amp;q&amp;f=false">
        <w:r>
          <w:rPr>
            <w:color w:val="0563C1"/>
            <w:u w:val="single" w:color="0563C1"/>
          </w:rPr>
          <w:t>-</w:t>
        </w:r>
      </w:hyperlink>
      <w:hyperlink r:id="rId50" w:anchor="v=onepage&amp;q&amp;f=false">
        <w:r>
          <w:rPr>
            <w:color w:val="0563C1"/>
            <w:u w:val="single" w:color="0563C1"/>
          </w:rPr>
          <w:t>eRhHSWW2nv4xI9JTl0&amp;redir_esc=y#v=onepage&amp;q&amp;f=false</w:t>
        </w:r>
      </w:hyperlink>
      <w:hyperlink r:id="rId51" w:anchor="v=onepage&amp;q&amp;f=false">
        <w:r>
          <w:rPr>
            <w:color w:val="222222"/>
          </w:rPr>
          <w:t xml:space="preserve"> </w:t>
        </w:r>
      </w:hyperlink>
      <w:r>
        <w:t>(</w:t>
      </w:r>
      <w:r w:rsidR="00E4642B">
        <w:t>A</w:t>
      </w:r>
      <w:r>
        <w:t>ccessed 2</w:t>
      </w:r>
      <w:r w:rsidR="00E4642B">
        <w:t>4</w:t>
      </w:r>
      <w:r>
        <w:t xml:space="preserve">st </w:t>
      </w:r>
      <w:r w:rsidR="00E4642B">
        <w:t>J</w:t>
      </w:r>
      <w:r>
        <w:t xml:space="preserve">uly 2026). </w:t>
      </w:r>
    </w:p>
    <w:p w14:paraId="29033DDF" w14:textId="77777777" w:rsidR="00987099" w:rsidRDefault="00987099">
      <w:pPr>
        <w:spacing w:after="0" w:line="361" w:lineRule="auto"/>
        <w:ind w:left="0" w:right="0" w:firstLine="0"/>
        <w:jc w:val="left"/>
      </w:pPr>
    </w:p>
    <w:p w14:paraId="30100551" w14:textId="7AE4615A" w:rsidR="00324343" w:rsidRDefault="00C31AD0">
      <w:pPr>
        <w:spacing w:after="239" w:line="361" w:lineRule="auto"/>
        <w:ind w:left="-5" w:right="-5"/>
      </w:pPr>
      <w:r>
        <w:rPr>
          <w:color w:val="222222"/>
        </w:rPr>
        <w:t>Ferner, R.E. and Aronson, J.K. (2023) ‘Medicines legislation and regulation in the United Kingdom 1500</w:t>
      </w:r>
      <w:r>
        <w:rPr>
          <w:rFonts w:ascii="Cambria Math" w:eastAsia="Cambria Math" w:hAnsi="Cambria Math" w:cs="Cambria Math"/>
          <w:color w:val="222222"/>
        </w:rPr>
        <w:t>‐</w:t>
      </w:r>
      <w:r>
        <w:rPr>
          <w:color w:val="222222"/>
        </w:rPr>
        <w:t xml:space="preserve">2020. </w:t>
      </w:r>
      <w:r>
        <w:rPr>
          <w:i/>
          <w:color w:val="222222"/>
        </w:rPr>
        <w:t>British journal of clinical pharmacology</w:t>
      </w:r>
      <w:r>
        <w:rPr>
          <w:color w:val="222222"/>
        </w:rPr>
        <w:t xml:space="preserve">, </w:t>
      </w:r>
      <w:r>
        <w:rPr>
          <w:i/>
          <w:color w:val="222222"/>
        </w:rPr>
        <w:t>89</w:t>
      </w:r>
      <w:r>
        <w:rPr>
          <w:color w:val="222222"/>
        </w:rPr>
        <w:t xml:space="preserve">(1), pp.80-92. </w:t>
      </w:r>
      <w:r w:rsidR="004E156F">
        <w:rPr>
          <w:color w:val="222222"/>
        </w:rPr>
        <w:t>A</w:t>
      </w:r>
      <w:r>
        <w:rPr>
          <w:color w:val="222222"/>
        </w:rPr>
        <w:t>vailable at:</w:t>
      </w:r>
      <w:r>
        <w:t xml:space="preserve"> </w:t>
      </w:r>
      <w:hyperlink r:id="rId52">
        <w:r>
          <w:rPr>
            <w:color w:val="0563C1"/>
            <w:u w:val="single" w:color="0563C1"/>
          </w:rPr>
          <w:t>https://bpspubs.onlinelibrary.wiley.com/doi/full/10.1111/bcp.15497</w:t>
        </w:r>
      </w:hyperlink>
      <w:hyperlink r:id="rId53">
        <w:r>
          <w:rPr>
            <w:color w:val="222222"/>
          </w:rPr>
          <w:t xml:space="preserve"> </w:t>
        </w:r>
      </w:hyperlink>
      <w:r>
        <w:t>(</w:t>
      </w:r>
      <w:r w:rsidR="00E4642B">
        <w:t>A</w:t>
      </w:r>
      <w:r>
        <w:t>ccessed 21</w:t>
      </w:r>
      <w:r w:rsidR="004E156F">
        <w:t>J</w:t>
      </w:r>
      <w:r>
        <w:t xml:space="preserve">uly 2026). </w:t>
      </w:r>
    </w:p>
    <w:p w14:paraId="71A8B4A3" w14:textId="7AFCE10D" w:rsidR="00324343" w:rsidRDefault="00C31AD0">
      <w:pPr>
        <w:spacing w:after="239" w:line="361" w:lineRule="auto"/>
        <w:ind w:left="-5" w:right="-5"/>
      </w:pPr>
      <w:r>
        <w:rPr>
          <w:color w:val="222222"/>
        </w:rPr>
        <w:t xml:space="preserve">Hansen, K., Boyle, A., Holroyd, B., Phillips, G., Benger, J., Chartier, L.B., Lecky, F., Vaillancourt, S., Cameron, P., Waligora, G. and Kurland, L. (2020) ‘Updated framework on quality and safety in emergency medicine. </w:t>
      </w:r>
      <w:r>
        <w:rPr>
          <w:i/>
          <w:color w:val="222222"/>
        </w:rPr>
        <w:t>Emergency medicine journal</w:t>
      </w:r>
      <w:r>
        <w:rPr>
          <w:color w:val="222222"/>
        </w:rPr>
        <w:t xml:space="preserve">, </w:t>
      </w:r>
      <w:r>
        <w:rPr>
          <w:i/>
          <w:color w:val="222222"/>
        </w:rPr>
        <w:t>37</w:t>
      </w:r>
      <w:r>
        <w:rPr>
          <w:color w:val="222222"/>
        </w:rPr>
        <w:t>(7), pp.437-442. Online available at:</w:t>
      </w:r>
      <w:r>
        <w:t xml:space="preserve"> </w:t>
      </w:r>
      <w:hyperlink r:id="rId54">
        <w:r>
          <w:rPr>
            <w:color w:val="0563C1"/>
            <w:u w:val="single" w:color="0563C1"/>
          </w:rPr>
          <w:t>https://emj.bmj.com/content/37/7/437.abstract</w:t>
        </w:r>
      </w:hyperlink>
      <w:hyperlink r:id="rId55">
        <w:r>
          <w:rPr>
            <w:color w:val="222222"/>
          </w:rPr>
          <w:t xml:space="preserve"> </w:t>
        </w:r>
      </w:hyperlink>
      <w:r>
        <w:rPr>
          <w:color w:val="222222"/>
        </w:rPr>
        <w:t xml:space="preserve"> </w:t>
      </w:r>
      <w:r>
        <w:t>(</w:t>
      </w:r>
      <w:r w:rsidR="00A644DF">
        <w:t>A</w:t>
      </w:r>
      <w:r>
        <w:t>ccessed</w:t>
      </w:r>
      <w:r w:rsidR="00A644DF">
        <w:t>: 21 July</w:t>
      </w:r>
      <w:r>
        <w:t xml:space="preserve"> 2026). </w:t>
      </w:r>
    </w:p>
    <w:p w14:paraId="371BCFC3" w14:textId="5CF19068" w:rsidR="00703101" w:rsidRDefault="00703101">
      <w:pPr>
        <w:spacing w:after="239" w:line="361" w:lineRule="auto"/>
        <w:ind w:left="-5" w:right="-5"/>
      </w:pPr>
      <w:r w:rsidRPr="00703101">
        <w:t xml:space="preserve">Health Services Safety Investigations Body (HSSIB) (2022) </w:t>
      </w:r>
      <w:r w:rsidRPr="00916FB4">
        <w:rPr>
          <w:i/>
          <w:iCs/>
        </w:rPr>
        <w:t xml:space="preserve">Unintentional overdose of morphine </w:t>
      </w:r>
      <w:proofErr w:type="spellStart"/>
      <w:r w:rsidRPr="00916FB4">
        <w:rPr>
          <w:i/>
          <w:iCs/>
        </w:rPr>
        <w:t>sulfate</w:t>
      </w:r>
      <w:proofErr w:type="spellEnd"/>
      <w:r w:rsidRPr="00916FB4">
        <w:rPr>
          <w:i/>
          <w:iCs/>
        </w:rPr>
        <w:t xml:space="preserve"> oral solution: Investigation report.</w:t>
      </w:r>
      <w:r w:rsidRPr="00703101">
        <w:t xml:space="preserve"> Available at: </w:t>
      </w:r>
      <w:hyperlink r:id="rId56" w:history="1">
        <w:r w:rsidR="00FA5D3C" w:rsidRPr="00FA5D3C">
          <w:rPr>
            <w:rStyle w:val="Hyperlink"/>
            <w:color w:val="0070C0"/>
          </w:rPr>
          <w:t>https://www.hssib.org.uk/patient-safety-investigations/unintentional-overdose-of-morphine-sulfate-oral-solution/investigation-report/</w:t>
        </w:r>
      </w:hyperlink>
      <w:r w:rsidR="00FA5D3C">
        <w:t xml:space="preserve"> </w:t>
      </w:r>
      <w:r w:rsidRPr="00703101">
        <w:t xml:space="preserve"> (Accessed: 6 August 2026).</w:t>
      </w:r>
    </w:p>
    <w:p w14:paraId="7026C49A" w14:textId="6F07EFE5" w:rsidR="00324343" w:rsidRDefault="00C31AD0">
      <w:pPr>
        <w:spacing w:after="239" w:line="361" w:lineRule="auto"/>
        <w:ind w:left="-5" w:right="-5"/>
      </w:pPr>
      <w:r>
        <w:rPr>
          <w:color w:val="222222"/>
        </w:rPr>
        <w:t xml:space="preserve">Heinemann, A.W., Kinnett-Hopkins, D., </w:t>
      </w:r>
      <w:proofErr w:type="spellStart"/>
      <w:r>
        <w:rPr>
          <w:color w:val="222222"/>
        </w:rPr>
        <w:t>Mummidisetty</w:t>
      </w:r>
      <w:proofErr w:type="spellEnd"/>
      <w:r>
        <w:rPr>
          <w:color w:val="222222"/>
        </w:rPr>
        <w:t xml:space="preserve">, C.K., Bond, R.A., Ehrlich-Jones, L., Furbish, C., Field-Fote, E. and Jayaraman, A. (2020) ‘Appraisals of robotic locomotor exoskeletons for gait: focus group insights from potential users with spinal cord injuries. </w:t>
      </w:r>
      <w:r>
        <w:rPr>
          <w:i/>
          <w:color w:val="222222"/>
        </w:rPr>
        <w:t>Disability and Rehabilitation: Assistive Technology</w:t>
      </w:r>
      <w:r>
        <w:rPr>
          <w:color w:val="222222"/>
        </w:rPr>
        <w:t xml:space="preserve">, </w:t>
      </w:r>
      <w:r>
        <w:rPr>
          <w:i/>
          <w:color w:val="222222"/>
        </w:rPr>
        <w:t>15</w:t>
      </w:r>
      <w:r>
        <w:rPr>
          <w:color w:val="222222"/>
        </w:rPr>
        <w:t xml:space="preserve">(7), pp.762-772. </w:t>
      </w:r>
      <w:r w:rsidR="004D3421">
        <w:rPr>
          <w:color w:val="222222"/>
        </w:rPr>
        <w:t>A</w:t>
      </w:r>
      <w:r>
        <w:rPr>
          <w:color w:val="222222"/>
        </w:rPr>
        <w:t>vailable at:</w:t>
      </w:r>
      <w:r>
        <w:t xml:space="preserve"> </w:t>
      </w:r>
      <w:hyperlink r:id="rId57">
        <w:r>
          <w:rPr>
            <w:color w:val="0563C1"/>
            <w:u w:val="single" w:color="0563C1"/>
          </w:rPr>
          <w:t>https://www.tandfonline.com/doi/abs/10.1080/17483107.2020.1745910</w:t>
        </w:r>
      </w:hyperlink>
      <w:hyperlink r:id="rId58">
        <w:r>
          <w:rPr>
            <w:color w:val="222222"/>
          </w:rPr>
          <w:t xml:space="preserve"> </w:t>
        </w:r>
      </w:hyperlink>
      <w:r>
        <w:rPr>
          <w:color w:val="222222"/>
        </w:rPr>
        <w:t>(</w:t>
      </w:r>
      <w:r w:rsidR="004D3421">
        <w:t>A</w:t>
      </w:r>
      <w:r>
        <w:t>ccessed 21</w:t>
      </w:r>
      <w:r w:rsidR="004D3421">
        <w:t xml:space="preserve"> J</w:t>
      </w:r>
      <w:r>
        <w:t xml:space="preserve">uly 2026). </w:t>
      </w:r>
    </w:p>
    <w:p w14:paraId="1A513DA9" w14:textId="77777777" w:rsidR="00324343" w:rsidRDefault="00C31AD0">
      <w:pPr>
        <w:spacing w:after="0" w:line="361" w:lineRule="auto"/>
        <w:ind w:left="-5" w:right="-5"/>
      </w:pPr>
      <w:r>
        <w:rPr>
          <w:color w:val="222222"/>
        </w:rPr>
        <w:t xml:space="preserve">Hillis, A., Germain, J., Whitfield, M., Halsall, D., McVeigh, J., Abbasi, Y. and Van Hout, M.C. (2023) “Internet sourcing and unsafe use of controlled drugs (opioids, sedatives and GABA drugs) in the </w:t>
      </w:r>
    </w:p>
    <w:p w14:paraId="39B73DA8" w14:textId="77777777" w:rsidR="00324343" w:rsidRDefault="00C31AD0">
      <w:pPr>
        <w:spacing w:after="126" w:line="259" w:lineRule="auto"/>
        <w:ind w:left="-5" w:right="-5"/>
      </w:pPr>
      <w:r>
        <w:rPr>
          <w:color w:val="222222"/>
        </w:rPr>
        <w:t xml:space="preserve">UK: An </w:t>
      </w:r>
      <w:proofErr w:type="gramStart"/>
      <w:r>
        <w:rPr>
          <w:color w:val="222222"/>
        </w:rPr>
        <w:t>in depth</w:t>
      </w:r>
      <w:proofErr w:type="gramEnd"/>
      <w:r>
        <w:rPr>
          <w:color w:val="222222"/>
        </w:rPr>
        <w:t xml:space="preserve"> case study of consumer dynamics during COVID-19”. </w:t>
      </w:r>
      <w:r>
        <w:rPr>
          <w:i/>
          <w:color w:val="222222"/>
        </w:rPr>
        <w:t xml:space="preserve">Emerging Trends in Drugs, </w:t>
      </w:r>
    </w:p>
    <w:p w14:paraId="45C537E3" w14:textId="01CC8FB3" w:rsidR="00324343" w:rsidRDefault="00C31AD0">
      <w:pPr>
        <w:tabs>
          <w:tab w:val="center" w:pos="1963"/>
          <w:tab w:val="center" w:pos="3326"/>
          <w:tab w:val="center" w:pos="4996"/>
          <w:tab w:val="center" w:pos="6509"/>
          <w:tab w:val="center" w:pos="7970"/>
          <w:tab w:val="right" w:pos="9365"/>
        </w:tabs>
        <w:spacing w:after="114" w:line="259" w:lineRule="auto"/>
        <w:ind w:left="-15" w:right="-5" w:firstLine="0"/>
        <w:jc w:val="left"/>
      </w:pPr>
      <w:r>
        <w:rPr>
          <w:i/>
          <w:color w:val="222222"/>
        </w:rPr>
        <w:t xml:space="preserve">Addictions, </w:t>
      </w:r>
      <w:r>
        <w:rPr>
          <w:i/>
          <w:color w:val="222222"/>
        </w:rPr>
        <w:tab/>
        <w:t xml:space="preserve">and </w:t>
      </w:r>
      <w:r>
        <w:rPr>
          <w:i/>
          <w:color w:val="222222"/>
        </w:rPr>
        <w:tab/>
        <w:t>Health</w:t>
      </w:r>
      <w:r>
        <w:rPr>
          <w:color w:val="222222"/>
        </w:rPr>
        <w:t xml:space="preserve">, </w:t>
      </w:r>
      <w:r>
        <w:rPr>
          <w:i/>
          <w:color w:val="222222"/>
        </w:rPr>
        <w:t>3</w:t>
      </w:r>
      <w:r>
        <w:rPr>
          <w:color w:val="222222"/>
        </w:rPr>
        <w:t xml:space="preserve">, </w:t>
      </w:r>
      <w:r>
        <w:rPr>
          <w:color w:val="222222"/>
        </w:rPr>
        <w:tab/>
        <w:t xml:space="preserve">p.100049. </w:t>
      </w:r>
      <w:r>
        <w:rPr>
          <w:color w:val="222222"/>
        </w:rPr>
        <w:tab/>
      </w:r>
      <w:r w:rsidR="00F826D0">
        <w:rPr>
          <w:color w:val="222222"/>
        </w:rPr>
        <w:t>A</w:t>
      </w:r>
      <w:r>
        <w:rPr>
          <w:color w:val="222222"/>
        </w:rPr>
        <w:t xml:space="preserve">vailable </w:t>
      </w:r>
      <w:r>
        <w:rPr>
          <w:color w:val="222222"/>
        </w:rPr>
        <w:tab/>
        <w:t>at:</w:t>
      </w:r>
      <w:r>
        <w:t xml:space="preserve"> </w:t>
      </w:r>
    </w:p>
    <w:p w14:paraId="39FDE1D9" w14:textId="77777777" w:rsidR="00324343" w:rsidRDefault="00C31AD0">
      <w:pPr>
        <w:spacing w:after="107" w:line="259" w:lineRule="auto"/>
        <w:ind w:left="-5" w:right="0"/>
      </w:pPr>
      <w:hyperlink r:id="rId59">
        <w:r>
          <w:rPr>
            <w:color w:val="0563C1"/>
            <w:u w:val="single" w:color="0563C1"/>
          </w:rPr>
          <w:t>https://www.sciencedirect.com/science/article/pii/S2667118222000162?__cf_chl_tk=zrhj8jUhg6</w:t>
        </w:r>
      </w:hyperlink>
    </w:p>
    <w:p w14:paraId="5BCE0843" w14:textId="77777777" w:rsidR="00324343" w:rsidRDefault="00C31AD0">
      <w:pPr>
        <w:spacing w:after="102" w:line="259" w:lineRule="auto"/>
        <w:ind w:left="-5" w:right="0"/>
      </w:pPr>
      <w:hyperlink r:id="rId60">
        <w:r>
          <w:rPr>
            <w:color w:val="0563C1"/>
            <w:u w:val="single" w:color="0563C1"/>
          </w:rPr>
          <w:t>ZuX46MmvK8pVrBhfrt8zMMPnVy3WdtKMc</w:t>
        </w:r>
      </w:hyperlink>
      <w:hyperlink r:id="rId61">
        <w:r>
          <w:rPr>
            <w:color w:val="0563C1"/>
            <w:u w:val="single" w:color="0563C1"/>
          </w:rPr>
          <w:t>-</w:t>
        </w:r>
      </w:hyperlink>
      <w:hyperlink r:id="rId62">
        <w:r>
          <w:rPr>
            <w:color w:val="0563C1"/>
            <w:u w:val="single" w:color="0563C1"/>
          </w:rPr>
          <w:t>1784617271</w:t>
        </w:r>
      </w:hyperlink>
      <w:hyperlink r:id="rId63">
        <w:r>
          <w:rPr>
            <w:color w:val="0563C1"/>
            <w:u w:val="single" w:color="0563C1"/>
          </w:rPr>
          <w:t>-</w:t>
        </w:r>
      </w:hyperlink>
      <w:hyperlink r:id="rId64">
        <w:r>
          <w:rPr>
            <w:color w:val="0563C1"/>
            <w:u w:val="single" w:color="0563C1"/>
          </w:rPr>
          <w:t>1.0.1.1</w:t>
        </w:r>
      </w:hyperlink>
      <w:hyperlink r:id="rId65">
        <w:r>
          <w:rPr>
            <w:color w:val="0563C1"/>
            <w:u w:val="single" w:color="0563C1"/>
          </w:rPr>
          <w:t>-</w:t>
        </w:r>
      </w:hyperlink>
    </w:p>
    <w:p w14:paraId="0A1FE8A8" w14:textId="19211B2D" w:rsidR="00324343" w:rsidRDefault="00C31AD0">
      <w:pPr>
        <w:spacing w:after="347" w:line="259" w:lineRule="auto"/>
        <w:ind w:left="-5" w:right="0"/>
      </w:pPr>
      <w:hyperlink r:id="rId66">
        <w:r>
          <w:rPr>
            <w:color w:val="0563C1"/>
            <w:u w:val="single" w:color="0563C1"/>
          </w:rPr>
          <w:t>33NshmWqIWRpN_yAACHQAHqXmZSX5uHP9ZblsiStGRM</w:t>
        </w:r>
      </w:hyperlink>
      <w:hyperlink r:id="rId67">
        <w:r>
          <w:rPr>
            <w:color w:val="222222"/>
          </w:rPr>
          <w:t xml:space="preserve"> </w:t>
        </w:r>
      </w:hyperlink>
      <w:r>
        <w:rPr>
          <w:color w:val="222222"/>
        </w:rPr>
        <w:t>(</w:t>
      </w:r>
      <w:r w:rsidR="00F826D0">
        <w:t>A</w:t>
      </w:r>
      <w:r>
        <w:t>ccessed 2</w:t>
      </w:r>
      <w:r w:rsidR="00F826D0">
        <w:t>8</w:t>
      </w:r>
      <w:r>
        <w:t xml:space="preserve"> </w:t>
      </w:r>
      <w:r w:rsidR="00F826D0">
        <w:t>July</w:t>
      </w:r>
      <w:r>
        <w:t xml:space="preserve"> 2026). </w:t>
      </w:r>
    </w:p>
    <w:p w14:paraId="052D213E" w14:textId="67855396" w:rsidR="00324343" w:rsidRDefault="00C31AD0">
      <w:pPr>
        <w:spacing w:after="0" w:line="361" w:lineRule="auto"/>
        <w:ind w:left="-5" w:right="-5"/>
      </w:pPr>
      <w:r>
        <w:rPr>
          <w:color w:val="222222"/>
        </w:rPr>
        <w:t xml:space="preserve">Kelly, F.E., Frerk, C., Bailey, C.R., Cook, T.M., Ferguson, K., </w:t>
      </w:r>
      <w:proofErr w:type="spellStart"/>
      <w:r>
        <w:rPr>
          <w:color w:val="222222"/>
        </w:rPr>
        <w:t>Flin</w:t>
      </w:r>
      <w:proofErr w:type="spellEnd"/>
      <w:r>
        <w:rPr>
          <w:color w:val="222222"/>
        </w:rPr>
        <w:t xml:space="preserve">, R., Fong, K., Groom, P., John, C., Lang, A.R. and Meek, T. (2023) ‘Implementing human factors in anaesthesia: guidance for clinicians, departments and hospitals: guidelines from the Difficult Airway Society and the Association of Anaesthetists. </w:t>
      </w:r>
      <w:r>
        <w:rPr>
          <w:i/>
          <w:color w:val="222222"/>
        </w:rPr>
        <w:t>Anaesthesia</w:t>
      </w:r>
      <w:r>
        <w:rPr>
          <w:color w:val="222222"/>
        </w:rPr>
        <w:t xml:space="preserve">, </w:t>
      </w:r>
      <w:r>
        <w:rPr>
          <w:i/>
          <w:color w:val="222222"/>
        </w:rPr>
        <w:t>78</w:t>
      </w:r>
      <w:r>
        <w:rPr>
          <w:color w:val="222222"/>
        </w:rPr>
        <w:t>(4), pp.458-478.</w:t>
      </w:r>
      <w:r w:rsidR="005E1EE3">
        <w:rPr>
          <w:color w:val="222222"/>
        </w:rPr>
        <w:t xml:space="preserve"> </w:t>
      </w:r>
      <w:r w:rsidR="009C271D">
        <w:rPr>
          <w:color w:val="222222"/>
        </w:rPr>
        <w:t>A</w:t>
      </w:r>
      <w:r>
        <w:rPr>
          <w:color w:val="222222"/>
        </w:rPr>
        <w:t>vailable at:</w:t>
      </w:r>
      <w:r>
        <w:t xml:space="preserve"> </w:t>
      </w:r>
      <w:hyperlink r:id="rId68">
        <w:r>
          <w:rPr>
            <w:color w:val="0563C1"/>
            <w:u w:val="single" w:color="0563C1"/>
          </w:rPr>
          <w:t>https://associationofanaesthetists</w:t>
        </w:r>
      </w:hyperlink>
      <w:hyperlink r:id="rId69">
        <w:r>
          <w:rPr>
            <w:color w:val="0563C1"/>
            <w:u w:val="single" w:color="0563C1"/>
          </w:rPr>
          <w:t>-</w:t>
        </w:r>
      </w:hyperlink>
    </w:p>
    <w:p w14:paraId="2F610172" w14:textId="77777777" w:rsidR="00324343" w:rsidRDefault="00C31AD0">
      <w:pPr>
        <w:spacing w:after="1"/>
        <w:ind w:left="-5" w:right="0"/>
      </w:pPr>
      <w:hyperlink r:id="rId70">
        <w:r>
          <w:rPr>
            <w:color w:val="0563C1"/>
            <w:u w:val="single" w:color="0563C1"/>
          </w:rPr>
          <w:t xml:space="preserve">publications.onlinelibrary.wiley.com/doi/abs/10.1111/anae.15941?af=R&amp;__cf_chl_tk=YnJOrmQq </w:t>
        </w:r>
      </w:hyperlink>
      <w:hyperlink r:id="rId71">
        <w:r>
          <w:rPr>
            <w:color w:val="0563C1"/>
            <w:u w:val="single" w:color="0563C1"/>
          </w:rPr>
          <w:t>m2H4qGDaHEpkJOegmnjQzZOLbAH_ApFHn4w</w:t>
        </w:r>
      </w:hyperlink>
      <w:hyperlink r:id="rId72">
        <w:r>
          <w:rPr>
            <w:color w:val="0563C1"/>
            <w:u w:val="single" w:color="0563C1"/>
          </w:rPr>
          <w:t>-</w:t>
        </w:r>
      </w:hyperlink>
      <w:hyperlink r:id="rId73">
        <w:r>
          <w:rPr>
            <w:color w:val="0563C1"/>
            <w:u w:val="single" w:color="0563C1"/>
          </w:rPr>
          <w:t>1784616579</w:t>
        </w:r>
      </w:hyperlink>
      <w:hyperlink r:id="rId74">
        <w:r>
          <w:rPr>
            <w:color w:val="0563C1"/>
            <w:u w:val="single" w:color="0563C1"/>
          </w:rPr>
          <w:t>-</w:t>
        </w:r>
      </w:hyperlink>
      <w:hyperlink r:id="rId75">
        <w:r>
          <w:rPr>
            <w:color w:val="0563C1"/>
            <w:u w:val="single" w:color="0563C1"/>
          </w:rPr>
          <w:t>1.0.1.1</w:t>
        </w:r>
      </w:hyperlink>
      <w:hyperlink r:id="rId76">
        <w:r>
          <w:rPr>
            <w:color w:val="0563C1"/>
            <w:u w:val="single" w:color="0563C1"/>
          </w:rPr>
          <w:t>-</w:t>
        </w:r>
      </w:hyperlink>
    </w:p>
    <w:p w14:paraId="3781358D" w14:textId="28DBCAF2" w:rsidR="00324343" w:rsidRDefault="00C31AD0">
      <w:pPr>
        <w:spacing w:after="347" w:line="259" w:lineRule="auto"/>
        <w:ind w:left="-5" w:right="0"/>
      </w:pPr>
      <w:hyperlink r:id="rId77">
        <w:r>
          <w:rPr>
            <w:color w:val="0563C1"/>
            <w:u w:val="single" w:color="0563C1"/>
          </w:rPr>
          <w:t>kVX05ijfmmRGfDZOeed6_NlLEJjNnZo1RL3tt2e_1FE</w:t>
        </w:r>
      </w:hyperlink>
      <w:hyperlink r:id="rId78">
        <w:r>
          <w:rPr>
            <w:color w:val="222222"/>
          </w:rPr>
          <w:t xml:space="preserve"> </w:t>
        </w:r>
      </w:hyperlink>
      <w:r>
        <w:rPr>
          <w:color w:val="222222"/>
        </w:rPr>
        <w:t>(</w:t>
      </w:r>
      <w:r w:rsidR="009C271D">
        <w:t>A</w:t>
      </w:r>
      <w:r>
        <w:t xml:space="preserve">ccessed </w:t>
      </w:r>
      <w:r w:rsidR="005E1EE3">
        <w:t>30</w:t>
      </w:r>
      <w:r>
        <w:t xml:space="preserve"> </w:t>
      </w:r>
      <w:r w:rsidR="009C271D">
        <w:t>July</w:t>
      </w:r>
      <w:r>
        <w:t xml:space="preserve"> 2026). </w:t>
      </w:r>
    </w:p>
    <w:p w14:paraId="72F03278" w14:textId="77777777" w:rsidR="00324343" w:rsidRDefault="00C31AD0">
      <w:pPr>
        <w:spacing w:after="121" w:line="259" w:lineRule="auto"/>
        <w:ind w:left="-5" w:right="-6"/>
        <w:jc w:val="left"/>
      </w:pPr>
      <w:r>
        <w:rPr>
          <w:color w:val="222222"/>
        </w:rPr>
        <w:t xml:space="preserve">Loucka, C.C. (2021) </w:t>
      </w:r>
      <w:r>
        <w:rPr>
          <w:i/>
          <w:color w:val="222222"/>
        </w:rPr>
        <w:t xml:space="preserve">Long-Term Sobriety from Opioid Use: An Interpretive Phenomenological </w:t>
      </w:r>
    </w:p>
    <w:p w14:paraId="03CD140B" w14:textId="45E7BDC3" w:rsidR="00324343" w:rsidRDefault="00C31AD0">
      <w:pPr>
        <w:spacing w:after="241"/>
        <w:ind w:left="-5" w:right="0"/>
      </w:pPr>
      <w:r>
        <w:rPr>
          <w:i/>
          <w:color w:val="222222"/>
        </w:rPr>
        <w:t>Analysis</w:t>
      </w:r>
      <w:r>
        <w:rPr>
          <w:color w:val="222222"/>
        </w:rPr>
        <w:t xml:space="preserve"> (Doctoral </w:t>
      </w:r>
      <w:r>
        <w:rPr>
          <w:color w:val="222222"/>
        </w:rPr>
        <w:tab/>
        <w:t xml:space="preserve">dissertation, </w:t>
      </w:r>
      <w:r>
        <w:rPr>
          <w:color w:val="222222"/>
        </w:rPr>
        <w:tab/>
        <w:t xml:space="preserve">Nova </w:t>
      </w:r>
      <w:r>
        <w:rPr>
          <w:color w:val="222222"/>
        </w:rPr>
        <w:tab/>
        <w:t xml:space="preserve">Southeastern </w:t>
      </w:r>
      <w:r>
        <w:rPr>
          <w:color w:val="222222"/>
        </w:rPr>
        <w:tab/>
        <w:t xml:space="preserve">University). </w:t>
      </w:r>
      <w:r w:rsidR="005E1EE3">
        <w:rPr>
          <w:color w:val="222222"/>
        </w:rPr>
        <w:t>A</w:t>
      </w:r>
      <w:r>
        <w:rPr>
          <w:color w:val="222222"/>
        </w:rPr>
        <w:t xml:space="preserve">vailable </w:t>
      </w:r>
      <w:r>
        <w:rPr>
          <w:color w:val="222222"/>
        </w:rPr>
        <w:tab/>
        <w:t>at:</w:t>
      </w:r>
      <w:r>
        <w:t xml:space="preserve"> </w:t>
      </w:r>
      <w:hyperlink r:id="rId79">
        <w:r>
          <w:rPr>
            <w:color w:val="0563C1"/>
            <w:u w:val="single" w:color="0563C1"/>
          </w:rPr>
          <w:t>https://www.proquest.com/openview/ae6638cbd4536f6d2a49327f423a11dc/1?pq</w:t>
        </w:r>
      </w:hyperlink>
      <w:hyperlink r:id="rId80">
        <w:r w:rsidR="00324343">
          <w:t>https://www.proquest.com/openview/ae6638cbd4536f6d2a49327f423a11dc/1?pq-origsite=gscholar&amp;cbl=18750&amp;diss=y</w:t>
        </w:r>
      </w:hyperlink>
      <w:hyperlink r:id="rId81">
        <w:r>
          <w:rPr>
            <w:color w:val="0563C1"/>
            <w:u w:val="single" w:color="0563C1"/>
          </w:rPr>
          <w:t>origsite=gscholar&amp;cbl=18750&amp;diss=y</w:t>
        </w:r>
      </w:hyperlink>
      <w:hyperlink r:id="rId82">
        <w:r>
          <w:rPr>
            <w:color w:val="222222"/>
          </w:rPr>
          <w:t xml:space="preserve"> </w:t>
        </w:r>
      </w:hyperlink>
      <w:r>
        <w:rPr>
          <w:color w:val="222222"/>
        </w:rPr>
        <w:t>(</w:t>
      </w:r>
      <w:r w:rsidR="005E1EE3">
        <w:t>A</w:t>
      </w:r>
      <w:r>
        <w:t>ccessed 2</w:t>
      </w:r>
      <w:r w:rsidR="005E1EE3">
        <w:t>4</w:t>
      </w:r>
      <w:r>
        <w:t xml:space="preserve"> </w:t>
      </w:r>
      <w:r w:rsidR="005E1EE3">
        <w:t>July</w:t>
      </w:r>
      <w:r>
        <w:t xml:space="preserve"> 2026). </w:t>
      </w:r>
    </w:p>
    <w:p w14:paraId="6D869394" w14:textId="5A80159C" w:rsidR="00324343" w:rsidRDefault="00C31AD0">
      <w:pPr>
        <w:spacing w:after="239" w:line="361" w:lineRule="auto"/>
        <w:ind w:left="-5" w:right="-5"/>
      </w:pPr>
      <w:r>
        <w:rPr>
          <w:color w:val="222222"/>
        </w:rPr>
        <w:t xml:space="preserve">Macrae, C. (2025) ‘Failing to learn? The NHS is losing its capacity for system-wide safety investigation. </w:t>
      </w:r>
      <w:r>
        <w:rPr>
          <w:i/>
          <w:color w:val="222222"/>
        </w:rPr>
        <w:t>Journal of the Royal Society of Medicine</w:t>
      </w:r>
      <w:r>
        <w:rPr>
          <w:color w:val="222222"/>
        </w:rPr>
        <w:t xml:space="preserve">, </w:t>
      </w:r>
      <w:r>
        <w:rPr>
          <w:i/>
          <w:color w:val="222222"/>
        </w:rPr>
        <w:t>118</w:t>
      </w:r>
      <w:r>
        <w:rPr>
          <w:color w:val="222222"/>
        </w:rPr>
        <w:t xml:space="preserve">(10), pp.317-319. </w:t>
      </w:r>
      <w:r w:rsidR="001C0D9D">
        <w:rPr>
          <w:color w:val="222222"/>
        </w:rPr>
        <w:t>A</w:t>
      </w:r>
      <w:r>
        <w:rPr>
          <w:color w:val="222222"/>
        </w:rPr>
        <w:t>vailable at:</w:t>
      </w:r>
      <w:r>
        <w:t xml:space="preserve"> </w:t>
      </w:r>
      <w:hyperlink r:id="rId83">
        <w:r>
          <w:rPr>
            <w:color w:val="0563C1"/>
            <w:u w:val="single" w:color="0563C1"/>
          </w:rPr>
          <w:t>https://journals.sagepub.com/doi/abs/10.1177/01410768251366879</w:t>
        </w:r>
      </w:hyperlink>
      <w:hyperlink r:id="rId84">
        <w:r>
          <w:rPr>
            <w:color w:val="222222"/>
          </w:rPr>
          <w:t xml:space="preserve"> </w:t>
        </w:r>
      </w:hyperlink>
      <w:r>
        <w:rPr>
          <w:color w:val="222222"/>
        </w:rPr>
        <w:t>(</w:t>
      </w:r>
      <w:r w:rsidR="001C0D9D">
        <w:t>A</w:t>
      </w:r>
      <w:r>
        <w:t xml:space="preserve">ccessed 21 </w:t>
      </w:r>
      <w:r w:rsidR="001C0D9D">
        <w:t>July</w:t>
      </w:r>
      <w:r>
        <w:t xml:space="preserve"> 2026). </w:t>
      </w:r>
    </w:p>
    <w:p w14:paraId="5ED88DB3" w14:textId="08DDE610" w:rsidR="00324343" w:rsidRDefault="00C31AD0">
      <w:pPr>
        <w:spacing w:after="239" w:line="361" w:lineRule="auto"/>
        <w:ind w:left="-5" w:right="-5"/>
      </w:pPr>
      <w:r>
        <w:rPr>
          <w:color w:val="222222"/>
        </w:rPr>
        <w:t xml:space="preserve">Martin, G.P., </w:t>
      </w:r>
      <w:proofErr w:type="spellStart"/>
      <w:r>
        <w:rPr>
          <w:color w:val="222222"/>
        </w:rPr>
        <w:t>Pralat</w:t>
      </w:r>
      <w:proofErr w:type="spellEnd"/>
      <w:r>
        <w:rPr>
          <w:color w:val="222222"/>
        </w:rPr>
        <w:t xml:space="preserve">, R., Waring, J. and Peerally, M.F. (2025) ‘New forms of expertise and their implications for the system of professions in healthcare: the case of the patient safety specialist role in the English NHS’. </w:t>
      </w:r>
      <w:r>
        <w:rPr>
          <w:i/>
          <w:color w:val="222222"/>
        </w:rPr>
        <w:t>Social Science &amp; Medicine</w:t>
      </w:r>
      <w:r>
        <w:rPr>
          <w:color w:val="222222"/>
        </w:rPr>
        <w:t xml:space="preserve">, p.118562. </w:t>
      </w:r>
      <w:r w:rsidR="001C0D9D">
        <w:rPr>
          <w:color w:val="222222"/>
        </w:rPr>
        <w:t>A</w:t>
      </w:r>
      <w:r>
        <w:rPr>
          <w:color w:val="222222"/>
        </w:rPr>
        <w:t xml:space="preserve">vailable at: </w:t>
      </w:r>
      <w:hyperlink r:id="rId85">
        <w:r>
          <w:rPr>
            <w:color w:val="0563C1"/>
            <w:u w:val="single" w:color="0563C1"/>
          </w:rPr>
          <w:t>https://www.sciencedirect.com/science/article/pii/S0277953625008937</w:t>
        </w:r>
      </w:hyperlink>
      <w:hyperlink r:id="rId86">
        <w:r>
          <w:t xml:space="preserve"> </w:t>
        </w:r>
      </w:hyperlink>
      <w:r>
        <w:rPr>
          <w:color w:val="222222"/>
        </w:rPr>
        <w:t>(</w:t>
      </w:r>
      <w:r w:rsidR="00232186">
        <w:t>A</w:t>
      </w:r>
      <w:r>
        <w:t>ccessed 2</w:t>
      </w:r>
      <w:r w:rsidR="00232186">
        <w:t>4</w:t>
      </w:r>
      <w:r>
        <w:t xml:space="preserve"> </w:t>
      </w:r>
      <w:r w:rsidR="00232186">
        <w:t>July</w:t>
      </w:r>
      <w:r>
        <w:t xml:space="preserve"> 2026). </w:t>
      </w:r>
    </w:p>
    <w:p w14:paraId="34C0EC76" w14:textId="59DDFC9E" w:rsidR="00324343" w:rsidRDefault="00C31AD0">
      <w:pPr>
        <w:spacing w:after="0" w:line="361" w:lineRule="auto"/>
        <w:ind w:left="-5" w:right="-5"/>
      </w:pPr>
      <w:r>
        <w:rPr>
          <w:color w:val="222222"/>
        </w:rPr>
        <w:t xml:space="preserve">McCormack, B., McCance, T., Bulley, C., Brown, D., McMillan, A. and Martin, S. eds. (2021) </w:t>
      </w:r>
      <w:r>
        <w:rPr>
          <w:i/>
          <w:color w:val="222222"/>
        </w:rPr>
        <w:t>Fundamentals of person-centred healthcare practice</w:t>
      </w:r>
      <w:r>
        <w:rPr>
          <w:color w:val="222222"/>
        </w:rPr>
        <w:t>. John Wiley &amp; Sons.</w:t>
      </w:r>
      <w:r w:rsidR="00232186">
        <w:rPr>
          <w:color w:val="222222"/>
        </w:rPr>
        <w:t xml:space="preserve"> A</w:t>
      </w:r>
      <w:r>
        <w:rPr>
          <w:color w:val="222222"/>
        </w:rPr>
        <w:t>vailable at:</w:t>
      </w:r>
      <w:hyperlink r:id="rId87" w:anchor="v=onepage&amp;q&amp;f=false">
        <w:r>
          <w:rPr>
            <w:color w:val="0563C1"/>
            <w:u w:val="single" w:color="0563C1"/>
          </w:rPr>
          <w:t>https://books.google.co.in/books?hl=en&amp;lr=&amp;id=KnYOEAAAQBAJ&amp;oi=fnd&amp;pg=PA17&amp;dq=HC</w:t>
        </w:r>
      </w:hyperlink>
    </w:p>
    <w:p w14:paraId="683C3BF0" w14:textId="77777777" w:rsidR="00324343" w:rsidRDefault="00C31AD0">
      <w:pPr>
        <w:spacing w:after="102" w:line="259" w:lineRule="auto"/>
        <w:ind w:left="-5" w:right="0"/>
      </w:pPr>
      <w:hyperlink r:id="rId88" w:anchor="v=onepage&amp;q&amp;f=false">
        <w:r>
          <w:rPr>
            <w:color w:val="0563C1"/>
            <w:u w:val="single" w:color="0563C1"/>
          </w:rPr>
          <w:t>P+leadership+is+more+than+managers+and+resources+management+but+how+an+individual</w:t>
        </w:r>
      </w:hyperlink>
    </w:p>
    <w:p w14:paraId="69D4548E" w14:textId="77777777" w:rsidR="00324343" w:rsidRDefault="00C31AD0">
      <w:pPr>
        <w:spacing w:after="107" w:line="259" w:lineRule="auto"/>
        <w:ind w:left="-5" w:right="0"/>
      </w:pPr>
      <w:hyperlink r:id="rId89" w:anchor="v=onepage&amp;q&amp;f=false">
        <w:r>
          <w:rPr>
            <w:color w:val="0563C1"/>
            <w:u w:val="single" w:color="0563C1"/>
          </w:rPr>
          <w:t>+can+entice+a+multidisciplinary+team+to+provide+evidence</w:t>
        </w:r>
      </w:hyperlink>
      <w:hyperlink r:id="rId90" w:anchor="v=onepage&amp;q&amp;f=false">
        <w:r>
          <w:rPr>
            <w:color w:val="0563C1"/>
            <w:u w:val="single" w:color="0563C1"/>
          </w:rPr>
          <w:t>-</w:t>
        </w:r>
      </w:hyperlink>
      <w:hyperlink r:id="rId91" w:anchor="v=onepage&amp;q&amp;f=false">
        <w:r>
          <w:rPr>
            <w:color w:val="0563C1"/>
            <w:u w:val="single" w:color="0563C1"/>
          </w:rPr>
          <w:t>based,+person</w:t>
        </w:r>
      </w:hyperlink>
      <w:hyperlink r:id="rId92" w:anchor="v=onepage&amp;q&amp;f=false">
        <w:r>
          <w:rPr>
            <w:color w:val="0563C1"/>
            <w:u w:val="single" w:color="0563C1"/>
          </w:rPr>
          <w:t>-</w:t>
        </w:r>
      </w:hyperlink>
    </w:p>
    <w:p w14:paraId="11BCBAC8" w14:textId="546C43A8" w:rsidR="00324343" w:rsidRDefault="00C31AD0">
      <w:pPr>
        <w:spacing w:after="241"/>
        <w:ind w:left="-5" w:right="0"/>
      </w:pPr>
      <w:hyperlink r:id="rId93" w:anchor="v=onepage&amp;q&amp;f=false">
        <w:r>
          <w:rPr>
            <w:color w:val="0563C1"/>
            <w:u w:val="single" w:color="0563C1"/>
          </w:rPr>
          <w:t>centred&amp;ots=3suFmuIgoO&amp;sig=D4J</w:t>
        </w:r>
      </w:hyperlink>
      <w:hyperlink r:id="rId94" w:anchor="v=onepage&amp;q&amp;f=false">
        <w:r>
          <w:rPr>
            <w:color w:val="0563C1"/>
            <w:u w:val="single" w:color="0563C1"/>
          </w:rPr>
          <w:t>-</w:t>
        </w:r>
      </w:hyperlink>
      <w:hyperlink r:id="rId95" w:anchor="v=onepage&amp;q&amp;f=false">
        <w:r>
          <w:rPr>
            <w:color w:val="0563C1"/>
            <w:u w:val="single" w:color="0563C1"/>
          </w:rPr>
          <w:t xml:space="preserve">2dLbgZDvRW7ie78q446Tl3s&amp;redir_esc=y </w:t>
        </w:r>
      </w:hyperlink>
      <w:hyperlink r:id="rId96" w:anchor="v=onepage&amp;q&amp;f=false">
        <w:r>
          <w:rPr>
            <w:color w:val="0563C1"/>
            <w:u w:val="single" w:color="0563C1"/>
          </w:rPr>
          <w:t>-</w:t>
        </w:r>
      </w:hyperlink>
      <w:hyperlink r:id="rId97" w:anchor="v=onepage&amp;q&amp;f=false">
        <w:r>
          <w:rPr>
            <w:color w:val="0563C1"/>
          </w:rPr>
          <w:t xml:space="preserve"> </w:t>
        </w:r>
      </w:hyperlink>
      <w:hyperlink r:id="rId98" w:anchor="v=onepage&amp;q&amp;f=false">
        <w:r>
          <w:rPr>
            <w:color w:val="0563C1"/>
            <w:u w:val="single" w:color="0563C1"/>
          </w:rPr>
          <w:t>v=</w:t>
        </w:r>
        <w:proofErr w:type="spellStart"/>
        <w:r>
          <w:rPr>
            <w:color w:val="0563C1"/>
            <w:u w:val="single" w:color="0563C1"/>
          </w:rPr>
          <w:t>onepage&amp;q&amp;f</w:t>
        </w:r>
        <w:proofErr w:type="spellEnd"/>
        <w:r>
          <w:rPr>
            <w:color w:val="0563C1"/>
            <w:u w:val="single" w:color="0563C1"/>
          </w:rPr>
          <w:t>=false</w:t>
        </w:r>
      </w:hyperlink>
      <w:hyperlink r:id="rId99" w:anchor="v=onepage&amp;q&amp;f=false">
        <w:r>
          <w:rPr>
            <w:color w:val="222222"/>
          </w:rPr>
          <w:t xml:space="preserve"> </w:t>
        </w:r>
      </w:hyperlink>
      <w:r>
        <w:rPr>
          <w:color w:val="222222"/>
        </w:rPr>
        <w:t>(</w:t>
      </w:r>
      <w:r w:rsidR="00232186">
        <w:t>A</w:t>
      </w:r>
      <w:r>
        <w:t>ccessed 21</w:t>
      </w:r>
      <w:r w:rsidR="00232186">
        <w:t xml:space="preserve"> July</w:t>
      </w:r>
      <w:r>
        <w:t xml:space="preserve"> 2026). </w:t>
      </w:r>
    </w:p>
    <w:p w14:paraId="1056536A" w14:textId="74E6FF28" w:rsidR="00324343" w:rsidRDefault="00C31AD0">
      <w:pPr>
        <w:spacing w:after="239" w:line="361" w:lineRule="auto"/>
        <w:ind w:left="-5" w:right="-5"/>
      </w:pPr>
      <w:r>
        <w:rPr>
          <w:color w:val="222222"/>
        </w:rPr>
        <w:lastRenderedPageBreak/>
        <w:t>Morris, R.L., Ruddock, A., Gallacher, K., Rolfe, C., Giles, S. and Campbell, S. (2021) ‘Developing a patient safety guide for primary care: A co</w:t>
      </w:r>
      <w:r>
        <w:rPr>
          <w:rFonts w:ascii="Cambria Math" w:eastAsia="Cambria Math" w:hAnsi="Cambria Math" w:cs="Cambria Math"/>
          <w:color w:val="222222"/>
        </w:rPr>
        <w:t>‐</w:t>
      </w:r>
      <w:r>
        <w:rPr>
          <w:color w:val="222222"/>
        </w:rPr>
        <w:t xml:space="preserve">design approach involving patients, carers and clinicians”. </w:t>
      </w:r>
      <w:r>
        <w:rPr>
          <w:i/>
          <w:color w:val="222222"/>
        </w:rPr>
        <w:t>Health Expectations</w:t>
      </w:r>
      <w:r>
        <w:rPr>
          <w:color w:val="222222"/>
        </w:rPr>
        <w:t xml:space="preserve">, </w:t>
      </w:r>
      <w:r>
        <w:rPr>
          <w:i/>
          <w:color w:val="222222"/>
        </w:rPr>
        <w:t>24</w:t>
      </w:r>
      <w:r>
        <w:rPr>
          <w:color w:val="222222"/>
        </w:rPr>
        <w:t>(1), pp.42-52.</w:t>
      </w:r>
      <w:r w:rsidR="00232186">
        <w:rPr>
          <w:color w:val="222222"/>
        </w:rPr>
        <w:t xml:space="preserve"> A</w:t>
      </w:r>
      <w:r>
        <w:rPr>
          <w:color w:val="222222"/>
        </w:rPr>
        <w:t>vailable at:</w:t>
      </w:r>
      <w:r>
        <w:t xml:space="preserve"> </w:t>
      </w:r>
      <w:hyperlink r:id="rId100">
        <w:r>
          <w:rPr>
            <w:color w:val="0563C1"/>
            <w:u w:val="single" w:color="0563C1"/>
          </w:rPr>
          <w:t>https://onlinelibrary.wiley.com/doi/full/10.1111/hex.13143</w:t>
        </w:r>
      </w:hyperlink>
      <w:hyperlink r:id="rId101">
        <w:r>
          <w:rPr>
            <w:color w:val="222222"/>
          </w:rPr>
          <w:t xml:space="preserve"> </w:t>
        </w:r>
      </w:hyperlink>
      <w:r>
        <w:rPr>
          <w:color w:val="222222"/>
        </w:rPr>
        <w:t>(</w:t>
      </w:r>
      <w:r w:rsidR="00232186">
        <w:t>A</w:t>
      </w:r>
      <w:r>
        <w:t>ccessed 21</w:t>
      </w:r>
      <w:r w:rsidR="00194568">
        <w:t xml:space="preserve"> </w:t>
      </w:r>
      <w:r w:rsidR="00232186">
        <w:t>July</w:t>
      </w:r>
      <w:r>
        <w:t xml:space="preserve"> 2026). </w:t>
      </w:r>
    </w:p>
    <w:p w14:paraId="5ACACB4B" w14:textId="77777777" w:rsidR="00324343" w:rsidRDefault="00C31AD0">
      <w:pPr>
        <w:spacing w:after="0" w:line="361" w:lineRule="auto"/>
        <w:ind w:left="-5" w:right="-5"/>
      </w:pPr>
      <w:r>
        <w:rPr>
          <w:color w:val="222222"/>
        </w:rPr>
        <w:t xml:space="preserve">Payne, R., Clarke, A., Swann, N., van Dael, J., Brenman, N., Rosen, R., </w:t>
      </w:r>
      <w:proofErr w:type="spellStart"/>
      <w:r>
        <w:rPr>
          <w:color w:val="222222"/>
        </w:rPr>
        <w:t>Mackridge</w:t>
      </w:r>
      <w:proofErr w:type="spellEnd"/>
      <w:r>
        <w:rPr>
          <w:color w:val="222222"/>
        </w:rPr>
        <w:t xml:space="preserve">, A., Moore, L., Kalin, A., Ladds, E. and Hemmings, N. (2024) ‘Patient safety in remote primary care encounters: multimethod qualitative study combining Safety I and Safety II analysis’. </w:t>
      </w:r>
      <w:r>
        <w:rPr>
          <w:i/>
          <w:color w:val="222222"/>
        </w:rPr>
        <w:t xml:space="preserve">BMJ quality </w:t>
      </w:r>
    </w:p>
    <w:p w14:paraId="30E5E885" w14:textId="094A67DD" w:rsidR="00324343" w:rsidRDefault="00C31AD0">
      <w:pPr>
        <w:spacing w:after="241"/>
        <w:ind w:left="-5" w:right="0"/>
      </w:pPr>
      <w:r>
        <w:rPr>
          <w:i/>
          <w:color w:val="222222"/>
        </w:rPr>
        <w:t>&amp; safety</w:t>
      </w:r>
      <w:r>
        <w:rPr>
          <w:color w:val="222222"/>
        </w:rPr>
        <w:t xml:space="preserve">, </w:t>
      </w:r>
      <w:r>
        <w:rPr>
          <w:i/>
          <w:color w:val="222222"/>
        </w:rPr>
        <w:t>33</w:t>
      </w:r>
      <w:r>
        <w:rPr>
          <w:color w:val="222222"/>
        </w:rPr>
        <w:t xml:space="preserve">(9), pp.573-586. </w:t>
      </w:r>
      <w:r w:rsidR="00194568">
        <w:rPr>
          <w:color w:val="222222"/>
        </w:rPr>
        <w:t>A</w:t>
      </w:r>
      <w:r>
        <w:rPr>
          <w:color w:val="222222"/>
        </w:rPr>
        <w:t>vailable at:</w:t>
      </w:r>
      <w:r>
        <w:t xml:space="preserve"> </w:t>
      </w:r>
      <w:hyperlink r:id="rId102">
        <w:r>
          <w:rPr>
            <w:color w:val="0563C1"/>
            <w:u w:val="single" w:color="0563C1"/>
          </w:rPr>
          <w:t>https://qualitysafety.bmj.com/content/33/9/573.abstract</w:t>
        </w:r>
      </w:hyperlink>
      <w:hyperlink r:id="rId103">
        <w:r>
          <w:rPr>
            <w:color w:val="222222"/>
          </w:rPr>
          <w:t xml:space="preserve"> </w:t>
        </w:r>
      </w:hyperlink>
      <w:r>
        <w:t>(</w:t>
      </w:r>
      <w:r w:rsidR="00194568">
        <w:t>A</w:t>
      </w:r>
      <w:r>
        <w:t xml:space="preserve">ccessed 21 </w:t>
      </w:r>
      <w:r w:rsidR="00194568">
        <w:t>July</w:t>
      </w:r>
      <w:r>
        <w:t xml:space="preserve"> 2026). </w:t>
      </w:r>
    </w:p>
    <w:p w14:paraId="7F15FBD9" w14:textId="11A81B88" w:rsidR="00324343" w:rsidRDefault="00C31AD0">
      <w:pPr>
        <w:spacing w:after="239" w:line="361" w:lineRule="auto"/>
        <w:ind w:left="-5" w:right="-5"/>
      </w:pPr>
      <w:r>
        <w:rPr>
          <w:color w:val="222222"/>
        </w:rPr>
        <w:t xml:space="preserve">Rodrigues, A.M., Haste, A., Penn, L., Bell, R., Summerbell, C., White, M., Adamson, A.J. and Sniehotta, F.F. (2020) ‘Stakeholders’ perceptions and experiences of the National Health Service diabetes prevention programme in England: qualitative study with service users, intervention providers and deliverers, commissioners and referrers’. </w:t>
      </w:r>
      <w:r>
        <w:rPr>
          <w:i/>
          <w:color w:val="222222"/>
        </w:rPr>
        <w:t>BMC health services research</w:t>
      </w:r>
      <w:r>
        <w:rPr>
          <w:color w:val="222222"/>
        </w:rPr>
        <w:t xml:space="preserve">, </w:t>
      </w:r>
      <w:r>
        <w:rPr>
          <w:i/>
          <w:color w:val="222222"/>
        </w:rPr>
        <w:t>20</w:t>
      </w:r>
      <w:r>
        <w:rPr>
          <w:color w:val="222222"/>
        </w:rPr>
        <w:t xml:space="preserve">(1), p.307. </w:t>
      </w:r>
      <w:r w:rsidR="00E5722A">
        <w:rPr>
          <w:color w:val="222222"/>
        </w:rPr>
        <w:t>A</w:t>
      </w:r>
      <w:r>
        <w:rPr>
          <w:color w:val="222222"/>
        </w:rPr>
        <w:t>vailable at:</w:t>
      </w:r>
      <w:r>
        <w:t xml:space="preserve"> </w:t>
      </w:r>
      <w:hyperlink r:id="rId104">
        <w:r>
          <w:rPr>
            <w:color w:val="0563C1"/>
            <w:u w:val="single" w:color="0563C1"/>
          </w:rPr>
          <w:t>https://link.springer.com/article/10.1186/s12913</w:t>
        </w:r>
      </w:hyperlink>
      <w:hyperlink r:id="rId105">
        <w:r>
          <w:rPr>
            <w:color w:val="0563C1"/>
            <w:u w:val="single" w:color="0563C1"/>
          </w:rPr>
          <w:t>-</w:t>
        </w:r>
      </w:hyperlink>
      <w:hyperlink r:id="rId106">
        <w:r>
          <w:rPr>
            <w:color w:val="0563C1"/>
            <w:u w:val="single" w:color="0563C1"/>
          </w:rPr>
          <w:t>020</w:t>
        </w:r>
      </w:hyperlink>
      <w:hyperlink r:id="rId107">
        <w:r>
          <w:rPr>
            <w:color w:val="0563C1"/>
            <w:u w:val="single" w:color="0563C1"/>
          </w:rPr>
          <w:t>-</w:t>
        </w:r>
      </w:hyperlink>
      <w:hyperlink r:id="rId108">
        <w:r>
          <w:rPr>
            <w:color w:val="0563C1"/>
            <w:u w:val="single" w:color="0563C1"/>
          </w:rPr>
          <w:t>05160</w:t>
        </w:r>
      </w:hyperlink>
      <w:hyperlink r:id="rId109">
        <w:r>
          <w:rPr>
            <w:color w:val="0563C1"/>
            <w:u w:val="single" w:color="0563C1"/>
          </w:rPr>
          <w:t>-</w:t>
        </w:r>
      </w:hyperlink>
      <w:hyperlink r:id="rId110">
        <w:r>
          <w:rPr>
            <w:color w:val="0563C1"/>
            <w:u w:val="single" w:color="0563C1"/>
          </w:rPr>
          <w:t>2</w:t>
        </w:r>
      </w:hyperlink>
      <w:hyperlink r:id="rId111">
        <w:r>
          <w:rPr>
            <w:color w:val="222222"/>
          </w:rPr>
          <w:t xml:space="preserve"> </w:t>
        </w:r>
      </w:hyperlink>
      <w:r>
        <w:rPr>
          <w:color w:val="222222"/>
        </w:rPr>
        <w:t>(</w:t>
      </w:r>
      <w:r w:rsidR="00E5722A">
        <w:t>A</w:t>
      </w:r>
      <w:r>
        <w:t xml:space="preserve">ccessed </w:t>
      </w:r>
      <w:r w:rsidR="00E5722A">
        <w:t>30</w:t>
      </w:r>
      <w:r>
        <w:t xml:space="preserve"> </w:t>
      </w:r>
      <w:r w:rsidR="00D64FE5">
        <w:t>July</w:t>
      </w:r>
      <w:r>
        <w:t xml:space="preserve"> 2026). </w:t>
      </w:r>
    </w:p>
    <w:p w14:paraId="096BA341" w14:textId="576D2A9D" w:rsidR="00324343" w:rsidRDefault="00C31AD0">
      <w:pPr>
        <w:spacing w:after="239" w:line="361" w:lineRule="auto"/>
        <w:ind w:left="-5" w:right="-5"/>
      </w:pPr>
      <w:r>
        <w:rPr>
          <w:color w:val="222222"/>
        </w:rPr>
        <w:t xml:space="preserve">Thomas, A., Denis, A., Robert, W., Kabiito, S.P., Morish, Z., Samuel, A., Sallam, M. and Adamopoulos, I. (2025) ‘Artificial intelligence-powered robotic technology for transforming palliative </w:t>
      </w:r>
      <w:r w:rsidR="00BF0EB6">
        <w:rPr>
          <w:color w:val="222222"/>
        </w:rPr>
        <w:t>care '</w:t>
      </w:r>
      <w:r>
        <w:rPr>
          <w:color w:val="222222"/>
        </w:rPr>
        <w:t xml:space="preserve">. </w:t>
      </w:r>
      <w:r>
        <w:rPr>
          <w:i/>
          <w:color w:val="222222"/>
        </w:rPr>
        <w:t>Mesopotamian Journal of Artificial Intelligence in Healthcare</w:t>
      </w:r>
      <w:r>
        <w:rPr>
          <w:color w:val="222222"/>
        </w:rPr>
        <w:t xml:space="preserve">, </w:t>
      </w:r>
      <w:r>
        <w:rPr>
          <w:i/>
          <w:color w:val="222222"/>
        </w:rPr>
        <w:t>2025</w:t>
      </w:r>
      <w:r>
        <w:rPr>
          <w:color w:val="222222"/>
        </w:rPr>
        <w:t xml:space="preserve">, pp.58-84. </w:t>
      </w:r>
      <w:r w:rsidR="00E5722A">
        <w:rPr>
          <w:color w:val="222222"/>
        </w:rPr>
        <w:t>A</w:t>
      </w:r>
      <w:r>
        <w:rPr>
          <w:color w:val="222222"/>
        </w:rPr>
        <w:t>vailable at:</w:t>
      </w:r>
      <w:hyperlink r:id="rId112">
        <w:r>
          <w:t xml:space="preserve"> </w:t>
        </w:r>
      </w:hyperlink>
      <w:hyperlink r:id="rId113">
        <w:r>
          <w:rPr>
            <w:color w:val="0563C1"/>
            <w:u w:val="single" w:color="0563C1"/>
          </w:rPr>
          <w:t>https://mesopotamian.press/journals/index.php/MJAIH/article/view/793</w:t>
        </w:r>
      </w:hyperlink>
      <w:hyperlink r:id="rId114">
        <w:r>
          <w:rPr>
            <w:color w:val="222222"/>
          </w:rPr>
          <w:t xml:space="preserve"> </w:t>
        </w:r>
      </w:hyperlink>
      <w:r>
        <w:rPr>
          <w:color w:val="222222"/>
        </w:rPr>
        <w:t>(</w:t>
      </w:r>
      <w:r w:rsidR="00E5722A">
        <w:t>A</w:t>
      </w:r>
      <w:r>
        <w:t xml:space="preserve">ccessed </w:t>
      </w:r>
      <w:r w:rsidR="00E5722A">
        <w:t>24</w:t>
      </w:r>
      <w:r>
        <w:t xml:space="preserve"> </w:t>
      </w:r>
      <w:r w:rsidR="00E5722A">
        <w:t>July</w:t>
      </w:r>
      <w:r>
        <w:t xml:space="preserve"> 2026). </w:t>
      </w:r>
    </w:p>
    <w:p w14:paraId="0162ABFD" w14:textId="63FE31D3" w:rsidR="00324343" w:rsidRDefault="00C31AD0">
      <w:pPr>
        <w:spacing w:after="239" w:line="361" w:lineRule="auto"/>
        <w:ind w:left="-5" w:right="-5"/>
      </w:pPr>
      <w:r>
        <w:rPr>
          <w:color w:val="222222"/>
        </w:rPr>
        <w:t xml:space="preserve">van Riet-Nales, D. and Sinclair, A. (2023) ‘Product Care &amp; Daily Practise. In </w:t>
      </w:r>
      <w:r>
        <w:rPr>
          <w:i/>
          <w:color w:val="222222"/>
        </w:rPr>
        <w:t>Practical Pharmaceutics: An International Guideline for the Preparation, Care and Use of Medicinal Products</w:t>
      </w:r>
      <w:r>
        <w:rPr>
          <w:color w:val="222222"/>
        </w:rPr>
        <w:t xml:space="preserve"> (pp. 931-955). Cham: Springer International Publishing. </w:t>
      </w:r>
      <w:r w:rsidR="00E5722A">
        <w:rPr>
          <w:color w:val="222222"/>
        </w:rPr>
        <w:t>A</w:t>
      </w:r>
      <w:r>
        <w:rPr>
          <w:color w:val="222222"/>
        </w:rPr>
        <w:t>vailable at:</w:t>
      </w:r>
      <w:r>
        <w:t xml:space="preserve"> </w:t>
      </w:r>
      <w:hyperlink r:id="rId115">
        <w:r>
          <w:rPr>
            <w:color w:val="0563C1"/>
            <w:u w:val="single" w:color="0563C1"/>
          </w:rPr>
          <w:t>https://link.springer.com/chapter/10.1007/978</w:t>
        </w:r>
      </w:hyperlink>
      <w:hyperlink r:id="rId116">
        <w:r>
          <w:rPr>
            <w:color w:val="0563C1"/>
            <w:u w:val="single" w:color="0563C1"/>
          </w:rPr>
          <w:t>-</w:t>
        </w:r>
      </w:hyperlink>
      <w:hyperlink r:id="rId117">
        <w:r>
          <w:rPr>
            <w:color w:val="0563C1"/>
            <w:u w:val="single" w:color="0563C1"/>
          </w:rPr>
          <w:t>3</w:t>
        </w:r>
      </w:hyperlink>
      <w:hyperlink r:id="rId118">
        <w:r>
          <w:rPr>
            <w:color w:val="0563C1"/>
            <w:u w:val="single" w:color="0563C1"/>
          </w:rPr>
          <w:t>-</w:t>
        </w:r>
      </w:hyperlink>
      <w:hyperlink r:id="rId119">
        <w:r>
          <w:rPr>
            <w:color w:val="0563C1"/>
            <w:u w:val="single" w:color="0563C1"/>
          </w:rPr>
          <w:t>031</w:t>
        </w:r>
      </w:hyperlink>
      <w:hyperlink r:id="rId120">
        <w:r>
          <w:rPr>
            <w:color w:val="0563C1"/>
            <w:u w:val="single" w:color="0563C1"/>
          </w:rPr>
          <w:t>-</w:t>
        </w:r>
      </w:hyperlink>
      <w:hyperlink r:id="rId121">
        <w:r>
          <w:rPr>
            <w:color w:val="0563C1"/>
            <w:u w:val="single" w:color="0563C1"/>
          </w:rPr>
          <w:t>20298</w:t>
        </w:r>
      </w:hyperlink>
      <w:hyperlink r:id="rId122">
        <w:r>
          <w:rPr>
            <w:color w:val="0563C1"/>
            <w:u w:val="single" w:color="0563C1"/>
          </w:rPr>
          <w:t>-</w:t>
        </w:r>
      </w:hyperlink>
      <w:hyperlink r:id="rId123">
        <w:r>
          <w:rPr>
            <w:color w:val="0563C1"/>
            <w:u w:val="single" w:color="0563C1"/>
          </w:rPr>
          <w:t>8_40</w:t>
        </w:r>
      </w:hyperlink>
      <w:hyperlink r:id="rId124">
        <w:r>
          <w:rPr>
            <w:color w:val="222222"/>
          </w:rPr>
          <w:t xml:space="preserve"> </w:t>
        </w:r>
      </w:hyperlink>
      <w:r>
        <w:rPr>
          <w:color w:val="222222"/>
        </w:rPr>
        <w:t>(</w:t>
      </w:r>
      <w:r w:rsidR="00E5722A">
        <w:t>A</w:t>
      </w:r>
      <w:r>
        <w:t>ccessed 2</w:t>
      </w:r>
      <w:r w:rsidR="00072096">
        <w:t>8</w:t>
      </w:r>
      <w:r>
        <w:t xml:space="preserve"> </w:t>
      </w:r>
      <w:r w:rsidR="00E5722A">
        <w:t>July</w:t>
      </w:r>
      <w:r>
        <w:t xml:space="preserve"> 2026). </w:t>
      </w:r>
    </w:p>
    <w:p w14:paraId="0370D3B4" w14:textId="74B4EF90" w:rsidR="004F5E4D" w:rsidRDefault="004F5E4D">
      <w:pPr>
        <w:spacing w:after="239" w:line="361" w:lineRule="auto"/>
        <w:ind w:left="-5" w:right="-5"/>
      </w:pPr>
      <w:r w:rsidRPr="004F5E4D">
        <w:t xml:space="preserve">World Health Organization (2023) Patient safety. Available at: </w:t>
      </w:r>
      <w:hyperlink r:id="rId125" w:history="1">
        <w:r w:rsidR="00BB4A32" w:rsidRPr="00BB4A32">
          <w:rPr>
            <w:rStyle w:val="Hyperlink"/>
            <w:color w:val="0070C0"/>
          </w:rPr>
          <w:t>https://www.who.int/news-room/fact-sheets/detail/patient-safety</w:t>
        </w:r>
      </w:hyperlink>
      <w:r w:rsidR="00BB4A32" w:rsidRPr="00BB4A32">
        <w:rPr>
          <w:color w:val="0070C0"/>
        </w:rPr>
        <w:t xml:space="preserve"> </w:t>
      </w:r>
      <w:r w:rsidRPr="004F5E4D">
        <w:t xml:space="preserve"> (Accessed: 6 August 2026</w:t>
      </w:r>
      <w:r w:rsidR="00BB4A32">
        <w:t>).</w:t>
      </w:r>
    </w:p>
    <w:p w14:paraId="1F720102" w14:textId="26A384BB" w:rsidR="004D296F" w:rsidRPr="00485085" w:rsidRDefault="004D296F" w:rsidP="00485085">
      <w:pPr>
        <w:spacing w:after="239" w:line="361" w:lineRule="auto"/>
        <w:ind w:left="-5" w:right="-5"/>
        <w:rPr>
          <w:color w:val="0070C0"/>
        </w:rPr>
      </w:pPr>
      <w:r w:rsidRPr="004D296F">
        <w:t xml:space="preserve">Wood, D.P. </w:t>
      </w:r>
      <w:r w:rsidRPr="004D296F">
        <w:rPr>
          <w:i/>
          <w:iCs/>
        </w:rPr>
        <w:t>et al.</w:t>
      </w:r>
      <w:r w:rsidRPr="004D296F">
        <w:t xml:space="preserve"> (2022) “A study of the implementation of patient safety policies in the NHS in England since 2000: what can we </w:t>
      </w:r>
      <w:proofErr w:type="gramStart"/>
      <w:r w:rsidRPr="004D296F">
        <w:t>learn?,</w:t>
      </w:r>
      <w:proofErr w:type="gramEnd"/>
      <w:r w:rsidRPr="004D296F">
        <w:t xml:space="preserve">” </w:t>
      </w:r>
      <w:r w:rsidRPr="004D296F">
        <w:rPr>
          <w:i/>
          <w:iCs/>
        </w:rPr>
        <w:t>Journal of health organization and management</w:t>
      </w:r>
      <w:r w:rsidRPr="004D296F">
        <w:t xml:space="preserve">, 36(5), pp. 650–665. Available at: </w:t>
      </w:r>
      <w:hyperlink r:id="rId126" w:history="1">
        <w:r w:rsidR="00DB4B44" w:rsidRPr="00DB4B44">
          <w:rPr>
            <w:rStyle w:val="Hyperlink"/>
            <w:color w:val="0070C0"/>
          </w:rPr>
          <w:t>https://www.emerald.com/jhom/article-abstract/36/5/650/217455/A-study-of-the-implementation-of-patient-safety?redirectedFrom=fulltext</w:t>
        </w:r>
      </w:hyperlink>
      <w:r w:rsidR="00DB4B44" w:rsidRPr="00DB4B44">
        <w:rPr>
          <w:color w:val="0070C0"/>
        </w:rPr>
        <w:t xml:space="preserve"> </w:t>
      </w:r>
      <w:r w:rsidR="00DB4B44" w:rsidRPr="00DB4B44">
        <w:rPr>
          <w:color w:val="000000" w:themeColor="text1"/>
        </w:rPr>
        <w:t>(Accessed:</w:t>
      </w:r>
      <w:r w:rsidR="00DB4B44">
        <w:rPr>
          <w:color w:val="000000" w:themeColor="text1"/>
        </w:rPr>
        <w:t xml:space="preserve"> 24 July 2026).</w:t>
      </w:r>
    </w:p>
    <w:p w14:paraId="416CC54D" w14:textId="6A27CFF3" w:rsidR="00324343" w:rsidRDefault="00324343" w:rsidP="00485085">
      <w:pPr>
        <w:spacing w:after="347" w:line="259" w:lineRule="auto"/>
        <w:ind w:right="0"/>
        <w:jc w:val="left"/>
      </w:pPr>
    </w:p>
    <w:p w14:paraId="2D8421B6" w14:textId="1CC9B899" w:rsidR="1BBCDEC6" w:rsidRDefault="1BBCDEC6" w:rsidP="1BBCDEC6">
      <w:pPr>
        <w:spacing w:after="347" w:line="259" w:lineRule="auto"/>
        <w:ind w:left="0" w:right="0" w:firstLine="0"/>
        <w:jc w:val="left"/>
      </w:pPr>
    </w:p>
    <w:p w14:paraId="3AE1D20F" w14:textId="77777777" w:rsidR="00324343" w:rsidRDefault="00C31AD0">
      <w:pPr>
        <w:spacing w:after="0" w:line="259" w:lineRule="auto"/>
        <w:ind w:left="0" w:right="0" w:firstLine="0"/>
        <w:jc w:val="left"/>
      </w:pPr>
      <w:r>
        <w:t xml:space="preserve"> </w:t>
      </w:r>
    </w:p>
    <w:p w14:paraId="044455E1" w14:textId="77777777" w:rsidR="00324343" w:rsidRDefault="00C31AD0">
      <w:pPr>
        <w:spacing w:after="257" w:line="265" w:lineRule="auto"/>
        <w:ind w:left="-5" w:right="0"/>
        <w:jc w:val="left"/>
      </w:pPr>
      <w:r>
        <w:rPr>
          <w:b/>
          <w:color w:val="2F5496"/>
        </w:rPr>
        <w:t xml:space="preserve">Appendix  </w:t>
      </w:r>
    </w:p>
    <w:p w14:paraId="4C9F56B4" w14:textId="77777777" w:rsidR="00324343" w:rsidRDefault="00C31AD0">
      <w:pPr>
        <w:spacing w:after="92" w:line="265" w:lineRule="auto"/>
        <w:ind w:left="-5" w:right="0"/>
        <w:jc w:val="left"/>
      </w:pPr>
      <w:r w:rsidRPr="1BBCDEC6">
        <w:rPr>
          <w:b/>
          <w:bCs/>
        </w:rPr>
        <w:t>Appendix A – Rich Picture of Len's Case</w:t>
      </w:r>
      <w:r>
        <w:t xml:space="preserve"> </w:t>
      </w:r>
    </w:p>
    <w:p w14:paraId="32873851" w14:textId="4FAB55A0" w:rsidR="1BBCDEC6" w:rsidRDefault="1BBCDEC6" w:rsidP="1BBCDEC6">
      <w:pPr>
        <w:spacing w:after="382" w:line="259" w:lineRule="auto"/>
        <w:ind w:left="3" w:right="-3" w:firstLine="0"/>
        <w:jc w:val="left"/>
      </w:pPr>
    </w:p>
    <w:p w14:paraId="17CE198D" w14:textId="77777777" w:rsidR="00324343" w:rsidRDefault="00C31AD0">
      <w:pPr>
        <w:spacing w:after="382" w:line="259" w:lineRule="auto"/>
        <w:ind w:left="3" w:right="-3" w:firstLine="0"/>
        <w:jc w:val="left"/>
      </w:pPr>
      <w:r>
        <w:rPr>
          <w:noProof/>
        </w:rPr>
        <w:drawing>
          <wp:inline distT="0" distB="0" distL="0" distR="0" wp14:anchorId="6CB97D79" wp14:editId="2DC625E5">
            <wp:extent cx="5946649" cy="6044184"/>
            <wp:effectExtent l="0" t="0" r="0" b="0"/>
            <wp:docPr id="29992" name="Picture 29992"/>
            <wp:cNvGraphicFramePr/>
            <a:graphic xmlns:a="http://schemas.openxmlformats.org/drawingml/2006/main">
              <a:graphicData uri="http://schemas.openxmlformats.org/drawingml/2006/picture">
                <pic:pic xmlns:pic="http://schemas.openxmlformats.org/drawingml/2006/picture">
                  <pic:nvPicPr>
                    <pic:cNvPr id="29992" name="Picture 29992"/>
                    <pic:cNvPicPr/>
                  </pic:nvPicPr>
                  <pic:blipFill>
                    <a:blip r:embed="rId127"/>
                    <a:stretch>
                      <a:fillRect/>
                    </a:stretch>
                  </pic:blipFill>
                  <pic:spPr>
                    <a:xfrm>
                      <a:off x="0" y="0"/>
                      <a:ext cx="5946649" cy="6044184"/>
                    </a:xfrm>
                    <a:prstGeom prst="rect">
                      <a:avLst/>
                    </a:prstGeom>
                  </pic:spPr>
                </pic:pic>
              </a:graphicData>
            </a:graphic>
          </wp:inline>
        </w:drawing>
      </w:r>
    </w:p>
    <w:p w14:paraId="3D62D44F" w14:textId="18931E3D" w:rsidR="1BBCDEC6" w:rsidRDefault="1BBCDEC6" w:rsidP="1BBCDEC6">
      <w:pPr>
        <w:spacing w:after="0" w:line="259" w:lineRule="auto"/>
        <w:ind w:left="0" w:right="0" w:firstLine="0"/>
        <w:jc w:val="left"/>
      </w:pPr>
    </w:p>
    <w:p w14:paraId="01226E19" w14:textId="44127828" w:rsidR="00324343" w:rsidRDefault="00324343">
      <w:pPr>
        <w:spacing w:after="0" w:line="259" w:lineRule="auto"/>
        <w:ind w:left="0" w:right="0" w:firstLine="0"/>
        <w:jc w:val="left"/>
      </w:pPr>
    </w:p>
    <w:p w14:paraId="58B6E7C0" w14:textId="04F931D9" w:rsidR="00324343" w:rsidRDefault="00C31AD0">
      <w:pPr>
        <w:spacing w:after="0" w:line="259" w:lineRule="auto"/>
        <w:ind w:left="0" w:right="0" w:firstLine="0"/>
        <w:jc w:val="left"/>
      </w:pPr>
      <w:r>
        <w:t xml:space="preserve"> </w:t>
      </w:r>
    </w:p>
    <w:p w14:paraId="7BE58D0F" w14:textId="77777777" w:rsidR="00324343" w:rsidRDefault="00C31AD0">
      <w:pPr>
        <w:spacing w:after="0" w:line="265" w:lineRule="auto"/>
        <w:ind w:left="-5" w:right="0"/>
        <w:jc w:val="left"/>
      </w:pPr>
      <w:r>
        <w:rPr>
          <w:b/>
        </w:rPr>
        <w:t xml:space="preserve">Appendix B – Timeline of Events </w:t>
      </w:r>
    </w:p>
    <w:tbl>
      <w:tblPr>
        <w:tblStyle w:val="TableGrid"/>
        <w:tblW w:w="9324" w:type="dxa"/>
        <w:tblInd w:w="0" w:type="dxa"/>
        <w:tblCellMar>
          <w:left w:w="108" w:type="dxa"/>
          <w:bottom w:w="130" w:type="dxa"/>
          <w:right w:w="115" w:type="dxa"/>
        </w:tblCellMar>
        <w:tblLook w:val="04A0" w:firstRow="1" w:lastRow="0" w:firstColumn="1" w:lastColumn="0" w:noHBand="0" w:noVBand="1"/>
      </w:tblPr>
      <w:tblGrid>
        <w:gridCol w:w="4719"/>
        <w:gridCol w:w="4605"/>
      </w:tblGrid>
      <w:tr w:rsidR="00324343" w14:paraId="513D1F1C" w14:textId="77777777">
        <w:trPr>
          <w:trHeight w:val="630"/>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30617043" w14:textId="77777777" w:rsidR="00324343" w:rsidRDefault="00C31AD0">
            <w:pPr>
              <w:spacing w:after="0" w:line="259" w:lineRule="auto"/>
              <w:ind w:left="2" w:right="0" w:firstLine="0"/>
              <w:jc w:val="left"/>
            </w:pPr>
            <w:r>
              <w:rPr>
                <w:b/>
              </w:rPr>
              <w:t>Date/Stage</w:t>
            </w:r>
            <w:r>
              <w:t xml:space="preserve"> </w:t>
            </w:r>
          </w:p>
        </w:tc>
        <w:tc>
          <w:tcPr>
            <w:tcW w:w="4605" w:type="dxa"/>
            <w:tcBorders>
              <w:top w:val="single" w:sz="2" w:space="0" w:color="FFD966"/>
              <w:left w:val="single" w:sz="2" w:space="0" w:color="FFD966"/>
              <w:bottom w:val="single" w:sz="2" w:space="0" w:color="FFD966"/>
              <w:right w:val="nil"/>
            </w:tcBorders>
            <w:shd w:val="clear" w:color="auto" w:fill="FFF2CC"/>
            <w:vAlign w:val="bottom"/>
          </w:tcPr>
          <w:p w14:paraId="251C7EE7" w14:textId="77777777" w:rsidR="00324343" w:rsidRDefault="00C31AD0">
            <w:pPr>
              <w:spacing w:after="0" w:line="259" w:lineRule="auto"/>
              <w:ind w:left="0" w:right="0" w:firstLine="0"/>
              <w:jc w:val="left"/>
            </w:pPr>
            <w:r>
              <w:rPr>
                <w:b/>
              </w:rPr>
              <w:t>Event</w:t>
            </w:r>
            <w:r>
              <w:t xml:space="preserve"> </w:t>
            </w:r>
          </w:p>
        </w:tc>
      </w:tr>
      <w:tr w:rsidR="00324343" w14:paraId="7E98DD74" w14:textId="77777777">
        <w:trPr>
          <w:trHeight w:val="635"/>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30DF620B" w14:textId="77777777" w:rsidR="00324343" w:rsidRDefault="00C31AD0">
            <w:pPr>
              <w:spacing w:after="0" w:line="259" w:lineRule="auto"/>
              <w:ind w:left="2" w:right="0" w:firstLine="0"/>
              <w:jc w:val="left"/>
            </w:pPr>
            <w:r>
              <w:t xml:space="preserve">Fall </w:t>
            </w:r>
          </w:p>
        </w:tc>
        <w:tc>
          <w:tcPr>
            <w:tcW w:w="4605" w:type="dxa"/>
            <w:tcBorders>
              <w:top w:val="single" w:sz="2" w:space="0" w:color="FFD966"/>
              <w:left w:val="single" w:sz="2" w:space="0" w:color="FFD966"/>
              <w:bottom w:val="single" w:sz="2" w:space="0" w:color="FFD966"/>
              <w:right w:val="nil"/>
            </w:tcBorders>
            <w:vAlign w:val="bottom"/>
          </w:tcPr>
          <w:p w14:paraId="04C116EB" w14:textId="77777777" w:rsidR="00324343" w:rsidRDefault="00C31AD0">
            <w:pPr>
              <w:spacing w:after="0" w:line="259" w:lineRule="auto"/>
              <w:ind w:left="0" w:right="0" w:firstLine="0"/>
              <w:jc w:val="left"/>
            </w:pPr>
            <w:r>
              <w:t xml:space="preserve">Len falls and develops chest pain </w:t>
            </w:r>
          </w:p>
        </w:tc>
      </w:tr>
      <w:tr w:rsidR="00324343" w14:paraId="66A470C2" w14:textId="77777777">
        <w:trPr>
          <w:trHeight w:val="635"/>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4974B229" w14:textId="77777777" w:rsidR="00324343" w:rsidRDefault="00C31AD0">
            <w:pPr>
              <w:spacing w:after="0" w:line="259" w:lineRule="auto"/>
              <w:ind w:left="2" w:right="0" w:firstLine="0"/>
              <w:jc w:val="left"/>
            </w:pPr>
            <w:r>
              <w:t xml:space="preserve">GP visit </w:t>
            </w:r>
          </w:p>
        </w:tc>
        <w:tc>
          <w:tcPr>
            <w:tcW w:w="4605" w:type="dxa"/>
            <w:tcBorders>
              <w:top w:val="single" w:sz="2" w:space="0" w:color="FFD966"/>
              <w:left w:val="single" w:sz="2" w:space="0" w:color="FFD966"/>
              <w:bottom w:val="single" w:sz="2" w:space="0" w:color="FFD966"/>
              <w:right w:val="nil"/>
            </w:tcBorders>
            <w:shd w:val="clear" w:color="auto" w:fill="FFF2CC"/>
            <w:vAlign w:val="bottom"/>
          </w:tcPr>
          <w:p w14:paraId="1CE3B506" w14:textId="77777777" w:rsidR="00324343" w:rsidRDefault="00C31AD0">
            <w:pPr>
              <w:spacing w:after="0" w:line="259" w:lineRule="auto"/>
              <w:ind w:left="0" w:right="0" w:firstLine="0"/>
              <w:jc w:val="left"/>
            </w:pPr>
            <w:r>
              <w:t xml:space="preserve">Pain assessment </w:t>
            </w:r>
          </w:p>
        </w:tc>
      </w:tr>
      <w:tr w:rsidR="00324343" w14:paraId="239EACB3" w14:textId="77777777">
        <w:trPr>
          <w:trHeight w:val="631"/>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4D86AA8D" w14:textId="77777777" w:rsidR="00324343" w:rsidRDefault="00C31AD0">
            <w:pPr>
              <w:spacing w:after="0" w:line="259" w:lineRule="auto"/>
              <w:ind w:left="2" w:right="0" w:firstLine="0"/>
              <w:jc w:val="left"/>
            </w:pPr>
            <w:r>
              <w:t xml:space="preserve">Hospital visit </w:t>
            </w:r>
          </w:p>
        </w:tc>
        <w:tc>
          <w:tcPr>
            <w:tcW w:w="4605" w:type="dxa"/>
            <w:tcBorders>
              <w:top w:val="single" w:sz="2" w:space="0" w:color="FFD966"/>
              <w:left w:val="single" w:sz="2" w:space="0" w:color="FFD966"/>
              <w:bottom w:val="single" w:sz="2" w:space="0" w:color="FFD966"/>
              <w:right w:val="nil"/>
            </w:tcBorders>
            <w:vAlign w:val="bottom"/>
          </w:tcPr>
          <w:p w14:paraId="4249C887" w14:textId="77777777" w:rsidR="00324343" w:rsidRDefault="00C31AD0">
            <w:pPr>
              <w:spacing w:after="0" w:line="259" w:lineRule="auto"/>
              <w:ind w:left="0" w:right="0" w:firstLine="0"/>
              <w:jc w:val="left"/>
            </w:pPr>
            <w:r>
              <w:t xml:space="preserve">Investigations completed </w:t>
            </w:r>
          </w:p>
        </w:tc>
      </w:tr>
      <w:tr w:rsidR="00324343" w14:paraId="09B9D038" w14:textId="77777777">
        <w:trPr>
          <w:trHeight w:val="635"/>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195417B6" w14:textId="77777777" w:rsidR="00324343" w:rsidRDefault="00C31AD0">
            <w:pPr>
              <w:spacing w:after="0" w:line="259" w:lineRule="auto"/>
              <w:ind w:left="2" w:right="0" w:firstLine="0"/>
              <w:jc w:val="left"/>
            </w:pPr>
            <w:r>
              <w:t xml:space="preserve">GP review </w:t>
            </w:r>
          </w:p>
        </w:tc>
        <w:tc>
          <w:tcPr>
            <w:tcW w:w="4605" w:type="dxa"/>
            <w:tcBorders>
              <w:top w:val="single" w:sz="2" w:space="0" w:color="FFD966"/>
              <w:left w:val="single" w:sz="2" w:space="0" w:color="FFD966"/>
              <w:bottom w:val="single" w:sz="2" w:space="0" w:color="FFD966"/>
              <w:right w:val="nil"/>
            </w:tcBorders>
            <w:shd w:val="clear" w:color="auto" w:fill="FFF2CC"/>
            <w:vAlign w:val="bottom"/>
          </w:tcPr>
          <w:p w14:paraId="4A1E5BF0" w14:textId="77777777" w:rsidR="00324343" w:rsidRDefault="00C31AD0">
            <w:pPr>
              <w:spacing w:after="0" w:line="259" w:lineRule="auto"/>
              <w:ind w:left="0" w:right="0" w:firstLine="0"/>
              <w:jc w:val="left"/>
            </w:pPr>
            <w:r>
              <w:t xml:space="preserve">Morphine prescribed </w:t>
            </w:r>
          </w:p>
        </w:tc>
      </w:tr>
      <w:tr w:rsidR="00324343" w14:paraId="7FB2F8F3" w14:textId="77777777">
        <w:trPr>
          <w:trHeight w:val="630"/>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3875B981" w14:textId="77777777" w:rsidR="00324343" w:rsidRDefault="00C31AD0">
            <w:pPr>
              <w:spacing w:after="0" w:line="259" w:lineRule="auto"/>
              <w:ind w:left="2" w:right="0" w:firstLine="0"/>
              <w:jc w:val="left"/>
            </w:pPr>
            <w:r>
              <w:t xml:space="preserve">Pharmacy </w:t>
            </w:r>
          </w:p>
        </w:tc>
        <w:tc>
          <w:tcPr>
            <w:tcW w:w="4605" w:type="dxa"/>
            <w:tcBorders>
              <w:top w:val="single" w:sz="2" w:space="0" w:color="FFD966"/>
              <w:left w:val="single" w:sz="2" w:space="0" w:color="FFD966"/>
              <w:bottom w:val="single" w:sz="2" w:space="0" w:color="FFD966"/>
              <w:right w:val="nil"/>
            </w:tcBorders>
            <w:vAlign w:val="bottom"/>
          </w:tcPr>
          <w:p w14:paraId="175A5671" w14:textId="77777777" w:rsidR="00324343" w:rsidRDefault="00C31AD0">
            <w:pPr>
              <w:spacing w:after="0" w:line="259" w:lineRule="auto"/>
              <w:ind w:left="0" w:right="0" w:firstLine="0"/>
              <w:jc w:val="left"/>
            </w:pPr>
            <w:r>
              <w:t xml:space="preserve">Medicine dispensed </w:t>
            </w:r>
          </w:p>
        </w:tc>
      </w:tr>
      <w:tr w:rsidR="00324343" w14:paraId="2A883857" w14:textId="77777777">
        <w:trPr>
          <w:trHeight w:val="635"/>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1005828F" w14:textId="77777777" w:rsidR="00324343" w:rsidRDefault="00C31AD0">
            <w:pPr>
              <w:spacing w:after="0" w:line="259" w:lineRule="auto"/>
              <w:ind w:left="2" w:right="0" w:firstLine="0"/>
              <w:jc w:val="left"/>
            </w:pPr>
            <w:r>
              <w:t xml:space="preserve">Home </w:t>
            </w:r>
          </w:p>
        </w:tc>
        <w:tc>
          <w:tcPr>
            <w:tcW w:w="4605" w:type="dxa"/>
            <w:tcBorders>
              <w:top w:val="single" w:sz="2" w:space="0" w:color="FFD966"/>
              <w:left w:val="single" w:sz="2" w:space="0" w:color="FFD966"/>
              <w:bottom w:val="single" w:sz="2" w:space="0" w:color="FFD966"/>
              <w:right w:val="nil"/>
            </w:tcBorders>
            <w:shd w:val="clear" w:color="auto" w:fill="FFF2CC"/>
            <w:vAlign w:val="bottom"/>
          </w:tcPr>
          <w:p w14:paraId="3E6E5A3A" w14:textId="77777777" w:rsidR="00324343" w:rsidRDefault="00C31AD0">
            <w:pPr>
              <w:spacing w:after="0" w:line="259" w:lineRule="auto"/>
              <w:ind w:left="0" w:right="0" w:firstLine="0"/>
              <w:jc w:val="left"/>
            </w:pPr>
            <w:r>
              <w:t xml:space="preserve">Wrong dose administered </w:t>
            </w:r>
          </w:p>
        </w:tc>
      </w:tr>
      <w:tr w:rsidR="00324343" w14:paraId="714857C8" w14:textId="77777777">
        <w:trPr>
          <w:trHeight w:val="635"/>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46E63035" w14:textId="77777777" w:rsidR="00324343" w:rsidRDefault="00C31AD0">
            <w:pPr>
              <w:spacing w:after="0" w:line="259" w:lineRule="auto"/>
              <w:ind w:left="2" w:right="0" w:firstLine="0"/>
              <w:jc w:val="left"/>
            </w:pPr>
            <w:r>
              <w:t xml:space="preserve">Next morning </w:t>
            </w:r>
          </w:p>
        </w:tc>
        <w:tc>
          <w:tcPr>
            <w:tcW w:w="4605" w:type="dxa"/>
            <w:tcBorders>
              <w:top w:val="single" w:sz="2" w:space="0" w:color="FFD966"/>
              <w:left w:val="single" w:sz="2" w:space="0" w:color="FFD966"/>
              <w:bottom w:val="single" w:sz="2" w:space="0" w:color="FFD966"/>
              <w:right w:val="nil"/>
            </w:tcBorders>
            <w:vAlign w:val="bottom"/>
          </w:tcPr>
          <w:p w14:paraId="07D4297D" w14:textId="77777777" w:rsidR="00324343" w:rsidRDefault="00C31AD0">
            <w:pPr>
              <w:spacing w:after="0" w:line="259" w:lineRule="auto"/>
              <w:ind w:left="0" w:right="0" w:firstLine="0"/>
              <w:jc w:val="left"/>
            </w:pPr>
            <w:r>
              <w:t xml:space="preserve">Found unresponsive </w:t>
            </w:r>
          </w:p>
        </w:tc>
      </w:tr>
      <w:tr w:rsidR="00324343" w14:paraId="01BF4166" w14:textId="77777777">
        <w:trPr>
          <w:trHeight w:val="630"/>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7F5C7669" w14:textId="77777777" w:rsidR="00324343" w:rsidRDefault="00C31AD0">
            <w:pPr>
              <w:spacing w:after="0" w:line="259" w:lineRule="auto"/>
              <w:ind w:left="2" w:right="0" w:firstLine="0"/>
              <w:jc w:val="left"/>
            </w:pPr>
            <w:r>
              <w:t xml:space="preserve">Hospital </w:t>
            </w:r>
          </w:p>
        </w:tc>
        <w:tc>
          <w:tcPr>
            <w:tcW w:w="4605" w:type="dxa"/>
            <w:tcBorders>
              <w:top w:val="single" w:sz="2" w:space="0" w:color="FFD966"/>
              <w:left w:val="single" w:sz="2" w:space="0" w:color="FFD966"/>
              <w:bottom w:val="single" w:sz="2" w:space="0" w:color="FFD966"/>
              <w:right w:val="nil"/>
            </w:tcBorders>
            <w:shd w:val="clear" w:color="auto" w:fill="FFF2CC"/>
            <w:vAlign w:val="bottom"/>
          </w:tcPr>
          <w:p w14:paraId="19378392" w14:textId="77777777" w:rsidR="00324343" w:rsidRDefault="00C31AD0">
            <w:pPr>
              <w:spacing w:after="0" w:line="259" w:lineRule="auto"/>
              <w:ind w:left="0" w:right="0" w:firstLine="0"/>
              <w:jc w:val="left"/>
            </w:pPr>
            <w:r>
              <w:t xml:space="preserve">Treated for overdose </w:t>
            </w:r>
          </w:p>
        </w:tc>
      </w:tr>
      <w:tr w:rsidR="00324343" w14:paraId="09BFC765" w14:textId="77777777">
        <w:trPr>
          <w:trHeight w:val="635"/>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213C92DD" w14:textId="77777777" w:rsidR="00324343" w:rsidRDefault="00C31AD0">
            <w:pPr>
              <w:spacing w:after="0" w:line="259" w:lineRule="auto"/>
              <w:ind w:left="2" w:right="0" w:firstLine="0"/>
              <w:jc w:val="left"/>
            </w:pPr>
            <w:r>
              <w:t xml:space="preserve">Later </w:t>
            </w:r>
          </w:p>
        </w:tc>
        <w:tc>
          <w:tcPr>
            <w:tcW w:w="4605" w:type="dxa"/>
            <w:tcBorders>
              <w:top w:val="single" w:sz="2" w:space="0" w:color="FFD966"/>
              <w:left w:val="single" w:sz="2" w:space="0" w:color="FFD966"/>
              <w:bottom w:val="single" w:sz="2" w:space="0" w:color="FFD966"/>
              <w:right w:val="nil"/>
            </w:tcBorders>
            <w:vAlign w:val="bottom"/>
          </w:tcPr>
          <w:p w14:paraId="2BDAF398" w14:textId="77777777" w:rsidR="00324343" w:rsidRDefault="00C31AD0">
            <w:pPr>
              <w:spacing w:after="0" w:line="259" w:lineRule="auto"/>
              <w:ind w:left="0" w:right="0" w:firstLine="0"/>
              <w:jc w:val="left"/>
            </w:pPr>
            <w:r>
              <w:t xml:space="preserve">Patient died </w:t>
            </w:r>
          </w:p>
        </w:tc>
      </w:tr>
      <w:tr w:rsidR="00324343" w14:paraId="4E9CE37D" w14:textId="77777777">
        <w:trPr>
          <w:trHeight w:val="630"/>
        </w:trPr>
        <w:tc>
          <w:tcPr>
            <w:tcW w:w="4720" w:type="dxa"/>
            <w:tcBorders>
              <w:top w:val="single" w:sz="2" w:space="0" w:color="FFD966"/>
              <w:left w:val="nil"/>
              <w:bottom w:val="single" w:sz="2" w:space="0" w:color="FFD966"/>
              <w:right w:val="single" w:sz="2" w:space="0" w:color="FFD966"/>
            </w:tcBorders>
            <w:shd w:val="clear" w:color="auto" w:fill="FFF2CC"/>
            <w:vAlign w:val="bottom"/>
          </w:tcPr>
          <w:p w14:paraId="1D511182" w14:textId="77777777" w:rsidR="00324343" w:rsidRDefault="00C31AD0">
            <w:pPr>
              <w:spacing w:after="0" w:line="259" w:lineRule="auto"/>
              <w:ind w:left="2" w:right="0" w:firstLine="0"/>
              <w:jc w:val="left"/>
            </w:pPr>
            <w:r>
              <w:t xml:space="preserve">Afterwards </w:t>
            </w:r>
          </w:p>
        </w:tc>
        <w:tc>
          <w:tcPr>
            <w:tcW w:w="4605" w:type="dxa"/>
            <w:tcBorders>
              <w:top w:val="single" w:sz="2" w:space="0" w:color="FFD966"/>
              <w:left w:val="single" w:sz="2" w:space="0" w:color="FFD966"/>
              <w:bottom w:val="single" w:sz="2" w:space="0" w:color="FFD966"/>
              <w:right w:val="nil"/>
            </w:tcBorders>
            <w:shd w:val="clear" w:color="auto" w:fill="FFF2CC"/>
            <w:vAlign w:val="bottom"/>
          </w:tcPr>
          <w:p w14:paraId="4A197B52" w14:textId="77777777" w:rsidR="00324343" w:rsidRDefault="00C31AD0">
            <w:pPr>
              <w:spacing w:after="0" w:line="259" w:lineRule="auto"/>
              <w:ind w:left="0" w:right="0" w:firstLine="0"/>
              <w:jc w:val="left"/>
            </w:pPr>
            <w:r>
              <w:t xml:space="preserve">HSSIB investigation </w:t>
            </w:r>
          </w:p>
        </w:tc>
      </w:tr>
    </w:tbl>
    <w:p w14:paraId="73CFFF0F" w14:textId="77777777" w:rsidR="00324343" w:rsidRDefault="00C31AD0">
      <w:pPr>
        <w:spacing w:after="0" w:line="361" w:lineRule="auto"/>
        <w:ind w:left="0" w:right="9304" w:firstLine="0"/>
      </w:pPr>
      <w:r>
        <w:t xml:space="preserve"> </w:t>
      </w:r>
      <w:r w:rsidRPr="1BBCDEC6">
        <w:rPr>
          <w:b/>
          <w:bCs/>
        </w:rPr>
        <w:t xml:space="preserve"> </w:t>
      </w:r>
    </w:p>
    <w:p w14:paraId="62766235" w14:textId="2806394B" w:rsidR="1BBCDEC6" w:rsidRDefault="1BBCDEC6" w:rsidP="1BBCDEC6">
      <w:pPr>
        <w:spacing w:after="0" w:line="361" w:lineRule="auto"/>
        <w:ind w:left="0" w:right="9304" w:firstLine="0"/>
        <w:rPr>
          <w:b/>
          <w:bCs/>
        </w:rPr>
      </w:pPr>
    </w:p>
    <w:p w14:paraId="5C0AB718" w14:textId="43F3CE02" w:rsidR="1BBCDEC6" w:rsidRDefault="1BBCDEC6" w:rsidP="1BBCDEC6">
      <w:pPr>
        <w:spacing w:after="0" w:line="361" w:lineRule="auto"/>
        <w:ind w:left="0" w:right="9304" w:firstLine="0"/>
        <w:rPr>
          <w:b/>
          <w:bCs/>
        </w:rPr>
      </w:pPr>
    </w:p>
    <w:p w14:paraId="34A90624" w14:textId="5F88ECE6" w:rsidR="1BBCDEC6" w:rsidRDefault="1BBCDEC6" w:rsidP="1BBCDEC6">
      <w:pPr>
        <w:spacing w:after="0" w:line="361" w:lineRule="auto"/>
        <w:ind w:left="0" w:right="9304" w:firstLine="0"/>
        <w:rPr>
          <w:b/>
          <w:bCs/>
        </w:rPr>
      </w:pPr>
    </w:p>
    <w:p w14:paraId="5388033E" w14:textId="0A4C474A" w:rsidR="1BBCDEC6" w:rsidRDefault="1BBCDEC6" w:rsidP="1BBCDEC6">
      <w:pPr>
        <w:spacing w:after="0" w:line="361" w:lineRule="auto"/>
        <w:ind w:left="0" w:right="9304" w:firstLine="0"/>
        <w:rPr>
          <w:b/>
          <w:bCs/>
        </w:rPr>
      </w:pPr>
    </w:p>
    <w:p w14:paraId="53F66CC2" w14:textId="5DA89D18" w:rsidR="1BBCDEC6" w:rsidRDefault="1BBCDEC6" w:rsidP="1BBCDEC6">
      <w:pPr>
        <w:spacing w:after="0" w:line="361" w:lineRule="auto"/>
        <w:ind w:left="0" w:right="9304" w:firstLine="0"/>
        <w:rPr>
          <w:b/>
          <w:bCs/>
        </w:rPr>
      </w:pPr>
    </w:p>
    <w:p w14:paraId="6A8DB7C9" w14:textId="2604B231" w:rsidR="1BBCDEC6" w:rsidRDefault="1BBCDEC6" w:rsidP="1BBCDEC6">
      <w:pPr>
        <w:spacing w:after="0" w:line="361" w:lineRule="auto"/>
        <w:ind w:left="0" w:right="9304" w:firstLine="0"/>
        <w:rPr>
          <w:b/>
          <w:bCs/>
        </w:rPr>
      </w:pPr>
    </w:p>
    <w:p w14:paraId="25DFD770" w14:textId="558E56F0" w:rsidR="1BBCDEC6" w:rsidRDefault="1BBCDEC6" w:rsidP="1BBCDEC6">
      <w:pPr>
        <w:spacing w:after="0" w:line="361" w:lineRule="auto"/>
        <w:ind w:left="0" w:right="9304" w:firstLine="0"/>
        <w:rPr>
          <w:b/>
          <w:bCs/>
        </w:rPr>
      </w:pPr>
    </w:p>
    <w:p w14:paraId="3EFE9FF0" w14:textId="076BF26B" w:rsidR="1BBCDEC6" w:rsidRDefault="1BBCDEC6" w:rsidP="1BBCDEC6">
      <w:pPr>
        <w:spacing w:after="0" w:line="361" w:lineRule="auto"/>
        <w:ind w:left="0" w:right="9304" w:firstLine="0"/>
        <w:rPr>
          <w:b/>
          <w:bCs/>
        </w:rPr>
      </w:pPr>
    </w:p>
    <w:p w14:paraId="7AEA320A" w14:textId="4F128BAD" w:rsidR="1BBCDEC6" w:rsidRDefault="1BBCDEC6" w:rsidP="1BBCDEC6">
      <w:pPr>
        <w:spacing w:after="0" w:line="361" w:lineRule="auto"/>
        <w:ind w:left="0" w:right="9304" w:firstLine="0"/>
        <w:rPr>
          <w:b/>
          <w:bCs/>
        </w:rPr>
      </w:pPr>
    </w:p>
    <w:p w14:paraId="6E3D5B41" w14:textId="3455D953" w:rsidR="1BBCDEC6" w:rsidRDefault="1BBCDEC6" w:rsidP="1BBCDEC6">
      <w:pPr>
        <w:spacing w:after="0" w:line="361" w:lineRule="auto"/>
        <w:ind w:left="0" w:right="9304" w:firstLine="0"/>
        <w:rPr>
          <w:b/>
          <w:bCs/>
        </w:rPr>
      </w:pPr>
    </w:p>
    <w:p w14:paraId="36673A8B" w14:textId="6BEB8C37" w:rsidR="1BBCDEC6" w:rsidRDefault="1BBCDEC6" w:rsidP="1BBCDEC6">
      <w:pPr>
        <w:spacing w:after="0" w:line="361" w:lineRule="auto"/>
        <w:ind w:left="0" w:right="9304" w:firstLine="0"/>
        <w:rPr>
          <w:b/>
          <w:bCs/>
        </w:rPr>
      </w:pPr>
    </w:p>
    <w:p w14:paraId="0D78DBB0" w14:textId="77777777" w:rsidR="00324343" w:rsidRDefault="00C31AD0">
      <w:pPr>
        <w:spacing w:after="0" w:line="265" w:lineRule="auto"/>
        <w:ind w:left="-5" w:right="0"/>
        <w:jc w:val="left"/>
      </w:pPr>
      <w:r>
        <w:rPr>
          <w:b/>
        </w:rPr>
        <w:t xml:space="preserve">Appendix C. Global and National Medication Safety Data </w:t>
      </w:r>
    </w:p>
    <w:tbl>
      <w:tblPr>
        <w:tblStyle w:val="TableGrid"/>
        <w:tblW w:w="9609" w:type="dxa"/>
        <w:tblInd w:w="0" w:type="dxa"/>
        <w:tblCellMar>
          <w:top w:w="52" w:type="dxa"/>
          <w:left w:w="107" w:type="dxa"/>
          <w:bottom w:w="121" w:type="dxa"/>
          <w:right w:w="46" w:type="dxa"/>
        </w:tblCellMar>
        <w:tblLook w:val="04A0" w:firstRow="1" w:lastRow="0" w:firstColumn="1" w:lastColumn="0" w:noHBand="0" w:noVBand="1"/>
      </w:tblPr>
      <w:tblGrid>
        <w:gridCol w:w="2989"/>
        <w:gridCol w:w="2881"/>
        <w:gridCol w:w="3739"/>
      </w:tblGrid>
      <w:tr w:rsidR="00324343" w14:paraId="31C6ACF2" w14:textId="77777777">
        <w:trPr>
          <w:trHeight w:val="625"/>
        </w:trPr>
        <w:tc>
          <w:tcPr>
            <w:tcW w:w="2989" w:type="dxa"/>
            <w:tcBorders>
              <w:top w:val="single" w:sz="2" w:space="0" w:color="9CC2E5"/>
              <w:left w:val="nil"/>
              <w:bottom w:val="single" w:sz="2" w:space="0" w:color="9CC2E5"/>
              <w:right w:val="single" w:sz="2" w:space="0" w:color="9CC2E5"/>
            </w:tcBorders>
            <w:shd w:val="clear" w:color="auto" w:fill="DEEAF6"/>
            <w:vAlign w:val="bottom"/>
          </w:tcPr>
          <w:p w14:paraId="70909E84" w14:textId="77777777" w:rsidR="00324343" w:rsidRDefault="00C31AD0">
            <w:pPr>
              <w:spacing w:after="0" w:line="259" w:lineRule="auto"/>
              <w:ind w:left="3" w:right="0" w:firstLine="0"/>
              <w:jc w:val="left"/>
            </w:pPr>
            <w:r>
              <w:rPr>
                <w:b/>
              </w:rPr>
              <w:t xml:space="preserve">Organisation </w:t>
            </w:r>
          </w:p>
        </w:tc>
        <w:tc>
          <w:tcPr>
            <w:tcW w:w="2881" w:type="dxa"/>
            <w:tcBorders>
              <w:top w:val="single" w:sz="2" w:space="0" w:color="9CC2E5"/>
              <w:left w:val="single" w:sz="2" w:space="0" w:color="9CC2E5"/>
              <w:bottom w:val="single" w:sz="2" w:space="0" w:color="9CC2E5"/>
              <w:right w:val="single" w:sz="2" w:space="0" w:color="9CC2E5"/>
            </w:tcBorders>
            <w:shd w:val="clear" w:color="auto" w:fill="DEEAF6"/>
            <w:vAlign w:val="bottom"/>
          </w:tcPr>
          <w:p w14:paraId="771E14E7" w14:textId="77777777" w:rsidR="00324343" w:rsidRDefault="00C31AD0">
            <w:pPr>
              <w:spacing w:after="0" w:line="259" w:lineRule="auto"/>
              <w:ind w:left="0" w:right="0" w:firstLine="0"/>
              <w:jc w:val="left"/>
            </w:pPr>
            <w:r>
              <w:rPr>
                <w:b/>
              </w:rPr>
              <w:t xml:space="preserve">Latest evidence/statistics </w:t>
            </w:r>
          </w:p>
        </w:tc>
        <w:tc>
          <w:tcPr>
            <w:tcW w:w="3739" w:type="dxa"/>
            <w:tcBorders>
              <w:top w:val="single" w:sz="2" w:space="0" w:color="9CC2E5"/>
              <w:left w:val="single" w:sz="2" w:space="0" w:color="9CC2E5"/>
              <w:bottom w:val="single" w:sz="2" w:space="0" w:color="9CC2E5"/>
              <w:right w:val="nil"/>
            </w:tcBorders>
            <w:shd w:val="clear" w:color="auto" w:fill="DEEAF6"/>
            <w:vAlign w:val="bottom"/>
          </w:tcPr>
          <w:p w14:paraId="5814D1EF" w14:textId="77777777" w:rsidR="00324343" w:rsidRDefault="00C31AD0">
            <w:pPr>
              <w:spacing w:after="0" w:line="259" w:lineRule="auto"/>
              <w:ind w:left="0" w:right="0" w:firstLine="0"/>
              <w:jc w:val="left"/>
            </w:pPr>
            <w:r>
              <w:rPr>
                <w:b/>
              </w:rPr>
              <w:t xml:space="preserve">Importance to Len's case </w:t>
            </w:r>
          </w:p>
        </w:tc>
      </w:tr>
      <w:tr w:rsidR="00324343" w14:paraId="31C923B7" w14:textId="77777777">
        <w:trPr>
          <w:trHeight w:val="3661"/>
        </w:trPr>
        <w:tc>
          <w:tcPr>
            <w:tcW w:w="2989" w:type="dxa"/>
            <w:tcBorders>
              <w:top w:val="single" w:sz="2" w:space="0" w:color="9CC2E5"/>
              <w:left w:val="nil"/>
              <w:bottom w:val="single" w:sz="2" w:space="0" w:color="9CC2E5"/>
              <w:right w:val="single" w:sz="2" w:space="0" w:color="9CC2E5"/>
            </w:tcBorders>
            <w:shd w:val="clear" w:color="auto" w:fill="DEEAF6"/>
          </w:tcPr>
          <w:p w14:paraId="2DE581B4" w14:textId="77777777" w:rsidR="00324343" w:rsidRDefault="00C31AD0">
            <w:pPr>
              <w:spacing w:after="107" w:line="259" w:lineRule="auto"/>
              <w:ind w:left="3" w:right="0" w:firstLine="0"/>
              <w:jc w:val="left"/>
            </w:pPr>
            <w:r>
              <w:t xml:space="preserve">World Health Organization </w:t>
            </w:r>
          </w:p>
          <w:p w14:paraId="58AD9C4C" w14:textId="77777777" w:rsidR="00324343" w:rsidRDefault="00C31AD0">
            <w:pPr>
              <w:spacing w:after="0" w:line="259" w:lineRule="auto"/>
              <w:ind w:left="3" w:right="0" w:firstLine="0"/>
              <w:jc w:val="left"/>
            </w:pPr>
            <w:r>
              <w:t xml:space="preserve">(WHO) </w:t>
            </w:r>
          </w:p>
        </w:tc>
        <w:tc>
          <w:tcPr>
            <w:tcW w:w="2881" w:type="dxa"/>
            <w:tcBorders>
              <w:top w:val="single" w:sz="2" w:space="0" w:color="9CC2E5"/>
              <w:left w:val="single" w:sz="2" w:space="0" w:color="9CC2E5"/>
              <w:bottom w:val="single" w:sz="2" w:space="0" w:color="9CC2E5"/>
              <w:right w:val="single" w:sz="2" w:space="0" w:color="9CC2E5"/>
            </w:tcBorders>
            <w:vAlign w:val="bottom"/>
          </w:tcPr>
          <w:p w14:paraId="1751FB82" w14:textId="77777777" w:rsidR="00324343" w:rsidRDefault="00C31AD0">
            <w:pPr>
              <w:spacing w:after="1"/>
              <w:ind w:left="0" w:right="65" w:firstLine="0"/>
            </w:pPr>
            <w:r>
              <w:t xml:space="preserve">Approximately 1 in 10 patients experience harm while receiving healthcare, and more than 50% of this harm is preventable. Around half of all preventable harm is </w:t>
            </w:r>
            <w:proofErr w:type="gramStart"/>
            <w:r>
              <w:t>medication-related</w:t>
            </w:r>
            <w:proofErr w:type="gramEnd"/>
            <w:r>
              <w:t>. (</w:t>
            </w:r>
            <w:hyperlink r:id="rId128">
              <w:r>
                <w:t xml:space="preserve">World </w:t>
              </w:r>
            </w:hyperlink>
          </w:p>
          <w:p w14:paraId="3F2A7348" w14:textId="77777777" w:rsidR="00324343" w:rsidRDefault="00C31AD0">
            <w:pPr>
              <w:spacing w:after="0" w:line="259" w:lineRule="auto"/>
              <w:ind w:left="0" w:right="0" w:firstLine="0"/>
              <w:jc w:val="left"/>
            </w:pPr>
            <w:hyperlink r:id="rId129">
              <w:r>
                <w:t>Health Organization</w:t>
              </w:r>
            </w:hyperlink>
            <w:hyperlink r:id="rId130">
              <w:r>
                <w:t>)</w:t>
              </w:r>
            </w:hyperlink>
            <w:r>
              <w:t xml:space="preserve"> </w:t>
            </w:r>
          </w:p>
        </w:tc>
        <w:tc>
          <w:tcPr>
            <w:tcW w:w="3739" w:type="dxa"/>
            <w:tcBorders>
              <w:top w:val="single" w:sz="2" w:space="0" w:color="9CC2E5"/>
              <w:left w:val="single" w:sz="2" w:space="0" w:color="9CC2E5"/>
              <w:bottom w:val="single" w:sz="2" w:space="0" w:color="9CC2E5"/>
              <w:right w:val="nil"/>
            </w:tcBorders>
            <w:shd w:val="clear" w:color="auto" w:fill="DEEAF6"/>
          </w:tcPr>
          <w:p w14:paraId="5A956ED1" w14:textId="5D9E2D1A" w:rsidR="00324343" w:rsidRDefault="00C31AD0">
            <w:pPr>
              <w:spacing w:after="0" w:line="259" w:lineRule="auto"/>
              <w:ind w:left="0" w:right="66" w:firstLine="0"/>
            </w:pPr>
            <w:r>
              <w:t xml:space="preserve">Demonstrates that </w:t>
            </w:r>
            <w:r w:rsidR="00D7759D">
              <w:t>medication-related</w:t>
            </w:r>
            <w:r>
              <w:t xml:space="preserve"> harm is a major global patient safety issue rather than an isolated incident. </w:t>
            </w:r>
          </w:p>
        </w:tc>
      </w:tr>
      <w:tr w:rsidR="00324343" w14:paraId="6672FE7C" w14:textId="77777777">
        <w:trPr>
          <w:trHeight w:val="2901"/>
        </w:trPr>
        <w:tc>
          <w:tcPr>
            <w:tcW w:w="2989" w:type="dxa"/>
            <w:tcBorders>
              <w:top w:val="single" w:sz="2" w:space="0" w:color="9CC2E5"/>
              <w:left w:val="nil"/>
              <w:bottom w:val="single" w:sz="2" w:space="0" w:color="9CC2E5"/>
              <w:right w:val="single" w:sz="2" w:space="0" w:color="9CC2E5"/>
            </w:tcBorders>
            <w:shd w:val="clear" w:color="auto" w:fill="DEEAF6"/>
          </w:tcPr>
          <w:p w14:paraId="0C6BEA84" w14:textId="6A9DFC71" w:rsidR="00324343" w:rsidRDefault="00C31AD0">
            <w:pPr>
              <w:spacing w:after="107" w:line="259" w:lineRule="auto"/>
              <w:ind w:left="3" w:right="0" w:firstLine="0"/>
              <w:jc w:val="left"/>
            </w:pPr>
            <w:r>
              <w:t xml:space="preserve">World Health </w:t>
            </w:r>
            <w:r w:rsidR="002236FE">
              <w:t>Organisation</w:t>
            </w:r>
            <w:r>
              <w:t xml:space="preserve"> </w:t>
            </w:r>
          </w:p>
          <w:p w14:paraId="231084EC" w14:textId="77777777" w:rsidR="00324343" w:rsidRDefault="00C31AD0">
            <w:pPr>
              <w:spacing w:after="0" w:line="259" w:lineRule="auto"/>
              <w:ind w:left="3" w:right="0" w:firstLine="0"/>
              <w:jc w:val="left"/>
            </w:pPr>
            <w:r>
              <w:t xml:space="preserve">(WHO) </w:t>
            </w:r>
          </w:p>
        </w:tc>
        <w:tc>
          <w:tcPr>
            <w:tcW w:w="2881" w:type="dxa"/>
            <w:tcBorders>
              <w:top w:val="single" w:sz="2" w:space="0" w:color="9CC2E5"/>
              <w:left w:val="single" w:sz="2" w:space="0" w:color="9CC2E5"/>
              <w:bottom w:val="single" w:sz="2" w:space="0" w:color="9CC2E5"/>
              <w:right w:val="single" w:sz="2" w:space="0" w:color="9CC2E5"/>
            </w:tcBorders>
            <w:shd w:val="clear" w:color="auto" w:fill="DEEAF6"/>
            <w:vAlign w:val="bottom"/>
          </w:tcPr>
          <w:p w14:paraId="4BC829B3" w14:textId="77777777" w:rsidR="00324343" w:rsidRDefault="00C31AD0">
            <w:pPr>
              <w:spacing w:after="0" w:line="361" w:lineRule="auto"/>
              <w:ind w:left="0" w:right="67" w:firstLine="0"/>
            </w:pPr>
            <w:r>
              <w:t xml:space="preserve">Medication-related harm affects 1 in every 30 patients, with more than one-quarter of cases </w:t>
            </w:r>
          </w:p>
          <w:p w14:paraId="58F49B4E" w14:textId="47AC336C" w:rsidR="00324343" w:rsidRDefault="00C31AD0">
            <w:pPr>
              <w:spacing w:after="1" w:line="361" w:lineRule="auto"/>
              <w:ind w:left="0" w:right="0" w:firstLine="0"/>
            </w:pPr>
            <w:r>
              <w:t xml:space="preserve">considered severe or </w:t>
            </w:r>
            <w:r w:rsidR="002236FE">
              <w:t>life-threatening</w:t>
            </w:r>
            <w:r>
              <w:t>. (</w:t>
            </w:r>
            <w:hyperlink r:id="rId131">
              <w:r>
                <w:t xml:space="preserve">World Health </w:t>
              </w:r>
            </w:hyperlink>
          </w:p>
          <w:p w14:paraId="3AF6F307" w14:textId="77777777" w:rsidR="00324343" w:rsidRDefault="00C31AD0">
            <w:pPr>
              <w:spacing w:after="0" w:line="259" w:lineRule="auto"/>
              <w:ind w:left="0" w:right="0" w:firstLine="0"/>
              <w:jc w:val="left"/>
            </w:pPr>
            <w:hyperlink r:id="rId132">
              <w:r>
                <w:t>Organization</w:t>
              </w:r>
            </w:hyperlink>
            <w:hyperlink r:id="rId133">
              <w:r>
                <w:t>)</w:t>
              </w:r>
            </w:hyperlink>
            <w:r>
              <w:t xml:space="preserve"> </w:t>
            </w:r>
          </w:p>
        </w:tc>
        <w:tc>
          <w:tcPr>
            <w:tcW w:w="3739" w:type="dxa"/>
            <w:tcBorders>
              <w:top w:val="single" w:sz="2" w:space="0" w:color="9CC2E5"/>
              <w:left w:val="single" w:sz="2" w:space="0" w:color="9CC2E5"/>
              <w:bottom w:val="single" w:sz="2" w:space="0" w:color="9CC2E5"/>
              <w:right w:val="nil"/>
            </w:tcBorders>
            <w:shd w:val="clear" w:color="auto" w:fill="DEEAF6"/>
          </w:tcPr>
          <w:p w14:paraId="2ED61867" w14:textId="77777777" w:rsidR="00324343" w:rsidRDefault="00C31AD0">
            <w:pPr>
              <w:spacing w:after="0" w:line="259" w:lineRule="auto"/>
              <w:ind w:left="0" w:right="64" w:firstLine="0"/>
            </w:pPr>
            <w:r>
              <w:t xml:space="preserve">Highlights the seriousness of medication errors involving high-risk medicines such as morphine. </w:t>
            </w:r>
          </w:p>
        </w:tc>
      </w:tr>
      <w:tr w:rsidR="00324343" w14:paraId="1BCAF7DF" w14:textId="77777777">
        <w:trPr>
          <w:trHeight w:val="2901"/>
        </w:trPr>
        <w:tc>
          <w:tcPr>
            <w:tcW w:w="2989" w:type="dxa"/>
            <w:tcBorders>
              <w:top w:val="single" w:sz="2" w:space="0" w:color="9CC2E5"/>
              <w:left w:val="nil"/>
              <w:bottom w:val="single" w:sz="2" w:space="0" w:color="9CC2E5"/>
              <w:right w:val="single" w:sz="2" w:space="0" w:color="9CC2E5"/>
            </w:tcBorders>
            <w:shd w:val="clear" w:color="auto" w:fill="DEEAF6"/>
          </w:tcPr>
          <w:p w14:paraId="6499B76E" w14:textId="7912ACBE" w:rsidR="00324343" w:rsidRDefault="00C31AD0">
            <w:pPr>
              <w:spacing w:after="107" w:line="259" w:lineRule="auto"/>
              <w:ind w:left="3" w:right="0" w:firstLine="0"/>
              <w:jc w:val="left"/>
            </w:pPr>
            <w:r>
              <w:t xml:space="preserve">World Health </w:t>
            </w:r>
            <w:r w:rsidR="002236FE">
              <w:t>Organisation</w:t>
            </w:r>
            <w:r>
              <w:t xml:space="preserve"> </w:t>
            </w:r>
          </w:p>
          <w:p w14:paraId="781EF5BD" w14:textId="77777777" w:rsidR="00324343" w:rsidRDefault="00C31AD0">
            <w:pPr>
              <w:spacing w:after="0" w:line="259" w:lineRule="auto"/>
              <w:ind w:left="3" w:right="0" w:firstLine="0"/>
              <w:jc w:val="left"/>
            </w:pPr>
            <w:r>
              <w:t xml:space="preserve">(WHO) </w:t>
            </w:r>
          </w:p>
        </w:tc>
        <w:tc>
          <w:tcPr>
            <w:tcW w:w="2881" w:type="dxa"/>
            <w:tcBorders>
              <w:top w:val="single" w:sz="2" w:space="0" w:color="9CC2E5"/>
              <w:left w:val="single" w:sz="2" w:space="0" w:color="9CC2E5"/>
              <w:bottom w:val="single" w:sz="2" w:space="0" w:color="9CC2E5"/>
              <w:right w:val="single" w:sz="2" w:space="0" w:color="9CC2E5"/>
            </w:tcBorders>
            <w:vAlign w:val="bottom"/>
          </w:tcPr>
          <w:p w14:paraId="56C63A63" w14:textId="77777777" w:rsidR="00324343" w:rsidRDefault="00C31AD0">
            <w:pPr>
              <w:spacing w:after="19" w:line="361" w:lineRule="auto"/>
              <w:ind w:left="0" w:right="67" w:firstLine="0"/>
            </w:pPr>
            <w:r>
              <w:t xml:space="preserve">Unsafe medication practices cost an estimated US$42 billion annually, representing almost 1% of global health expenditure. </w:t>
            </w:r>
          </w:p>
          <w:p w14:paraId="0DBAC302" w14:textId="77777777" w:rsidR="00324343" w:rsidRDefault="00C31AD0">
            <w:pPr>
              <w:tabs>
                <w:tab w:val="right" w:pos="2727"/>
              </w:tabs>
              <w:spacing w:after="109" w:line="259" w:lineRule="auto"/>
              <w:ind w:left="0" w:right="0" w:firstLine="0"/>
              <w:jc w:val="left"/>
            </w:pPr>
            <w:hyperlink r:id="rId134">
              <w:r>
                <w:t>(</w:t>
              </w:r>
            </w:hyperlink>
            <w:r>
              <w:t xml:space="preserve">World </w:t>
            </w:r>
            <w:r>
              <w:tab/>
              <w:t>Health</w:t>
            </w:r>
            <w:hyperlink r:id="rId135">
              <w:r>
                <w:t xml:space="preserve"> </w:t>
              </w:r>
            </w:hyperlink>
          </w:p>
          <w:p w14:paraId="50D7CB70" w14:textId="77777777" w:rsidR="00324343" w:rsidRDefault="00C31AD0">
            <w:pPr>
              <w:spacing w:after="0" w:line="259" w:lineRule="auto"/>
              <w:ind w:left="0" w:right="0" w:firstLine="0"/>
              <w:jc w:val="left"/>
            </w:pPr>
            <w:hyperlink r:id="rId136">
              <w:r>
                <w:t>Organization</w:t>
              </w:r>
            </w:hyperlink>
            <w:hyperlink r:id="rId137">
              <w:r>
                <w:t>)</w:t>
              </w:r>
            </w:hyperlink>
            <w:r>
              <w:t xml:space="preserve"> </w:t>
            </w:r>
          </w:p>
        </w:tc>
        <w:tc>
          <w:tcPr>
            <w:tcW w:w="3739" w:type="dxa"/>
            <w:tcBorders>
              <w:top w:val="single" w:sz="2" w:space="0" w:color="9CC2E5"/>
              <w:left w:val="single" w:sz="2" w:space="0" w:color="9CC2E5"/>
              <w:bottom w:val="single" w:sz="2" w:space="0" w:color="9CC2E5"/>
              <w:right w:val="nil"/>
            </w:tcBorders>
            <w:shd w:val="clear" w:color="auto" w:fill="DEEAF6"/>
          </w:tcPr>
          <w:p w14:paraId="01A46BDF" w14:textId="42A0BF80" w:rsidR="00324343" w:rsidRDefault="00C31AD0">
            <w:pPr>
              <w:spacing w:after="0" w:line="259" w:lineRule="auto"/>
              <w:ind w:left="0" w:right="0" w:firstLine="0"/>
              <w:jc w:val="left"/>
            </w:pPr>
            <w:r>
              <w:t>Demonstrates</w:t>
            </w:r>
            <w:r w:rsidR="002236FE">
              <w:t xml:space="preserve"> </w:t>
            </w:r>
            <w:r>
              <w:t>the</w:t>
            </w:r>
            <w:r w:rsidR="002236FE">
              <w:t xml:space="preserve"> </w:t>
            </w:r>
            <w:r>
              <w:t xml:space="preserve">significant financial burden of medication errors and the importance of investing in safer systems. </w:t>
            </w:r>
          </w:p>
        </w:tc>
      </w:tr>
      <w:tr w:rsidR="00324343" w14:paraId="7F8FB5EC" w14:textId="77777777">
        <w:trPr>
          <w:trHeight w:val="2145"/>
        </w:trPr>
        <w:tc>
          <w:tcPr>
            <w:tcW w:w="2989" w:type="dxa"/>
            <w:tcBorders>
              <w:top w:val="single" w:sz="2" w:space="0" w:color="9CC2E5"/>
              <w:left w:val="nil"/>
              <w:bottom w:val="single" w:sz="2" w:space="0" w:color="9CC2E5"/>
              <w:right w:val="single" w:sz="2" w:space="0" w:color="9CC2E5"/>
            </w:tcBorders>
            <w:shd w:val="clear" w:color="auto" w:fill="DEEAF6"/>
          </w:tcPr>
          <w:p w14:paraId="5493DFC8" w14:textId="77777777" w:rsidR="00324343" w:rsidRDefault="00C31AD0">
            <w:pPr>
              <w:tabs>
                <w:tab w:val="center" w:pos="1389"/>
                <w:tab w:val="right" w:pos="2835"/>
              </w:tabs>
              <w:spacing w:after="114" w:line="259" w:lineRule="auto"/>
              <w:ind w:left="0" w:right="0" w:firstLine="0"/>
              <w:jc w:val="left"/>
            </w:pPr>
            <w:r>
              <w:lastRenderedPageBreak/>
              <w:t xml:space="preserve">Health </w:t>
            </w:r>
            <w:r>
              <w:tab/>
              <w:t xml:space="preserve">Services </w:t>
            </w:r>
            <w:r>
              <w:tab/>
              <w:t xml:space="preserve">Safety </w:t>
            </w:r>
          </w:p>
          <w:p w14:paraId="47FCE2B8" w14:textId="77777777" w:rsidR="00324343" w:rsidRDefault="00C31AD0">
            <w:pPr>
              <w:spacing w:after="0" w:line="259" w:lineRule="auto"/>
              <w:ind w:left="3" w:right="0" w:firstLine="0"/>
              <w:jc w:val="left"/>
            </w:pPr>
            <w:r>
              <w:t xml:space="preserve">Investigations Body (HSSIB) </w:t>
            </w:r>
          </w:p>
        </w:tc>
        <w:tc>
          <w:tcPr>
            <w:tcW w:w="2881" w:type="dxa"/>
            <w:tcBorders>
              <w:top w:val="single" w:sz="2" w:space="0" w:color="9CC2E5"/>
              <w:left w:val="single" w:sz="2" w:space="0" w:color="9CC2E5"/>
              <w:bottom w:val="single" w:sz="2" w:space="0" w:color="9CC2E5"/>
              <w:right w:val="single" w:sz="2" w:space="0" w:color="9CC2E5"/>
            </w:tcBorders>
            <w:shd w:val="clear" w:color="auto" w:fill="DEEAF6"/>
            <w:vAlign w:val="bottom"/>
          </w:tcPr>
          <w:p w14:paraId="4B9293F2" w14:textId="77777777" w:rsidR="00324343" w:rsidRDefault="00C31AD0">
            <w:pPr>
              <w:spacing w:after="0" w:line="259" w:lineRule="auto"/>
              <w:ind w:left="0" w:right="67" w:firstLine="0"/>
            </w:pPr>
            <w:r>
              <w:t xml:space="preserve">HSSIB identifies medication as the most common intervention delivered within the NHS and reports that delayed, </w:t>
            </w:r>
          </w:p>
        </w:tc>
        <w:tc>
          <w:tcPr>
            <w:tcW w:w="3739" w:type="dxa"/>
            <w:tcBorders>
              <w:top w:val="single" w:sz="2" w:space="0" w:color="9CC2E5"/>
              <w:left w:val="single" w:sz="2" w:space="0" w:color="9CC2E5"/>
              <w:bottom w:val="single" w:sz="2" w:space="0" w:color="9CC2E5"/>
              <w:right w:val="nil"/>
            </w:tcBorders>
            <w:shd w:val="clear" w:color="auto" w:fill="DEEAF6"/>
          </w:tcPr>
          <w:p w14:paraId="5142825B" w14:textId="77777777" w:rsidR="00324343" w:rsidRDefault="00C31AD0">
            <w:pPr>
              <w:spacing w:after="0" w:line="259" w:lineRule="auto"/>
              <w:ind w:left="0" w:right="70" w:firstLine="0"/>
            </w:pPr>
            <w:r>
              <w:t xml:space="preserve">Directly relates to Len's overdose and supports the need for improvements in medication safety, communication, and governance. </w:t>
            </w:r>
          </w:p>
        </w:tc>
      </w:tr>
      <w:tr w:rsidR="00324343" w14:paraId="0F1AA491" w14:textId="77777777">
        <w:trPr>
          <w:trHeight w:val="1900"/>
        </w:trPr>
        <w:tc>
          <w:tcPr>
            <w:tcW w:w="2989" w:type="dxa"/>
            <w:tcBorders>
              <w:top w:val="single" w:sz="2" w:space="0" w:color="9CC2E5"/>
              <w:left w:val="nil"/>
              <w:bottom w:val="single" w:sz="2" w:space="0" w:color="9CC2E5"/>
              <w:right w:val="single" w:sz="2" w:space="0" w:color="9CC2E5"/>
            </w:tcBorders>
            <w:shd w:val="clear" w:color="auto" w:fill="DEEAF6"/>
          </w:tcPr>
          <w:p w14:paraId="474308E8" w14:textId="77777777" w:rsidR="00324343" w:rsidRDefault="00324343">
            <w:pPr>
              <w:spacing w:after="160" w:line="259" w:lineRule="auto"/>
              <w:ind w:left="0" w:right="0" w:firstLine="0"/>
              <w:jc w:val="left"/>
            </w:pPr>
          </w:p>
        </w:tc>
        <w:tc>
          <w:tcPr>
            <w:tcW w:w="2881" w:type="dxa"/>
            <w:tcBorders>
              <w:top w:val="single" w:sz="2" w:space="0" w:color="9CC2E5"/>
              <w:left w:val="single" w:sz="2" w:space="0" w:color="9CC2E5"/>
              <w:bottom w:val="single" w:sz="2" w:space="0" w:color="9CC2E5"/>
              <w:right w:val="single" w:sz="2" w:space="0" w:color="9CC2E5"/>
            </w:tcBorders>
            <w:shd w:val="clear" w:color="auto" w:fill="DEEAF6"/>
          </w:tcPr>
          <w:p w14:paraId="71B994F4" w14:textId="3A31CFB0" w:rsidR="00324343" w:rsidRDefault="00C31AD0">
            <w:pPr>
              <w:spacing w:after="0" w:line="259" w:lineRule="auto"/>
              <w:ind w:left="0" w:right="0" w:firstLine="0"/>
              <w:jc w:val="left"/>
            </w:pPr>
            <w:r>
              <w:t xml:space="preserve">missed, </w:t>
            </w:r>
            <w:r>
              <w:tab/>
              <w:t>or</w:t>
            </w:r>
            <w:r w:rsidR="002236FE">
              <w:t xml:space="preserve"> </w:t>
            </w:r>
            <w:r>
              <w:t>incorrect medicines can result in catastrophic</w:t>
            </w:r>
            <w:r w:rsidR="002236FE">
              <w:t xml:space="preserve"> </w:t>
            </w:r>
            <w:r>
              <w:t xml:space="preserve">harm, irreversible deterioration, or death.  </w:t>
            </w:r>
          </w:p>
        </w:tc>
        <w:tc>
          <w:tcPr>
            <w:tcW w:w="3739" w:type="dxa"/>
            <w:tcBorders>
              <w:top w:val="single" w:sz="2" w:space="0" w:color="9CC2E5"/>
              <w:left w:val="single" w:sz="2" w:space="0" w:color="9CC2E5"/>
              <w:bottom w:val="single" w:sz="2" w:space="0" w:color="9CC2E5"/>
              <w:right w:val="nil"/>
            </w:tcBorders>
            <w:shd w:val="clear" w:color="auto" w:fill="DEEAF6"/>
          </w:tcPr>
          <w:p w14:paraId="77944B53" w14:textId="77777777" w:rsidR="00324343" w:rsidRDefault="00324343">
            <w:pPr>
              <w:spacing w:after="160" w:line="259" w:lineRule="auto"/>
              <w:ind w:left="0" w:right="0" w:firstLine="0"/>
              <w:jc w:val="left"/>
            </w:pPr>
          </w:p>
        </w:tc>
      </w:tr>
      <w:tr w:rsidR="00324343" w14:paraId="1B5E4023" w14:textId="77777777">
        <w:trPr>
          <w:trHeight w:val="3665"/>
        </w:trPr>
        <w:tc>
          <w:tcPr>
            <w:tcW w:w="2989" w:type="dxa"/>
            <w:tcBorders>
              <w:top w:val="single" w:sz="2" w:space="0" w:color="9CC2E5"/>
              <w:left w:val="nil"/>
              <w:bottom w:val="single" w:sz="2" w:space="0" w:color="9CC2E5"/>
              <w:right w:val="single" w:sz="2" w:space="0" w:color="9CC2E5"/>
            </w:tcBorders>
            <w:shd w:val="clear" w:color="auto" w:fill="DEEAF6"/>
          </w:tcPr>
          <w:p w14:paraId="0C281A6F" w14:textId="77777777" w:rsidR="00324343" w:rsidRDefault="00C31AD0">
            <w:pPr>
              <w:spacing w:after="0" w:line="259" w:lineRule="auto"/>
              <w:ind w:left="3" w:right="0" w:firstLine="0"/>
              <w:jc w:val="left"/>
            </w:pPr>
            <w:r>
              <w:t xml:space="preserve">HSSIB </w:t>
            </w:r>
          </w:p>
        </w:tc>
        <w:tc>
          <w:tcPr>
            <w:tcW w:w="2881" w:type="dxa"/>
            <w:tcBorders>
              <w:top w:val="single" w:sz="2" w:space="0" w:color="9CC2E5"/>
              <w:left w:val="single" w:sz="2" w:space="0" w:color="9CC2E5"/>
              <w:bottom w:val="single" w:sz="2" w:space="0" w:color="9CC2E5"/>
              <w:right w:val="single" w:sz="2" w:space="0" w:color="9CC2E5"/>
            </w:tcBorders>
            <w:vAlign w:val="bottom"/>
          </w:tcPr>
          <w:p w14:paraId="798AB9EF" w14:textId="77777777" w:rsidR="00324343" w:rsidRDefault="00C31AD0">
            <w:pPr>
              <w:spacing w:after="0" w:line="259" w:lineRule="auto"/>
              <w:ind w:left="0" w:right="64" w:firstLine="0"/>
            </w:pPr>
            <w:r>
              <w:t xml:space="preserve">HSSIB investigations recommend strengthening medication safety, organisational learning, communication, and electronic prescribing systems to reduce preventable medication harm. </w:t>
            </w:r>
          </w:p>
        </w:tc>
        <w:tc>
          <w:tcPr>
            <w:tcW w:w="3739" w:type="dxa"/>
            <w:tcBorders>
              <w:top w:val="single" w:sz="2" w:space="0" w:color="9CC2E5"/>
              <w:left w:val="single" w:sz="2" w:space="0" w:color="9CC2E5"/>
              <w:bottom w:val="single" w:sz="2" w:space="0" w:color="9CC2E5"/>
              <w:right w:val="nil"/>
            </w:tcBorders>
            <w:shd w:val="clear" w:color="auto" w:fill="DEEAF6"/>
          </w:tcPr>
          <w:p w14:paraId="5A0C0D12" w14:textId="77777777" w:rsidR="00324343" w:rsidRDefault="00C31AD0">
            <w:pPr>
              <w:spacing w:after="0" w:line="259" w:lineRule="auto"/>
              <w:ind w:left="0" w:right="70" w:firstLine="0"/>
            </w:pPr>
            <w:r>
              <w:t xml:space="preserve">Supports the recommendations made in this report regarding digital prescribing, leadership, and systems improvement. </w:t>
            </w:r>
          </w:p>
        </w:tc>
      </w:tr>
    </w:tbl>
    <w:p w14:paraId="09CF34F7" w14:textId="77777777" w:rsidR="00324343" w:rsidRDefault="00C31AD0">
      <w:pPr>
        <w:spacing w:after="102" w:line="259" w:lineRule="auto"/>
        <w:ind w:left="0" w:right="0" w:firstLine="0"/>
      </w:pPr>
      <w:r>
        <w:t xml:space="preserve"> </w:t>
      </w:r>
    </w:p>
    <w:p w14:paraId="6D2FAEAF" w14:textId="77777777" w:rsidR="00324343" w:rsidRDefault="00C31AD0">
      <w:pPr>
        <w:spacing w:after="0" w:line="259" w:lineRule="auto"/>
        <w:ind w:left="0" w:right="0" w:firstLine="0"/>
      </w:pPr>
      <w:r>
        <w:rPr>
          <w:b/>
        </w:rPr>
        <w:t xml:space="preserve"> </w:t>
      </w:r>
    </w:p>
    <w:p w14:paraId="594D704D" w14:textId="77777777" w:rsidR="00324343" w:rsidRDefault="00324343">
      <w:pPr>
        <w:sectPr w:rsidR="00324343">
          <w:headerReference w:type="even" r:id="rId138"/>
          <w:headerReference w:type="default" r:id="rId139"/>
          <w:footerReference w:type="even" r:id="rId140"/>
          <w:footerReference w:type="default" r:id="rId141"/>
          <w:headerReference w:type="first" r:id="rId142"/>
          <w:footerReference w:type="first" r:id="rId143"/>
          <w:pgSz w:w="12240" w:h="15840"/>
          <w:pgMar w:top="1440" w:right="1435" w:bottom="1514" w:left="1441" w:header="720" w:footer="716" w:gutter="0"/>
          <w:cols w:space="720"/>
        </w:sectPr>
      </w:pPr>
    </w:p>
    <w:p w14:paraId="0ADA1637" w14:textId="77777777" w:rsidR="00324343" w:rsidRDefault="00C31AD0" w:rsidP="1BBCDEC6">
      <w:pPr>
        <w:spacing w:after="0" w:line="265" w:lineRule="auto"/>
        <w:ind w:left="-15" w:right="0" w:firstLine="0"/>
        <w:jc w:val="left"/>
      </w:pPr>
      <w:r w:rsidRPr="1BBCDEC6">
        <w:rPr>
          <w:b/>
          <w:bCs/>
        </w:rPr>
        <w:lastRenderedPageBreak/>
        <w:t xml:space="preserve">Appendix D Centralisation vs Decentralisation </w:t>
      </w:r>
    </w:p>
    <w:tbl>
      <w:tblPr>
        <w:tblStyle w:val="TableGrid"/>
        <w:tblW w:w="9609" w:type="dxa"/>
        <w:tblInd w:w="0" w:type="dxa"/>
        <w:tblCellMar>
          <w:top w:w="292" w:type="dxa"/>
          <w:left w:w="108" w:type="dxa"/>
          <w:bottom w:w="126" w:type="dxa"/>
          <w:right w:w="49" w:type="dxa"/>
        </w:tblCellMar>
        <w:tblLook w:val="04A0" w:firstRow="1" w:lastRow="0" w:firstColumn="1" w:lastColumn="0" w:noHBand="0" w:noVBand="1"/>
      </w:tblPr>
      <w:tblGrid>
        <w:gridCol w:w="2269"/>
        <w:gridCol w:w="2161"/>
        <w:gridCol w:w="2161"/>
        <w:gridCol w:w="3018"/>
      </w:tblGrid>
      <w:tr w:rsidR="00324343" w14:paraId="523EB355" w14:textId="77777777">
        <w:trPr>
          <w:trHeight w:val="625"/>
        </w:trPr>
        <w:tc>
          <w:tcPr>
            <w:tcW w:w="2269" w:type="dxa"/>
            <w:tcBorders>
              <w:top w:val="single" w:sz="2" w:space="0" w:color="666666"/>
              <w:left w:val="nil"/>
              <w:bottom w:val="single" w:sz="2" w:space="0" w:color="666666"/>
              <w:right w:val="single" w:sz="2" w:space="0" w:color="666666"/>
            </w:tcBorders>
            <w:shd w:val="clear" w:color="auto" w:fill="CCCCCC"/>
            <w:vAlign w:val="bottom"/>
          </w:tcPr>
          <w:p w14:paraId="6B92E018" w14:textId="77777777" w:rsidR="00324343" w:rsidRDefault="00C31AD0">
            <w:pPr>
              <w:spacing w:after="0" w:line="259" w:lineRule="auto"/>
              <w:ind w:left="3" w:right="0" w:firstLine="0"/>
              <w:jc w:val="left"/>
            </w:pPr>
            <w:r>
              <w:rPr>
                <w:b/>
              </w:rPr>
              <w:t>Feature</w:t>
            </w:r>
            <w:r>
              <w:t xml:space="preserv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7CABE7AF" w14:textId="77777777" w:rsidR="00324343" w:rsidRDefault="00C31AD0">
            <w:pPr>
              <w:spacing w:after="0" w:line="259" w:lineRule="auto"/>
              <w:ind w:left="0" w:right="0" w:firstLine="0"/>
              <w:jc w:val="left"/>
            </w:pPr>
            <w:r>
              <w:rPr>
                <w:b/>
              </w:rPr>
              <w:t>Centralised</w:t>
            </w:r>
            <w:r>
              <w:t xml:space="preserv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69E42539" w14:textId="77777777" w:rsidR="00324343" w:rsidRDefault="00C31AD0">
            <w:pPr>
              <w:spacing w:after="0" w:line="259" w:lineRule="auto"/>
              <w:ind w:left="0" w:right="0" w:firstLine="0"/>
              <w:jc w:val="left"/>
            </w:pPr>
            <w:r>
              <w:rPr>
                <w:b/>
              </w:rPr>
              <w:t>Decentralised</w:t>
            </w:r>
            <w:r>
              <w:t xml:space="preserve"> </w:t>
            </w:r>
          </w:p>
        </w:tc>
        <w:tc>
          <w:tcPr>
            <w:tcW w:w="3018" w:type="dxa"/>
            <w:tcBorders>
              <w:top w:val="single" w:sz="2" w:space="0" w:color="666666"/>
              <w:left w:val="single" w:sz="2" w:space="0" w:color="666666"/>
              <w:bottom w:val="single" w:sz="2" w:space="0" w:color="666666"/>
              <w:right w:val="nil"/>
            </w:tcBorders>
            <w:shd w:val="clear" w:color="auto" w:fill="CCCCCC"/>
            <w:vAlign w:val="bottom"/>
          </w:tcPr>
          <w:p w14:paraId="7074F743" w14:textId="77777777" w:rsidR="00324343" w:rsidRDefault="00C31AD0">
            <w:pPr>
              <w:spacing w:after="0" w:line="259" w:lineRule="auto"/>
              <w:ind w:left="0" w:right="0" w:firstLine="0"/>
              <w:jc w:val="left"/>
            </w:pPr>
            <w:r>
              <w:rPr>
                <w:b/>
              </w:rPr>
              <w:t>Len's Case</w:t>
            </w:r>
            <w:r>
              <w:t xml:space="preserve"> </w:t>
            </w:r>
          </w:p>
        </w:tc>
      </w:tr>
      <w:tr w:rsidR="00324343" w14:paraId="70F3686C" w14:textId="77777777">
        <w:trPr>
          <w:trHeight w:val="1005"/>
        </w:trPr>
        <w:tc>
          <w:tcPr>
            <w:tcW w:w="2269" w:type="dxa"/>
            <w:tcBorders>
              <w:top w:val="single" w:sz="2" w:space="0" w:color="666666"/>
              <w:left w:val="nil"/>
              <w:bottom w:val="single" w:sz="2" w:space="0" w:color="666666"/>
              <w:right w:val="single" w:sz="2" w:space="0" w:color="666666"/>
            </w:tcBorders>
            <w:shd w:val="clear" w:color="auto" w:fill="CCCCCC"/>
          </w:tcPr>
          <w:p w14:paraId="4A72B698" w14:textId="77777777" w:rsidR="00324343" w:rsidRDefault="00C31AD0">
            <w:pPr>
              <w:spacing w:after="0" w:line="259" w:lineRule="auto"/>
              <w:ind w:left="3" w:right="0" w:firstLine="0"/>
              <w:jc w:val="left"/>
            </w:pPr>
            <w:r>
              <w:t xml:space="preserve">Decision making </w:t>
            </w:r>
          </w:p>
        </w:tc>
        <w:tc>
          <w:tcPr>
            <w:tcW w:w="2161" w:type="dxa"/>
            <w:tcBorders>
              <w:top w:val="single" w:sz="2" w:space="0" w:color="666666"/>
              <w:left w:val="single" w:sz="2" w:space="0" w:color="666666"/>
              <w:bottom w:val="single" w:sz="2" w:space="0" w:color="666666"/>
              <w:right w:val="single" w:sz="2" w:space="0" w:color="666666"/>
            </w:tcBorders>
          </w:tcPr>
          <w:p w14:paraId="2DD3C295" w14:textId="77777777" w:rsidR="00324343" w:rsidRDefault="00C31AD0">
            <w:pPr>
              <w:spacing w:after="0" w:line="259" w:lineRule="auto"/>
              <w:ind w:left="0" w:right="0" w:firstLine="0"/>
              <w:jc w:val="left"/>
            </w:pPr>
            <w:r>
              <w:t xml:space="preserve">National policies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2FDC8E0B" w14:textId="77777777" w:rsidR="00324343" w:rsidRDefault="00C31AD0">
            <w:pPr>
              <w:spacing w:after="0" w:line="259" w:lineRule="auto"/>
              <w:ind w:left="0" w:right="0" w:firstLine="0"/>
              <w:jc w:val="left"/>
            </w:pPr>
            <w:r>
              <w:t xml:space="preserve">Local </w:t>
            </w:r>
            <w:r>
              <w:tab/>
              <w:t xml:space="preserve">clinical judgement </w:t>
            </w:r>
          </w:p>
        </w:tc>
        <w:tc>
          <w:tcPr>
            <w:tcW w:w="3018" w:type="dxa"/>
            <w:tcBorders>
              <w:top w:val="single" w:sz="2" w:space="0" w:color="666666"/>
              <w:left w:val="single" w:sz="2" w:space="0" w:color="666666"/>
              <w:bottom w:val="single" w:sz="2" w:space="0" w:color="666666"/>
              <w:right w:val="nil"/>
            </w:tcBorders>
          </w:tcPr>
          <w:p w14:paraId="3B421383" w14:textId="77777777" w:rsidR="00324343" w:rsidRDefault="00C31AD0">
            <w:pPr>
              <w:spacing w:after="0" w:line="259" w:lineRule="auto"/>
              <w:ind w:left="0" w:right="0" w:firstLine="0"/>
              <w:jc w:val="left"/>
            </w:pPr>
            <w:r>
              <w:t xml:space="preserve">Hybrid </w:t>
            </w:r>
          </w:p>
        </w:tc>
      </w:tr>
      <w:tr w:rsidR="00324343" w14:paraId="264865C4" w14:textId="77777777">
        <w:trPr>
          <w:trHeight w:val="1000"/>
        </w:trPr>
        <w:tc>
          <w:tcPr>
            <w:tcW w:w="2269" w:type="dxa"/>
            <w:tcBorders>
              <w:top w:val="single" w:sz="2" w:space="0" w:color="666666"/>
              <w:left w:val="nil"/>
              <w:bottom w:val="single" w:sz="2" w:space="0" w:color="666666"/>
              <w:right w:val="single" w:sz="2" w:space="0" w:color="666666"/>
            </w:tcBorders>
            <w:shd w:val="clear" w:color="auto" w:fill="CCCCCC"/>
          </w:tcPr>
          <w:p w14:paraId="44F9DD49" w14:textId="77777777" w:rsidR="00324343" w:rsidRDefault="00C31AD0">
            <w:pPr>
              <w:spacing w:after="0" w:line="259" w:lineRule="auto"/>
              <w:ind w:left="3" w:right="0" w:firstLine="0"/>
              <w:jc w:val="left"/>
            </w:pPr>
            <w:r>
              <w:t xml:space="preserve">Accountability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40AB22A5" w14:textId="77777777" w:rsidR="00324343" w:rsidRDefault="00C31AD0">
            <w:pPr>
              <w:spacing w:after="0" w:line="259" w:lineRule="auto"/>
              <w:ind w:left="0" w:right="29" w:firstLine="0"/>
              <w:jc w:val="left"/>
            </w:pPr>
            <w:r>
              <w:t xml:space="preserve">Senior management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tcPr>
          <w:p w14:paraId="005CE7B7" w14:textId="77777777" w:rsidR="00324343" w:rsidRDefault="00C31AD0">
            <w:pPr>
              <w:spacing w:after="0" w:line="259" w:lineRule="auto"/>
              <w:ind w:left="0" w:right="0" w:firstLine="0"/>
              <w:jc w:val="left"/>
            </w:pPr>
            <w:r>
              <w:t xml:space="preserve">Clinical teams </w:t>
            </w:r>
          </w:p>
        </w:tc>
        <w:tc>
          <w:tcPr>
            <w:tcW w:w="3018" w:type="dxa"/>
            <w:tcBorders>
              <w:top w:val="single" w:sz="2" w:space="0" w:color="666666"/>
              <w:left w:val="single" w:sz="2" w:space="0" w:color="666666"/>
              <w:bottom w:val="single" w:sz="2" w:space="0" w:color="666666"/>
              <w:right w:val="nil"/>
            </w:tcBorders>
            <w:shd w:val="clear" w:color="auto" w:fill="CCCCCC"/>
          </w:tcPr>
          <w:p w14:paraId="07320DCF" w14:textId="77777777" w:rsidR="00324343" w:rsidRDefault="00C31AD0">
            <w:pPr>
              <w:spacing w:after="0" w:line="259" w:lineRule="auto"/>
              <w:ind w:left="0" w:right="0" w:firstLine="0"/>
              <w:jc w:val="left"/>
            </w:pPr>
            <w:r>
              <w:t xml:space="preserve">Mixed </w:t>
            </w:r>
          </w:p>
        </w:tc>
      </w:tr>
      <w:tr w:rsidR="00324343" w14:paraId="5A54DAF0" w14:textId="77777777">
        <w:trPr>
          <w:trHeight w:val="1006"/>
        </w:trPr>
        <w:tc>
          <w:tcPr>
            <w:tcW w:w="2269" w:type="dxa"/>
            <w:tcBorders>
              <w:top w:val="single" w:sz="2" w:space="0" w:color="666666"/>
              <w:left w:val="nil"/>
              <w:bottom w:val="single" w:sz="2" w:space="0" w:color="666666"/>
              <w:right w:val="single" w:sz="2" w:space="0" w:color="666666"/>
            </w:tcBorders>
            <w:shd w:val="clear" w:color="auto" w:fill="CCCCCC"/>
          </w:tcPr>
          <w:p w14:paraId="4274CE76" w14:textId="77777777" w:rsidR="00324343" w:rsidRDefault="00C31AD0">
            <w:pPr>
              <w:spacing w:after="0" w:line="259" w:lineRule="auto"/>
              <w:ind w:left="3" w:right="0" w:firstLine="0"/>
              <w:jc w:val="left"/>
            </w:pPr>
            <w:r>
              <w:t xml:space="preserve">Communication </w:t>
            </w:r>
          </w:p>
        </w:tc>
        <w:tc>
          <w:tcPr>
            <w:tcW w:w="2161" w:type="dxa"/>
            <w:tcBorders>
              <w:top w:val="single" w:sz="2" w:space="0" w:color="666666"/>
              <w:left w:val="single" w:sz="2" w:space="0" w:color="666666"/>
              <w:bottom w:val="single" w:sz="2" w:space="0" w:color="666666"/>
              <w:right w:val="single" w:sz="2" w:space="0" w:color="666666"/>
            </w:tcBorders>
          </w:tcPr>
          <w:p w14:paraId="16214D4A" w14:textId="77777777" w:rsidR="00324343" w:rsidRDefault="00C31AD0">
            <w:pPr>
              <w:spacing w:after="0" w:line="259" w:lineRule="auto"/>
              <w:ind w:left="0" w:right="0" w:firstLine="0"/>
              <w:jc w:val="left"/>
            </w:pPr>
            <w:r>
              <w:t xml:space="preserve">Standard guidance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169EC589" w14:textId="77777777" w:rsidR="00324343" w:rsidRDefault="00C31AD0">
            <w:pPr>
              <w:spacing w:after="0" w:line="259" w:lineRule="auto"/>
              <w:ind w:left="0" w:right="0" w:firstLine="0"/>
              <w:jc w:val="left"/>
            </w:pPr>
            <w:r>
              <w:t xml:space="preserve">Team communication </w:t>
            </w:r>
          </w:p>
        </w:tc>
        <w:tc>
          <w:tcPr>
            <w:tcW w:w="3018" w:type="dxa"/>
            <w:tcBorders>
              <w:top w:val="single" w:sz="2" w:space="0" w:color="666666"/>
              <w:left w:val="single" w:sz="2" w:space="0" w:color="666666"/>
              <w:bottom w:val="single" w:sz="2" w:space="0" w:color="666666"/>
              <w:right w:val="nil"/>
            </w:tcBorders>
          </w:tcPr>
          <w:p w14:paraId="640CCE57" w14:textId="77777777" w:rsidR="00324343" w:rsidRDefault="00C31AD0">
            <w:pPr>
              <w:spacing w:after="0" w:line="259" w:lineRule="auto"/>
              <w:ind w:left="0" w:right="0" w:firstLine="0"/>
              <w:jc w:val="left"/>
            </w:pPr>
            <w:r>
              <w:t xml:space="preserve">Weak </w:t>
            </w:r>
          </w:p>
        </w:tc>
      </w:tr>
      <w:tr w:rsidR="00324343" w14:paraId="1E090E99" w14:textId="77777777">
        <w:trPr>
          <w:trHeight w:val="625"/>
        </w:trPr>
        <w:tc>
          <w:tcPr>
            <w:tcW w:w="2269" w:type="dxa"/>
            <w:tcBorders>
              <w:top w:val="single" w:sz="2" w:space="0" w:color="666666"/>
              <w:left w:val="nil"/>
              <w:bottom w:val="single" w:sz="2" w:space="0" w:color="666666"/>
              <w:right w:val="single" w:sz="2" w:space="0" w:color="666666"/>
            </w:tcBorders>
            <w:shd w:val="clear" w:color="auto" w:fill="CCCCCC"/>
            <w:vAlign w:val="bottom"/>
          </w:tcPr>
          <w:p w14:paraId="04600248" w14:textId="77777777" w:rsidR="00324343" w:rsidRDefault="00C31AD0">
            <w:pPr>
              <w:spacing w:after="0" w:line="259" w:lineRule="auto"/>
              <w:ind w:left="3" w:right="0" w:firstLine="0"/>
              <w:jc w:val="left"/>
            </w:pPr>
            <w:r>
              <w:t xml:space="preserve">Flexibility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72443681" w14:textId="77777777" w:rsidR="00324343" w:rsidRDefault="00C31AD0">
            <w:pPr>
              <w:spacing w:after="0" w:line="259" w:lineRule="auto"/>
              <w:ind w:left="0" w:right="0" w:firstLine="0"/>
              <w:jc w:val="left"/>
            </w:pPr>
            <w:r>
              <w:t xml:space="preserve">Lower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3DEBF577" w14:textId="77777777" w:rsidR="00324343" w:rsidRDefault="00C31AD0">
            <w:pPr>
              <w:spacing w:after="0" w:line="259" w:lineRule="auto"/>
              <w:ind w:left="0" w:right="0" w:firstLine="0"/>
              <w:jc w:val="left"/>
            </w:pPr>
            <w:r>
              <w:t xml:space="preserve">Higher </w:t>
            </w:r>
          </w:p>
        </w:tc>
        <w:tc>
          <w:tcPr>
            <w:tcW w:w="3018" w:type="dxa"/>
            <w:tcBorders>
              <w:top w:val="single" w:sz="2" w:space="0" w:color="666666"/>
              <w:left w:val="single" w:sz="2" w:space="0" w:color="666666"/>
              <w:bottom w:val="single" w:sz="2" w:space="0" w:color="666666"/>
              <w:right w:val="nil"/>
            </w:tcBorders>
            <w:shd w:val="clear" w:color="auto" w:fill="CCCCCC"/>
            <w:vAlign w:val="bottom"/>
          </w:tcPr>
          <w:p w14:paraId="2034A0C9" w14:textId="77777777" w:rsidR="00324343" w:rsidRDefault="00C31AD0">
            <w:pPr>
              <w:spacing w:after="0" w:line="259" w:lineRule="auto"/>
              <w:ind w:left="0" w:right="0" w:firstLine="0"/>
              <w:jc w:val="left"/>
            </w:pPr>
            <w:r>
              <w:t xml:space="preserve">Needed </w:t>
            </w:r>
          </w:p>
        </w:tc>
      </w:tr>
      <w:tr w:rsidR="00324343" w14:paraId="5CDA9A5D" w14:textId="77777777">
        <w:trPr>
          <w:trHeight w:val="1005"/>
        </w:trPr>
        <w:tc>
          <w:tcPr>
            <w:tcW w:w="2269" w:type="dxa"/>
            <w:tcBorders>
              <w:top w:val="single" w:sz="2" w:space="0" w:color="666666"/>
              <w:left w:val="nil"/>
              <w:bottom w:val="single" w:sz="2" w:space="0" w:color="666666"/>
              <w:right w:val="single" w:sz="2" w:space="0" w:color="666666"/>
            </w:tcBorders>
            <w:shd w:val="clear" w:color="auto" w:fill="CCCCCC"/>
          </w:tcPr>
          <w:p w14:paraId="5C81B34F" w14:textId="77777777" w:rsidR="00324343" w:rsidRDefault="00C31AD0">
            <w:pPr>
              <w:spacing w:after="0" w:line="259" w:lineRule="auto"/>
              <w:ind w:left="3" w:right="0" w:firstLine="0"/>
              <w:jc w:val="left"/>
            </w:pPr>
            <w:r>
              <w:t xml:space="preserve">Patient-centred care </w:t>
            </w:r>
          </w:p>
        </w:tc>
        <w:tc>
          <w:tcPr>
            <w:tcW w:w="2161" w:type="dxa"/>
            <w:tcBorders>
              <w:top w:val="single" w:sz="2" w:space="0" w:color="666666"/>
              <w:left w:val="single" w:sz="2" w:space="0" w:color="666666"/>
              <w:bottom w:val="single" w:sz="2" w:space="0" w:color="666666"/>
              <w:right w:val="single" w:sz="2" w:space="0" w:color="666666"/>
            </w:tcBorders>
          </w:tcPr>
          <w:p w14:paraId="76C8D296" w14:textId="77777777" w:rsidR="00324343" w:rsidRDefault="00C31AD0">
            <w:pPr>
              <w:spacing w:after="0" w:line="259" w:lineRule="auto"/>
              <w:ind w:left="0" w:right="0" w:firstLine="0"/>
              <w:jc w:val="left"/>
            </w:pPr>
            <w:r>
              <w:t xml:space="preserve">Moderate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tcPr>
          <w:p w14:paraId="1143AC1F" w14:textId="77777777" w:rsidR="00324343" w:rsidRDefault="00C31AD0">
            <w:pPr>
              <w:spacing w:after="0" w:line="259" w:lineRule="auto"/>
              <w:ind w:left="0" w:right="0" w:firstLine="0"/>
              <w:jc w:val="left"/>
            </w:pPr>
            <w:r>
              <w:t xml:space="preserve">High </w:t>
            </w:r>
          </w:p>
        </w:tc>
        <w:tc>
          <w:tcPr>
            <w:tcW w:w="3018" w:type="dxa"/>
            <w:tcBorders>
              <w:top w:val="single" w:sz="2" w:space="0" w:color="666666"/>
              <w:left w:val="single" w:sz="2" w:space="0" w:color="666666"/>
              <w:bottom w:val="single" w:sz="2" w:space="0" w:color="666666"/>
              <w:right w:val="nil"/>
            </w:tcBorders>
            <w:vAlign w:val="bottom"/>
          </w:tcPr>
          <w:p w14:paraId="6C2EDCD4" w14:textId="77777777" w:rsidR="00324343" w:rsidRDefault="00C31AD0">
            <w:pPr>
              <w:spacing w:after="0" w:line="259" w:lineRule="auto"/>
              <w:ind w:left="0" w:right="0" w:firstLine="0"/>
              <w:jc w:val="left"/>
            </w:pPr>
            <w:r>
              <w:t xml:space="preserve">Better local communication required </w:t>
            </w:r>
          </w:p>
        </w:tc>
      </w:tr>
    </w:tbl>
    <w:p w14:paraId="4960CA9C" w14:textId="77777777" w:rsidR="00324343" w:rsidRDefault="00C31AD0">
      <w:pPr>
        <w:spacing w:after="147" w:line="259" w:lineRule="auto"/>
        <w:ind w:left="0" w:right="0" w:firstLine="0"/>
        <w:jc w:val="left"/>
      </w:pPr>
      <w:r>
        <w:rPr>
          <w:b/>
        </w:rPr>
        <w:t xml:space="preserve"> </w:t>
      </w:r>
    </w:p>
    <w:p w14:paraId="05D671FC" w14:textId="3B6265AC" w:rsidR="00C31AD0" w:rsidRDefault="00C31AD0" w:rsidP="1BBCDEC6">
      <w:pPr>
        <w:spacing w:after="0" w:line="259" w:lineRule="auto"/>
        <w:ind w:left="0" w:right="0" w:firstLine="0"/>
        <w:jc w:val="left"/>
      </w:pPr>
      <w:r w:rsidRPr="1BBCDEC6">
        <w:rPr>
          <w:b/>
          <w:bCs/>
        </w:rPr>
        <w:t xml:space="preserve"> </w:t>
      </w:r>
    </w:p>
    <w:p w14:paraId="20AFB7A2" w14:textId="77777777" w:rsidR="00324343" w:rsidRDefault="00C31AD0">
      <w:pPr>
        <w:tabs>
          <w:tab w:val="center" w:pos="3107"/>
        </w:tabs>
        <w:spacing w:after="0" w:line="265" w:lineRule="auto"/>
        <w:ind w:left="-15" w:right="0" w:firstLine="0"/>
        <w:jc w:val="left"/>
      </w:pPr>
      <w:r>
        <w:rPr>
          <w:b/>
        </w:rPr>
        <w:lastRenderedPageBreak/>
        <w:t xml:space="preserve">Appendix E </w:t>
      </w:r>
      <w:r>
        <w:rPr>
          <w:b/>
        </w:rPr>
        <w:tab/>
        <w:t xml:space="preserve">Leadership Theory Comparison </w:t>
      </w:r>
    </w:p>
    <w:tbl>
      <w:tblPr>
        <w:tblStyle w:val="TableGrid"/>
        <w:tblW w:w="9832" w:type="dxa"/>
        <w:tblInd w:w="6" w:type="dxa"/>
        <w:tblCellMar>
          <w:left w:w="105" w:type="dxa"/>
          <w:bottom w:w="143" w:type="dxa"/>
          <w:right w:w="108" w:type="dxa"/>
        </w:tblCellMar>
        <w:tblLook w:val="04A0" w:firstRow="1" w:lastRow="0" w:firstColumn="1" w:lastColumn="0" w:noHBand="0" w:noVBand="1"/>
      </w:tblPr>
      <w:tblGrid>
        <w:gridCol w:w="3061"/>
        <w:gridCol w:w="2946"/>
        <w:gridCol w:w="3825"/>
      </w:tblGrid>
      <w:tr w:rsidR="00324343" w14:paraId="110D79C4" w14:textId="77777777">
        <w:trPr>
          <w:trHeight w:val="659"/>
        </w:trPr>
        <w:tc>
          <w:tcPr>
            <w:tcW w:w="3060"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10248E48" w14:textId="77777777" w:rsidR="00324343" w:rsidRDefault="00C31AD0">
            <w:pPr>
              <w:spacing w:after="0" w:line="259" w:lineRule="auto"/>
              <w:ind w:left="4" w:right="0" w:firstLine="0"/>
              <w:jc w:val="left"/>
            </w:pPr>
            <w:r>
              <w:rPr>
                <w:b/>
              </w:rPr>
              <w:t>Theory</w:t>
            </w:r>
            <w:r>
              <w:t xml:space="preserve"> </w:t>
            </w:r>
          </w:p>
        </w:tc>
        <w:tc>
          <w:tcPr>
            <w:tcW w:w="2946"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65731E1F" w14:textId="77777777" w:rsidR="00324343" w:rsidRDefault="00C31AD0">
            <w:pPr>
              <w:spacing w:after="0" w:line="259" w:lineRule="auto"/>
              <w:ind w:left="0" w:right="0" w:firstLine="0"/>
              <w:jc w:val="left"/>
            </w:pPr>
            <w:r>
              <w:rPr>
                <w:b/>
              </w:rPr>
              <w:t>Characteristics</w:t>
            </w:r>
            <w:r>
              <w:t xml:space="preserve"> </w:t>
            </w:r>
          </w:p>
        </w:tc>
        <w:tc>
          <w:tcPr>
            <w:tcW w:w="3825"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0C576D6C" w14:textId="77777777" w:rsidR="00324343" w:rsidRDefault="00C31AD0">
            <w:pPr>
              <w:spacing w:after="0" w:line="259" w:lineRule="auto"/>
              <w:ind w:left="5" w:right="0" w:firstLine="0"/>
              <w:jc w:val="left"/>
            </w:pPr>
            <w:r>
              <w:rPr>
                <w:b/>
              </w:rPr>
              <w:t>Application in Len's Case</w:t>
            </w:r>
            <w:r>
              <w:t xml:space="preserve"> </w:t>
            </w:r>
          </w:p>
        </w:tc>
      </w:tr>
      <w:tr w:rsidR="00324343" w14:paraId="2E86A8B1" w14:textId="77777777">
        <w:trPr>
          <w:trHeight w:val="665"/>
        </w:trPr>
        <w:tc>
          <w:tcPr>
            <w:tcW w:w="3060"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4D050A27" w14:textId="77777777" w:rsidR="00324343" w:rsidRDefault="00C31AD0">
            <w:pPr>
              <w:spacing w:after="0" w:line="259" w:lineRule="auto"/>
              <w:ind w:left="4" w:right="0" w:firstLine="0"/>
              <w:jc w:val="left"/>
            </w:pPr>
            <w:r>
              <w:t xml:space="preserve">Transformational </w:t>
            </w:r>
          </w:p>
        </w:tc>
        <w:tc>
          <w:tcPr>
            <w:tcW w:w="2946" w:type="dxa"/>
            <w:tcBorders>
              <w:top w:val="single" w:sz="4" w:space="0" w:color="F4B083"/>
              <w:left w:val="single" w:sz="4" w:space="0" w:color="F4B083"/>
              <w:bottom w:val="single" w:sz="4" w:space="0" w:color="F4B083"/>
              <w:right w:val="single" w:sz="4" w:space="0" w:color="F4B083"/>
            </w:tcBorders>
            <w:vAlign w:val="bottom"/>
          </w:tcPr>
          <w:p w14:paraId="55634B9D" w14:textId="77777777" w:rsidR="00324343" w:rsidRDefault="00C31AD0">
            <w:pPr>
              <w:spacing w:after="0" w:line="259" w:lineRule="auto"/>
              <w:ind w:left="0" w:right="0" w:firstLine="0"/>
              <w:jc w:val="left"/>
            </w:pPr>
            <w:r>
              <w:t xml:space="preserve">Inspires improvement </w:t>
            </w:r>
          </w:p>
        </w:tc>
        <w:tc>
          <w:tcPr>
            <w:tcW w:w="3825"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5D58B0E2" w14:textId="77777777" w:rsidR="00324343" w:rsidRDefault="00C31AD0">
            <w:pPr>
              <w:spacing w:after="0" w:line="259" w:lineRule="auto"/>
              <w:ind w:left="5" w:right="0" w:firstLine="0"/>
              <w:jc w:val="left"/>
            </w:pPr>
            <w:r>
              <w:t xml:space="preserve">Needed stronger safety culture </w:t>
            </w:r>
          </w:p>
        </w:tc>
      </w:tr>
      <w:tr w:rsidR="00324343" w14:paraId="1AC0AB04" w14:textId="77777777">
        <w:trPr>
          <w:trHeight w:val="660"/>
        </w:trPr>
        <w:tc>
          <w:tcPr>
            <w:tcW w:w="3060"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7F0258ED" w14:textId="77777777" w:rsidR="00324343" w:rsidRDefault="00C31AD0">
            <w:pPr>
              <w:spacing w:after="0" w:line="259" w:lineRule="auto"/>
              <w:ind w:left="4" w:right="0" w:firstLine="0"/>
              <w:jc w:val="left"/>
            </w:pPr>
            <w:r>
              <w:t xml:space="preserve">Transactional </w:t>
            </w:r>
          </w:p>
        </w:tc>
        <w:tc>
          <w:tcPr>
            <w:tcW w:w="2946"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181A7902" w14:textId="77777777" w:rsidR="00324343" w:rsidRDefault="00C31AD0">
            <w:pPr>
              <w:spacing w:after="0" w:line="259" w:lineRule="auto"/>
              <w:ind w:left="0" w:right="0" w:firstLine="0"/>
              <w:jc w:val="left"/>
            </w:pPr>
            <w:r>
              <w:t xml:space="preserve">Rules and compliance </w:t>
            </w:r>
          </w:p>
        </w:tc>
        <w:tc>
          <w:tcPr>
            <w:tcW w:w="3825"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4AA0ED69" w14:textId="77777777" w:rsidR="00324343" w:rsidRDefault="00C31AD0">
            <w:pPr>
              <w:spacing w:after="0" w:line="259" w:lineRule="auto"/>
              <w:ind w:left="5" w:right="0" w:firstLine="0"/>
              <w:jc w:val="left"/>
            </w:pPr>
            <w:r>
              <w:t xml:space="preserve">Prescription followed correctly </w:t>
            </w:r>
          </w:p>
        </w:tc>
      </w:tr>
      <w:tr w:rsidR="00324343" w14:paraId="1C3DF7E1" w14:textId="77777777">
        <w:trPr>
          <w:trHeight w:val="646"/>
        </w:trPr>
        <w:tc>
          <w:tcPr>
            <w:tcW w:w="3060"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6C6D7212" w14:textId="77777777" w:rsidR="00324343" w:rsidRDefault="00C31AD0">
            <w:pPr>
              <w:spacing w:after="0" w:line="259" w:lineRule="auto"/>
              <w:ind w:left="4" w:right="0" w:firstLine="0"/>
              <w:jc w:val="left"/>
            </w:pPr>
            <w:r>
              <w:t xml:space="preserve">Situational </w:t>
            </w:r>
          </w:p>
        </w:tc>
        <w:tc>
          <w:tcPr>
            <w:tcW w:w="2946" w:type="dxa"/>
            <w:tcBorders>
              <w:top w:val="single" w:sz="4" w:space="0" w:color="F4B083"/>
              <w:left w:val="single" w:sz="4" w:space="0" w:color="F4B083"/>
              <w:bottom w:val="single" w:sz="4" w:space="0" w:color="F4B083"/>
              <w:right w:val="single" w:sz="4" w:space="0" w:color="F4B083"/>
            </w:tcBorders>
            <w:vAlign w:val="bottom"/>
          </w:tcPr>
          <w:p w14:paraId="3DBE1087" w14:textId="77777777" w:rsidR="00324343" w:rsidRDefault="00C31AD0">
            <w:pPr>
              <w:spacing w:after="0" w:line="259" w:lineRule="auto"/>
              <w:ind w:left="0" w:right="0" w:firstLine="0"/>
              <w:jc w:val="left"/>
            </w:pPr>
            <w:r>
              <w:t xml:space="preserve">Adapts to patient needs </w:t>
            </w:r>
          </w:p>
        </w:tc>
        <w:tc>
          <w:tcPr>
            <w:tcW w:w="3825"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3F8CEBC7" w14:textId="77777777" w:rsidR="00324343" w:rsidRDefault="00C31AD0">
            <w:pPr>
              <w:spacing w:after="0" w:line="259" w:lineRule="auto"/>
              <w:ind w:left="5" w:right="0" w:firstLine="0"/>
              <w:jc w:val="left"/>
            </w:pPr>
            <w:r>
              <w:t xml:space="preserve">Better for elderly patient </w:t>
            </w:r>
          </w:p>
        </w:tc>
      </w:tr>
      <w:tr w:rsidR="00324343" w14:paraId="233DDDA0" w14:textId="77777777">
        <w:trPr>
          <w:trHeight w:val="659"/>
        </w:trPr>
        <w:tc>
          <w:tcPr>
            <w:tcW w:w="3060"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105B2A43" w14:textId="77777777" w:rsidR="00324343" w:rsidRDefault="00C31AD0">
            <w:pPr>
              <w:spacing w:after="0" w:line="259" w:lineRule="auto"/>
              <w:ind w:left="4" w:right="0" w:firstLine="0"/>
              <w:jc w:val="left"/>
            </w:pPr>
            <w:r>
              <w:t xml:space="preserve">Distributed </w:t>
            </w:r>
          </w:p>
        </w:tc>
        <w:tc>
          <w:tcPr>
            <w:tcW w:w="2946"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147116AC" w14:textId="77777777" w:rsidR="00324343" w:rsidRDefault="00C31AD0">
            <w:pPr>
              <w:spacing w:after="0" w:line="259" w:lineRule="auto"/>
              <w:ind w:left="0" w:right="0" w:firstLine="0"/>
              <w:jc w:val="left"/>
            </w:pPr>
            <w:r>
              <w:t xml:space="preserve">Shared responsibility </w:t>
            </w:r>
          </w:p>
        </w:tc>
        <w:tc>
          <w:tcPr>
            <w:tcW w:w="3825" w:type="dxa"/>
            <w:tcBorders>
              <w:top w:val="single" w:sz="4" w:space="0" w:color="F4B083"/>
              <w:left w:val="single" w:sz="4" w:space="0" w:color="F4B083"/>
              <w:bottom w:val="single" w:sz="4" w:space="0" w:color="F4B083"/>
              <w:right w:val="single" w:sz="4" w:space="0" w:color="F4B083"/>
            </w:tcBorders>
            <w:shd w:val="clear" w:color="auto" w:fill="FBE4D5"/>
            <w:vAlign w:val="bottom"/>
          </w:tcPr>
          <w:p w14:paraId="517F7F27" w14:textId="77777777" w:rsidR="00324343" w:rsidRDefault="00C31AD0">
            <w:pPr>
              <w:spacing w:after="0" w:line="259" w:lineRule="auto"/>
              <w:ind w:left="5" w:right="0" w:firstLine="0"/>
              <w:jc w:val="left"/>
            </w:pPr>
            <w:r>
              <w:t xml:space="preserve">Better GP-pharmacy communication </w:t>
            </w:r>
          </w:p>
        </w:tc>
      </w:tr>
    </w:tbl>
    <w:p w14:paraId="176C1087" w14:textId="77777777" w:rsidR="00324343" w:rsidRDefault="00C31AD0">
      <w:pPr>
        <w:spacing w:after="267" w:line="259" w:lineRule="auto"/>
        <w:ind w:left="0" w:right="0" w:firstLine="0"/>
        <w:jc w:val="left"/>
      </w:pPr>
      <w:r>
        <w:t xml:space="preserve"> </w:t>
      </w:r>
    </w:p>
    <w:p w14:paraId="27C2D6DF" w14:textId="77777777" w:rsidR="00324343" w:rsidRDefault="00C31AD0">
      <w:pPr>
        <w:spacing w:after="0" w:line="259" w:lineRule="auto"/>
        <w:ind w:left="0" w:right="0" w:firstLine="0"/>
        <w:jc w:val="left"/>
      </w:pPr>
      <w:r>
        <w:t xml:space="preserve"> </w:t>
      </w:r>
      <w:r>
        <w:br w:type="page"/>
      </w:r>
    </w:p>
    <w:p w14:paraId="78B9FBF4" w14:textId="77777777" w:rsidR="00324343" w:rsidRDefault="00C31AD0" w:rsidP="1BBCDEC6">
      <w:pPr>
        <w:spacing w:after="267" w:line="265" w:lineRule="auto"/>
        <w:ind w:left="0" w:right="494" w:firstLine="0"/>
        <w:jc w:val="right"/>
      </w:pPr>
      <w:r w:rsidRPr="1BBCDEC6">
        <w:rPr>
          <w:b/>
          <w:bCs/>
        </w:rPr>
        <w:lastRenderedPageBreak/>
        <w:t xml:space="preserve">Fishbone Diagram (Root Cause Analysis) </w:t>
      </w:r>
    </w:p>
    <w:p w14:paraId="1203C2C5" w14:textId="77777777" w:rsidR="00324343" w:rsidRDefault="00C31AD0">
      <w:pPr>
        <w:spacing w:after="42" w:line="259" w:lineRule="auto"/>
        <w:ind w:left="33" w:right="0" w:firstLine="0"/>
        <w:jc w:val="left"/>
      </w:pPr>
      <w:r>
        <w:rPr>
          <w:noProof/>
        </w:rPr>
        <w:drawing>
          <wp:inline distT="0" distB="0" distL="0" distR="0" wp14:anchorId="2349B906" wp14:editId="5E4BE8A7">
            <wp:extent cx="5797297" cy="4910328"/>
            <wp:effectExtent l="0" t="0" r="0" b="0"/>
            <wp:docPr id="29994" name="Picture 29994"/>
            <wp:cNvGraphicFramePr/>
            <a:graphic xmlns:a="http://schemas.openxmlformats.org/drawingml/2006/main">
              <a:graphicData uri="http://schemas.openxmlformats.org/drawingml/2006/picture">
                <pic:pic xmlns:pic="http://schemas.openxmlformats.org/drawingml/2006/picture">
                  <pic:nvPicPr>
                    <pic:cNvPr id="29994" name="Picture 29994"/>
                    <pic:cNvPicPr/>
                  </pic:nvPicPr>
                  <pic:blipFill>
                    <a:blip r:embed="rId144"/>
                    <a:stretch>
                      <a:fillRect/>
                    </a:stretch>
                  </pic:blipFill>
                  <pic:spPr>
                    <a:xfrm>
                      <a:off x="0" y="0"/>
                      <a:ext cx="5797297" cy="4910328"/>
                    </a:xfrm>
                    <a:prstGeom prst="rect">
                      <a:avLst/>
                    </a:prstGeom>
                  </pic:spPr>
                </pic:pic>
              </a:graphicData>
            </a:graphic>
          </wp:inline>
        </w:drawing>
      </w:r>
    </w:p>
    <w:p w14:paraId="3553AE3F" w14:textId="77777777" w:rsidR="00324343" w:rsidRDefault="00C31AD0">
      <w:pPr>
        <w:spacing w:after="0" w:line="470" w:lineRule="auto"/>
        <w:ind w:left="0" w:right="0" w:firstLine="0"/>
        <w:jc w:val="left"/>
      </w:pPr>
      <w:r>
        <w:t xml:space="preserve"> </w:t>
      </w:r>
      <w:r>
        <w:rPr>
          <w:b/>
        </w:rPr>
        <w:t xml:space="preserve"> </w:t>
      </w:r>
    </w:p>
    <w:p w14:paraId="665086F1" w14:textId="77777777" w:rsidR="00324343" w:rsidRDefault="00324343">
      <w:pPr>
        <w:sectPr w:rsidR="00324343">
          <w:headerReference w:type="even" r:id="rId145"/>
          <w:headerReference w:type="default" r:id="rId146"/>
          <w:footerReference w:type="even" r:id="rId147"/>
          <w:footerReference w:type="default" r:id="rId148"/>
          <w:headerReference w:type="first" r:id="rId149"/>
          <w:footerReference w:type="first" r:id="rId150"/>
          <w:pgSz w:w="12240" w:h="15840"/>
          <w:pgMar w:top="1490" w:right="1474" w:bottom="5120" w:left="1441" w:header="1490" w:footer="716" w:gutter="0"/>
          <w:cols w:space="720"/>
          <w:titlePg/>
        </w:sectPr>
      </w:pPr>
    </w:p>
    <w:p w14:paraId="3A55C682" w14:textId="77777777" w:rsidR="00324343" w:rsidRDefault="00C31AD0">
      <w:pPr>
        <w:numPr>
          <w:ilvl w:val="0"/>
          <w:numId w:val="1"/>
        </w:numPr>
        <w:spacing w:after="0" w:line="265" w:lineRule="auto"/>
        <w:ind w:right="494" w:hanging="415"/>
        <w:jc w:val="right"/>
      </w:pPr>
      <w:r>
        <w:rPr>
          <w:b/>
        </w:rPr>
        <w:lastRenderedPageBreak/>
        <w:t xml:space="preserve">Evidence Summary Table </w:t>
      </w:r>
    </w:p>
    <w:tbl>
      <w:tblPr>
        <w:tblStyle w:val="TableGrid"/>
        <w:tblW w:w="8754" w:type="dxa"/>
        <w:tblInd w:w="0" w:type="dxa"/>
        <w:tblCellMar>
          <w:top w:w="292" w:type="dxa"/>
          <w:left w:w="108" w:type="dxa"/>
          <w:bottom w:w="125" w:type="dxa"/>
          <w:right w:w="62" w:type="dxa"/>
        </w:tblCellMar>
        <w:tblLook w:val="04A0" w:firstRow="1" w:lastRow="0" w:firstColumn="1" w:lastColumn="0" w:noHBand="0" w:noVBand="1"/>
      </w:tblPr>
      <w:tblGrid>
        <w:gridCol w:w="2269"/>
        <w:gridCol w:w="2161"/>
        <w:gridCol w:w="2161"/>
        <w:gridCol w:w="2163"/>
      </w:tblGrid>
      <w:tr w:rsidR="00324343" w14:paraId="12A3073C" w14:textId="77777777">
        <w:trPr>
          <w:trHeight w:val="625"/>
        </w:trPr>
        <w:tc>
          <w:tcPr>
            <w:tcW w:w="2269" w:type="dxa"/>
            <w:tcBorders>
              <w:top w:val="single" w:sz="2" w:space="0" w:color="666666"/>
              <w:left w:val="nil"/>
              <w:bottom w:val="single" w:sz="2" w:space="0" w:color="666666"/>
              <w:right w:val="single" w:sz="2" w:space="0" w:color="666666"/>
            </w:tcBorders>
            <w:shd w:val="clear" w:color="auto" w:fill="CCCCCC"/>
            <w:vAlign w:val="bottom"/>
          </w:tcPr>
          <w:p w14:paraId="07AD45D7" w14:textId="77777777" w:rsidR="00324343" w:rsidRDefault="00C31AD0">
            <w:pPr>
              <w:spacing w:after="0" w:line="259" w:lineRule="auto"/>
              <w:ind w:left="3" w:right="0" w:firstLine="0"/>
              <w:jc w:val="left"/>
            </w:pPr>
            <w:r>
              <w:rPr>
                <w:b/>
              </w:rPr>
              <w:t>Problem</w:t>
            </w:r>
            <w:r>
              <w:t xml:space="preserv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1D5D1011" w14:textId="77777777" w:rsidR="00324343" w:rsidRDefault="00C31AD0">
            <w:pPr>
              <w:spacing w:after="0" w:line="259" w:lineRule="auto"/>
              <w:ind w:left="0" w:right="0" w:firstLine="0"/>
              <w:jc w:val="left"/>
            </w:pPr>
            <w:r>
              <w:rPr>
                <w:b/>
              </w:rPr>
              <w:t>Evidence</w:t>
            </w:r>
            <w:r>
              <w:t xml:space="preserv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163E102E" w14:textId="77777777" w:rsidR="00324343" w:rsidRDefault="00C31AD0">
            <w:pPr>
              <w:spacing w:after="0" w:line="259" w:lineRule="auto"/>
              <w:ind w:left="0" w:right="0" w:firstLine="0"/>
              <w:jc w:val="left"/>
            </w:pPr>
            <w:r>
              <w:rPr>
                <w:b/>
              </w:rPr>
              <w:t>Impact</w:t>
            </w:r>
            <w:r>
              <w:t xml:space="preserve"> </w:t>
            </w:r>
          </w:p>
        </w:tc>
        <w:tc>
          <w:tcPr>
            <w:tcW w:w="2163" w:type="dxa"/>
            <w:tcBorders>
              <w:top w:val="single" w:sz="2" w:space="0" w:color="666666"/>
              <w:left w:val="single" w:sz="2" w:space="0" w:color="666666"/>
              <w:bottom w:val="single" w:sz="2" w:space="0" w:color="666666"/>
              <w:right w:val="nil"/>
            </w:tcBorders>
            <w:shd w:val="clear" w:color="auto" w:fill="CCCCCC"/>
            <w:vAlign w:val="bottom"/>
          </w:tcPr>
          <w:p w14:paraId="65FF6A6F" w14:textId="77777777" w:rsidR="00324343" w:rsidRDefault="00C31AD0">
            <w:pPr>
              <w:spacing w:after="0" w:line="259" w:lineRule="auto"/>
              <w:ind w:left="0" w:right="0" w:firstLine="0"/>
              <w:jc w:val="left"/>
            </w:pPr>
            <w:r>
              <w:rPr>
                <w:b/>
              </w:rPr>
              <w:t>Solution</w:t>
            </w:r>
            <w:r>
              <w:t xml:space="preserve"> </w:t>
            </w:r>
          </w:p>
        </w:tc>
      </w:tr>
      <w:tr w:rsidR="00324343" w14:paraId="73C9B990" w14:textId="77777777">
        <w:trPr>
          <w:trHeight w:val="1005"/>
        </w:trPr>
        <w:tc>
          <w:tcPr>
            <w:tcW w:w="2269" w:type="dxa"/>
            <w:tcBorders>
              <w:top w:val="single" w:sz="2" w:space="0" w:color="666666"/>
              <w:left w:val="nil"/>
              <w:bottom w:val="single" w:sz="2" w:space="0" w:color="666666"/>
              <w:right w:val="single" w:sz="2" w:space="0" w:color="666666"/>
            </w:tcBorders>
            <w:shd w:val="clear" w:color="auto" w:fill="CCCCCC"/>
            <w:vAlign w:val="bottom"/>
          </w:tcPr>
          <w:p w14:paraId="13593349" w14:textId="77777777" w:rsidR="00324343" w:rsidRDefault="00C31AD0">
            <w:pPr>
              <w:spacing w:after="0" w:line="259" w:lineRule="auto"/>
              <w:ind w:left="3" w:right="0" w:firstLine="0"/>
              <w:jc w:val="left"/>
            </w:pPr>
            <w:r>
              <w:t xml:space="preserve">Medication misunderstanding </w:t>
            </w:r>
          </w:p>
        </w:tc>
        <w:tc>
          <w:tcPr>
            <w:tcW w:w="2161" w:type="dxa"/>
            <w:tcBorders>
              <w:top w:val="single" w:sz="2" w:space="0" w:color="666666"/>
              <w:left w:val="single" w:sz="2" w:space="0" w:color="666666"/>
              <w:bottom w:val="single" w:sz="2" w:space="0" w:color="666666"/>
              <w:right w:val="single" w:sz="2" w:space="0" w:color="666666"/>
            </w:tcBorders>
          </w:tcPr>
          <w:p w14:paraId="60112A9E" w14:textId="77777777" w:rsidR="00324343" w:rsidRDefault="00C31AD0">
            <w:pPr>
              <w:spacing w:after="0" w:line="259" w:lineRule="auto"/>
              <w:ind w:left="0" w:right="0" w:firstLine="0"/>
              <w:jc w:val="left"/>
            </w:pPr>
            <w:r>
              <w:t xml:space="preserve">HSSIB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tcPr>
          <w:p w14:paraId="0D9CEAF5" w14:textId="77777777" w:rsidR="00324343" w:rsidRDefault="00C31AD0">
            <w:pPr>
              <w:spacing w:after="0" w:line="259" w:lineRule="auto"/>
              <w:ind w:left="0" w:right="0" w:firstLine="0"/>
              <w:jc w:val="left"/>
            </w:pPr>
            <w:r>
              <w:t xml:space="preserve">Overdose </w:t>
            </w:r>
          </w:p>
        </w:tc>
        <w:tc>
          <w:tcPr>
            <w:tcW w:w="2163" w:type="dxa"/>
            <w:tcBorders>
              <w:top w:val="single" w:sz="2" w:space="0" w:color="666666"/>
              <w:left w:val="single" w:sz="2" w:space="0" w:color="666666"/>
              <w:bottom w:val="single" w:sz="2" w:space="0" w:color="666666"/>
              <w:right w:val="nil"/>
            </w:tcBorders>
          </w:tcPr>
          <w:p w14:paraId="57EE80A2" w14:textId="77777777" w:rsidR="00324343" w:rsidRDefault="00C31AD0">
            <w:pPr>
              <w:spacing w:after="0" w:line="259" w:lineRule="auto"/>
              <w:ind w:left="0" w:right="0" w:firstLine="0"/>
              <w:jc w:val="left"/>
            </w:pPr>
            <w:r>
              <w:t xml:space="preserve">Teach-back </w:t>
            </w:r>
          </w:p>
        </w:tc>
      </w:tr>
      <w:tr w:rsidR="00324343" w14:paraId="5DC03F54" w14:textId="77777777">
        <w:trPr>
          <w:trHeight w:val="1001"/>
        </w:trPr>
        <w:tc>
          <w:tcPr>
            <w:tcW w:w="2269" w:type="dxa"/>
            <w:tcBorders>
              <w:top w:val="single" w:sz="2" w:space="0" w:color="666666"/>
              <w:left w:val="nil"/>
              <w:bottom w:val="single" w:sz="2" w:space="0" w:color="666666"/>
              <w:right w:val="single" w:sz="2" w:space="0" w:color="666666"/>
            </w:tcBorders>
            <w:shd w:val="clear" w:color="auto" w:fill="CCCCCC"/>
          </w:tcPr>
          <w:p w14:paraId="1CE0CD0A" w14:textId="77777777" w:rsidR="00324343" w:rsidRDefault="00C31AD0">
            <w:pPr>
              <w:spacing w:after="0" w:line="259" w:lineRule="auto"/>
              <w:ind w:left="3" w:right="0" w:firstLine="0"/>
              <w:jc w:val="left"/>
            </w:pPr>
            <w:r>
              <w:t xml:space="preserve">Poor communication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tcPr>
          <w:p w14:paraId="7726B8B2" w14:textId="77777777" w:rsidR="00324343" w:rsidRDefault="00C31AD0">
            <w:pPr>
              <w:spacing w:after="0" w:line="259" w:lineRule="auto"/>
              <w:ind w:left="0" w:right="0" w:firstLine="0"/>
              <w:jc w:val="left"/>
            </w:pPr>
            <w:r>
              <w:t xml:space="preserve">HSSIB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tcPr>
          <w:p w14:paraId="23886A1E" w14:textId="77777777" w:rsidR="00324343" w:rsidRDefault="00C31AD0">
            <w:pPr>
              <w:spacing w:after="0" w:line="259" w:lineRule="auto"/>
              <w:ind w:left="0" w:right="0" w:firstLine="0"/>
              <w:jc w:val="left"/>
            </w:pPr>
            <w:r>
              <w:t xml:space="preserve">Delay </w:t>
            </w:r>
          </w:p>
        </w:tc>
        <w:tc>
          <w:tcPr>
            <w:tcW w:w="2163" w:type="dxa"/>
            <w:tcBorders>
              <w:top w:val="single" w:sz="2" w:space="0" w:color="666666"/>
              <w:left w:val="single" w:sz="2" w:space="0" w:color="666666"/>
              <w:bottom w:val="single" w:sz="2" w:space="0" w:color="666666"/>
              <w:right w:val="nil"/>
            </w:tcBorders>
            <w:shd w:val="clear" w:color="auto" w:fill="CCCCCC"/>
            <w:vAlign w:val="bottom"/>
          </w:tcPr>
          <w:p w14:paraId="435BD8A4" w14:textId="77777777" w:rsidR="00324343" w:rsidRDefault="00C31AD0">
            <w:pPr>
              <w:spacing w:after="102" w:line="259" w:lineRule="auto"/>
              <w:ind w:left="0" w:right="0" w:firstLine="0"/>
              <w:jc w:val="left"/>
            </w:pPr>
            <w:r>
              <w:t xml:space="preserve">MDT </w:t>
            </w:r>
          </w:p>
          <w:p w14:paraId="3592D9F4" w14:textId="77777777" w:rsidR="00324343" w:rsidRDefault="00C31AD0">
            <w:pPr>
              <w:spacing w:after="0" w:line="259" w:lineRule="auto"/>
              <w:ind w:left="0" w:right="0" w:firstLine="0"/>
              <w:jc w:val="left"/>
            </w:pPr>
            <w:r>
              <w:t xml:space="preserve">communication </w:t>
            </w:r>
          </w:p>
        </w:tc>
      </w:tr>
      <w:tr w:rsidR="00324343" w14:paraId="26C28824" w14:textId="77777777">
        <w:trPr>
          <w:trHeight w:val="625"/>
        </w:trPr>
        <w:tc>
          <w:tcPr>
            <w:tcW w:w="2269" w:type="dxa"/>
            <w:tcBorders>
              <w:top w:val="single" w:sz="2" w:space="0" w:color="666666"/>
              <w:left w:val="nil"/>
              <w:bottom w:val="single" w:sz="2" w:space="0" w:color="666666"/>
              <w:right w:val="single" w:sz="2" w:space="0" w:color="666666"/>
            </w:tcBorders>
            <w:shd w:val="clear" w:color="auto" w:fill="CCCCCC"/>
            <w:vAlign w:val="bottom"/>
          </w:tcPr>
          <w:p w14:paraId="334A639D" w14:textId="77777777" w:rsidR="00324343" w:rsidRDefault="00C31AD0">
            <w:pPr>
              <w:spacing w:after="0" w:line="259" w:lineRule="auto"/>
              <w:ind w:left="3" w:right="0" w:firstLine="0"/>
              <w:jc w:val="left"/>
            </w:pPr>
            <w:r>
              <w:t xml:space="preserve">Labelling </w:t>
            </w:r>
          </w:p>
        </w:tc>
        <w:tc>
          <w:tcPr>
            <w:tcW w:w="2161" w:type="dxa"/>
            <w:tcBorders>
              <w:top w:val="single" w:sz="2" w:space="0" w:color="666666"/>
              <w:left w:val="single" w:sz="2" w:space="0" w:color="666666"/>
              <w:bottom w:val="single" w:sz="2" w:space="0" w:color="666666"/>
              <w:right w:val="single" w:sz="2" w:space="0" w:color="666666"/>
            </w:tcBorders>
            <w:vAlign w:val="bottom"/>
          </w:tcPr>
          <w:p w14:paraId="47DC5FAB" w14:textId="77777777" w:rsidR="00324343" w:rsidRDefault="00C31AD0">
            <w:pPr>
              <w:spacing w:after="0" w:line="259" w:lineRule="auto"/>
              <w:ind w:left="0" w:right="0" w:firstLine="0"/>
              <w:jc w:val="left"/>
            </w:pPr>
            <w:r>
              <w:t xml:space="preserve">HSSIB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6C4EF098" w14:textId="77777777" w:rsidR="00324343" w:rsidRDefault="00C31AD0">
            <w:pPr>
              <w:spacing w:after="0" w:line="259" w:lineRule="auto"/>
              <w:ind w:left="0" w:right="0" w:firstLine="0"/>
              <w:jc w:val="left"/>
            </w:pPr>
            <w:r>
              <w:t xml:space="preserve">Confusion </w:t>
            </w:r>
          </w:p>
        </w:tc>
        <w:tc>
          <w:tcPr>
            <w:tcW w:w="2163" w:type="dxa"/>
            <w:tcBorders>
              <w:top w:val="single" w:sz="2" w:space="0" w:color="666666"/>
              <w:left w:val="single" w:sz="2" w:space="0" w:color="666666"/>
              <w:bottom w:val="single" w:sz="2" w:space="0" w:color="666666"/>
              <w:right w:val="nil"/>
            </w:tcBorders>
            <w:vAlign w:val="bottom"/>
          </w:tcPr>
          <w:p w14:paraId="2B70F061" w14:textId="77777777" w:rsidR="00324343" w:rsidRDefault="00C31AD0">
            <w:pPr>
              <w:spacing w:after="0" w:line="259" w:lineRule="auto"/>
              <w:ind w:left="0" w:right="0" w:firstLine="0"/>
              <w:jc w:val="left"/>
            </w:pPr>
            <w:r>
              <w:t xml:space="preserve">Clear labels </w:t>
            </w:r>
          </w:p>
        </w:tc>
      </w:tr>
      <w:tr w:rsidR="00324343" w14:paraId="64C6A62E" w14:textId="77777777">
        <w:trPr>
          <w:trHeight w:val="625"/>
        </w:trPr>
        <w:tc>
          <w:tcPr>
            <w:tcW w:w="2269" w:type="dxa"/>
            <w:tcBorders>
              <w:top w:val="single" w:sz="2" w:space="0" w:color="666666"/>
              <w:left w:val="nil"/>
              <w:bottom w:val="single" w:sz="2" w:space="0" w:color="666666"/>
              <w:right w:val="single" w:sz="2" w:space="0" w:color="666666"/>
            </w:tcBorders>
            <w:shd w:val="clear" w:color="auto" w:fill="CCCCCC"/>
            <w:vAlign w:val="bottom"/>
          </w:tcPr>
          <w:p w14:paraId="0FED8AD3" w14:textId="77777777" w:rsidR="00324343" w:rsidRDefault="00C31AD0">
            <w:pPr>
              <w:spacing w:after="0" w:line="259" w:lineRule="auto"/>
              <w:ind w:left="3" w:right="0" w:firstLine="0"/>
              <w:jc w:val="left"/>
            </w:pPr>
            <w:r>
              <w:lastRenderedPageBreak/>
              <w:t xml:space="preserve">Governance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26F3678B" w14:textId="77777777" w:rsidR="00324343" w:rsidRDefault="00C31AD0">
            <w:pPr>
              <w:spacing w:after="0" w:line="259" w:lineRule="auto"/>
              <w:ind w:left="0" w:right="0" w:firstLine="0"/>
              <w:jc w:val="left"/>
            </w:pPr>
            <w:r>
              <w:t xml:space="preserve">NHS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vAlign w:val="bottom"/>
          </w:tcPr>
          <w:p w14:paraId="62D7FD63" w14:textId="77777777" w:rsidR="00324343" w:rsidRDefault="00C31AD0">
            <w:pPr>
              <w:spacing w:after="0" w:line="259" w:lineRule="auto"/>
              <w:ind w:left="0" w:right="0" w:firstLine="0"/>
              <w:jc w:val="left"/>
            </w:pPr>
            <w:r>
              <w:t xml:space="preserve">Learning gaps </w:t>
            </w:r>
          </w:p>
        </w:tc>
        <w:tc>
          <w:tcPr>
            <w:tcW w:w="2163" w:type="dxa"/>
            <w:tcBorders>
              <w:top w:val="single" w:sz="2" w:space="0" w:color="666666"/>
              <w:left w:val="single" w:sz="2" w:space="0" w:color="666666"/>
              <w:bottom w:val="single" w:sz="2" w:space="0" w:color="666666"/>
              <w:right w:val="nil"/>
            </w:tcBorders>
            <w:shd w:val="clear" w:color="auto" w:fill="CCCCCC"/>
            <w:vAlign w:val="bottom"/>
          </w:tcPr>
          <w:p w14:paraId="13209A28" w14:textId="77777777" w:rsidR="00324343" w:rsidRDefault="00C31AD0">
            <w:pPr>
              <w:spacing w:after="0" w:line="259" w:lineRule="auto"/>
              <w:ind w:left="0" w:right="0" w:firstLine="0"/>
              <w:jc w:val="left"/>
            </w:pPr>
            <w:r>
              <w:t xml:space="preserve">Strong reporting </w:t>
            </w:r>
          </w:p>
        </w:tc>
      </w:tr>
      <w:tr w:rsidR="00324343" w14:paraId="38A4EE26" w14:textId="77777777">
        <w:trPr>
          <w:trHeight w:val="1004"/>
        </w:trPr>
        <w:tc>
          <w:tcPr>
            <w:tcW w:w="2269" w:type="dxa"/>
            <w:tcBorders>
              <w:top w:val="single" w:sz="2" w:space="0" w:color="666666"/>
              <w:left w:val="nil"/>
              <w:bottom w:val="single" w:sz="2" w:space="0" w:color="666666"/>
              <w:right w:val="single" w:sz="2" w:space="0" w:color="666666"/>
            </w:tcBorders>
            <w:shd w:val="clear" w:color="auto" w:fill="CCCCCC"/>
          </w:tcPr>
          <w:p w14:paraId="33E20EA6" w14:textId="77777777" w:rsidR="00324343" w:rsidRDefault="00C31AD0">
            <w:pPr>
              <w:spacing w:after="0" w:line="259" w:lineRule="auto"/>
              <w:ind w:left="3" w:right="0" w:firstLine="0"/>
              <w:jc w:val="left"/>
            </w:pPr>
            <w:r>
              <w:t xml:space="preserve">Leadership </w:t>
            </w:r>
          </w:p>
        </w:tc>
        <w:tc>
          <w:tcPr>
            <w:tcW w:w="2161" w:type="dxa"/>
            <w:tcBorders>
              <w:top w:val="single" w:sz="2" w:space="0" w:color="666666"/>
              <w:left w:val="single" w:sz="2" w:space="0" w:color="666666"/>
              <w:bottom w:val="single" w:sz="2" w:space="0" w:color="666666"/>
              <w:right w:val="single" w:sz="2" w:space="0" w:color="666666"/>
            </w:tcBorders>
          </w:tcPr>
          <w:p w14:paraId="0258CB47" w14:textId="77777777" w:rsidR="00324343" w:rsidRDefault="00C31AD0">
            <w:pPr>
              <w:spacing w:after="0" w:line="259" w:lineRule="auto"/>
              <w:ind w:left="0" w:right="0" w:firstLine="0"/>
              <w:jc w:val="left"/>
            </w:pPr>
            <w:r>
              <w:t xml:space="preserve">Literature </w:t>
            </w:r>
          </w:p>
        </w:tc>
        <w:tc>
          <w:tcPr>
            <w:tcW w:w="2161" w:type="dxa"/>
            <w:tcBorders>
              <w:top w:val="single" w:sz="2" w:space="0" w:color="666666"/>
              <w:left w:val="single" w:sz="2" w:space="0" w:color="666666"/>
              <w:bottom w:val="single" w:sz="2" w:space="0" w:color="666666"/>
              <w:right w:val="single" w:sz="2" w:space="0" w:color="666666"/>
            </w:tcBorders>
            <w:shd w:val="clear" w:color="auto" w:fill="CCCCCC"/>
          </w:tcPr>
          <w:p w14:paraId="237B1586" w14:textId="77777777" w:rsidR="00324343" w:rsidRDefault="00C31AD0">
            <w:pPr>
              <w:spacing w:after="0" w:line="259" w:lineRule="auto"/>
              <w:ind w:left="0" w:right="0" w:firstLine="0"/>
              <w:jc w:val="left"/>
            </w:pPr>
            <w:r>
              <w:t xml:space="preserve">Weak safety culture </w:t>
            </w:r>
          </w:p>
        </w:tc>
        <w:tc>
          <w:tcPr>
            <w:tcW w:w="2163" w:type="dxa"/>
            <w:tcBorders>
              <w:top w:val="single" w:sz="2" w:space="0" w:color="666666"/>
              <w:left w:val="single" w:sz="2" w:space="0" w:color="666666"/>
              <w:bottom w:val="single" w:sz="2" w:space="0" w:color="666666"/>
              <w:right w:val="nil"/>
            </w:tcBorders>
            <w:vAlign w:val="bottom"/>
          </w:tcPr>
          <w:p w14:paraId="43F56809" w14:textId="77777777" w:rsidR="00324343" w:rsidRDefault="00C31AD0">
            <w:pPr>
              <w:spacing w:after="0" w:line="259" w:lineRule="auto"/>
              <w:ind w:left="0" w:right="0" w:firstLine="0"/>
              <w:jc w:val="left"/>
            </w:pPr>
            <w:r>
              <w:t xml:space="preserve">Transformational leadership </w:t>
            </w:r>
          </w:p>
        </w:tc>
      </w:tr>
    </w:tbl>
    <w:p w14:paraId="2A50E938" w14:textId="77777777" w:rsidR="00324343" w:rsidRDefault="00C31AD0">
      <w:pPr>
        <w:spacing w:after="147" w:line="259" w:lineRule="auto"/>
        <w:ind w:left="0" w:right="0" w:firstLine="0"/>
        <w:jc w:val="left"/>
      </w:pPr>
      <w:r>
        <w:rPr>
          <w:b/>
        </w:rPr>
        <w:t xml:space="preserve"> </w:t>
      </w:r>
    </w:p>
    <w:p w14:paraId="7D0FD2C5" w14:textId="77777777" w:rsidR="00324343" w:rsidRDefault="00C31AD0">
      <w:pPr>
        <w:spacing w:after="0" w:line="259" w:lineRule="auto"/>
        <w:ind w:left="0" w:right="0" w:firstLine="0"/>
        <w:jc w:val="left"/>
      </w:pPr>
      <w:r>
        <w:rPr>
          <w:b/>
        </w:rPr>
        <w:t xml:space="preserve"> </w:t>
      </w:r>
      <w:r>
        <w:br w:type="page"/>
      </w:r>
    </w:p>
    <w:p w14:paraId="6315D011" w14:textId="77777777" w:rsidR="00324343" w:rsidRDefault="00C31AD0">
      <w:pPr>
        <w:numPr>
          <w:ilvl w:val="0"/>
          <w:numId w:val="1"/>
        </w:numPr>
        <w:spacing w:after="0" w:line="265" w:lineRule="auto"/>
        <w:ind w:right="494" w:hanging="415"/>
        <w:jc w:val="right"/>
      </w:pPr>
      <w:r>
        <w:rPr>
          <w:b/>
        </w:rPr>
        <w:lastRenderedPageBreak/>
        <w:t xml:space="preserve">Improvement Plan </w:t>
      </w:r>
    </w:p>
    <w:tbl>
      <w:tblPr>
        <w:tblStyle w:val="TableGrid"/>
        <w:tblW w:w="8754" w:type="dxa"/>
        <w:tblInd w:w="0" w:type="dxa"/>
        <w:tblCellMar>
          <w:top w:w="292" w:type="dxa"/>
          <w:left w:w="108" w:type="dxa"/>
          <w:bottom w:w="125" w:type="dxa"/>
          <w:right w:w="50" w:type="dxa"/>
        </w:tblCellMar>
        <w:tblLook w:val="04A0" w:firstRow="1" w:lastRow="0" w:firstColumn="1" w:lastColumn="0" w:noHBand="0" w:noVBand="1"/>
      </w:tblPr>
      <w:tblGrid>
        <w:gridCol w:w="2269"/>
        <w:gridCol w:w="2161"/>
        <w:gridCol w:w="2161"/>
        <w:gridCol w:w="2163"/>
      </w:tblGrid>
      <w:tr w:rsidR="00324343" w14:paraId="0241DD62" w14:textId="77777777">
        <w:trPr>
          <w:trHeight w:val="625"/>
        </w:trPr>
        <w:tc>
          <w:tcPr>
            <w:tcW w:w="2269" w:type="dxa"/>
            <w:tcBorders>
              <w:top w:val="single" w:sz="2" w:space="0" w:color="FFD966"/>
              <w:left w:val="nil"/>
              <w:bottom w:val="single" w:sz="2" w:space="0" w:color="FFD966"/>
              <w:right w:val="single" w:sz="2" w:space="0" w:color="FFD966"/>
            </w:tcBorders>
            <w:shd w:val="clear" w:color="auto" w:fill="FFF2CC"/>
            <w:vAlign w:val="bottom"/>
          </w:tcPr>
          <w:p w14:paraId="56DC09CB" w14:textId="77777777" w:rsidR="00324343" w:rsidRDefault="00C31AD0">
            <w:pPr>
              <w:spacing w:after="0" w:line="259" w:lineRule="auto"/>
              <w:ind w:left="3" w:right="0" w:firstLine="0"/>
              <w:jc w:val="left"/>
            </w:pPr>
            <w:r>
              <w:rPr>
                <w:b/>
              </w:rPr>
              <w:t>Recommendation</w:t>
            </w:r>
            <w:r>
              <w:t xml:space="preserve">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vAlign w:val="bottom"/>
          </w:tcPr>
          <w:p w14:paraId="5270A6FB" w14:textId="77777777" w:rsidR="00324343" w:rsidRDefault="00C31AD0">
            <w:pPr>
              <w:spacing w:after="0" w:line="259" w:lineRule="auto"/>
              <w:ind w:left="0" w:right="0" w:firstLine="0"/>
              <w:jc w:val="left"/>
            </w:pPr>
            <w:r>
              <w:rPr>
                <w:b/>
              </w:rPr>
              <w:t>Responsible</w:t>
            </w:r>
            <w:r>
              <w:t xml:space="preserve">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vAlign w:val="bottom"/>
          </w:tcPr>
          <w:p w14:paraId="46C2DD26" w14:textId="77777777" w:rsidR="00324343" w:rsidRDefault="00C31AD0">
            <w:pPr>
              <w:spacing w:after="0" w:line="259" w:lineRule="auto"/>
              <w:ind w:left="0" w:right="0" w:firstLine="0"/>
              <w:jc w:val="left"/>
            </w:pPr>
            <w:r>
              <w:rPr>
                <w:b/>
              </w:rPr>
              <w:t>Time</w:t>
            </w:r>
            <w:r>
              <w:t xml:space="preserve"> </w:t>
            </w:r>
          </w:p>
        </w:tc>
        <w:tc>
          <w:tcPr>
            <w:tcW w:w="2163" w:type="dxa"/>
            <w:tcBorders>
              <w:top w:val="single" w:sz="2" w:space="0" w:color="FFD966"/>
              <w:left w:val="single" w:sz="2" w:space="0" w:color="FFD966"/>
              <w:bottom w:val="single" w:sz="2" w:space="0" w:color="FFD966"/>
              <w:right w:val="nil"/>
            </w:tcBorders>
            <w:shd w:val="clear" w:color="auto" w:fill="FFF2CC"/>
            <w:vAlign w:val="bottom"/>
          </w:tcPr>
          <w:p w14:paraId="3CAADF36" w14:textId="77777777" w:rsidR="00324343" w:rsidRDefault="00C31AD0">
            <w:pPr>
              <w:spacing w:after="0" w:line="259" w:lineRule="auto"/>
              <w:ind w:left="0" w:right="0" w:firstLine="0"/>
              <w:jc w:val="left"/>
            </w:pPr>
            <w:r>
              <w:rPr>
                <w:b/>
              </w:rPr>
              <w:t>KPI</w:t>
            </w:r>
            <w:r>
              <w:t xml:space="preserve"> </w:t>
            </w:r>
          </w:p>
        </w:tc>
      </w:tr>
      <w:tr w:rsidR="00324343" w14:paraId="1738F65A" w14:textId="77777777">
        <w:trPr>
          <w:trHeight w:val="1005"/>
        </w:trPr>
        <w:tc>
          <w:tcPr>
            <w:tcW w:w="2269" w:type="dxa"/>
            <w:tcBorders>
              <w:top w:val="single" w:sz="2" w:space="0" w:color="FFD966"/>
              <w:left w:val="nil"/>
              <w:bottom w:val="single" w:sz="2" w:space="0" w:color="FFD966"/>
              <w:right w:val="single" w:sz="2" w:space="0" w:color="FFD966"/>
            </w:tcBorders>
            <w:shd w:val="clear" w:color="auto" w:fill="FFF2CC"/>
          </w:tcPr>
          <w:p w14:paraId="33D6A602" w14:textId="77777777" w:rsidR="00324343" w:rsidRDefault="00C31AD0">
            <w:pPr>
              <w:spacing w:after="0" w:line="259" w:lineRule="auto"/>
              <w:ind w:left="3" w:right="0" w:firstLine="0"/>
              <w:jc w:val="left"/>
            </w:pPr>
            <w:r>
              <w:t xml:space="preserve">Teach-back method </w:t>
            </w:r>
          </w:p>
        </w:tc>
        <w:tc>
          <w:tcPr>
            <w:tcW w:w="2161" w:type="dxa"/>
            <w:tcBorders>
              <w:top w:val="single" w:sz="2" w:space="0" w:color="FFD966"/>
              <w:left w:val="single" w:sz="2" w:space="0" w:color="FFD966"/>
              <w:bottom w:val="single" w:sz="2" w:space="0" w:color="FFD966"/>
              <w:right w:val="single" w:sz="2" w:space="0" w:color="FFD966"/>
            </w:tcBorders>
          </w:tcPr>
          <w:p w14:paraId="4CAB776A" w14:textId="77777777" w:rsidR="00324343" w:rsidRDefault="00C31AD0">
            <w:pPr>
              <w:spacing w:after="0" w:line="259" w:lineRule="auto"/>
              <w:ind w:left="0" w:right="0" w:firstLine="0"/>
              <w:jc w:val="left"/>
            </w:pPr>
            <w:r>
              <w:t xml:space="preserve">Pharmacist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tcPr>
          <w:p w14:paraId="6911026F" w14:textId="77777777" w:rsidR="00324343" w:rsidRDefault="00C31AD0">
            <w:pPr>
              <w:spacing w:after="0" w:line="259" w:lineRule="auto"/>
              <w:ind w:left="0" w:right="0" w:firstLine="0"/>
              <w:jc w:val="left"/>
            </w:pPr>
            <w:r>
              <w:t xml:space="preserve">Immediate </w:t>
            </w:r>
          </w:p>
        </w:tc>
        <w:tc>
          <w:tcPr>
            <w:tcW w:w="2163" w:type="dxa"/>
            <w:tcBorders>
              <w:top w:val="single" w:sz="2" w:space="0" w:color="FFD966"/>
              <w:left w:val="single" w:sz="2" w:space="0" w:color="FFD966"/>
              <w:bottom w:val="single" w:sz="2" w:space="0" w:color="FFD966"/>
              <w:right w:val="nil"/>
            </w:tcBorders>
            <w:vAlign w:val="bottom"/>
          </w:tcPr>
          <w:p w14:paraId="4C974FDD" w14:textId="77777777" w:rsidR="00324343" w:rsidRDefault="00C31AD0">
            <w:pPr>
              <w:tabs>
                <w:tab w:val="right" w:pos="2006"/>
              </w:tabs>
              <w:spacing w:after="114" w:line="259" w:lineRule="auto"/>
              <w:ind w:left="0" w:right="0" w:firstLine="0"/>
              <w:jc w:val="left"/>
            </w:pPr>
            <w:r>
              <w:t xml:space="preserve">100% </w:t>
            </w:r>
            <w:r>
              <w:tab/>
              <w:t xml:space="preserve">high-risk </w:t>
            </w:r>
          </w:p>
          <w:p w14:paraId="63DFAE92" w14:textId="77777777" w:rsidR="00324343" w:rsidRDefault="00C31AD0">
            <w:pPr>
              <w:spacing w:after="0" w:line="259" w:lineRule="auto"/>
              <w:ind w:left="0" w:right="0" w:firstLine="0"/>
              <w:jc w:val="left"/>
            </w:pPr>
            <w:r>
              <w:t xml:space="preserve">patients counselled </w:t>
            </w:r>
          </w:p>
        </w:tc>
      </w:tr>
      <w:tr w:rsidR="00324343" w14:paraId="099C1943" w14:textId="77777777">
        <w:trPr>
          <w:trHeight w:val="1001"/>
        </w:trPr>
        <w:tc>
          <w:tcPr>
            <w:tcW w:w="2269" w:type="dxa"/>
            <w:tcBorders>
              <w:top w:val="single" w:sz="2" w:space="0" w:color="FFD966"/>
              <w:left w:val="nil"/>
              <w:bottom w:val="single" w:sz="2" w:space="0" w:color="FFD966"/>
              <w:right w:val="single" w:sz="2" w:space="0" w:color="FFD966"/>
            </w:tcBorders>
            <w:shd w:val="clear" w:color="auto" w:fill="FFF2CC"/>
          </w:tcPr>
          <w:p w14:paraId="7F4F8FF7" w14:textId="77777777" w:rsidR="00324343" w:rsidRDefault="00C31AD0">
            <w:pPr>
              <w:spacing w:after="0" w:line="259" w:lineRule="auto"/>
              <w:ind w:left="3" w:right="0" w:firstLine="0"/>
              <w:jc w:val="left"/>
            </w:pPr>
            <w:r>
              <w:t xml:space="preserve">Digital prescribing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tcPr>
          <w:p w14:paraId="2A52FC8E" w14:textId="77777777" w:rsidR="00324343" w:rsidRDefault="00C31AD0">
            <w:pPr>
              <w:spacing w:after="0" w:line="259" w:lineRule="auto"/>
              <w:ind w:left="0" w:right="0" w:firstLine="0"/>
              <w:jc w:val="left"/>
            </w:pPr>
            <w:r>
              <w:t xml:space="preserve">NHS Trust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tcPr>
          <w:p w14:paraId="4CAF96F2" w14:textId="77777777" w:rsidR="00324343" w:rsidRDefault="00C31AD0">
            <w:pPr>
              <w:spacing w:after="0" w:line="259" w:lineRule="auto"/>
              <w:ind w:left="0" w:right="0" w:firstLine="0"/>
              <w:jc w:val="left"/>
            </w:pPr>
            <w:r>
              <w:t xml:space="preserve">6 months </w:t>
            </w:r>
          </w:p>
        </w:tc>
        <w:tc>
          <w:tcPr>
            <w:tcW w:w="2163" w:type="dxa"/>
            <w:tcBorders>
              <w:top w:val="single" w:sz="2" w:space="0" w:color="FFD966"/>
              <w:left w:val="single" w:sz="2" w:space="0" w:color="FFD966"/>
              <w:bottom w:val="single" w:sz="2" w:space="0" w:color="FFD966"/>
              <w:right w:val="nil"/>
            </w:tcBorders>
            <w:shd w:val="clear" w:color="auto" w:fill="FFF2CC"/>
            <w:vAlign w:val="bottom"/>
          </w:tcPr>
          <w:p w14:paraId="073EA712" w14:textId="77777777" w:rsidR="00324343" w:rsidRDefault="00C31AD0">
            <w:pPr>
              <w:spacing w:after="0" w:line="259" w:lineRule="auto"/>
              <w:ind w:left="0" w:right="0" w:firstLine="0"/>
              <w:jc w:val="left"/>
            </w:pPr>
            <w:r>
              <w:t xml:space="preserve">Medication </w:t>
            </w:r>
            <w:r>
              <w:tab/>
              <w:t xml:space="preserve">errors reduced </w:t>
            </w:r>
          </w:p>
        </w:tc>
      </w:tr>
      <w:tr w:rsidR="00324343" w14:paraId="0FFF656B" w14:textId="77777777">
        <w:trPr>
          <w:trHeight w:val="625"/>
        </w:trPr>
        <w:tc>
          <w:tcPr>
            <w:tcW w:w="2269" w:type="dxa"/>
            <w:tcBorders>
              <w:top w:val="single" w:sz="2" w:space="0" w:color="FFD966"/>
              <w:left w:val="nil"/>
              <w:bottom w:val="single" w:sz="2" w:space="0" w:color="FFD966"/>
              <w:right w:val="single" w:sz="2" w:space="0" w:color="FFD966"/>
            </w:tcBorders>
            <w:shd w:val="clear" w:color="auto" w:fill="FFF2CC"/>
            <w:vAlign w:val="bottom"/>
          </w:tcPr>
          <w:p w14:paraId="4481C9E6" w14:textId="77777777" w:rsidR="00324343" w:rsidRDefault="00C31AD0">
            <w:pPr>
              <w:spacing w:after="0" w:line="259" w:lineRule="auto"/>
              <w:ind w:left="3" w:right="0" w:firstLine="0"/>
              <w:jc w:val="left"/>
            </w:pPr>
            <w:r>
              <w:t xml:space="preserve">Medication audit </w:t>
            </w:r>
          </w:p>
        </w:tc>
        <w:tc>
          <w:tcPr>
            <w:tcW w:w="2161" w:type="dxa"/>
            <w:tcBorders>
              <w:top w:val="single" w:sz="2" w:space="0" w:color="FFD966"/>
              <w:left w:val="single" w:sz="2" w:space="0" w:color="FFD966"/>
              <w:bottom w:val="single" w:sz="2" w:space="0" w:color="FFD966"/>
              <w:right w:val="single" w:sz="2" w:space="0" w:color="FFD966"/>
            </w:tcBorders>
            <w:vAlign w:val="bottom"/>
          </w:tcPr>
          <w:p w14:paraId="422B5CFD" w14:textId="77777777" w:rsidR="00324343" w:rsidRDefault="00C31AD0">
            <w:pPr>
              <w:spacing w:after="0" w:line="259" w:lineRule="auto"/>
              <w:ind w:left="0" w:right="0" w:firstLine="0"/>
              <w:jc w:val="left"/>
            </w:pPr>
            <w:r>
              <w:t xml:space="preserve">Governance team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vAlign w:val="bottom"/>
          </w:tcPr>
          <w:p w14:paraId="149B26FC" w14:textId="77777777" w:rsidR="00324343" w:rsidRDefault="00C31AD0">
            <w:pPr>
              <w:spacing w:after="0" w:line="259" w:lineRule="auto"/>
              <w:ind w:left="0" w:right="0" w:firstLine="0"/>
              <w:jc w:val="left"/>
            </w:pPr>
            <w:r>
              <w:t xml:space="preserve">Monthly </w:t>
            </w:r>
          </w:p>
        </w:tc>
        <w:tc>
          <w:tcPr>
            <w:tcW w:w="2163" w:type="dxa"/>
            <w:tcBorders>
              <w:top w:val="single" w:sz="2" w:space="0" w:color="FFD966"/>
              <w:left w:val="single" w:sz="2" w:space="0" w:color="FFD966"/>
              <w:bottom w:val="single" w:sz="2" w:space="0" w:color="FFD966"/>
              <w:right w:val="nil"/>
            </w:tcBorders>
            <w:vAlign w:val="bottom"/>
          </w:tcPr>
          <w:p w14:paraId="1F33598E" w14:textId="77777777" w:rsidR="00324343" w:rsidRDefault="00C31AD0">
            <w:pPr>
              <w:spacing w:after="0" w:line="259" w:lineRule="auto"/>
              <w:ind w:left="0" w:right="0" w:firstLine="0"/>
              <w:jc w:val="left"/>
            </w:pPr>
            <w:r>
              <w:t xml:space="preserve">Compliance &gt;95% </w:t>
            </w:r>
          </w:p>
        </w:tc>
      </w:tr>
      <w:tr w:rsidR="00324343" w14:paraId="403D5027" w14:textId="77777777">
        <w:trPr>
          <w:trHeight w:val="625"/>
        </w:trPr>
        <w:tc>
          <w:tcPr>
            <w:tcW w:w="2269" w:type="dxa"/>
            <w:tcBorders>
              <w:top w:val="single" w:sz="2" w:space="0" w:color="FFD966"/>
              <w:left w:val="nil"/>
              <w:bottom w:val="single" w:sz="2" w:space="0" w:color="FFD966"/>
              <w:right w:val="single" w:sz="2" w:space="0" w:color="FFD966"/>
            </w:tcBorders>
            <w:shd w:val="clear" w:color="auto" w:fill="FFF2CC"/>
            <w:vAlign w:val="bottom"/>
          </w:tcPr>
          <w:p w14:paraId="53E282A0" w14:textId="77777777" w:rsidR="00324343" w:rsidRDefault="00C31AD0">
            <w:pPr>
              <w:spacing w:after="0" w:line="259" w:lineRule="auto"/>
              <w:ind w:left="3" w:right="0" w:firstLine="0"/>
              <w:jc w:val="left"/>
            </w:pPr>
            <w:r>
              <w:lastRenderedPageBreak/>
              <w:t xml:space="preserve">Staff training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vAlign w:val="bottom"/>
          </w:tcPr>
          <w:p w14:paraId="33BA1C47" w14:textId="77777777" w:rsidR="00324343" w:rsidRDefault="00C31AD0">
            <w:pPr>
              <w:spacing w:after="0" w:line="259" w:lineRule="auto"/>
              <w:ind w:left="0" w:right="0" w:firstLine="0"/>
              <w:jc w:val="left"/>
            </w:pPr>
            <w:r>
              <w:t xml:space="preserve">Clinical Lead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vAlign w:val="bottom"/>
          </w:tcPr>
          <w:p w14:paraId="05DB95B4" w14:textId="77777777" w:rsidR="00324343" w:rsidRDefault="00C31AD0">
            <w:pPr>
              <w:spacing w:after="0" w:line="259" w:lineRule="auto"/>
              <w:ind w:left="0" w:right="0" w:firstLine="0"/>
              <w:jc w:val="left"/>
            </w:pPr>
            <w:r>
              <w:t xml:space="preserve">Quarterly </w:t>
            </w:r>
          </w:p>
        </w:tc>
        <w:tc>
          <w:tcPr>
            <w:tcW w:w="2163" w:type="dxa"/>
            <w:tcBorders>
              <w:top w:val="single" w:sz="2" w:space="0" w:color="FFD966"/>
              <w:left w:val="single" w:sz="2" w:space="0" w:color="FFD966"/>
              <w:bottom w:val="single" w:sz="2" w:space="0" w:color="FFD966"/>
              <w:right w:val="nil"/>
            </w:tcBorders>
            <w:shd w:val="clear" w:color="auto" w:fill="FFF2CC"/>
            <w:vAlign w:val="bottom"/>
          </w:tcPr>
          <w:p w14:paraId="540ADFEC" w14:textId="77777777" w:rsidR="00324343" w:rsidRDefault="00C31AD0">
            <w:pPr>
              <w:spacing w:after="0" w:line="259" w:lineRule="auto"/>
              <w:ind w:left="0" w:right="0" w:firstLine="0"/>
              <w:jc w:val="left"/>
            </w:pPr>
            <w:r>
              <w:t xml:space="preserve">100% completion </w:t>
            </w:r>
          </w:p>
        </w:tc>
      </w:tr>
      <w:tr w:rsidR="00324343" w14:paraId="63046826" w14:textId="77777777">
        <w:trPr>
          <w:trHeight w:val="1004"/>
        </w:trPr>
        <w:tc>
          <w:tcPr>
            <w:tcW w:w="2269" w:type="dxa"/>
            <w:tcBorders>
              <w:top w:val="single" w:sz="2" w:space="0" w:color="FFD966"/>
              <w:left w:val="nil"/>
              <w:bottom w:val="single" w:sz="2" w:space="0" w:color="FFD966"/>
              <w:right w:val="single" w:sz="2" w:space="0" w:color="FFD966"/>
            </w:tcBorders>
            <w:shd w:val="clear" w:color="auto" w:fill="FFF2CC"/>
          </w:tcPr>
          <w:p w14:paraId="0B38C5D5" w14:textId="77777777" w:rsidR="00324343" w:rsidRDefault="00C31AD0">
            <w:pPr>
              <w:spacing w:after="0" w:line="259" w:lineRule="auto"/>
              <w:ind w:left="3" w:right="0" w:firstLine="0"/>
              <w:jc w:val="left"/>
            </w:pPr>
            <w:r>
              <w:t xml:space="preserve">MDT meetings </w:t>
            </w:r>
          </w:p>
        </w:tc>
        <w:tc>
          <w:tcPr>
            <w:tcW w:w="2161" w:type="dxa"/>
            <w:tcBorders>
              <w:top w:val="single" w:sz="2" w:space="0" w:color="FFD966"/>
              <w:left w:val="single" w:sz="2" w:space="0" w:color="FFD966"/>
              <w:bottom w:val="single" w:sz="2" w:space="0" w:color="FFD966"/>
              <w:right w:val="single" w:sz="2" w:space="0" w:color="FFD966"/>
            </w:tcBorders>
            <w:vAlign w:val="bottom"/>
          </w:tcPr>
          <w:p w14:paraId="1C0A31CE" w14:textId="77777777" w:rsidR="00324343" w:rsidRDefault="00C31AD0">
            <w:pPr>
              <w:spacing w:after="0" w:line="259" w:lineRule="auto"/>
              <w:ind w:left="0" w:right="0" w:firstLine="0"/>
              <w:jc w:val="left"/>
            </w:pPr>
            <w:r>
              <w:t xml:space="preserve">Department managers </w:t>
            </w:r>
          </w:p>
        </w:tc>
        <w:tc>
          <w:tcPr>
            <w:tcW w:w="2161" w:type="dxa"/>
            <w:tcBorders>
              <w:top w:val="single" w:sz="2" w:space="0" w:color="FFD966"/>
              <w:left w:val="single" w:sz="2" w:space="0" w:color="FFD966"/>
              <w:bottom w:val="single" w:sz="2" w:space="0" w:color="FFD966"/>
              <w:right w:val="single" w:sz="2" w:space="0" w:color="FFD966"/>
            </w:tcBorders>
            <w:shd w:val="clear" w:color="auto" w:fill="FFF2CC"/>
          </w:tcPr>
          <w:p w14:paraId="4E2572DE" w14:textId="77777777" w:rsidR="00324343" w:rsidRDefault="00C31AD0">
            <w:pPr>
              <w:spacing w:after="0" w:line="259" w:lineRule="auto"/>
              <w:ind w:left="0" w:right="0" w:firstLine="0"/>
              <w:jc w:val="left"/>
            </w:pPr>
            <w:r>
              <w:t xml:space="preserve">Monthly </w:t>
            </w:r>
          </w:p>
        </w:tc>
        <w:tc>
          <w:tcPr>
            <w:tcW w:w="2163" w:type="dxa"/>
            <w:tcBorders>
              <w:top w:val="single" w:sz="2" w:space="0" w:color="FFD966"/>
              <w:left w:val="single" w:sz="2" w:space="0" w:color="FFD966"/>
              <w:bottom w:val="single" w:sz="2" w:space="0" w:color="FFD966"/>
              <w:right w:val="nil"/>
            </w:tcBorders>
            <w:vAlign w:val="bottom"/>
          </w:tcPr>
          <w:p w14:paraId="0DB48FFC" w14:textId="77777777" w:rsidR="00324343" w:rsidRDefault="00C31AD0">
            <w:pPr>
              <w:spacing w:after="0" w:line="259" w:lineRule="auto"/>
              <w:ind w:left="0" w:right="0" w:firstLine="0"/>
              <w:jc w:val="left"/>
            </w:pPr>
            <w:r>
              <w:t xml:space="preserve">Communication improvements </w:t>
            </w:r>
          </w:p>
        </w:tc>
      </w:tr>
    </w:tbl>
    <w:p w14:paraId="3B1C5D16" w14:textId="77777777" w:rsidR="00324343" w:rsidRDefault="00C31AD0">
      <w:pPr>
        <w:spacing w:after="147" w:line="259" w:lineRule="auto"/>
        <w:ind w:left="0" w:right="0" w:firstLine="0"/>
        <w:jc w:val="left"/>
      </w:pPr>
      <w:r>
        <w:rPr>
          <w:b/>
        </w:rPr>
        <w:t xml:space="preserve"> </w:t>
      </w:r>
    </w:p>
    <w:p w14:paraId="4A2BE251" w14:textId="77777777" w:rsidR="00324343" w:rsidRDefault="00C31AD0">
      <w:pPr>
        <w:spacing w:after="0" w:line="259" w:lineRule="auto"/>
        <w:ind w:left="0" w:right="0" w:firstLine="0"/>
        <w:jc w:val="left"/>
      </w:pPr>
      <w:r>
        <w:rPr>
          <w:b/>
        </w:rPr>
        <w:t xml:space="preserve"> </w:t>
      </w:r>
      <w:r>
        <w:br w:type="page"/>
      </w:r>
    </w:p>
    <w:p w14:paraId="109628A7" w14:textId="77777777" w:rsidR="00324343" w:rsidRDefault="00C31AD0">
      <w:pPr>
        <w:numPr>
          <w:ilvl w:val="0"/>
          <w:numId w:val="1"/>
        </w:numPr>
        <w:spacing w:after="0" w:line="265" w:lineRule="auto"/>
        <w:ind w:right="494" w:hanging="415"/>
        <w:jc w:val="right"/>
      </w:pPr>
      <w:r>
        <w:rPr>
          <w:b/>
        </w:rPr>
        <w:lastRenderedPageBreak/>
        <w:t xml:space="preserve">– HSSIB Recommendations Summary </w:t>
      </w:r>
    </w:p>
    <w:tbl>
      <w:tblPr>
        <w:tblStyle w:val="TableGrid"/>
        <w:tblW w:w="9394" w:type="dxa"/>
        <w:tblInd w:w="0" w:type="dxa"/>
        <w:tblCellMar>
          <w:top w:w="292" w:type="dxa"/>
          <w:left w:w="108" w:type="dxa"/>
          <w:bottom w:w="156" w:type="dxa"/>
          <w:right w:w="48" w:type="dxa"/>
        </w:tblCellMar>
        <w:tblLook w:val="04A0" w:firstRow="1" w:lastRow="0" w:firstColumn="1" w:lastColumn="0" w:noHBand="0" w:noVBand="1"/>
      </w:tblPr>
      <w:tblGrid>
        <w:gridCol w:w="3207"/>
        <w:gridCol w:w="3093"/>
        <w:gridCol w:w="3094"/>
      </w:tblGrid>
      <w:tr w:rsidR="00324343" w14:paraId="7A7FB6B0" w14:textId="77777777">
        <w:trPr>
          <w:trHeight w:val="1055"/>
        </w:trPr>
        <w:tc>
          <w:tcPr>
            <w:tcW w:w="3207" w:type="dxa"/>
            <w:tcBorders>
              <w:top w:val="single" w:sz="2" w:space="0" w:color="8EAADB"/>
              <w:left w:val="nil"/>
              <w:bottom w:val="single" w:sz="2" w:space="0" w:color="8EAADB"/>
              <w:right w:val="single" w:sz="2" w:space="0" w:color="8EAADB"/>
            </w:tcBorders>
            <w:shd w:val="clear" w:color="auto" w:fill="D9E2F3"/>
          </w:tcPr>
          <w:p w14:paraId="6BA23F5E" w14:textId="77777777" w:rsidR="00324343" w:rsidRDefault="00C31AD0">
            <w:pPr>
              <w:spacing w:after="0" w:line="259" w:lineRule="auto"/>
              <w:ind w:left="2" w:right="0" w:firstLine="0"/>
              <w:jc w:val="left"/>
            </w:pPr>
            <w:r>
              <w:rPr>
                <w:b/>
              </w:rPr>
              <w:t>Recommendation</w:t>
            </w:r>
            <w:r>
              <w:t xml:space="preserve"> </w:t>
            </w:r>
          </w:p>
        </w:tc>
        <w:tc>
          <w:tcPr>
            <w:tcW w:w="3093" w:type="dxa"/>
            <w:tcBorders>
              <w:top w:val="single" w:sz="2" w:space="0" w:color="8EAADB"/>
              <w:left w:val="single" w:sz="2" w:space="0" w:color="8EAADB"/>
              <w:bottom w:val="single" w:sz="2" w:space="0" w:color="8EAADB"/>
              <w:right w:val="single" w:sz="2" w:space="0" w:color="8EAADB"/>
            </w:tcBorders>
            <w:shd w:val="clear" w:color="auto" w:fill="D9E2F3"/>
          </w:tcPr>
          <w:p w14:paraId="4A65FBE6" w14:textId="77777777" w:rsidR="00324343" w:rsidRDefault="00C31AD0">
            <w:pPr>
              <w:spacing w:after="0" w:line="259" w:lineRule="auto"/>
              <w:ind w:left="1" w:right="0" w:firstLine="0"/>
              <w:jc w:val="left"/>
            </w:pPr>
            <w:r>
              <w:rPr>
                <w:b/>
              </w:rPr>
              <w:t>Organisation Responsible</w:t>
            </w:r>
            <w:r>
              <w:t xml:space="preserve"> </w:t>
            </w:r>
          </w:p>
        </w:tc>
        <w:tc>
          <w:tcPr>
            <w:tcW w:w="3094" w:type="dxa"/>
            <w:tcBorders>
              <w:top w:val="single" w:sz="2" w:space="0" w:color="8EAADB"/>
              <w:left w:val="single" w:sz="2" w:space="0" w:color="8EAADB"/>
              <w:bottom w:val="single" w:sz="2" w:space="0" w:color="8EAADB"/>
              <w:right w:val="nil"/>
            </w:tcBorders>
            <w:shd w:val="clear" w:color="auto" w:fill="D9E2F3"/>
          </w:tcPr>
          <w:p w14:paraId="457D7F0C" w14:textId="77777777" w:rsidR="00324343" w:rsidRDefault="00C31AD0">
            <w:pPr>
              <w:spacing w:after="0" w:line="259" w:lineRule="auto"/>
              <w:ind w:left="0" w:right="0" w:firstLine="0"/>
              <w:jc w:val="left"/>
            </w:pPr>
            <w:r>
              <w:rPr>
                <w:b/>
              </w:rPr>
              <w:t>Expected Outcome</w:t>
            </w:r>
            <w:r>
              <w:t xml:space="preserve"> </w:t>
            </w:r>
          </w:p>
        </w:tc>
      </w:tr>
      <w:tr w:rsidR="00324343" w14:paraId="1D91B416" w14:textId="77777777">
        <w:trPr>
          <w:trHeight w:val="660"/>
        </w:trPr>
        <w:tc>
          <w:tcPr>
            <w:tcW w:w="3207" w:type="dxa"/>
            <w:tcBorders>
              <w:top w:val="single" w:sz="2" w:space="0" w:color="8EAADB"/>
              <w:left w:val="nil"/>
              <w:bottom w:val="single" w:sz="2" w:space="0" w:color="8EAADB"/>
              <w:right w:val="single" w:sz="2" w:space="0" w:color="8EAADB"/>
            </w:tcBorders>
            <w:shd w:val="clear" w:color="auto" w:fill="D9E2F3"/>
            <w:vAlign w:val="bottom"/>
          </w:tcPr>
          <w:p w14:paraId="10907B25" w14:textId="77777777" w:rsidR="00324343" w:rsidRDefault="00C31AD0">
            <w:pPr>
              <w:spacing w:after="0" w:line="259" w:lineRule="auto"/>
              <w:ind w:left="2" w:right="0" w:firstLine="0"/>
              <w:jc w:val="left"/>
            </w:pPr>
            <w:r>
              <w:t xml:space="preserve">Improve medication labelling </w:t>
            </w:r>
          </w:p>
        </w:tc>
        <w:tc>
          <w:tcPr>
            <w:tcW w:w="3093" w:type="dxa"/>
            <w:tcBorders>
              <w:top w:val="single" w:sz="2" w:space="0" w:color="8EAADB"/>
              <w:left w:val="single" w:sz="2" w:space="0" w:color="8EAADB"/>
              <w:bottom w:val="single" w:sz="2" w:space="0" w:color="8EAADB"/>
              <w:right w:val="single" w:sz="2" w:space="0" w:color="8EAADB"/>
            </w:tcBorders>
            <w:vAlign w:val="bottom"/>
          </w:tcPr>
          <w:p w14:paraId="11D10200" w14:textId="77777777" w:rsidR="00324343" w:rsidRDefault="00C31AD0">
            <w:pPr>
              <w:spacing w:after="0" w:line="259" w:lineRule="auto"/>
              <w:ind w:left="1" w:right="0" w:firstLine="0"/>
              <w:jc w:val="left"/>
            </w:pPr>
            <w:r>
              <w:t xml:space="preserve">MHRA </w:t>
            </w:r>
          </w:p>
        </w:tc>
        <w:tc>
          <w:tcPr>
            <w:tcW w:w="3094" w:type="dxa"/>
            <w:tcBorders>
              <w:top w:val="single" w:sz="2" w:space="0" w:color="8EAADB"/>
              <w:left w:val="single" w:sz="2" w:space="0" w:color="8EAADB"/>
              <w:bottom w:val="single" w:sz="2" w:space="0" w:color="8EAADB"/>
              <w:right w:val="nil"/>
            </w:tcBorders>
            <w:shd w:val="clear" w:color="auto" w:fill="D9E2F3"/>
            <w:vAlign w:val="bottom"/>
          </w:tcPr>
          <w:p w14:paraId="1A467F63" w14:textId="77777777" w:rsidR="00324343" w:rsidRDefault="00C31AD0">
            <w:pPr>
              <w:spacing w:after="0" w:line="259" w:lineRule="auto"/>
              <w:ind w:left="0" w:right="0" w:firstLine="0"/>
              <w:jc w:val="left"/>
            </w:pPr>
            <w:r>
              <w:t xml:space="preserve">Reduce confusion </w:t>
            </w:r>
          </w:p>
        </w:tc>
      </w:tr>
      <w:tr w:rsidR="00324343" w14:paraId="635C3D75" w14:textId="77777777">
        <w:trPr>
          <w:trHeight w:val="656"/>
        </w:trPr>
        <w:tc>
          <w:tcPr>
            <w:tcW w:w="3207" w:type="dxa"/>
            <w:tcBorders>
              <w:top w:val="single" w:sz="2" w:space="0" w:color="8EAADB"/>
              <w:left w:val="nil"/>
              <w:bottom w:val="single" w:sz="2" w:space="0" w:color="8EAADB"/>
              <w:right w:val="single" w:sz="2" w:space="0" w:color="8EAADB"/>
            </w:tcBorders>
            <w:shd w:val="clear" w:color="auto" w:fill="D9E2F3"/>
            <w:vAlign w:val="bottom"/>
          </w:tcPr>
          <w:p w14:paraId="79B66F87" w14:textId="77777777" w:rsidR="00324343" w:rsidRDefault="00C31AD0">
            <w:pPr>
              <w:spacing w:after="0" w:line="259" w:lineRule="auto"/>
              <w:ind w:left="2" w:right="0" w:firstLine="0"/>
              <w:jc w:val="left"/>
            </w:pPr>
            <w:r>
              <w:t xml:space="preserve">Improve patient information </w:t>
            </w:r>
          </w:p>
        </w:tc>
        <w:tc>
          <w:tcPr>
            <w:tcW w:w="3093" w:type="dxa"/>
            <w:tcBorders>
              <w:top w:val="single" w:sz="2" w:space="0" w:color="8EAADB"/>
              <w:left w:val="single" w:sz="2" w:space="0" w:color="8EAADB"/>
              <w:bottom w:val="single" w:sz="2" w:space="0" w:color="8EAADB"/>
              <w:right w:val="single" w:sz="2" w:space="0" w:color="8EAADB"/>
            </w:tcBorders>
            <w:shd w:val="clear" w:color="auto" w:fill="D9E2F3"/>
            <w:vAlign w:val="bottom"/>
          </w:tcPr>
          <w:p w14:paraId="66E18F71" w14:textId="77777777" w:rsidR="00324343" w:rsidRDefault="00C31AD0">
            <w:pPr>
              <w:spacing w:after="0" w:line="259" w:lineRule="auto"/>
              <w:ind w:left="1" w:right="0" w:firstLine="0"/>
              <w:jc w:val="left"/>
            </w:pPr>
            <w:r>
              <w:t xml:space="preserve">NHS </w:t>
            </w:r>
          </w:p>
        </w:tc>
        <w:tc>
          <w:tcPr>
            <w:tcW w:w="3094" w:type="dxa"/>
            <w:tcBorders>
              <w:top w:val="single" w:sz="2" w:space="0" w:color="8EAADB"/>
              <w:left w:val="single" w:sz="2" w:space="0" w:color="8EAADB"/>
              <w:bottom w:val="single" w:sz="2" w:space="0" w:color="8EAADB"/>
              <w:right w:val="nil"/>
            </w:tcBorders>
            <w:shd w:val="clear" w:color="auto" w:fill="D9E2F3"/>
            <w:vAlign w:val="bottom"/>
          </w:tcPr>
          <w:p w14:paraId="7648D690" w14:textId="77777777" w:rsidR="00324343" w:rsidRDefault="00C31AD0">
            <w:pPr>
              <w:spacing w:after="0" w:line="259" w:lineRule="auto"/>
              <w:ind w:left="0" w:right="0" w:firstLine="0"/>
              <w:jc w:val="left"/>
            </w:pPr>
            <w:r>
              <w:t xml:space="preserve">Better understanding </w:t>
            </w:r>
          </w:p>
        </w:tc>
      </w:tr>
      <w:tr w:rsidR="00324343" w14:paraId="1673022F" w14:textId="77777777">
        <w:trPr>
          <w:trHeight w:val="1055"/>
        </w:trPr>
        <w:tc>
          <w:tcPr>
            <w:tcW w:w="3207" w:type="dxa"/>
            <w:tcBorders>
              <w:top w:val="single" w:sz="2" w:space="0" w:color="8EAADB"/>
              <w:left w:val="nil"/>
              <w:bottom w:val="single" w:sz="2" w:space="0" w:color="8EAADB"/>
              <w:right w:val="single" w:sz="2" w:space="0" w:color="8EAADB"/>
            </w:tcBorders>
            <w:shd w:val="clear" w:color="auto" w:fill="D9E2F3"/>
          </w:tcPr>
          <w:p w14:paraId="64AEA81D" w14:textId="77777777" w:rsidR="00324343" w:rsidRDefault="00C31AD0">
            <w:pPr>
              <w:spacing w:after="0" w:line="259" w:lineRule="auto"/>
              <w:ind w:left="2" w:right="0" w:firstLine="0"/>
              <w:jc w:val="left"/>
            </w:pPr>
            <w:r>
              <w:t xml:space="preserve">Strengthen medication safety </w:t>
            </w:r>
          </w:p>
        </w:tc>
        <w:tc>
          <w:tcPr>
            <w:tcW w:w="3093" w:type="dxa"/>
            <w:tcBorders>
              <w:top w:val="single" w:sz="2" w:space="0" w:color="8EAADB"/>
              <w:left w:val="single" w:sz="2" w:space="0" w:color="8EAADB"/>
              <w:bottom w:val="single" w:sz="2" w:space="0" w:color="8EAADB"/>
              <w:right w:val="single" w:sz="2" w:space="0" w:color="8EAADB"/>
            </w:tcBorders>
          </w:tcPr>
          <w:p w14:paraId="1B744EFB" w14:textId="77777777" w:rsidR="00324343" w:rsidRDefault="00C31AD0">
            <w:pPr>
              <w:spacing w:after="0" w:line="259" w:lineRule="auto"/>
              <w:ind w:left="1" w:right="0" w:firstLine="0"/>
              <w:jc w:val="left"/>
            </w:pPr>
            <w:r>
              <w:t xml:space="preserve">Healthcare organisations </w:t>
            </w:r>
          </w:p>
        </w:tc>
        <w:tc>
          <w:tcPr>
            <w:tcW w:w="3094" w:type="dxa"/>
            <w:tcBorders>
              <w:top w:val="single" w:sz="2" w:space="0" w:color="8EAADB"/>
              <w:left w:val="single" w:sz="2" w:space="0" w:color="8EAADB"/>
              <w:bottom w:val="single" w:sz="2" w:space="0" w:color="8EAADB"/>
              <w:right w:val="nil"/>
            </w:tcBorders>
            <w:shd w:val="clear" w:color="auto" w:fill="D9E2F3"/>
          </w:tcPr>
          <w:p w14:paraId="5806C2FB" w14:textId="77777777" w:rsidR="00324343" w:rsidRDefault="00C31AD0">
            <w:pPr>
              <w:spacing w:after="0" w:line="259" w:lineRule="auto"/>
              <w:ind w:left="0" w:right="0" w:firstLine="0"/>
              <w:jc w:val="left"/>
            </w:pPr>
            <w:r>
              <w:t xml:space="preserve">Fewer medication errors </w:t>
            </w:r>
          </w:p>
        </w:tc>
      </w:tr>
      <w:tr w:rsidR="00324343" w14:paraId="2A535923" w14:textId="77777777">
        <w:trPr>
          <w:trHeight w:val="1060"/>
        </w:trPr>
        <w:tc>
          <w:tcPr>
            <w:tcW w:w="3207" w:type="dxa"/>
            <w:tcBorders>
              <w:top w:val="single" w:sz="2" w:space="0" w:color="8EAADB"/>
              <w:left w:val="nil"/>
              <w:bottom w:val="single" w:sz="2" w:space="0" w:color="8EAADB"/>
              <w:right w:val="single" w:sz="2" w:space="0" w:color="8EAADB"/>
            </w:tcBorders>
            <w:shd w:val="clear" w:color="auto" w:fill="D9E2F3"/>
            <w:vAlign w:val="bottom"/>
          </w:tcPr>
          <w:p w14:paraId="5527873C" w14:textId="77777777" w:rsidR="00324343" w:rsidRDefault="00C31AD0">
            <w:pPr>
              <w:tabs>
                <w:tab w:val="right" w:pos="3051"/>
              </w:tabs>
              <w:spacing w:after="114" w:line="259" w:lineRule="auto"/>
              <w:ind w:left="0" w:right="0" w:firstLine="0"/>
              <w:jc w:val="left"/>
            </w:pPr>
            <w:r>
              <w:lastRenderedPageBreak/>
              <w:t xml:space="preserve">Promote </w:t>
            </w:r>
            <w:r>
              <w:tab/>
              <w:t xml:space="preserve">organisational </w:t>
            </w:r>
          </w:p>
          <w:p w14:paraId="687BF18B" w14:textId="77777777" w:rsidR="00324343" w:rsidRDefault="00C31AD0">
            <w:pPr>
              <w:spacing w:after="0" w:line="259" w:lineRule="auto"/>
              <w:ind w:left="2" w:right="0" w:firstLine="0"/>
              <w:jc w:val="left"/>
            </w:pPr>
            <w:r>
              <w:t xml:space="preserve">learning </w:t>
            </w:r>
          </w:p>
        </w:tc>
        <w:tc>
          <w:tcPr>
            <w:tcW w:w="3093" w:type="dxa"/>
            <w:tcBorders>
              <w:top w:val="single" w:sz="2" w:space="0" w:color="8EAADB"/>
              <w:left w:val="single" w:sz="2" w:space="0" w:color="8EAADB"/>
              <w:bottom w:val="single" w:sz="2" w:space="0" w:color="8EAADB"/>
              <w:right w:val="single" w:sz="2" w:space="0" w:color="8EAADB"/>
            </w:tcBorders>
            <w:shd w:val="clear" w:color="auto" w:fill="D9E2F3"/>
          </w:tcPr>
          <w:p w14:paraId="75EE5F26" w14:textId="77777777" w:rsidR="00324343" w:rsidRDefault="00C31AD0">
            <w:pPr>
              <w:spacing w:after="0" w:line="259" w:lineRule="auto"/>
              <w:ind w:left="1" w:right="0" w:firstLine="0"/>
              <w:jc w:val="left"/>
            </w:pPr>
            <w:r>
              <w:t xml:space="preserve">HSSIB/NHS </w:t>
            </w:r>
          </w:p>
        </w:tc>
        <w:tc>
          <w:tcPr>
            <w:tcW w:w="3094" w:type="dxa"/>
            <w:tcBorders>
              <w:top w:val="single" w:sz="2" w:space="0" w:color="8EAADB"/>
              <w:left w:val="single" w:sz="2" w:space="0" w:color="8EAADB"/>
              <w:bottom w:val="single" w:sz="2" w:space="0" w:color="8EAADB"/>
              <w:right w:val="nil"/>
            </w:tcBorders>
            <w:shd w:val="clear" w:color="auto" w:fill="D9E2F3"/>
          </w:tcPr>
          <w:p w14:paraId="54C52618" w14:textId="77777777" w:rsidR="00324343" w:rsidRDefault="00C31AD0">
            <w:pPr>
              <w:spacing w:after="0" w:line="259" w:lineRule="auto"/>
              <w:ind w:left="0" w:right="0" w:firstLine="0"/>
              <w:jc w:val="left"/>
            </w:pPr>
            <w:r>
              <w:t xml:space="preserve">Continuous improvement </w:t>
            </w:r>
          </w:p>
        </w:tc>
      </w:tr>
    </w:tbl>
    <w:p w14:paraId="5A8F5533" w14:textId="77777777" w:rsidR="00324343" w:rsidRDefault="00C31AD0">
      <w:pPr>
        <w:spacing w:after="0" w:line="259" w:lineRule="auto"/>
        <w:ind w:left="0" w:right="0" w:firstLine="0"/>
        <w:jc w:val="left"/>
      </w:pPr>
      <w:r>
        <w:t xml:space="preserve"> </w:t>
      </w:r>
    </w:p>
    <w:sectPr w:rsidR="00324343">
      <w:headerReference w:type="even" r:id="rId151"/>
      <w:headerReference w:type="default" r:id="rId152"/>
      <w:footerReference w:type="even" r:id="rId153"/>
      <w:footerReference w:type="default" r:id="rId154"/>
      <w:headerReference w:type="first" r:id="rId155"/>
      <w:footerReference w:type="first" r:id="rId156"/>
      <w:pgSz w:w="12240" w:h="15840"/>
      <w:pgMar w:top="1490" w:right="5670" w:bottom="8171" w:left="1441" w:header="1490" w:footer="71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384C2" w14:textId="77777777" w:rsidR="004053BE" w:rsidRDefault="004053BE">
      <w:pPr>
        <w:spacing w:after="0" w:line="240" w:lineRule="auto"/>
      </w:pPr>
      <w:r>
        <w:separator/>
      </w:r>
    </w:p>
  </w:endnote>
  <w:endnote w:type="continuationSeparator" w:id="0">
    <w:p w14:paraId="05E81F3F" w14:textId="77777777" w:rsidR="004053BE" w:rsidRDefault="004053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10A70"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C0F76"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6ABC"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1</w:t>
    </w:r>
    <w:r>
      <w:rPr>
        <w:rFonts w:ascii="Calibri" w:eastAsia="Calibri" w:hAnsi="Calibri" w:cs="Calibri"/>
        <w:sz w:val="24"/>
      </w:rPr>
      <w:fldChar w:fldCharType="end"/>
    </w:r>
    <w:r>
      <w:rPr>
        <w:rFonts w:ascii="Calibri" w:eastAsia="Calibri" w:hAnsi="Calibri" w:cs="Calibri"/>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59FD9"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25</w:t>
    </w:r>
    <w:r>
      <w:rPr>
        <w:rFonts w:ascii="Calibri" w:eastAsia="Calibri" w:hAnsi="Calibri" w:cs="Calibri"/>
        <w:sz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BD06F"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25</w:t>
    </w:r>
    <w:r>
      <w:rPr>
        <w:rFonts w:ascii="Calibri" w:eastAsia="Calibri" w:hAnsi="Calibri" w:cs="Calibri"/>
        <w:sz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7A30A"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25</w:t>
    </w:r>
    <w:r>
      <w:rPr>
        <w:rFonts w:ascii="Calibri" w:eastAsia="Calibri" w:hAnsi="Calibri" w:cs="Calibri"/>
        <w:sz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7D77B"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25</w:t>
    </w:r>
    <w:r>
      <w:rPr>
        <w:rFonts w:ascii="Calibri" w:eastAsia="Calibri" w:hAnsi="Calibri" w:cs="Calibri"/>
        <w:sz w:val="2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D40CA"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25</w:t>
    </w:r>
    <w:r>
      <w:rPr>
        <w:rFonts w:ascii="Calibri" w:eastAsia="Calibri" w:hAnsi="Calibri" w:cs="Calibri"/>
        <w:sz w:val="24"/>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8E3B1" w14:textId="77777777" w:rsidR="00324343" w:rsidRDefault="00C31AD0">
    <w:pPr>
      <w:tabs>
        <w:tab w:val="center" w:pos="4683"/>
      </w:tabs>
      <w:spacing w:after="0" w:line="259" w:lineRule="auto"/>
      <w:ind w:left="0" w:right="0" w:firstLine="0"/>
      <w:jc w:val="left"/>
    </w:pPr>
    <w:r>
      <w:rPr>
        <w:rFonts w:ascii="Calibri" w:eastAsia="Calibri" w:hAnsi="Calibri" w:cs="Calibri"/>
        <w:sz w:val="24"/>
      </w:rPr>
      <w:t xml:space="preserve"> </w:t>
    </w:r>
    <w:r>
      <w:rPr>
        <w:rFonts w:ascii="Calibri" w:eastAsia="Calibri" w:hAnsi="Calibri" w:cs="Calibri"/>
        <w:sz w:val="24"/>
      </w:rPr>
      <w:tab/>
    </w:r>
    <w:r>
      <w:fldChar w:fldCharType="begin"/>
    </w:r>
    <w:r>
      <w:instrText xml:space="preserve"> PAGE   \* MERGEFORMAT </w:instrText>
    </w:r>
    <w:r>
      <w:fldChar w:fldCharType="separate"/>
    </w:r>
    <w:r>
      <w:rPr>
        <w:rFonts w:ascii="Calibri" w:eastAsia="Calibri" w:hAnsi="Calibri" w:cs="Calibri"/>
        <w:sz w:val="24"/>
      </w:rPr>
      <w:t>25</w:t>
    </w:r>
    <w:r>
      <w:rPr>
        <w:rFonts w:ascii="Calibri" w:eastAsia="Calibri" w:hAnsi="Calibri" w:cs="Calibri"/>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A7212" w14:textId="77777777" w:rsidR="004053BE" w:rsidRDefault="004053BE">
      <w:pPr>
        <w:spacing w:after="0" w:line="240" w:lineRule="auto"/>
      </w:pPr>
      <w:r>
        <w:separator/>
      </w:r>
    </w:p>
  </w:footnote>
  <w:footnote w:type="continuationSeparator" w:id="0">
    <w:p w14:paraId="151A8B77" w14:textId="77777777" w:rsidR="004053BE" w:rsidRDefault="004053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1B1F0" w14:textId="77777777" w:rsidR="00324343" w:rsidRDefault="00324343">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9C100" w14:textId="77777777" w:rsidR="00324343" w:rsidRDefault="00324343">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3531F" w14:textId="77777777" w:rsidR="00324343" w:rsidRDefault="0032434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AB379" w14:textId="77777777" w:rsidR="00324343" w:rsidRDefault="00C31AD0">
    <w:pPr>
      <w:spacing w:after="0" w:line="259" w:lineRule="auto"/>
      <w:ind w:left="1281" w:right="0" w:firstLine="0"/>
      <w:jc w:val="left"/>
    </w:pPr>
    <w:r>
      <w:rPr>
        <w:b/>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223FD" w14:textId="77777777" w:rsidR="00324343" w:rsidRDefault="00C31AD0">
    <w:pPr>
      <w:tabs>
        <w:tab w:val="center" w:pos="1317"/>
      </w:tabs>
      <w:spacing w:after="0" w:line="259" w:lineRule="auto"/>
      <w:ind w:left="0" w:right="0" w:firstLine="0"/>
      <w:jc w:val="left"/>
    </w:pPr>
    <w:r>
      <w:rPr>
        <w:b/>
      </w:rPr>
      <w:t xml:space="preserve">Appendix </w:t>
    </w:r>
    <w:r>
      <w:rPr>
        <w:b/>
      </w:rPr>
      <w:tab/>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A3997" w14:textId="77777777" w:rsidR="00324343" w:rsidRDefault="00C31AD0">
    <w:pPr>
      <w:spacing w:after="0" w:line="259" w:lineRule="auto"/>
      <w:ind w:left="1281" w:right="0" w:firstLine="0"/>
      <w:jc w:val="left"/>
    </w:pPr>
    <w:r>
      <w:rPr>
        <w:b/>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F62AC" w14:textId="77777777" w:rsidR="00324343" w:rsidRDefault="00C31AD0">
    <w:pPr>
      <w:spacing w:after="0" w:line="259" w:lineRule="auto"/>
      <w:ind w:left="0" w:right="0" w:firstLine="0"/>
      <w:jc w:val="left"/>
    </w:pPr>
    <w:r>
      <w:rPr>
        <w:b/>
      </w:rPr>
      <w:t xml:space="preserve">Appendix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C654E" w14:textId="77777777" w:rsidR="00324343" w:rsidRDefault="00C31AD0">
    <w:pPr>
      <w:tabs>
        <w:tab w:val="center" w:pos="1317"/>
      </w:tabs>
      <w:spacing w:after="0" w:line="259" w:lineRule="auto"/>
      <w:ind w:left="0" w:right="0" w:firstLine="0"/>
      <w:jc w:val="left"/>
    </w:pPr>
    <w:r>
      <w:rPr>
        <w:b/>
      </w:rPr>
      <w:t xml:space="preserve">Appendix </w:t>
    </w:r>
    <w:r>
      <w:rPr>
        <w:b/>
      </w:rPr>
      <w:tab/>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E05A8" w14:textId="77777777" w:rsidR="00324343" w:rsidRDefault="00C31AD0">
    <w:pPr>
      <w:tabs>
        <w:tab w:val="center" w:pos="1317"/>
      </w:tabs>
      <w:spacing w:after="0" w:line="259" w:lineRule="auto"/>
      <w:ind w:left="0" w:right="0" w:firstLine="0"/>
      <w:jc w:val="left"/>
    </w:pPr>
    <w:r>
      <w:rPr>
        <w:b/>
      </w:rPr>
      <w:t xml:space="preserve">Appendix </w:t>
    </w:r>
    <w:r>
      <w:rPr>
        <w:b/>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E42C5"/>
    <w:multiLevelType w:val="hybridMultilevel"/>
    <w:tmpl w:val="59FA4D92"/>
    <w:lvl w:ilvl="0" w:tplc="4E14EDB2">
      <w:start w:val="6"/>
      <w:numFmt w:val="upperLetter"/>
      <w:lvlText w:val="%1"/>
      <w:lvlJc w:val="left"/>
      <w:pPr>
        <w:ind w:left="41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EF285D0">
      <w:start w:val="1"/>
      <w:numFmt w:val="lowerLetter"/>
      <w:lvlText w:val="%2"/>
      <w:lvlJc w:val="left"/>
      <w:pPr>
        <w:ind w:left="21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11EFA36">
      <w:start w:val="1"/>
      <w:numFmt w:val="lowerRoman"/>
      <w:lvlText w:val="%3"/>
      <w:lvlJc w:val="left"/>
      <w:pPr>
        <w:ind w:left="28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EB87DCC">
      <w:start w:val="1"/>
      <w:numFmt w:val="decimal"/>
      <w:lvlText w:val="%4"/>
      <w:lvlJc w:val="left"/>
      <w:pPr>
        <w:ind w:left="35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5C20C7FE">
      <w:start w:val="1"/>
      <w:numFmt w:val="lowerLetter"/>
      <w:lvlText w:val="%5"/>
      <w:lvlJc w:val="left"/>
      <w:pPr>
        <w:ind w:left="430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63E73BE">
      <w:start w:val="1"/>
      <w:numFmt w:val="lowerRoman"/>
      <w:lvlText w:val="%6"/>
      <w:lvlJc w:val="left"/>
      <w:pPr>
        <w:ind w:left="502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A72065C">
      <w:start w:val="1"/>
      <w:numFmt w:val="decimal"/>
      <w:lvlText w:val="%7"/>
      <w:lvlJc w:val="left"/>
      <w:pPr>
        <w:ind w:left="574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2FB80E32">
      <w:start w:val="1"/>
      <w:numFmt w:val="lowerLetter"/>
      <w:lvlText w:val="%8"/>
      <w:lvlJc w:val="left"/>
      <w:pPr>
        <w:ind w:left="646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5467DD6">
      <w:start w:val="1"/>
      <w:numFmt w:val="lowerRoman"/>
      <w:lvlText w:val="%9"/>
      <w:lvlJc w:val="left"/>
      <w:pPr>
        <w:ind w:left="718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num w:numId="1" w16cid:durableId="404694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343"/>
    <w:rsid w:val="00013E32"/>
    <w:rsid w:val="00024B2A"/>
    <w:rsid w:val="00024B65"/>
    <w:rsid w:val="0003479A"/>
    <w:rsid w:val="00036DF1"/>
    <w:rsid w:val="00052EB0"/>
    <w:rsid w:val="00072096"/>
    <w:rsid w:val="00082136"/>
    <w:rsid w:val="00090CE3"/>
    <w:rsid w:val="000A046E"/>
    <w:rsid w:val="000A6EAC"/>
    <w:rsid w:val="000B1417"/>
    <w:rsid w:val="000C0662"/>
    <w:rsid w:val="000C314B"/>
    <w:rsid w:val="000C432C"/>
    <w:rsid w:val="000D07AB"/>
    <w:rsid w:val="000D0D9F"/>
    <w:rsid w:val="000D2EB0"/>
    <w:rsid w:val="000D7D28"/>
    <w:rsid w:val="000E4C9B"/>
    <w:rsid w:val="000E6A69"/>
    <w:rsid w:val="000E6AB1"/>
    <w:rsid w:val="00115FB3"/>
    <w:rsid w:val="00120587"/>
    <w:rsid w:val="00136CC1"/>
    <w:rsid w:val="001405BD"/>
    <w:rsid w:val="00141EAA"/>
    <w:rsid w:val="0014629D"/>
    <w:rsid w:val="0014779B"/>
    <w:rsid w:val="00153725"/>
    <w:rsid w:val="00154FE6"/>
    <w:rsid w:val="00155DB2"/>
    <w:rsid w:val="0016615A"/>
    <w:rsid w:val="00170251"/>
    <w:rsid w:val="00183DB3"/>
    <w:rsid w:val="00194568"/>
    <w:rsid w:val="00194E0B"/>
    <w:rsid w:val="001B0052"/>
    <w:rsid w:val="001B444C"/>
    <w:rsid w:val="001C0D9D"/>
    <w:rsid w:val="001C280C"/>
    <w:rsid w:val="001D48BE"/>
    <w:rsid w:val="001E7963"/>
    <w:rsid w:val="001F5534"/>
    <w:rsid w:val="00203638"/>
    <w:rsid w:val="002236FE"/>
    <w:rsid w:val="00232186"/>
    <w:rsid w:val="002365DE"/>
    <w:rsid w:val="00255AE5"/>
    <w:rsid w:val="0026579D"/>
    <w:rsid w:val="00270198"/>
    <w:rsid w:val="002840C3"/>
    <w:rsid w:val="002862FE"/>
    <w:rsid w:val="002914AC"/>
    <w:rsid w:val="00294EA2"/>
    <w:rsid w:val="00295298"/>
    <w:rsid w:val="002A7A6C"/>
    <w:rsid w:val="002B6D23"/>
    <w:rsid w:val="002C3335"/>
    <w:rsid w:val="002C3DEF"/>
    <w:rsid w:val="002F6304"/>
    <w:rsid w:val="00306B44"/>
    <w:rsid w:val="00310468"/>
    <w:rsid w:val="00311A6A"/>
    <w:rsid w:val="00323B09"/>
    <w:rsid w:val="00324343"/>
    <w:rsid w:val="0032622A"/>
    <w:rsid w:val="0032740C"/>
    <w:rsid w:val="00332C65"/>
    <w:rsid w:val="003348DA"/>
    <w:rsid w:val="00360446"/>
    <w:rsid w:val="0037407F"/>
    <w:rsid w:val="00376FE1"/>
    <w:rsid w:val="00377607"/>
    <w:rsid w:val="0037796C"/>
    <w:rsid w:val="0038588F"/>
    <w:rsid w:val="003A2B26"/>
    <w:rsid w:val="003A54A6"/>
    <w:rsid w:val="003C6350"/>
    <w:rsid w:val="003D424F"/>
    <w:rsid w:val="003D7285"/>
    <w:rsid w:val="003E0D73"/>
    <w:rsid w:val="003E4BB8"/>
    <w:rsid w:val="003F0939"/>
    <w:rsid w:val="004053BE"/>
    <w:rsid w:val="00413772"/>
    <w:rsid w:val="00414A4C"/>
    <w:rsid w:val="00417C49"/>
    <w:rsid w:val="00417E55"/>
    <w:rsid w:val="00425F11"/>
    <w:rsid w:val="00433ACD"/>
    <w:rsid w:val="00436A7D"/>
    <w:rsid w:val="00437361"/>
    <w:rsid w:val="0043750F"/>
    <w:rsid w:val="004506E7"/>
    <w:rsid w:val="00454BCA"/>
    <w:rsid w:val="0045723A"/>
    <w:rsid w:val="00461A1B"/>
    <w:rsid w:val="00465A04"/>
    <w:rsid w:val="00466BDE"/>
    <w:rsid w:val="00472327"/>
    <w:rsid w:val="00474B6E"/>
    <w:rsid w:val="00485085"/>
    <w:rsid w:val="00490590"/>
    <w:rsid w:val="004A33FB"/>
    <w:rsid w:val="004C4CA5"/>
    <w:rsid w:val="004D296F"/>
    <w:rsid w:val="004D3421"/>
    <w:rsid w:val="004D3F45"/>
    <w:rsid w:val="004E0694"/>
    <w:rsid w:val="004E156F"/>
    <w:rsid w:val="004E1E79"/>
    <w:rsid w:val="004E234C"/>
    <w:rsid w:val="004F20BF"/>
    <w:rsid w:val="004F2A3F"/>
    <w:rsid w:val="004F59AF"/>
    <w:rsid w:val="004F5E4D"/>
    <w:rsid w:val="00500429"/>
    <w:rsid w:val="005069D3"/>
    <w:rsid w:val="00523E84"/>
    <w:rsid w:val="00524BD3"/>
    <w:rsid w:val="00530851"/>
    <w:rsid w:val="00531EBC"/>
    <w:rsid w:val="00532565"/>
    <w:rsid w:val="00536A07"/>
    <w:rsid w:val="0054667B"/>
    <w:rsid w:val="00572B77"/>
    <w:rsid w:val="00572D40"/>
    <w:rsid w:val="00585682"/>
    <w:rsid w:val="005940D6"/>
    <w:rsid w:val="005B49FC"/>
    <w:rsid w:val="005B5236"/>
    <w:rsid w:val="005C251F"/>
    <w:rsid w:val="005C5812"/>
    <w:rsid w:val="005D0455"/>
    <w:rsid w:val="005E1EE3"/>
    <w:rsid w:val="00612379"/>
    <w:rsid w:val="00623E80"/>
    <w:rsid w:val="0063071F"/>
    <w:rsid w:val="00630A03"/>
    <w:rsid w:val="006374A9"/>
    <w:rsid w:val="006415C0"/>
    <w:rsid w:val="00651A9D"/>
    <w:rsid w:val="00655ACE"/>
    <w:rsid w:val="006571B7"/>
    <w:rsid w:val="006627D0"/>
    <w:rsid w:val="00670317"/>
    <w:rsid w:val="0067727A"/>
    <w:rsid w:val="00686640"/>
    <w:rsid w:val="00686CB2"/>
    <w:rsid w:val="006A082C"/>
    <w:rsid w:val="006A2474"/>
    <w:rsid w:val="006B402C"/>
    <w:rsid w:val="006B76AC"/>
    <w:rsid w:val="006D62F7"/>
    <w:rsid w:val="006E4790"/>
    <w:rsid w:val="006F1C7D"/>
    <w:rsid w:val="006F5A66"/>
    <w:rsid w:val="00703101"/>
    <w:rsid w:val="007049B1"/>
    <w:rsid w:val="0071423A"/>
    <w:rsid w:val="0073127B"/>
    <w:rsid w:val="00742DDB"/>
    <w:rsid w:val="0075357F"/>
    <w:rsid w:val="00760CEF"/>
    <w:rsid w:val="007631D7"/>
    <w:rsid w:val="00764A7B"/>
    <w:rsid w:val="00767651"/>
    <w:rsid w:val="00780FC8"/>
    <w:rsid w:val="00783D87"/>
    <w:rsid w:val="007C2A49"/>
    <w:rsid w:val="007C55AA"/>
    <w:rsid w:val="007D677C"/>
    <w:rsid w:val="007F0C3F"/>
    <w:rsid w:val="007F37FA"/>
    <w:rsid w:val="0080085A"/>
    <w:rsid w:val="00830E42"/>
    <w:rsid w:val="008315C6"/>
    <w:rsid w:val="008375B5"/>
    <w:rsid w:val="008519C7"/>
    <w:rsid w:val="0087192E"/>
    <w:rsid w:val="008728D5"/>
    <w:rsid w:val="00876505"/>
    <w:rsid w:val="00880CB4"/>
    <w:rsid w:val="008922B1"/>
    <w:rsid w:val="00893027"/>
    <w:rsid w:val="00894962"/>
    <w:rsid w:val="008975CE"/>
    <w:rsid w:val="008A4F80"/>
    <w:rsid w:val="008B7F40"/>
    <w:rsid w:val="008C5374"/>
    <w:rsid w:val="008C60BA"/>
    <w:rsid w:val="008E1416"/>
    <w:rsid w:val="008E722B"/>
    <w:rsid w:val="008F6671"/>
    <w:rsid w:val="008F6B77"/>
    <w:rsid w:val="00900494"/>
    <w:rsid w:val="00901F31"/>
    <w:rsid w:val="00905C96"/>
    <w:rsid w:val="0091131C"/>
    <w:rsid w:val="00911C84"/>
    <w:rsid w:val="00913CD7"/>
    <w:rsid w:val="00916FB4"/>
    <w:rsid w:val="009175FF"/>
    <w:rsid w:val="00924031"/>
    <w:rsid w:val="0092784D"/>
    <w:rsid w:val="00932D63"/>
    <w:rsid w:val="0095044D"/>
    <w:rsid w:val="009644C3"/>
    <w:rsid w:val="00973059"/>
    <w:rsid w:val="00987099"/>
    <w:rsid w:val="00995773"/>
    <w:rsid w:val="009A6F82"/>
    <w:rsid w:val="009B789E"/>
    <w:rsid w:val="009C05D8"/>
    <w:rsid w:val="009C271D"/>
    <w:rsid w:val="009C74C8"/>
    <w:rsid w:val="009D48ED"/>
    <w:rsid w:val="009D5A07"/>
    <w:rsid w:val="009E4DBB"/>
    <w:rsid w:val="009F1599"/>
    <w:rsid w:val="009F2064"/>
    <w:rsid w:val="00A110FA"/>
    <w:rsid w:val="00A13BB4"/>
    <w:rsid w:val="00A15332"/>
    <w:rsid w:val="00A171BF"/>
    <w:rsid w:val="00A35354"/>
    <w:rsid w:val="00A37DD8"/>
    <w:rsid w:val="00A432A0"/>
    <w:rsid w:val="00A5293E"/>
    <w:rsid w:val="00A57876"/>
    <w:rsid w:val="00A60894"/>
    <w:rsid w:val="00A60CB3"/>
    <w:rsid w:val="00A644DF"/>
    <w:rsid w:val="00A80B38"/>
    <w:rsid w:val="00A8220F"/>
    <w:rsid w:val="00A87237"/>
    <w:rsid w:val="00AA1523"/>
    <w:rsid w:val="00AA4C43"/>
    <w:rsid w:val="00AB2646"/>
    <w:rsid w:val="00AB4829"/>
    <w:rsid w:val="00AB5E0F"/>
    <w:rsid w:val="00AD62E6"/>
    <w:rsid w:val="00AE619A"/>
    <w:rsid w:val="00AF6E45"/>
    <w:rsid w:val="00AF73BE"/>
    <w:rsid w:val="00B041AC"/>
    <w:rsid w:val="00B12A0C"/>
    <w:rsid w:val="00B1341E"/>
    <w:rsid w:val="00B15B34"/>
    <w:rsid w:val="00B24FE9"/>
    <w:rsid w:val="00B429CB"/>
    <w:rsid w:val="00B516A8"/>
    <w:rsid w:val="00B7040D"/>
    <w:rsid w:val="00B7144E"/>
    <w:rsid w:val="00B73B81"/>
    <w:rsid w:val="00B75146"/>
    <w:rsid w:val="00B76895"/>
    <w:rsid w:val="00B778A0"/>
    <w:rsid w:val="00B8055B"/>
    <w:rsid w:val="00B8094D"/>
    <w:rsid w:val="00B82308"/>
    <w:rsid w:val="00B83686"/>
    <w:rsid w:val="00BA0F7B"/>
    <w:rsid w:val="00BA4A12"/>
    <w:rsid w:val="00BA63D2"/>
    <w:rsid w:val="00BB4A32"/>
    <w:rsid w:val="00BB6FE9"/>
    <w:rsid w:val="00BC251C"/>
    <w:rsid w:val="00BD59BF"/>
    <w:rsid w:val="00BF00E7"/>
    <w:rsid w:val="00BF0EB6"/>
    <w:rsid w:val="00BF1464"/>
    <w:rsid w:val="00BF56CA"/>
    <w:rsid w:val="00C03AED"/>
    <w:rsid w:val="00C04F57"/>
    <w:rsid w:val="00C109C1"/>
    <w:rsid w:val="00C13311"/>
    <w:rsid w:val="00C141C4"/>
    <w:rsid w:val="00C20750"/>
    <w:rsid w:val="00C22330"/>
    <w:rsid w:val="00C24AE9"/>
    <w:rsid w:val="00C309BB"/>
    <w:rsid w:val="00C31AD0"/>
    <w:rsid w:val="00C375E9"/>
    <w:rsid w:val="00C439AE"/>
    <w:rsid w:val="00C43A9A"/>
    <w:rsid w:val="00C5654C"/>
    <w:rsid w:val="00C7720D"/>
    <w:rsid w:val="00C82381"/>
    <w:rsid w:val="00CA2E3D"/>
    <w:rsid w:val="00CA3025"/>
    <w:rsid w:val="00CA7C13"/>
    <w:rsid w:val="00CB0F77"/>
    <w:rsid w:val="00CC1966"/>
    <w:rsid w:val="00CC2FAA"/>
    <w:rsid w:val="00CC40C0"/>
    <w:rsid w:val="00CD2FE5"/>
    <w:rsid w:val="00CE3502"/>
    <w:rsid w:val="00CE5EEA"/>
    <w:rsid w:val="00CF06F5"/>
    <w:rsid w:val="00CF38B4"/>
    <w:rsid w:val="00D075F8"/>
    <w:rsid w:val="00D35FF7"/>
    <w:rsid w:val="00D43EEE"/>
    <w:rsid w:val="00D55CE5"/>
    <w:rsid w:val="00D623D9"/>
    <w:rsid w:val="00D64FE5"/>
    <w:rsid w:val="00D65426"/>
    <w:rsid w:val="00D7759D"/>
    <w:rsid w:val="00D84C9D"/>
    <w:rsid w:val="00D904D5"/>
    <w:rsid w:val="00DA236F"/>
    <w:rsid w:val="00DA46F6"/>
    <w:rsid w:val="00DB2DE5"/>
    <w:rsid w:val="00DB399B"/>
    <w:rsid w:val="00DB4B44"/>
    <w:rsid w:val="00DD3C5E"/>
    <w:rsid w:val="00DD603F"/>
    <w:rsid w:val="00DE1D41"/>
    <w:rsid w:val="00DE71BD"/>
    <w:rsid w:val="00DF603A"/>
    <w:rsid w:val="00E00380"/>
    <w:rsid w:val="00E04302"/>
    <w:rsid w:val="00E04CD9"/>
    <w:rsid w:val="00E06619"/>
    <w:rsid w:val="00E12F19"/>
    <w:rsid w:val="00E14F1E"/>
    <w:rsid w:val="00E45008"/>
    <w:rsid w:val="00E4642B"/>
    <w:rsid w:val="00E5047C"/>
    <w:rsid w:val="00E50EF8"/>
    <w:rsid w:val="00E5419E"/>
    <w:rsid w:val="00E5722A"/>
    <w:rsid w:val="00E71B07"/>
    <w:rsid w:val="00E93F8F"/>
    <w:rsid w:val="00E94632"/>
    <w:rsid w:val="00EA0D71"/>
    <w:rsid w:val="00EA3D26"/>
    <w:rsid w:val="00EC4E53"/>
    <w:rsid w:val="00EC6E20"/>
    <w:rsid w:val="00ED231F"/>
    <w:rsid w:val="00ED6696"/>
    <w:rsid w:val="00EF00A4"/>
    <w:rsid w:val="00EF0306"/>
    <w:rsid w:val="00EF6F7D"/>
    <w:rsid w:val="00F04DA2"/>
    <w:rsid w:val="00F1074B"/>
    <w:rsid w:val="00F15C01"/>
    <w:rsid w:val="00F17A7C"/>
    <w:rsid w:val="00F17FE9"/>
    <w:rsid w:val="00F308AF"/>
    <w:rsid w:val="00F31E68"/>
    <w:rsid w:val="00F34493"/>
    <w:rsid w:val="00F37D94"/>
    <w:rsid w:val="00F45333"/>
    <w:rsid w:val="00F50CCB"/>
    <w:rsid w:val="00F5550A"/>
    <w:rsid w:val="00F63C40"/>
    <w:rsid w:val="00F77C87"/>
    <w:rsid w:val="00F826D0"/>
    <w:rsid w:val="00F8389F"/>
    <w:rsid w:val="00F8525F"/>
    <w:rsid w:val="00F952C8"/>
    <w:rsid w:val="00FA5D3C"/>
    <w:rsid w:val="00FA7727"/>
    <w:rsid w:val="00FC55EE"/>
    <w:rsid w:val="00FE1201"/>
    <w:rsid w:val="00FE122D"/>
    <w:rsid w:val="00FE1D51"/>
    <w:rsid w:val="00FE6131"/>
    <w:rsid w:val="00FE663B"/>
    <w:rsid w:val="01849682"/>
    <w:rsid w:val="0262BDE0"/>
    <w:rsid w:val="0C230D03"/>
    <w:rsid w:val="0F0F1AFA"/>
    <w:rsid w:val="14950F52"/>
    <w:rsid w:val="19D62303"/>
    <w:rsid w:val="1A15D6DA"/>
    <w:rsid w:val="1BBCDEC6"/>
    <w:rsid w:val="237D08B8"/>
    <w:rsid w:val="2C2A857B"/>
    <w:rsid w:val="2DAB769B"/>
    <w:rsid w:val="32921CCF"/>
    <w:rsid w:val="379AA5AF"/>
    <w:rsid w:val="3C3D4759"/>
    <w:rsid w:val="3E5FF394"/>
    <w:rsid w:val="3EABB699"/>
    <w:rsid w:val="47030ABF"/>
    <w:rsid w:val="507A4BE3"/>
    <w:rsid w:val="51889F1B"/>
    <w:rsid w:val="53A77088"/>
    <w:rsid w:val="56030C5E"/>
    <w:rsid w:val="5CEFDE9E"/>
    <w:rsid w:val="61042646"/>
    <w:rsid w:val="63816C89"/>
    <w:rsid w:val="63EB9FB4"/>
    <w:rsid w:val="64D2BC58"/>
    <w:rsid w:val="64FCDDF7"/>
    <w:rsid w:val="66F3E9FA"/>
    <w:rsid w:val="677B19C1"/>
    <w:rsid w:val="6BDB52C1"/>
    <w:rsid w:val="6C15DF9A"/>
    <w:rsid w:val="6E9FAAC6"/>
    <w:rsid w:val="6F291DDD"/>
    <w:rsid w:val="719C6831"/>
    <w:rsid w:val="734DA2B8"/>
    <w:rsid w:val="736BDD91"/>
    <w:rsid w:val="799A66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80CBB"/>
  <w15:docId w15:val="{52D3D3BD-DC8F-44EF-AD0E-8FC122D0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360" w:lineRule="auto"/>
      <w:ind w:left="10" w:right="88"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spacing w:after="0" w:line="265" w:lineRule="auto"/>
      <w:ind w:left="10" w:right="1616" w:hanging="10"/>
      <w:outlineLvl w:val="0"/>
    </w:pPr>
    <w:rPr>
      <w:rFonts w:ascii="Arial" w:eastAsia="Arial" w:hAnsi="Arial" w:cs="Arial"/>
      <w:b/>
      <w:color w:val="000000"/>
      <w:sz w:val="22"/>
    </w:rPr>
  </w:style>
  <w:style w:type="paragraph" w:styleId="Heading2">
    <w:name w:val="heading 2"/>
    <w:next w:val="Normal"/>
    <w:link w:val="Heading2Char"/>
    <w:uiPriority w:val="9"/>
    <w:unhideWhenUsed/>
    <w:qFormat/>
    <w:pPr>
      <w:keepNext/>
      <w:keepLines/>
      <w:spacing w:after="341" w:line="265" w:lineRule="auto"/>
      <w:ind w:left="10" w:hanging="10"/>
      <w:outlineLvl w:val="1"/>
    </w:pPr>
    <w:rPr>
      <w:rFonts w:ascii="Arial" w:eastAsia="Arial" w:hAnsi="Arial" w:cs="Arial"/>
      <w:b/>
      <w:color w:val="2F5496"/>
      <w:sz w:val="22"/>
    </w:rPr>
  </w:style>
  <w:style w:type="paragraph" w:styleId="Heading3">
    <w:name w:val="heading 3"/>
    <w:next w:val="Normal"/>
    <w:link w:val="Heading3Char"/>
    <w:uiPriority w:val="9"/>
    <w:unhideWhenUsed/>
    <w:qFormat/>
    <w:pPr>
      <w:keepNext/>
      <w:keepLines/>
      <w:spacing w:after="240" w:line="361" w:lineRule="auto"/>
      <w:ind w:left="-5" w:hanging="10"/>
      <w:outlineLvl w:val="2"/>
    </w:pPr>
    <w:rPr>
      <w:rFonts w:ascii="Arial" w:eastAsia="Arial" w:hAnsi="Arial" w:cs="Arial"/>
      <w:b/>
      <w:color w:val="2F549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2F5496"/>
      <w:sz w:val="22"/>
    </w:rPr>
  </w:style>
  <w:style w:type="character" w:customStyle="1" w:styleId="Heading3Char">
    <w:name w:val="Heading 3 Char"/>
    <w:link w:val="Heading3"/>
    <w:rPr>
      <w:rFonts w:ascii="Arial" w:eastAsia="Arial" w:hAnsi="Arial" w:cs="Arial"/>
      <w:b/>
      <w:color w:val="2F5496"/>
      <w:sz w:val="22"/>
    </w:rPr>
  </w:style>
  <w:style w:type="character" w:customStyle="1" w:styleId="Heading1Char">
    <w:name w:val="Heading 1 Char"/>
    <w:link w:val="Heading1"/>
    <w:rPr>
      <w:rFonts w:ascii="Arial" w:eastAsia="Arial" w:hAnsi="Arial" w:cs="Arial"/>
      <w:b/>
      <w:color w:val="000000"/>
      <w:sz w:val="22"/>
    </w:rPr>
  </w:style>
  <w:style w:type="paragraph" w:styleId="TOC1">
    <w:name w:val="toc 1"/>
    <w:hidden/>
    <w:pPr>
      <w:spacing w:after="331" w:line="277" w:lineRule="auto"/>
      <w:ind w:left="30" w:right="18" w:hanging="10"/>
    </w:pPr>
    <w:rPr>
      <w:rFonts w:ascii="Arial" w:eastAsia="Arial" w:hAnsi="Arial" w:cs="Arial"/>
      <w:color w:val="000000"/>
      <w:sz w:val="22"/>
    </w:rPr>
  </w:style>
  <w:style w:type="paragraph" w:styleId="TOC2">
    <w:name w:val="toc 2"/>
    <w:hidden/>
    <w:pPr>
      <w:spacing w:after="331" w:line="274" w:lineRule="auto"/>
      <w:ind w:left="255" w:right="18" w:hanging="10"/>
      <w:jc w:val="right"/>
    </w:pPr>
    <w:rPr>
      <w:rFonts w:ascii="Arial" w:eastAsia="Arial" w:hAnsi="Arial" w:cs="Arial"/>
      <w:color w:val="000000"/>
      <w:sz w:val="22"/>
    </w:rPr>
  </w:style>
  <w:style w:type="paragraph" w:styleId="TOC3">
    <w:name w:val="toc 3"/>
    <w:hidden/>
    <w:pPr>
      <w:spacing w:after="101" w:line="265" w:lineRule="auto"/>
      <w:ind w:left="255" w:right="103" w:hanging="10"/>
      <w:jc w:val="right"/>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semiHidden/>
    <w:unhideWhenUsed/>
    <w:rsid w:val="00CC40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40C0"/>
    <w:rPr>
      <w:rFonts w:ascii="Arial" w:eastAsia="Arial" w:hAnsi="Arial" w:cs="Arial"/>
      <w:color w:val="000000"/>
      <w:sz w:val="22"/>
    </w:rPr>
  </w:style>
  <w:style w:type="paragraph" w:styleId="Footer">
    <w:name w:val="footer"/>
    <w:basedOn w:val="Normal"/>
    <w:link w:val="FooterChar"/>
    <w:uiPriority w:val="99"/>
    <w:semiHidden/>
    <w:unhideWhenUsed/>
    <w:rsid w:val="00CC40C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C40C0"/>
    <w:rPr>
      <w:rFonts w:ascii="Arial" w:eastAsia="Arial" w:hAnsi="Arial" w:cs="Arial"/>
      <w:color w:val="000000"/>
      <w:sz w:val="22"/>
    </w:rPr>
  </w:style>
  <w:style w:type="character" w:styleId="Hyperlink">
    <w:name w:val="Hyperlink"/>
    <w:basedOn w:val="DefaultParagraphFont"/>
    <w:uiPriority w:val="99"/>
    <w:unhideWhenUsed/>
    <w:rsid w:val="00FA5D3C"/>
    <w:rPr>
      <w:color w:val="467886" w:themeColor="hyperlink"/>
      <w:u w:val="single"/>
    </w:rPr>
  </w:style>
  <w:style w:type="character" w:styleId="UnresolvedMention">
    <w:name w:val="Unresolved Mention"/>
    <w:basedOn w:val="DefaultParagraphFont"/>
    <w:uiPriority w:val="99"/>
    <w:semiHidden/>
    <w:unhideWhenUsed/>
    <w:rsid w:val="00FA5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link.springer.com/chapter/10.1007/978-3-031-20298-8_40" TargetMode="External"/><Relationship Id="rId21" Type="http://schemas.openxmlformats.org/officeDocument/2006/relationships/hyperlink" Target="https://www.ovid.com/jnls/otainternational/fulltext/10.1097/oi9.0000000000000198~overview-of-fracture-liaison-services-in-the-uk-and-europe" TargetMode="External"/><Relationship Id="rId42" Type="http://schemas.openxmlformats.org/officeDocument/2006/relationships/hyperlink" Target="https://qualitysafety.bmj.com/content/30/2/96.abstract" TargetMode="External"/><Relationship Id="rId63"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84" Type="http://schemas.openxmlformats.org/officeDocument/2006/relationships/hyperlink" Target="https://journals.sagepub.com/doi/abs/10.1177/01410768251366879" TargetMode="External"/><Relationship Id="rId138" Type="http://schemas.openxmlformats.org/officeDocument/2006/relationships/header" Target="header1.xml"/><Relationship Id="rId107" Type="http://schemas.openxmlformats.org/officeDocument/2006/relationships/hyperlink" Target="https://link.springer.com/article/10.1186/s12913-020-05160-2" TargetMode="External"/><Relationship Id="rId11" Type="http://schemas.openxmlformats.org/officeDocument/2006/relationships/hyperlink" Target="https://link.springer.com/article/10.1186/s12913-020-05641-4" TargetMode="External"/><Relationship Id="rId32" Type="http://schemas.openxmlformats.org/officeDocument/2006/relationships/hyperlink" Target="https://journals.plos.org/plosone/article?id=10.1371/journal.pone.0321994" TargetMode="External"/><Relationship Id="rId53" Type="http://schemas.openxmlformats.org/officeDocument/2006/relationships/hyperlink" Target="https://bpspubs.onlinelibrary.wiley.com/doi/full/10.1111/bcp.15497" TargetMode="External"/><Relationship Id="rId74"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128" Type="http://schemas.openxmlformats.org/officeDocument/2006/relationships/hyperlink" Target="https://www.who.int/news-room/fact-sheets/detail/patient-safety?utm_source=chatgpt.com" TargetMode="External"/><Relationship Id="rId149" Type="http://schemas.openxmlformats.org/officeDocument/2006/relationships/header" Target="header6.xml"/><Relationship Id="rId5" Type="http://schemas.openxmlformats.org/officeDocument/2006/relationships/webSettings" Target="webSettings.xml"/><Relationship Id="rId95"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22" Type="http://schemas.openxmlformats.org/officeDocument/2006/relationships/hyperlink" Target="https://www.ovid.com/jnls/otainternational/fulltext/10.1097/oi9.0000000000000198~overview-of-fracture-liaison-services-in-the-uk-and-europe" TargetMode="External"/><Relationship Id="rId43" Type="http://schemas.openxmlformats.org/officeDocument/2006/relationships/hyperlink" Target="https://qualitysafety.bmj.com/content/30/2/96.abstract" TargetMode="External"/><Relationship Id="rId64"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118" Type="http://schemas.openxmlformats.org/officeDocument/2006/relationships/hyperlink" Target="https://link.springer.com/chapter/10.1007/978-3-031-20298-8_40" TargetMode="External"/><Relationship Id="rId139" Type="http://schemas.openxmlformats.org/officeDocument/2006/relationships/header" Target="header2.xml"/><Relationship Id="rId80" Type="http://schemas.openxmlformats.org/officeDocument/2006/relationships/hyperlink" Target="https://www.proquest.com/openview/ae6638cbd4536f6d2a49327f423a11dc/1?pq-origsite=gscholar&amp;cbl=18750&amp;diss=y" TargetMode="External"/><Relationship Id="rId85" Type="http://schemas.openxmlformats.org/officeDocument/2006/relationships/hyperlink" Target="https://www.sciencedirect.com/science/article/pii/S0277953625008937" TargetMode="External"/><Relationship Id="rId150" Type="http://schemas.openxmlformats.org/officeDocument/2006/relationships/footer" Target="footer6.xml"/><Relationship Id="rId155" Type="http://schemas.openxmlformats.org/officeDocument/2006/relationships/header" Target="header9.xml"/><Relationship Id="rId12" Type="http://schemas.openxmlformats.org/officeDocument/2006/relationships/hyperlink" Target="https://link.springer.com/article/10.1186/s12913-020-05641-4" TargetMode="External"/><Relationship Id="rId17" Type="http://schemas.openxmlformats.org/officeDocument/2006/relationships/hyperlink" Target="https://link.springer.com/article/10.1186/s12913-020-05641-4" TargetMode="External"/><Relationship Id="rId33" Type="http://schemas.openxmlformats.org/officeDocument/2006/relationships/hyperlink" Target="https://journals.plos.org/plosone/article?id=10.1371/journal.pone.0321994" TargetMode="External"/><Relationship Id="rId38" Type="http://schemas.openxmlformats.org/officeDocument/2006/relationships/hyperlink" Target="https://link.springer.com/article/10.1186/s12877-023-03770-z" TargetMode="External"/><Relationship Id="rId59"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103" Type="http://schemas.openxmlformats.org/officeDocument/2006/relationships/hyperlink" Target="https://qualitysafety.bmj.com/content/33/9/573.abstract" TargetMode="External"/><Relationship Id="rId108" Type="http://schemas.openxmlformats.org/officeDocument/2006/relationships/hyperlink" Target="https://link.springer.com/article/10.1186/s12913-020-05160-2" TargetMode="External"/><Relationship Id="rId124" Type="http://schemas.openxmlformats.org/officeDocument/2006/relationships/hyperlink" Target="https://link.springer.com/chapter/10.1007/978-3-031-20298-8_40" TargetMode="External"/><Relationship Id="rId129" Type="http://schemas.openxmlformats.org/officeDocument/2006/relationships/hyperlink" Target="https://www.who.int/news-room/fact-sheets/detail/patient-safety?utm_source=chatgpt.com" TargetMode="External"/><Relationship Id="rId54" Type="http://schemas.openxmlformats.org/officeDocument/2006/relationships/hyperlink" Target="https://emj.bmj.com/content/37/7/437.abstract" TargetMode="External"/><Relationship Id="rId70"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75"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91"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96"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40" Type="http://schemas.openxmlformats.org/officeDocument/2006/relationships/footer" Target="footer1.xml"/><Relationship Id="rId145"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journals.plos.org/plosone/article?id=10.1371/journal.pone.0240516" TargetMode="External"/><Relationship Id="rId28" Type="http://schemas.openxmlformats.org/officeDocument/2006/relationships/hyperlink" Target="https://journals.sagepub.com/doi/full/10.1177/13558196241291816" TargetMode="External"/><Relationship Id="rId49"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114" Type="http://schemas.openxmlformats.org/officeDocument/2006/relationships/hyperlink" Target="https://mesopotamian.press/journals/index.php/MJAIH/article/view/793" TargetMode="External"/><Relationship Id="rId119" Type="http://schemas.openxmlformats.org/officeDocument/2006/relationships/hyperlink" Target="https://link.springer.com/chapter/10.1007/978-3-031-20298-8_40" TargetMode="External"/><Relationship Id="rId44"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60"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65"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81" Type="http://schemas.openxmlformats.org/officeDocument/2006/relationships/hyperlink" Target="https://www.proquest.com/openview/ae6638cbd4536f6d2a49327f423a11dc/1?pq-origsite=gscholar&amp;cbl=18750&amp;diss=y" TargetMode="External"/><Relationship Id="rId86" Type="http://schemas.openxmlformats.org/officeDocument/2006/relationships/hyperlink" Target="https://www.sciencedirect.com/science/article/pii/S0277953625008937" TargetMode="External"/><Relationship Id="rId130" Type="http://schemas.openxmlformats.org/officeDocument/2006/relationships/hyperlink" Target="https://www.who.int/news-room/fact-sheets/detail/patient-safety?utm_source=chatgpt.com" TargetMode="External"/><Relationship Id="rId135" Type="http://schemas.openxmlformats.org/officeDocument/2006/relationships/hyperlink" Target="https://www.who.int/initiatives/medication-without-harm?utm_source=chatgpt.com" TargetMode="External"/><Relationship Id="rId151" Type="http://schemas.openxmlformats.org/officeDocument/2006/relationships/header" Target="header7.xml"/><Relationship Id="rId156" Type="http://schemas.openxmlformats.org/officeDocument/2006/relationships/footer" Target="footer9.xml"/><Relationship Id="rId13" Type="http://schemas.openxmlformats.org/officeDocument/2006/relationships/hyperlink" Target="https://link.springer.com/article/10.1186/s12913-020-05641-4" TargetMode="External"/><Relationship Id="rId18" Type="http://schemas.openxmlformats.org/officeDocument/2006/relationships/hyperlink" Target="https://link.springer.com/article/10.1186/s12913-020-05641-4" TargetMode="External"/><Relationship Id="rId39" Type="http://schemas.openxmlformats.org/officeDocument/2006/relationships/hyperlink" Target="https://link.springer.com/article/10.1186/s12877-023-03770-z" TargetMode="External"/><Relationship Id="rId109" Type="http://schemas.openxmlformats.org/officeDocument/2006/relationships/hyperlink" Target="https://link.springer.com/article/10.1186/s12913-020-05160-2" TargetMode="External"/><Relationship Id="rId34" Type="http://schemas.openxmlformats.org/officeDocument/2006/relationships/hyperlink" Target="https://link.springer.com/article/10.1186/s12877-023-03770-z" TargetMode="External"/><Relationship Id="rId50"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55" Type="http://schemas.openxmlformats.org/officeDocument/2006/relationships/hyperlink" Target="https://emj.bmj.com/content/37/7/437.abstract" TargetMode="External"/><Relationship Id="rId76"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97"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04" Type="http://schemas.openxmlformats.org/officeDocument/2006/relationships/hyperlink" Target="https://link.springer.com/article/10.1186/s12913-020-05160-2" TargetMode="External"/><Relationship Id="rId120" Type="http://schemas.openxmlformats.org/officeDocument/2006/relationships/hyperlink" Target="https://link.springer.com/chapter/10.1007/978-3-031-20298-8_40" TargetMode="External"/><Relationship Id="rId125" Type="http://schemas.openxmlformats.org/officeDocument/2006/relationships/hyperlink" Target="https://www.who.int/news-room/fact-sheets/detail/patient-safety" TargetMode="External"/><Relationship Id="rId141" Type="http://schemas.openxmlformats.org/officeDocument/2006/relationships/footer" Target="footer2.xml"/><Relationship Id="rId146"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92"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2" Type="http://schemas.openxmlformats.org/officeDocument/2006/relationships/numbering" Target="numbering.xml"/><Relationship Id="rId29" Type="http://schemas.openxmlformats.org/officeDocument/2006/relationships/hyperlink" Target="https://journals.sagepub.com/doi/full/10.1177/13558196241291816" TargetMode="External"/><Relationship Id="rId24" Type="http://schemas.openxmlformats.org/officeDocument/2006/relationships/hyperlink" Target="https://journals.plos.org/plosone/article?id=10.1371/journal.pone.0240516" TargetMode="External"/><Relationship Id="rId40" Type="http://schemas.openxmlformats.org/officeDocument/2006/relationships/hyperlink" Target="https://link.springer.com/article/10.1186/s12877-023-03770-z" TargetMode="External"/><Relationship Id="rId45"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66"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87"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10" Type="http://schemas.openxmlformats.org/officeDocument/2006/relationships/hyperlink" Target="https://link.springer.com/article/10.1186/s12913-020-05160-2" TargetMode="External"/><Relationship Id="rId115" Type="http://schemas.openxmlformats.org/officeDocument/2006/relationships/hyperlink" Target="https://link.springer.com/chapter/10.1007/978-3-031-20298-8_40" TargetMode="External"/><Relationship Id="rId131" Type="http://schemas.openxmlformats.org/officeDocument/2006/relationships/hyperlink" Target="https://www.who.int/news-room/fact-sheets/detail/patient-safety?utm_source=chatgpt.com" TargetMode="External"/><Relationship Id="rId136" Type="http://schemas.openxmlformats.org/officeDocument/2006/relationships/hyperlink" Target="https://www.who.int/initiatives/medication-without-harm?utm_source=chatgpt.com" TargetMode="External"/><Relationship Id="rId157" Type="http://schemas.openxmlformats.org/officeDocument/2006/relationships/fontTable" Target="fontTable.xml"/><Relationship Id="rId61"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82" Type="http://schemas.openxmlformats.org/officeDocument/2006/relationships/hyperlink" Target="https://www.proquest.com/openview/ae6638cbd4536f6d2a49327f423a11dc/1?pq-origsite=gscholar&amp;cbl=18750&amp;diss=y" TargetMode="External"/><Relationship Id="rId152" Type="http://schemas.openxmlformats.org/officeDocument/2006/relationships/header" Target="header8.xml"/><Relationship Id="rId19" Type="http://schemas.openxmlformats.org/officeDocument/2006/relationships/hyperlink" Target="https://pdfs.semanticscholar.org/671e/7a1d5eb29ee0f715c6f172dfa41bff93c8c9.pdf" TargetMode="External"/><Relationship Id="rId14" Type="http://schemas.openxmlformats.org/officeDocument/2006/relationships/hyperlink" Target="https://link.springer.com/article/10.1186/s12913-020-05641-4" TargetMode="External"/><Relationship Id="rId30" Type="http://schemas.openxmlformats.org/officeDocument/2006/relationships/hyperlink" Target="https://www.tandfonline.com/doi/abs/10.1080/14737175.2025.24709806" TargetMode="External"/><Relationship Id="rId35" Type="http://schemas.openxmlformats.org/officeDocument/2006/relationships/hyperlink" Target="https://link.springer.com/article/10.1186/s12877-023-03770-z" TargetMode="External"/><Relationship Id="rId56" Type="http://schemas.openxmlformats.org/officeDocument/2006/relationships/hyperlink" Target="https://www.hssib.org.uk/patient-safety-investigations/unintentional-overdose-of-morphine-sulfate-oral-solution/investigation-report/" TargetMode="External"/><Relationship Id="rId77"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100" Type="http://schemas.openxmlformats.org/officeDocument/2006/relationships/hyperlink" Target="https://onlinelibrary.wiley.com/doi/full/10.1111/hex.13143" TargetMode="External"/><Relationship Id="rId105" Type="http://schemas.openxmlformats.org/officeDocument/2006/relationships/hyperlink" Target="https://link.springer.com/article/10.1186/s12913-020-05160-2" TargetMode="External"/><Relationship Id="rId126" Type="http://schemas.openxmlformats.org/officeDocument/2006/relationships/hyperlink" Target="https://www.emerald.com/jhom/article-abstract/36/5/650/217455/A-study-of-the-implementation-of-patient-safety?redirectedFrom=fulltext" TargetMode="External"/><Relationship Id="rId147" Type="http://schemas.openxmlformats.org/officeDocument/2006/relationships/footer" Target="footer4.xml"/><Relationship Id="rId8" Type="http://schemas.openxmlformats.org/officeDocument/2006/relationships/image" Target="media/image1.png"/><Relationship Id="rId51"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72"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93"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98"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21" Type="http://schemas.openxmlformats.org/officeDocument/2006/relationships/hyperlink" Target="https://link.springer.com/chapter/10.1007/978-3-031-20298-8_40" TargetMode="External"/><Relationship Id="rId142" Type="http://schemas.openxmlformats.org/officeDocument/2006/relationships/header" Target="header3.xml"/><Relationship Id="rId3" Type="http://schemas.openxmlformats.org/officeDocument/2006/relationships/styles" Target="styles.xml"/><Relationship Id="rId25" Type="http://schemas.openxmlformats.org/officeDocument/2006/relationships/hyperlink" Target="https://uhra.herts.ac.uk/id/eprint/15986/" TargetMode="External"/><Relationship Id="rId46"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67"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116" Type="http://schemas.openxmlformats.org/officeDocument/2006/relationships/hyperlink" Target="https://link.springer.com/chapter/10.1007/978-3-031-20298-8_40" TargetMode="External"/><Relationship Id="rId137" Type="http://schemas.openxmlformats.org/officeDocument/2006/relationships/hyperlink" Target="https://www.who.int/initiatives/medication-without-harm?utm_source=chatgpt.com" TargetMode="External"/><Relationship Id="rId158" Type="http://schemas.openxmlformats.org/officeDocument/2006/relationships/theme" Target="theme/theme1.xml"/><Relationship Id="rId20" Type="http://schemas.openxmlformats.org/officeDocument/2006/relationships/hyperlink" Target="https://pdfs.semanticscholar.org/671e/7a1d5eb29ee0f715c6f172dfa41bff93c8c9.pdf" TargetMode="External"/><Relationship Id="rId41" Type="http://schemas.openxmlformats.org/officeDocument/2006/relationships/hyperlink" Target="https://link.springer.com/article/10.1186/s12877-023-03770-z" TargetMode="External"/><Relationship Id="rId62" Type="http://schemas.openxmlformats.org/officeDocument/2006/relationships/hyperlink" Target="https://www.sciencedirect.com/science/article/pii/S2667118222000162?__cf_chl_tk=zrhj8jUhg6ZuX46MmvK8pVrBhfrt8zMMPnVy3WdtKMc-1784617271-1.0.1.1-33NshmWqIWRpN_yAACHQAHqXmZSX5uHP9ZblsiStGRM" TargetMode="External"/><Relationship Id="rId83" Type="http://schemas.openxmlformats.org/officeDocument/2006/relationships/hyperlink" Target="https://journals.sagepub.com/doi/abs/10.1177/01410768251366879" TargetMode="External"/><Relationship Id="rId88"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11" Type="http://schemas.openxmlformats.org/officeDocument/2006/relationships/hyperlink" Target="https://link.springer.com/article/10.1186/s12913-020-05160-2" TargetMode="External"/><Relationship Id="rId132" Type="http://schemas.openxmlformats.org/officeDocument/2006/relationships/hyperlink" Target="https://www.who.int/news-room/fact-sheets/detail/patient-safety?utm_source=chatgpt.com" TargetMode="External"/><Relationship Id="rId153" Type="http://schemas.openxmlformats.org/officeDocument/2006/relationships/footer" Target="footer7.xml"/><Relationship Id="rId15" Type="http://schemas.openxmlformats.org/officeDocument/2006/relationships/hyperlink" Target="https://link.springer.com/article/10.1186/s12913-020-05641-4" TargetMode="External"/><Relationship Id="rId36" Type="http://schemas.openxmlformats.org/officeDocument/2006/relationships/hyperlink" Target="https://link.springer.com/article/10.1186/s12877-023-03770-z" TargetMode="External"/><Relationship Id="rId57" Type="http://schemas.openxmlformats.org/officeDocument/2006/relationships/hyperlink" Target="https://www.tandfonline.com/doi/abs/10.1080/17483107.2020.1745910" TargetMode="External"/><Relationship Id="rId106" Type="http://schemas.openxmlformats.org/officeDocument/2006/relationships/hyperlink" Target="https://link.springer.com/article/10.1186/s12913-020-05160-2" TargetMode="External"/><Relationship Id="rId127" Type="http://schemas.openxmlformats.org/officeDocument/2006/relationships/image" Target="media/image2.png"/><Relationship Id="rId10" Type="http://schemas.openxmlformats.org/officeDocument/2006/relationships/hyperlink" Target="https://link.springer.com/article/10.1186/s12913-020-05641-4" TargetMode="External"/><Relationship Id="rId31" Type="http://schemas.openxmlformats.org/officeDocument/2006/relationships/hyperlink" Target="https://www.tandfonline.com/doi/abs/10.1080/14737175.2025.24709806" TargetMode="External"/><Relationship Id="rId52" Type="http://schemas.openxmlformats.org/officeDocument/2006/relationships/hyperlink" Target="https://bpspubs.onlinelibrary.wiley.com/doi/full/10.1111/bcp.15497" TargetMode="External"/><Relationship Id="rId73"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78"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94"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99"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01" Type="http://schemas.openxmlformats.org/officeDocument/2006/relationships/hyperlink" Target="https://onlinelibrary.wiley.com/doi/full/10.1111/hex.13143" TargetMode="External"/><Relationship Id="rId122" Type="http://schemas.openxmlformats.org/officeDocument/2006/relationships/hyperlink" Target="https://link.springer.com/chapter/10.1007/978-3-031-20298-8_40" TargetMode="External"/><Relationship Id="rId143" Type="http://schemas.openxmlformats.org/officeDocument/2006/relationships/footer" Target="footer3.xml"/><Relationship Id="rId148"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s://link.springer.com/article/10.1186/s12912-025-04263-7" TargetMode="External"/><Relationship Id="rId26" Type="http://schemas.openxmlformats.org/officeDocument/2006/relationships/hyperlink" Target="https://uhra.herts.ac.uk/id/eprint/15986/" TargetMode="External"/><Relationship Id="rId47"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68"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89"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112" Type="http://schemas.openxmlformats.org/officeDocument/2006/relationships/hyperlink" Target="https://mesopotamian.press/journals/index.php/MJAIH/article/view/793" TargetMode="External"/><Relationship Id="rId133" Type="http://schemas.openxmlformats.org/officeDocument/2006/relationships/hyperlink" Target="https://www.who.int/news-room/fact-sheets/detail/patient-safety?utm_source=chatgpt.com" TargetMode="External"/><Relationship Id="rId154" Type="http://schemas.openxmlformats.org/officeDocument/2006/relationships/footer" Target="footer8.xml"/><Relationship Id="rId16" Type="http://schemas.openxmlformats.org/officeDocument/2006/relationships/hyperlink" Target="https://link.springer.com/article/10.1186/s12913-020-05641-4" TargetMode="External"/><Relationship Id="rId37" Type="http://schemas.openxmlformats.org/officeDocument/2006/relationships/hyperlink" Target="https://link.springer.com/article/10.1186/s12877-023-03770-z" TargetMode="External"/><Relationship Id="rId58" Type="http://schemas.openxmlformats.org/officeDocument/2006/relationships/hyperlink" Target="https://www.tandfonline.com/doi/abs/10.1080/17483107.2020.1745910" TargetMode="External"/><Relationship Id="rId79" Type="http://schemas.openxmlformats.org/officeDocument/2006/relationships/hyperlink" Target="https://www.proquest.com/openview/ae6638cbd4536f6d2a49327f423a11dc/1?pq-origsite=gscholar&amp;cbl=18750&amp;diss=y" TargetMode="External"/><Relationship Id="rId102" Type="http://schemas.openxmlformats.org/officeDocument/2006/relationships/hyperlink" Target="https://qualitysafety.bmj.com/content/33/9/573.abstract" TargetMode="External"/><Relationship Id="rId123" Type="http://schemas.openxmlformats.org/officeDocument/2006/relationships/hyperlink" Target="https://link.springer.com/chapter/10.1007/978-3-031-20298-8_40" TargetMode="External"/><Relationship Id="rId144" Type="http://schemas.openxmlformats.org/officeDocument/2006/relationships/image" Target="media/image3.png"/><Relationship Id="rId90" Type="http://schemas.openxmlformats.org/officeDocument/2006/relationships/hyperlink" Target="https://books.google.co.in/books?hl=en&amp;lr=&amp;id=KnYOEAAAQBAJ&amp;oi=fnd&amp;pg=PA17&amp;dq=HCP+leadership+is+more+than+managers+and+resources+management+but+how+an+individual+can+entice+a+multidisciplinary+team+to+provide+evidence-based,+person-centred&amp;ots=3suFmuIgoO&amp;sig=D4J-2dLbgZDvRW7ie78q446Tl3s&amp;redir_esc=y" TargetMode="External"/><Relationship Id="rId27" Type="http://schemas.openxmlformats.org/officeDocument/2006/relationships/hyperlink" Target="https://uhra.herts.ac.uk/id/eprint/15986/" TargetMode="External"/><Relationship Id="rId48" Type="http://schemas.openxmlformats.org/officeDocument/2006/relationships/hyperlink" Target="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 TargetMode="External"/><Relationship Id="rId69" Type="http://schemas.openxmlformats.org/officeDocument/2006/relationships/hyperlink" Target="https://associationofanaesthetists-publications.onlinelibrary.wiley.com/doi/abs/10.1111/anae.15941?af=R&amp;__cf_chl_tk=YnJOrmQqm2H4qGDaHEpkJOegmnjQzZOLbAH_ApFHn4w-1784616579-1.0.1.1-kVX05ijfmmRGfDZOeed6_NlLEJjNnZo1RL3tt2e_1FE" TargetMode="External"/><Relationship Id="rId113" Type="http://schemas.openxmlformats.org/officeDocument/2006/relationships/hyperlink" Target="https://mesopotamian.press/journals/index.php/MJAIH/article/view/793" TargetMode="External"/><Relationship Id="rId134" Type="http://schemas.openxmlformats.org/officeDocument/2006/relationships/hyperlink" Target="https://www.who.int/initiatives/medication-without-har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D643C2-630A-4875-81B3-1BEC7F7DF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10500</Words>
  <Characters>59851</Characters>
  <Application>Microsoft Office Word</Application>
  <DocSecurity>0</DocSecurity>
  <Lines>498</Lines>
  <Paragraphs>140</Paragraphs>
  <ScaleCrop>false</ScaleCrop>
  <Company/>
  <LinksUpToDate>false</LinksUpToDate>
  <CharactersWithSpaces>70211</CharactersWithSpaces>
  <SharedDoc>false</SharedDoc>
  <HLinks>
    <vt:vector size="828" baseType="variant">
      <vt:variant>
        <vt:i4>786489</vt:i4>
      </vt:variant>
      <vt:variant>
        <vt:i4>438</vt:i4>
      </vt:variant>
      <vt:variant>
        <vt:i4>0</vt:i4>
      </vt:variant>
      <vt:variant>
        <vt:i4>5</vt:i4>
      </vt:variant>
      <vt:variant>
        <vt:lpwstr>https://www.who.int/initiatives/medication-without-harm?utm_source=chatgpt.com</vt:lpwstr>
      </vt:variant>
      <vt:variant>
        <vt:lpwstr/>
      </vt:variant>
      <vt:variant>
        <vt:i4>786489</vt:i4>
      </vt:variant>
      <vt:variant>
        <vt:i4>435</vt:i4>
      </vt:variant>
      <vt:variant>
        <vt:i4>0</vt:i4>
      </vt:variant>
      <vt:variant>
        <vt:i4>5</vt:i4>
      </vt:variant>
      <vt:variant>
        <vt:lpwstr>https://www.who.int/initiatives/medication-without-harm?utm_source=chatgpt.com</vt:lpwstr>
      </vt:variant>
      <vt:variant>
        <vt:lpwstr/>
      </vt:variant>
      <vt:variant>
        <vt:i4>786489</vt:i4>
      </vt:variant>
      <vt:variant>
        <vt:i4>432</vt:i4>
      </vt:variant>
      <vt:variant>
        <vt:i4>0</vt:i4>
      </vt:variant>
      <vt:variant>
        <vt:i4>5</vt:i4>
      </vt:variant>
      <vt:variant>
        <vt:lpwstr>https://www.who.int/initiatives/medication-without-harm?utm_source=chatgpt.com</vt:lpwstr>
      </vt:variant>
      <vt:variant>
        <vt:lpwstr/>
      </vt:variant>
      <vt:variant>
        <vt:i4>786489</vt:i4>
      </vt:variant>
      <vt:variant>
        <vt:i4>429</vt:i4>
      </vt:variant>
      <vt:variant>
        <vt:i4>0</vt:i4>
      </vt:variant>
      <vt:variant>
        <vt:i4>5</vt:i4>
      </vt:variant>
      <vt:variant>
        <vt:lpwstr>https://www.who.int/initiatives/medication-without-harm?utm_source=chatgpt.com</vt:lpwstr>
      </vt:variant>
      <vt:variant>
        <vt:lpwstr/>
      </vt:variant>
      <vt:variant>
        <vt:i4>6029352</vt:i4>
      </vt:variant>
      <vt:variant>
        <vt:i4>426</vt:i4>
      </vt:variant>
      <vt:variant>
        <vt:i4>0</vt:i4>
      </vt:variant>
      <vt:variant>
        <vt:i4>5</vt:i4>
      </vt:variant>
      <vt:variant>
        <vt:lpwstr>https://www.who.int/news-room/fact-sheets/detail/patient-safety?utm_source=chatgpt.com</vt:lpwstr>
      </vt:variant>
      <vt:variant>
        <vt:lpwstr/>
      </vt:variant>
      <vt:variant>
        <vt:i4>6029352</vt:i4>
      </vt:variant>
      <vt:variant>
        <vt:i4>423</vt:i4>
      </vt:variant>
      <vt:variant>
        <vt:i4>0</vt:i4>
      </vt:variant>
      <vt:variant>
        <vt:i4>5</vt:i4>
      </vt:variant>
      <vt:variant>
        <vt:lpwstr>https://www.who.int/news-room/fact-sheets/detail/patient-safety?utm_source=chatgpt.com</vt:lpwstr>
      </vt:variant>
      <vt:variant>
        <vt:lpwstr/>
      </vt:variant>
      <vt:variant>
        <vt:i4>6029352</vt:i4>
      </vt:variant>
      <vt:variant>
        <vt:i4>420</vt:i4>
      </vt:variant>
      <vt:variant>
        <vt:i4>0</vt:i4>
      </vt:variant>
      <vt:variant>
        <vt:i4>5</vt:i4>
      </vt:variant>
      <vt:variant>
        <vt:lpwstr>https://www.who.int/news-room/fact-sheets/detail/patient-safety?utm_source=chatgpt.com</vt:lpwstr>
      </vt:variant>
      <vt:variant>
        <vt:lpwstr/>
      </vt:variant>
      <vt:variant>
        <vt:i4>6029352</vt:i4>
      </vt:variant>
      <vt:variant>
        <vt:i4>417</vt:i4>
      </vt:variant>
      <vt:variant>
        <vt:i4>0</vt:i4>
      </vt:variant>
      <vt:variant>
        <vt:i4>5</vt:i4>
      </vt:variant>
      <vt:variant>
        <vt:lpwstr>https://www.who.int/news-room/fact-sheets/detail/patient-safety?utm_source=chatgpt.com</vt:lpwstr>
      </vt:variant>
      <vt:variant>
        <vt:lpwstr/>
      </vt:variant>
      <vt:variant>
        <vt:i4>6029352</vt:i4>
      </vt:variant>
      <vt:variant>
        <vt:i4>414</vt:i4>
      </vt:variant>
      <vt:variant>
        <vt:i4>0</vt:i4>
      </vt:variant>
      <vt:variant>
        <vt:i4>5</vt:i4>
      </vt:variant>
      <vt:variant>
        <vt:lpwstr>https://www.who.int/news-room/fact-sheets/detail/patient-safety?utm_source=chatgpt.com</vt:lpwstr>
      </vt:variant>
      <vt:variant>
        <vt:lpwstr/>
      </vt:variant>
      <vt:variant>
        <vt:i4>6029352</vt:i4>
      </vt:variant>
      <vt:variant>
        <vt:i4>411</vt:i4>
      </vt:variant>
      <vt:variant>
        <vt:i4>0</vt:i4>
      </vt:variant>
      <vt:variant>
        <vt:i4>5</vt:i4>
      </vt:variant>
      <vt:variant>
        <vt:lpwstr>https://www.who.int/news-room/fact-sheets/detail/patient-safety?utm_source=chatgpt.com</vt:lpwstr>
      </vt:variant>
      <vt:variant>
        <vt:lpwstr/>
      </vt:variant>
      <vt:variant>
        <vt:i4>262146</vt:i4>
      </vt:variant>
      <vt:variant>
        <vt:i4>408</vt:i4>
      </vt:variant>
      <vt:variant>
        <vt:i4>0</vt:i4>
      </vt:variant>
      <vt:variant>
        <vt:i4>5</vt:i4>
      </vt:variant>
      <vt:variant>
        <vt:lpwstr>https://www.emerald.com/jhom/article-abstract/36/5/650/217455/A-study-of-the-implementation-of-patient-safety?redirectedFrom=fulltext</vt:lpwstr>
      </vt:variant>
      <vt:variant>
        <vt:lpwstr/>
      </vt:variant>
      <vt:variant>
        <vt:i4>3080252</vt:i4>
      </vt:variant>
      <vt:variant>
        <vt:i4>405</vt:i4>
      </vt:variant>
      <vt:variant>
        <vt:i4>0</vt:i4>
      </vt:variant>
      <vt:variant>
        <vt:i4>5</vt:i4>
      </vt:variant>
      <vt:variant>
        <vt:lpwstr>https://www.who.int/news-room/fact-sheets/detail/patient-safety</vt:lpwstr>
      </vt:variant>
      <vt:variant>
        <vt:lpwstr/>
      </vt:variant>
      <vt:variant>
        <vt:i4>5832821</vt:i4>
      </vt:variant>
      <vt:variant>
        <vt:i4>402</vt:i4>
      </vt:variant>
      <vt:variant>
        <vt:i4>0</vt:i4>
      </vt:variant>
      <vt:variant>
        <vt:i4>5</vt:i4>
      </vt:variant>
      <vt:variant>
        <vt:lpwstr>https://link.springer.com/chapter/10.1007/978-3-031-20298-8_40</vt:lpwstr>
      </vt:variant>
      <vt:variant>
        <vt:lpwstr/>
      </vt:variant>
      <vt:variant>
        <vt:i4>5832821</vt:i4>
      </vt:variant>
      <vt:variant>
        <vt:i4>399</vt:i4>
      </vt:variant>
      <vt:variant>
        <vt:i4>0</vt:i4>
      </vt:variant>
      <vt:variant>
        <vt:i4>5</vt:i4>
      </vt:variant>
      <vt:variant>
        <vt:lpwstr>https://link.springer.com/chapter/10.1007/978-3-031-20298-8_40</vt:lpwstr>
      </vt:variant>
      <vt:variant>
        <vt:lpwstr/>
      </vt:variant>
      <vt:variant>
        <vt:i4>5832821</vt:i4>
      </vt:variant>
      <vt:variant>
        <vt:i4>396</vt:i4>
      </vt:variant>
      <vt:variant>
        <vt:i4>0</vt:i4>
      </vt:variant>
      <vt:variant>
        <vt:i4>5</vt:i4>
      </vt:variant>
      <vt:variant>
        <vt:lpwstr>https://link.springer.com/chapter/10.1007/978-3-031-20298-8_40</vt:lpwstr>
      </vt:variant>
      <vt:variant>
        <vt:lpwstr/>
      </vt:variant>
      <vt:variant>
        <vt:i4>5832821</vt:i4>
      </vt:variant>
      <vt:variant>
        <vt:i4>393</vt:i4>
      </vt:variant>
      <vt:variant>
        <vt:i4>0</vt:i4>
      </vt:variant>
      <vt:variant>
        <vt:i4>5</vt:i4>
      </vt:variant>
      <vt:variant>
        <vt:lpwstr>https://link.springer.com/chapter/10.1007/978-3-031-20298-8_40</vt:lpwstr>
      </vt:variant>
      <vt:variant>
        <vt:lpwstr/>
      </vt:variant>
      <vt:variant>
        <vt:i4>5832821</vt:i4>
      </vt:variant>
      <vt:variant>
        <vt:i4>390</vt:i4>
      </vt:variant>
      <vt:variant>
        <vt:i4>0</vt:i4>
      </vt:variant>
      <vt:variant>
        <vt:i4>5</vt:i4>
      </vt:variant>
      <vt:variant>
        <vt:lpwstr>https://link.springer.com/chapter/10.1007/978-3-031-20298-8_40</vt:lpwstr>
      </vt:variant>
      <vt:variant>
        <vt:lpwstr/>
      </vt:variant>
      <vt:variant>
        <vt:i4>5832821</vt:i4>
      </vt:variant>
      <vt:variant>
        <vt:i4>387</vt:i4>
      </vt:variant>
      <vt:variant>
        <vt:i4>0</vt:i4>
      </vt:variant>
      <vt:variant>
        <vt:i4>5</vt:i4>
      </vt:variant>
      <vt:variant>
        <vt:lpwstr>https://link.springer.com/chapter/10.1007/978-3-031-20298-8_40</vt:lpwstr>
      </vt:variant>
      <vt:variant>
        <vt:lpwstr/>
      </vt:variant>
      <vt:variant>
        <vt:i4>5832821</vt:i4>
      </vt:variant>
      <vt:variant>
        <vt:i4>384</vt:i4>
      </vt:variant>
      <vt:variant>
        <vt:i4>0</vt:i4>
      </vt:variant>
      <vt:variant>
        <vt:i4>5</vt:i4>
      </vt:variant>
      <vt:variant>
        <vt:lpwstr>https://link.springer.com/chapter/10.1007/978-3-031-20298-8_40</vt:lpwstr>
      </vt:variant>
      <vt:variant>
        <vt:lpwstr/>
      </vt:variant>
      <vt:variant>
        <vt:i4>5832821</vt:i4>
      </vt:variant>
      <vt:variant>
        <vt:i4>381</vt:i4>
      </vt:variant>
      <vt:variant>
        <vt:i4>0</vt:i4>
      </vt:variant>
      <vt:variant>
        <vt:i4>5</vt:i4>
      </vt:variant>
      <vt:variant>
        <vt:lpwstr>https://link.springer.com/chapter/10.1007/978-3-031-20298-8_40</vt:lpwstr>
      </vt:variant>
      <vt:variant>
        <vt:lpwstr/>
      </vt:variant>
      <vt:variant>
        <vt:i4>5832821</vt:i4>
      </vt:variant>
      <vt:variant>
        <vt:i4>378</vt:i4>
      </vt:variant>
      <vt:variant>
        <vt:i4>0</vt:i4>
      </vt:variant>
      <vt:variant>
        <vt:i4>5</vt:i4>
      </vt:variant>
      <vt:variant>
        <vt:lpwstr>https://link.springer.com/chapter/10.1007/978-3-031-20298-8_40</vt:lpwstr>
      </vt:variant>
      <vt:variant>
        <vt:lpwstr/>
      </vt:variant>
      <vt:variant>
        <vt:i4>5832821</vt:i4>
      </vt:variant>
      <vt:variant>
        <vt:i4>375</vt:i4>
      </vt:variant>
      <vt:variant>
        <vt:i4>0</vt:i4>
      </vt:variant>
      <vt:variant>
        <vt:i4>5</vt:i4>
      </vt:variant>
      <vt:variant>
        <vt:lpwstr>https://link.springer.com/chapter/10.1007/978-3-031-20298-8_40</vt:lpwstr>
      </vt:variant>
      <vt:variant>
        <vt:lpwstr/>
      </vt:variant>
      <vt:variant>
        <vt:i4>4849758</vt:i4>
      </vt:variant>
      <vt:variant>
        <vt:i4>372</vt:i4>
      </vt:variant>
      <vt:variant>
        <vt:i4>0</vt:i4>
      </vt:variant>
      <vt:variant>
        <vt:i4>5</vt:i4>
      </vt:variant>
      <vt:variant>
        <vt:lpwstr>https://mesopotamian.press/journals/index.php/MJAIH/article/view/793</vt:lpwstr>
      </vt:variant>
      <vt:variant>
        <vt:lpwstr/>
      </vt:variant>
      <vt:variant>
        <vt:i4>4849758</vt:i4>
      </vt:variant>
      <vt:variant>
        <vt:i4>369</vt:i4>
      </vt:variant>
      <vt:variant>
        <vt:i4>0</vt:i4>
      </vt:variant>
      <vt:variant>
        <vt:i4>5</vt:i4>
      </vt:variant>
      <vt:variant>
        <vt:lpwstr>https://mesopotamian.press/journals/index.php/MJAIH/article/view/793</vt:lpwstr>
      </vt:variant>
      <vt:variant>
        <vt:lpwstr/>
      </vt:variant>
      <vt:variant>
        <vt:i4>4849758</vt:i4>
      </vt:variant>
      <vt:variant>
        <vt:i4>366</vt:i4>
      </vt:variant>
      <vt:variant>
        <vt:i4>0</vt:i4>
      </vt:variant>
      <vt:variant>
        <vt:i4>5</vt:i4>
      </vt:variant>
      <vt:variant>
        <vt:lpwstr>https://mesopotamian.press/journals/index.php/MJAIH/article/view/793</vt:lpwstr>
      </vt:variant>
      <vt:variant>
        <vt:lpwstr/>
      </vt:variant>
      <vt:variant>
        <vt:i4>65545</vt:i4>
      </vt:variant>
      <vt:variant>
        <vt:i4>363</vt:i4>
      </vt:variant>
      <vt:variant>
        <vt:i4>0</vt:i4>
      </vt:variant>
      <vt:variant>
        <vt:i4>5</vt:i4>
      </vt:variant>
      <vt:variant>
        <vt:lpwstr>https://link.springer.com/article/10.1186/s12913-020-05160-2</vt:lpwstr>
      </vt:variant>
      <vt:variant>
        <vt:lpwstr/>
      </vt:variant>
      <vt:variant>
        <vt:i4>65545</vt:i4>
      </vt:variant>
      <vt:variant>
        <vt:i4>360</vt:i4>
      </vt:variant>
      <vt:variant>
        <vt:i4>0</vt:i4>
      </vt:variant>
      <vt:variant>
        <vt:i4>5</vt:i4>
      </vt:variant>
      <vt:variant>
        <vt:lpwstr>https://link.springer.com/article/10.1186/s12913-020-05160-2</vt:lpwstr>
      </vt:variant>
      <vt:variant>
        <vt:lpwstr/>
      </vt:variant>
      <vt:variant>
        <vt:i4>65545</vt:i4>
      </vt:variant>
      <vt:variant>
        <vt:i4>357</vt:i4>
      </vt:variant>
      <vt:variant>
        <vt:i4>0</vt:i4>
      </vt:variant>
      <vt:variant>
        <vt:i4>5</vt:i4>
      </vt:variant>
      <vt:variant>
        <vt:lpwstr>https://link.springer.com/article/10.1186/s12913-020-05160-2</vt:lpwstr>
      </vt:variant>
      <vt:variant>
        <vt:lpwstr/>
      </vt:variant>
      <vt:variant>
        <vt:i4>65545</vt:i4>
      </vt:variant>
      <vt:variant>
        <vt:i4>354</vt:i4>
      </vt:variant>
      <vt:variant>
        <vt:i4>0</vt:i4>
      </vt:variant>
      <vt:variant>
        <vt:i4>5</vt:i4>
      </vt:variant>
      <vt:variant>
        <vt:lpwstr>https://link.springer.com/article/10.1186/s12913-020-05160-2</vt:lpwstr>
      </vt:variant>
      <vt:variant>
        <vt:lpwstr/>
      </vt:variant>
      <vt:variant>
        <vt:i4>65545</vt:i4>
      </vt:variant>
      <vt:variant>
        <vt:i4>351</vt:i4>
      </vt:variant>
      <vt:variant>
        <vt:i4>0</vt:i4>
      </vt:variant>
      <vt:variant>
        <vt:i4>5</vt:i4>
      </vt:variant>
      <vt:variant>
        <vt:lpwstr>https://link.springer.com/article/10.1186/s12913-020-05160-2</vt:lpwstr>
      </vt:variant>
      <vt:variant>
        <vt:lpwstr/>
      </vt:variant>
      <vt:variant>
        <vt:i4>65545</vt:i4>
      </vt:variant>
      <vt:variant>
        <vt:i4>348</vt:i4>
      </vt:variant>
      <vt:variant>
        <vt:i4>0</vt:i4>
      </vt:variant>
      <vt:variant>
        <vt:i4>5</vt:i4>
      </vt:variant>
      <vt:variant>
        <vt:lpwstr>https://link.springer.com/article/10.1186/s12913-020-05160-2</vt:lpwstr>
      </vt:variant>
      <vt:variant>
        <vt:lpwstr/>
      </vt:variant>
      <vt:variant>
        <vt:i4>65545</vt:i4>
      </vt:variant>
      <vt:variant>
        <vt:i4>345</vt:i4>
      </vt:variant>
      <vt:variant>
        <vt:i4>0</vt:i4>
      </vt:variant>
      <vt:variant>
        <vt:i4>5</vt:i4>
      </vt:variant>
      <vt:variant>
        <vt:lpwstr>https://link.springer.com/article/10.1186/s12913-020-05160-2</vt:lpwstr>
      </vt:variant>
      <vt:variant>
        <vt:lpwstr/>
      </vt:variant>
      <vt:variant>
        <vt:i4>65545</vt:i4>
      </vt:variant>
      <vt:variant>
        <vt:i4>342</vt:i4>
      </vt:variant>
      <vt:variant>
        <vt:i4>0</vt:i4>
      </vt:variant>
      <vt:variant>
        <vt:i4>5</vt:i4>
      </vt:variant>
      <vt:variant>
        <vt:lpwstr>https://link.springer.com/article/10.1186/s12913-020-05160-2</vt:lpwstr>
      </vt:variant>
      <vt:variant>
        <vt:lpwstr/>
      </vt:variant>
      <vt:variant>
        <vt:i4>6619258</vt:i4>
      </vt:variant>
      <vt:variant>
        <vt:i4>339</vt:i4>
      </vt:variant>
      <vt:variant>
        <vt:i4>0</vt:i4>
      </vt:variant>
      <vt:variant>
        <vt:i4>5</vt:i4>
      </vt:variant>
      <vt:variant>
        <vt:lpwstr>https://qualitysafety.bmj.com/content/33/9/573.abstract</vt:lpwstr>
      </vt:variant>
      <vt:variant>
        <vt:lpwstr/>
      </vt:variant>
      <vt:variant>
        <vt:i4>6619258</vt:i4>
      </vt:variant>
      <vt:variant>
        <vt:i4>336</vt:i4>
      </vt:variant>
      <vt:variant>
        <vt:i4>0</vt:i4>
      </vt:variant>
      <vt:variant>
        <vt:i4>5</vt:i4>
      </vt:variant>
      <vt:variant>
        <vt:lpwstr>https://qualitysafety.bmj.com/content/33/9/573.abstract</vt:lpwstr>
      </vt:variant>
      <vt:variant>
        <vt:lpwstr/>
      </vt:variant>
      <vt:variant>
        <vt:i4>3342380</vt:i4>
      </vt:variant>
      <vt:variant>
        <vt:i4>333</vt:i4>
      </vt:variant>
      <vt:variant>
        <vt:i4>0</vt:i4>
      </vt:variant>
      <vt:variant>
        <vt:i4>5</vt:i4>
      </vt:variant>
      <vt:variant>
        <vt:lpwstr>https://onlinelibrary.wiley.com/doi/full/10.1111/hex.13143</vt:lpwstr>
      </vt:variant>
      <vt:variant>
        <vt:lpwstr/>
      </vt:variant>
      <vt:variant>
        <vt:i4>3342380</vt:i4>
      </vt:variant>
      <vt:variant>
        <vt:i4>330</vt:i4>
      </vt:variant>
      <vt:variant>
        <vt:i4>0</vt:i4>
      </vt:variant>
      <vt:variant>
        <vt:i4>5</vt:i4>
      </vt:variant>
      <vt:variant>
        <vt:lpwstr>https://onlinelibrary.wiley.com/doi/full/10.1111/hex.13143</vt:lpwstr>
      </vt:variant>
      <vt:variant>
        <vt:lpwstr/>
      </vt:variant>
      <vt:variant>
        <vt:i4>4587534</vt:i4>
      </vt:variant>
      <vt:variant>
        <vt:i4>327</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324</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321</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318</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315</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312</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309</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306</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303</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300</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297</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294</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4587534</vt:i4>
      </vt:variant>
      <vt:variant>
        <vt:i4>291</vt:i4>
      </vt:variant>
      <vt:variant>
        <vt:i4>0</vt:i4>
      </vt:variant>
      <vt:variant>
        <vt:i4>5</vt:i4>
      </vt:variant>
      <vt:variant>
        <vt:lpwstr>https://books.google.co.in/books?hl=en&amp;lr=&amp;id=KnYOEAAAQBAJ&amp;oi=fnd&amp;pg=PA17&amp;dq=HCP+leadership+is+more+than+managers+and+resources+management+but+how+an+individual+can+entice+a+multidisciplinary+team+to+provide+evidence-based,+person-centred&amp;ots=3suFmuIgoO&amp;sig=D4J-2dLbgZDvRW7ie78q446Tl3s&amp;redir_esc=y</vt:lpwstr>
      </vt:variant>
      <vt:variant>
        <vt:lpwstr>v=onepage&amp;q&amp;f=false</vt:lpwstr>
      </vt:variant>
      <vt:variant>
        <vt:i4>6684789</vt:i4>
      </vt:variant>
      <vt:variant>
        <vt:i4>288</vt:i4>
      </vt:variant>
      <vt:variant>
        <vt:i4>0</vt:i4>
      </vt:variant>
      <vt:variant>
        <vt:i4>5</vt:i4>
      </vt:variant>
      <vt:variant>
        <vt:lpwstr>https://www.sciencedirect.com/science/article/pii/S0277953625008937</vt:lpwstr>
      </vt:variant>
      <vt:variant>
        <vt:lpwstr/>
      </vt:variant>
      <vt:variant>
        <vt:i4>6684789</vt:i4>
      </vt:variant>
      <vt:variant>
        <vt:i4>285</vt:i4>
      </vt:variant>
      <vt:variant>
        <vt:i4>0</vt:i4>
      </vt:variant>
      <vt:variant>
        <vt:i4>5</vt:i4>
      </vt:variant>
      <vt:variant>
        <vt:lpwstr>https://www.sciencedirect.com/science/article/pii/S0277953625008937</vt:lpwstr>
      </vt:variant>
      <vt:variant>
        <vt:lpwstr/>
      </vt:variant>
      <vt:variant>
        <vt:i4>2490480</vt:i4>
      </vt:variant>
      <vt:variant>
        <vt:i4>282</vt:i4>
      </vt:variant>
      <vt:variant>
        <vt:i4>0</vt:i4>
      </vt:variant>
      <vt:variant>
        <vt:i4>5</vt:i4>
      </vt:variant>
      <vt:variant>
        <vt:lpwstr>https://journals.sagepub.com/doi/abs/10.1177/01410768251366879</vt:lpwstr>
      </vt:variant>
      <vt:variant>
        <vt:lpwstr/>
      </vt:variant>
      <vt:variant>
        <vt:i4>2490480</vt:i4>
      </vt:variant>
      <vt:variant>
        <vt:i4>279</vt:i4>
      </vt:variant>
      <vt:variant>
        <vt:i4>0</vt:i4>
      </vt:variant>
      <vt:variant>
        <vt:i4>5</vt:i4>
      </vt:variant>
      <vt:variant>
        <vt:lpwstr>https://journals.sagepub.com/doi/abs/10.1177/01410768251366879</vt:lpwstr>
      </vt:variant>
      <vt:variant>
        <vt:lpwstr/>
      </vt:variant>
      <vt:variant>
        <vt:i4>2949242</vt:i4>
      </vt:variant>
      <vt:variant>
        <vt:i4>276</vt:i4>
      </vt:variant>
      <vt:variant>
        <vt:i4>0</vt:i4>
      </vt:variant>
      <vt:variant>
        <vt:i4>5</vt:i4>
      </vt:variant>
      <vt:variant>
        <vt:lpwstr>https://www.proquest.com/openview/ae6638cbd4536f6d2a49327f423a11dc/1?pq-origsite=gscholar&amp;cbl=18750&amp;diss=y</vt:lpwstr>
      </vt:variant>
      <vt:variant>
        <vt:lpwstr/>
      </vt:variant>
      <vt:variant>
        <vt:i4>2949242</vt:i4>
      </vt:variant>
      <vt:variant>
        <vt:i4>273</vt:i4>
      </vt:variant>
      <vt:variant>
        <vt:i4>0</vt:i4>
      </vt:variant>
      <vt:variant>
        <vt:i4>5</vt:i4>
      </vt:variant>
      <vt:variant>
        <vt:lpwstr>https://www.proquest.com/openview/ae6638cbd4536f6d2a49327f423a11dc/1?pq-origsite=gscholar&amp;cbl=18750&amp;diss=y</vt:lpwstr>
      </vt:variant>
      <vt:variant>
        <vt:lpwstr/>
      </vt:variant>
      <vt:variant>
        <vt:i4>2949242</vt:i4>
      </vt:variant>
      <vt:variant>
        <vt:i4>270</vt:i4>
      </vt:variant>
      <vt:variant>
        <vt:i4>0</vt:i4>
      </vt:variant>
      <vt:variant>
        <vt:i4>5</vt:i4>
      </vt:variant>
      <vt:variant>
        <vt:lpwstr>https://www.proquest.com/openview/ae6638cbd4536f6d2a49327f423a11dc/1?pq-origsite=gscholar&amp;cbl=18750&amp;diss=y</vt:lpwstr>
      </vt:variant>
      <vt:variant>
        <vt:lpwstr/>
      </vt:variant>
      <vt:variant>
        <vt:i4>2949242</vt:i4>
      </vt:variant>
      <vt:variant>
        <vt:i4>267</vt:i4>
      </vt:variant>
      <vt:variant>
        <vt:i4>0</vt:i4>
      </vt:variant>
      <vt:variant>
        <vt:i4>5</vt:i4>
      </vt:variant>
      <vt:variant>
        <vt:lpwstr>https://www.proquest.com/openview/ae6638cbd4536f6d2a49327f423a11dc/1?pq-origsite=gscholar&amp;cbl=18750&amp;diss=y</vt:lpwstr>
      </vt:variant>
      <vt:variant>
        <vt:lpwstr/>
      </vt:variant>
      <vt:variant>
        <vt:i4>4915297</vt:i4>
      </vt:variant>
      <vt:variant>
        <vt:i4>264</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261</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258</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255</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252</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249</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246</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243</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240</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237</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4915297</vt:i4>
      </vt:variant>
      <vt:variant>
        <vt:i4>234</vt:i4>
      </vt:variant>
      <vt:variant>
        <vt:i4>0</vt:i4>
      </vt:variant>
      <vt:variant>
        <vt:i4>5</vt:i4>
      </vt:variant>
      <vt:variant>
        <vt:lpwstr>https://associationofanaesthetists-publications.onlinelibrary.wiley.com/doi/abs/10.1111/anae.15941?af=R&amp;__cf_chl_tk=YnJOrmQqm2H4qGDaHEpkJOegmnjQzZOLbAH_ApFHn4w-1784616579-1.0.1.1-kVX05ijfmmRGfDZOeed6_NlLEJjNnZo1RL3tt2e_1FE</vt:lpwstr>
      </vt:variant>
      <vt:variant>
        <vt:lpwstr/>
      </vt:variant>
      <vt:variant>
        <vt:i4>5570661</vt:i4>
      </vt:variant>
      <vt:variant>
        <vt:i4>231</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228</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225</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222</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219</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216</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213</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210</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5570661</vt:i4>
      </vt:variant>
      <vt:variant>
        <vt:i4>207</vt:i4>
      </vt:variant>
      <vt:variant>
        <vt:i4>0</vt:i4>
      </vt:variant>
      <vt:variant>
        <vt:i4>5</vt:i4>
      </vt:variant>
      <vt:variant>
        <vt:lpwstr>https://www.sciencedirect.com/science/article/pii/S2667118222000162?__cf_chl_tk=zrhj8jUhg6ZuX46MmvK8pVrBhfrt8zMMPnVy3WdtKMc-1784617271-1.0.1.1-33NshmWqIWRpN_yAACHQAHqXmZSX5uHP9ZblsiStGRM</vt:lpwstr>
      </vt:variant>
      <vt:variant>
        <vt:lpwstr/>
      </vt:variant>
      <vt:variant>
        <vt:i4>4259908</vt:i4>
      </vt:variant>
      <vt:variant>
        <vt:i4>204</vt:i4>
      </vt:variant>
      <vt:variant>
        <vt:i4>0</vt:i4>
      </vt:variant>
      <vt:variant>
        <vt:i4>5</vt:i4>
      </vt:variant>
      <vt:variant>
        <vt:lpwstr>https://www.tandfonline.com/doi/abs/10.1080/17483107.2020.1745910</vt:lpwstr>
      </vt:variant>
      <vt:variant>
        <vt:lpwstr/>
      </vt:variant>
      <vt:variant>
        <vt:i4>4259908</vt:i4>
      </vt:variant>
      <vt:variant>
        <vt:i4>201</vt:i4>
      </vt:variant>
      <vt:variant>
        <vt:i4>0</vt:i4>
      </vt:variant>
      <vt:variant>
        <vt:i4>5</vt:i4>
      </vt:variant>
      <vt:variant>
        <vt:lpwstr>https://www.tandfonline.com/doi/abs/10.1080/17483107.2020.1745910</vt:lpwstr>
      </vt:variant>
      <vt:variant>
        <vt:lpwstr/>
      </vt:variant>
      <vt:variant>
        <vt:i4>4325450</vt:i4>
      </vt:variant>
      <vt:variant>
        <vt:i4>198</vt:i4>
      </vt:variant>
      <vt:variant>
        <vt:i4>0</vt:i4>
      </vt:variant>
      <vt:variant>
        <vt:i4>5</vt:i4>
      </vt:variant>
      <vt:variant>
        <vt:lpwstr>https://www.hssib.org.uk/patient-safety-investigations/unintentional-overdose-of-morphine-sulfate-oral-solution/investigation-report/</vt:lpwstr>
      </vt:variant>
      <vt:variant>
        <vt:lpwstr/>
      </vt:variant>
      <vt:variant>
        <vt:i4>720908</vt:i4>
      </vt:variant>
      <vt:variant>
        <vt:i4>195</vt:i4>
      </vt:variant>
      <vt:variant>
        <vt:i4>0</vt:i4>
      </vt:variant>
      <vt:variant>
        <vt:i4>5</vt:i4>
      </vt:variant>
      <vt:variant>
        <vt:lpwstr>https://emj.bmj.com/content/37/7/437.abstract</vt:lpwstr>
      </vt:variant>
      <vt:variant>
        <vt:lpwstr/>
      </vt:variant>
      <vt:variant>
        <vt:i4>720908</vt:i4>
      </vt:variant>
      <vt:variant>
        <vt:i4>192</vt:i4>
      </vt:variant>
      <vt:variant>
        <vt:i4>0</vt:i4>
      </vt:variant>
      <vt:variant>
        <vt:i4>5</vt:i4>
      </vt:variant>
      <vt:variant>
        <vt:lpwstr>https://emj.bmj.com/content/37/7/437.abstract</vt:lpwstr>
      </vt:variant>
      <vt:variant>
        <vt:lpwstr/>
      </vt:variant>
      <vt:variant>
        <vt:i4>8126518</vt:i4>
      </vt:variant>
      <vt:variant>
        <vt:i4>189</vt:i4>
      </vt:variant>
      <vt:variant>
        <vt:i4>0</vt:i4>
      </vt:variant>
      <vt:variant>
        <vt:i4>5</vt:i4>
      </vt:variant>
      <vt:variant>
        <vt:lpwstr>https://bpspubs.onlinelibrary.wiley.com/doi/full/10.1111/bcp.15497</vt:lpwstr>
      </vt:variant>
      <vt:variant>
        <vt:lpwstr/>
      </vt:variant>
      <vt:variant>
        <vt:i4>8126518</vt:i4>
      </vt:variant>
      <vt:variant>
        <vt:i4>186</vt:i4>
      </vt:variant>
      <vt:variant>
        <vt:i4>0</vt:i4>
      </vt:variant>
      <vt:variant>
        <vt:i4>5</vt:i4>
      </vt:variant>
      <vt:variant>
        <vt:lpwstr>https://bpspubs.onlinelibrary.wiley.com/doi/full/10.1111/bcp.15497</vt:lpwstr>
      </vt:variant>
      <vt:variant>
        <vt:lpwstr/>
      </vt:variant>
      <vt:variant>
        <vt:i4>4718679</vt:i4>
      </vt:variant>
      <vt:variant>
        <vt:i4>183</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180</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177</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174</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171</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168</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165</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4718679</vt:i4>
      </vt:variant>
      <vt:variant>
        <vt:i4>162</vt:i4>
      </vt:variant>
      <vt:variant>
        <vt:i4>0</vt:i4>
      </vt:variant>
      <vt:variant>
        <vt:i4>5</vt:i4>
      </vt:variant>
      <vt:variant>
        <vt:lpwstr>https://books.google.co.in/books?hl=en&amp;lr=&amp;id=hDN3EQAAQBAJ&amp;oi=fnd&amp;pg=PP1&amp;dq=uk+based++healthcare+services+involved+to+the+care+of+Len+were+run+under+a+hybrid+organisational+structure+which+was+inclusive+of+both+the+centralisation+and+the+decentralisation+&amp;ots=bdxTO1A70H&amp;sig=OM9S_jxk-eRhHSWW2nv4xI9JTl0&amp;redir_esc=y</vt:lpwstr>
      </vt:variant>
      <vt:variant>
        <vt:lpwstr>v=onepage&amp;q&amp;f=false</vt:lpwstr>
      </vt:variant>
      <vt:variant>
        <vt:i4>8126497</vt:i4>
      </vt:variant>
      <vt:variant>
        <vt:i4>159</vt:i4>
      </vt:variant>
      <vt:variant>
        <vt:i4>0</vt:i4>
      </vt:variant>
      <vt:variant>
        <vt:i4>5</vt:i4>
      </vt:variant>
      <vt:variant>
        <vt:lpwstr>https://qualitysafety.bmj.com/content/30/2/96.abstract</vt:lpwstr>
      </vt:variant>
      <vt:variant>
        <vt:lpwstr/>
      </vt:variant>
      <vt:variant>
        <vt:i4>8126497</vt:i4>
      </vt:variant>
      <vt:variant>
        <vt:i4>156</vt:i4>
      </vt:variant>
      <vt:variant>
        <vt:i4>0</vt:i4>
      </vt:variant>
      <vt:variant>
        <vt:i4>5</vt:i4>
      </vt:variant>
      <vt:variant>
        <vt:lpwstr>https://qualitysafety.bmj.com/content/30/2/96.abstract</vt:lpwstr>
      </vt:variant>
      <vt:variant>
        <vt:lpwstr/>
      </vt:variant>
      <vt:variant>
        <vt:i4>4784136</vt:i4>
      </vt:variant>
      <vt:variant>
        <vt:i4>153</vt:i4>
      </vt:variant>
      <vt:variant>
        <vt:i4>0</vt:i4>
      </vt:variant>
      <vt:variant>
        <vt:i4>5</vt:i4>
      </vt:variant>
      <vt:variant>
        <vt:lpwstr>https://link.springer.com/article/10.1186/s12877-023-03770-z</vt:lpwstr>
      </vt:variant>
      <vt:variant>
        <vt:lpwstr/>
      </vt:variant>
      <vt:variant>
        <vt:i4>4784136</vt:i4>
      </vt:variant>
      <vt:variant>
        <vt:i4>150</vt:i4>
      </vt:variant>
      <vt:variant>
        <vt:i4>0</vt:i4>
      </vt:variant>
      <vt:variant>
        <vt:i4>5</vt:i4>
      </vt:variant>
      <vt:variant>
        <vt:lpwstr>https://link.springer.com/article/10.1186/s12877-023-03770-z</vt:lpwstr>
      </vt:variant>
      <vt:variant>
        <vt:lpwstr/>
      </vt:variant>
      <vt:variant>
        <vt:i4>4784136</vt:i4>
      </vt:variant>
      <vt:variant>
        <vt:i4>147</vt:i4>
      </vt:variant>
      <vt:variant>
        <vt:i4>0</vt:i4>
      </vt:variant>
      <vt:variant>
        <vt:i4>5</vt:i4>
      </vt:variant>
      <vt:variant>
        <vt:lpwstr>https://link.springer.com/article/10.1186/s12877-023-03770-z</vt:lpwstr>
      </vt:variant>
      <vt:variant>
        <vt:lpwstr/>
      </vt:variant>
      <vt:variant>
        <vt:i4>4784136</vt:i4>
      </vt:variant>
      <vt:variant>
        <vt:i4>144</vt:i4>
      </vt:variant>
      <vt:variant>
        <vt:i4>0</vt:i4>
      </vt:variant>
      <vt:variant>
        <vt:i4>5</vt:i4>
      </vt:variant>
      <vt:variant>
        <vt:lpwstr>https://link.springer.com/article/10.1186/s12877-023-03770-z</vt:lpwstr>
      </vt:variant>
      <vt:variant>
        <vt:lpwstr/>
      </vt:variant>
      <vt:variant>
        <vt:i4>4784136</vt:i4>
      </vt:variant>
      <vt:variant>
        <vt:i4>141</vt:i4>
      </vt:variant>
      <vt:variant>
        <vt:i4>0</vt:i4>
      </vt:variant>
      <vt:variant>
        <vt:i4>5</vt:i4>
      </vt:variant>
      <vt:variant>
        <vt:lpwstr>https://link.springer.com/article/10.1186/s12877-023-03770-z</vt:lpwstr>
      </vt:variant>
      <vt:variant>
        <vt:lpwstr/>
      </vt:variant>
      <vt:variant>
        <vt:i4>4784136</vt:i4>
      </vt:variant>
      <vt:variant>
        <vt:i4>138</vt:i4>
      </vt:variant>
      <vt:variant>
        <vt:i4>0</vt:i4>
      </vt:variant>
      <vt:variant>
        <vt:i4>5</vt:i4>
      </vt:variant>
      <vt:variant>
        <vt:lpwstr>https://link.springer.com/article/10.1186/s12877-023-03770-z</vt:lpwstr>
      </vt:variant>
      <vt:variant>
        <vt:lpwstr/>
      </vt:variant>
      <vt:variant>
        <vt:i4>4784136</vt:i4>
      </vt:variant>
      <vt:variant>
        <vt:i4>135</vt:i4>
      </vt:variant>
      <vt:variant>
        <vt:i4>0</vt:i4>
      </vt:variant>
      <vt:variant>
        <vt:i4>5</vt:i4>
      </vt:variant>
      <vt:variant>
        <vt:lpwstr>https://link.springer.com/article/10.1186/s12877-023-03770-z</vt:lpwstr>
      </vt:variant>
      <vt:variant>
        <vt:lpwstr/>
      </vt:variant>
      <vt:variant>
        <vt:i4>4784136</vt:i4>
      </vt:variant>
      <vt:variant>
        <vt:i4>132</vt:i4>
      </vt:variant>
      <vt:variant>
        <vt:i4>0</vt:i4>
      </vt:variant>
      <vt:variant>
        <vt:i4>5</vt:i4>
      </vt:variant>
      <vt:variant>
        <vt:lpwstr>https://link.springer.com/article/10.1186/s12877-023-03770-z</vt:lpwstr>
      </vt:variant>
      <vt:variant>
        <vt:lpwstr/>
      </vt:variant>
      <vt:variant>
        <vt:i4>720972</vt:i4>
      </vt:variant>
      <vt:variant>
        <vt:i4>129</vt:i4>
      </vt:variant>
      <vt:variant>
        <vt:i4>0</vt:i4>
      </vt:variant>
      <vt:variant>
        <vt:i4>5</vt:i4>
      </vt:variant>
      <vt:variant>
        <vt:lpwstr>https://journals.plos.org/plosone/article?id=10.1371/journal.pone.0321994</vt:lpwstr>
      </vt:variant>
      <vt:variant>
        <vt:lpwstr/>
      </vt:variant>
      <vt:variant>
        <vt:i4>720972</vt:i4>
      </vt:variant>
      <vt:variant>
        <vt:i4>126</vt:i4>
      </vt:variant>
      <vt:variant>
        <vt:i4>0</vt:i4>
      </vt:variant>
      <vt:variant>
        <vt:i4>5</vt:i4>
      </vt:variant>
      <vt:variant>
        <vt:lpwstr>https://journals.plos.org/plosone/article?id=10.1371/journal.pone.0321994</vt:lpwstr>
      </vt:variant>
      <vt:variant>
        <vt:lpwstr/>
      </vt:variant>
      <vt:variant>
        <vt:i4>7471217</vt:i4>
      </vt:variant>
      <vt:variant>
        <vt:i4>123</vt:i4>
      </vt:variant>
      <vt:variant>
        <vt:i4>0</vt:i4>
      </vt:variant>
      <vt:variant>
        <vt:i4>5</vt:i4>
      </vt:variant>
      <vt:variant>
        <vt:lpwstr>https://www.tandfonline.com/doi/abs/10.1080/14737175.2025.24709806</vt:lpwstr>
      </vt:variant>
      <vt:variant>
        <vt:lpwstr/>
      </vt:variant>
      <vt:variant>
        <vt:i4>7471217</vt:i4>
      </vt:variant>
      <vt:variant>
        <vt:i4>120</vt:i4>
      </vt:variant>
      <vt:variant>
        <vt:i4>0</vt:i4>
      </vt:variant>
      <vt:variant>
        <vt:i4>5</vt:i4>
      </vt:variant>
      <vt:variant>
        <vt:lpwstr>https://www.tandfonline.com/doi/abs/10.1080/14737175.2025.24709806</vt:lpwstr>
      </vt:variant>
      <vt:variant>
        <vt:lpwstr/>
      </vt:variant>
      <vt:variant>
        <vt:i4>2097195</vt:i4>
      </vt:variant>
      <vt:variant>
        <vt:i4>117</vt:i4>
      </vt:variant>
      <vt:variant>
        <vt:i4>0</vt:i4>
      </vt:variant>
      <vt:variant>
        <vt:i4>5</vt:i4>
      </vt:variant>
      <vt:variant>
        <vt:lpwstr>https://journals.sagepub.com/doi/full/10.1177/13558196241291816</vt:lpwstr>
      </vt:variant>
      <vt:variant>
        <vt:lpwstr/>
      </vt:variant>
      <vt:variant>
        <vt:i4>2097195</vt:i4>
      </vt:variant>
      <vt:variant>
        <vt:i4>114</vt:i4>
      </vt:variant>
      <vt:variant>
        <vt:i4>0</vt:i4>
      </vt:variant>
      <vt:variant>
        <vt:i4>5</vt:i4>
      </vt:variant>
      <vt:variant>
        <vt:lpwstr>https://journals.sagepub.com/doi/full/10.1177/13558196241291816</vt:lpwstr>
      </vt:variant>
      <vt:variant>
        <vt:lpwstr/>
      </vt:variant>
      <vt:variant>
        <vt:i4>4194384</vt:i4>
      </vt:variant>
      <vt:variant>
        <vt:i4>111</vt:i4>
      </vt:variant>
      <vt:variant>
        <vt:i4>0</vt:i4>
      </vt:variant>
      <vt:variant>
        <vt:i4>5</vt:i4>
      </vt:variant>
      <vt:variant>
        <vt:lpwstr>https://uhra.herts.ac.uk/id/eprint/15986/</vt:lpwstr>
      </vt:variant>
      <vt:variant>
        <vt:lpwstr/>
      </vt:variant>
      <vt:variant>
        <vt:i4>4194384</vt:i4>
      </vt:variant>
      <vt:variant>
        <vt:i4>108</vt:i4>
      </vt:variant>
      <vt:variant>
        <vt:i4>0</vt:i4>
      </vt:variant>
      <vt:variant>
        <vt:i4>5</vt:i4>
      </vt:variant>
      <vt:variant>
        <vt:lpwstr>https://uhra.herts.ac.uk/id/eprint/15986/</vt:lpwstr>
      </vt:variant>
      <vt:variant>
        <vt:lpwstr/>
      </vt:variant>
      <vt:variant>
        <vt:i4>4194384</vt:i4>
      </vt:variant>
      <vt:variant>
        <vt:i4>105</vt:i4>
      </vt:variant>
      <vt:variant>
        <vt:i4>0</vt:i4>
      </vt:variant>
      <vt:variant>
        <vt:i4>5</vt:i4>
      </vt:variant>
      <vt:variant>
        <vt:lpwstr>https://uhra.herts.ac.uk/id/eprint/15986/</vt:lpwstr>
      </vt:variant>
      <vt:variant>
        <vt:lpwstr/>
      </vt:variant>
      <vt:variant>
        <vt:i4>196678</vt:i4>
      </vt:variant>
      <vt:variant>
        <vt:i4>102</vt:i4>
      </vt:variant>
      <vt:variant>
        <vt:i4>0</vt:i4>
      </vt:variant>
      <vt:variant>
        <vt:i4>5</vt:i4>
      </vt:variant>
      <vt:variant>
        <vt:lpwstr>https://journals.plos.org/plosone/article?id=10.1371/journal.pone.0240516</vt:lpwstr>
      </vt:variant>
      <vt:variant>
        <vt:lpwstr/>
      </vt:variant>
      <vt:variant>
        <vt:i4>196678</vt:i4>
      </vt:variant>
      <vt:variant>
        <vt:i4>99</vt:i4>
      </vt:variant>
      <vt:variant>
        <vt:i4>0</vt:i4>
      </vt:variant>
      <vt:variant>
        <vt:i4>5</vt:i4>
      </vt:variant>
      <vt:variant>
        <vt:lpwstr>https://journals.plos.org/plosone/article?id=10.1371/journal.pone.0240516</vt:lpwstr>
      </vt:variant>
      <vt:variant>
        <vt:lpwstr/>
      </vt:variant>
      <vt:variant>
        <vt:i4>2818093</vt:i4>
      </vt:variant>
      <vt:variant>
        <vt:i4>96</vt:i4>
      </vt:variant>
      <vt:variant>
        <vt:i4>0</vt:i4>
      </vt:variant>
      <vt:variant>
        <vt:i4>5</vt:i4>
      </vt:variant>
      <vt:variant>
        <vt:lpwstr>https://www.ovid.com/jnls/otainternational/fulltext/10.1097/oi9.0000000000000198~overview-of-fracture-liaison-services-in-the-uk-and-europe</vt:lpwstr>
      </vt:variant>
      <vt:variant>
        <vt:lpwstr/>
      </vt:variant>
      <vt:variant>
        <vt:i4>2818093</vt:i4>
      </vt:variant>
      <vt:variant>
        <vt:i4>93</vt:i4>
      </vt:variant>
      <vt:variant>
        <vt:i4>0</vt:i4>
      </vt:variant>
      <vt:variant>
        <vt:i4>5</vt:i4>
      </vt:variant>
      <vt:variant>
        <vt:lpwstr>https://www.ovid.com/jnls/otainternational/fulltext/10.1097/oi9.0000000000000198~overview-of-fracture-liaison-services-in-the-uk-and-europe</vt:lpwstr>
      </vt:variant>
      <vt:variant>
        <vt:lpwstr/>
      </vt:variant>
      <vt:variant>
        <vt:i4>7864430</vt:i4>
      </vt:variant>
      <vt:variant>
        <vt:i4>90</vt:i4>
      </vt:variant>
      <vt:variant>
        <vt:i4>0</vt:i4>
      </vt:variant>
      <vt:variant>
        <vt:i4>5</vt:i4>
      </vt:variant>
      <vt:variant>
        <vt:lpwstr>https://pdfs.semanticscholar.org/671e/7a1d5eb29ee0f715c6f172dfa41bff93c8c9.pdf</vt:lpwstr>
      </vt:variant>
      <vt:variant>
        <vt:lpwstr/>
      </vt:variant>
      <vt:variant>
        <vt:i4>7864430</vt:i4>
      </vt:variant>
      <vt:variant>
        <vt:i4>87</vt:i4>
      </vt:variant>
      <vt:variant>
        <vt:i4>0</vt:i4>
      </vt:variant>
      <vt:variant>
        <vt:i4>5</vt:i4>
      </vt:variant>
      <vt:variant>
        <vt:lpwstr>https://pdfs.semanticscholar.org/671e/7a1d5eb29ee0f715c6f172dfa41bff93c8c9.pdf</vt:lpwstr>
      </vt:variant>
      <vt:variant>
        <vt:lpwstr/>
      </vt:variant>
      <vt:variant>
        <vt:i4>65547</vt:i4>
      </vt:variant>
      <vt:variant>
        <vt:i4>84</vt:i4>
      </vt:variant>
      <vt:variant>
        <vt:i4>0</vt:i4>
      </vt:variant>
      <vt:variant>
        <vt:i4>5</vt:i4>
      </vt:variant>
      <vt:variant>
        <vt:lpwstr>https://link.springer.com/article/10.1186/s12913-020-05641-4</vt:lpwstr>
      </vt:variant>
      <vt:variant>
        <vt:lpwstr/>
      </vt:variant>
      <vt:variant>
        <vt:i4>65547</vt:i4>
      </vt:variant>
      <vt:variant>
        <vt:i4>81</vt:i4>
      </vt:variant>
      <vt:variant>
        <vt:i4>0</vt:i4>
      </vt:variant>
      <vt:variant>
        <vt:i4>5</vt:i4>
      </vt:variant>
      <vt:variant>
        <vt:lpwstr>https://link.springer.com/article/10.1186/s12913-020-05641-4</vt:lpwstr>
      </vt:variant>
      <vt:variant>
        <vt:lpwstr/>
      </vt:variant>
      <vt:variant>
        <vt:i4>65547</vt:i4>
      </vt:variant>
      <vt:variant>
        <vt:i4>78</vt:i4>
      </vt:variant>
      <vt:variant>
        <vt:i4>0</vt:i4>
      </vt:variant>
      <vt:variant>
        <vt:i4>5</vt:i4>
      </vt:variant>
      <vt:variant>
        <vt:lpwstr>https://link.springer.com/article/10.1186/s12913-020-05641-4</vt:lpwstr>
      </vt:variant>
      <vt:variant>
        <vt:lpwstr/>
      </vt:variant>
      <vt:variant>
        <vt:i4>65547</vt:i4>
      </vt:variant>
      <vt:variant>
        <vt:i4>75</vt:i4>
      </vt:variant>
      <vt:variant>
        <vt:i4>0</vt:i4>
      </vt:variant>
      <vt:variant>
        <vt:i4>5</vt:i4>
      </vt:variant>
      <vt:variant>
        <vt:lpwstr>https://link.springer.com/article/10.1186/s12913-020-05641-4</vt:lpwstr>
      </vt:variant>
      <vt:variant>
        <vt:lpwstr/>
      </vt:variant>
      <vt:variant>
        <vt:i4>65547</vt:i4>
      </vt:variant>
      <vt:variant>
        <vt:i4>72</vt:i4>
      </vt:variant>
      <vt:variant>
        <vt:i4>0</vt:i4>
      </vt:variant>
      <vt:variant>
        <vt:i4>5</vt:i4>
      </vt:variant>
      <vt:variant>
        <vt:lpwstr>https://link.springer.com/article/10.1186/s12913-020-05641-4</vt:lpwstr>
      </vt:variant>
      <vt:variant>
        <vt:lpwstr/>
      </vt:variant>
      <vt:variant>
        <vt:i4>65547</vt:i4>
      </vt:variant>
      <vt:variant>
        <vt:i4>69</vt:i4>
      </vt:variant>
      <vt:variant>
        <vt:i4>0</vt:i4>
      </vt:variant>
      <vt:variant>
        <vt:i4>5</vt:i4>
      </vt:variant>
      <vt:variant>
        <vt:lpwstr>https://link.springer.com/article/10.1186/s12913-020-05641-4</vt:lpwstr>
      </vt:variant>
      <vt:variant>
        <vt:lpwstr/>
      </vt:variant>
      <vt:variant>
        <vt:i4>65547</vt:i4>
      </vt:variant>
      <vt:variant>
        <vt:i4>66</vt:i4>
      </vt:variant>
      <vt:variant>
        <vt:i4>0</vt:i4>
      </vt:variant>
      <vt:variant>
        <vt:i4>5</vt:i4>
      </vt:variant>
      <vt:variant>
        <vt:lpwstr>https://link.springer.com/article/10.1186/s12913-020-05641-4</vt:lpwstr>
      </vt:variant>
      <vt:variant>
        <vt:lpwstr/>
      </vt:variant>
      <vt:variant>
        <vt:i4>65547</vt:i4>
      </vt:variant>
      <vt:variant>
        <vt:i4>63</vt:i4>
      </vt:variant>
      <vt:variant>
        <vt:i4>0</vt:i4>
      </vt:variant>
      <vt:variant>
        <vt:i4>5</vt:i4>
      </vt:variant>
      <vt:variant>
        <vt:lpwstr>https://link.springer.com/article/10.1186/s12913-020-05641-4</vt:lpwstr>
      </vt:variant>
      <vt:variant>
        <vt:lpwstr/>
      </vt:variant>
      <vt:variant>
        <vt:i4>65547</vt:i4>
      </vt:variant>
      <vt:variant>
        <vt:i4>60</vt:i4>
      </vt:variant>
      <vt:variant>
        <vt:i4>0</vt:i4>
      </vt:variant>
      <vt:variant>
        <vt:i4>5</vt:i4>
      </vt:variant>
      <vt:variant>
        <vt:lpwstr>https://link.springer.com/article/10.1186/s12913-020-05641-4</vt:lpwstr>
      </vt:variant>
      <vt:variant>
        <vt:lpwstr/>
      </vt:variant>
      <vt:variant>
        <vt:i4>8</vt:i4>
      </vt:variant>
      <vt:variant>
        <vt:i4>57</vt:i4>
      </vt:variant>
      <vt:variant>
        <vt:i4>0</vt:i4>
      </vt:variant>
      <vt:variant>
        <vt:i4>5</vt:i4>
      </vt:variant>
      <vt:variant>
        <vt:lpwstr>https://link.springer.com/article/10.1186/s12912-025-04263-7</vt:lpwstr>
      </vt:variant>
      <vt:variant>
        <vt:lpwstr/>
      </vt:variant>
      <vt:variant>
        <vt:i4>1507381</vt:i4>
      </vt:variant>
      <vt:variant>
        <vt:i4>50</vt:i4>
      </vt:variant>
      <vt:variant>
        <vt:i4>0</vt:i4>
      </vt:variant>
      <vt:variant>
        <vt:i4>5</vt:i4>
      </vt:variant>
      <vt:variant>
        <vt:lpwstr/>
      </vt:variant>
      <vt:variant>
        <vt:lpwstr>_Toc30601</vt:lpwstr>
      </vt:variant>
      <vt:variant>
        <vt:i4>1507381</vt:i4>
      </vt:variant>
      <vt:variant>
        <vt:i4>44</vt:i4>
      </vt:variant>
      <vt:variant>
        <vt:i4>0</vt:i4>
      </vt:variant>
      <vt:variant>
        <vt:i4>5</vt:i4>
      </vt:variant>
      <vt:variant>
        <vt:lpwstr/>
      </vt:variant>
      <vt:variant>
        <vt:lpwstr>_Toc30600</vt:lpwstr>
      </vt:variant>
      <vt:variant>
        <vt:i4>1966134</vt:i4>
      </vt:variant>
      <vt:variant>
        <vt:i4>41</vt:i4>
      </vt:variant>
      <vt:variant>
        <vt:i4>0</vt:i4>
      </vt:variant>
      <vt:variant>
        <vt:i4>5</vt:i4>
      </vt:variant>
      <vt:variant>
        <vt:lpwstr/>
      </vt:variant>
      <vt:variant>
        <vt:lpwstr>_Toc30599</vt:lpwstr>
      </vt:variant>
      <vt:variant>
        <vt:i4>1966134</vt:i4>
      </vt:variant>
      <vt:variant>
        <vt:i4>38</vt:i4>
      </vt:variant>
      <vt:variant>
        <vt:i4>0</vt:i4>
      </vt:variant>
      <vt:variant>
        <vt:i4>5</vt:i4>
      </vt:variant>
      <vt:variant>
        <vt:lpwstr/>
      </vt:variant>
      <vt:variant>
        <vt:lpwstr>_Toc30598</vt:lpwstr>
      </vt:variant>
      <vt:variant>
        <vt:i4>1966134</vt:i4>
      </vt:variant>
      <vt:variant>
        <vt:i4>32</vt:i4>
      </vt:variant>
      <vt:variant>
        <vt:i4>0</vt:i4>
      </vt:variant>
      <vt:variant>
        <vt:i4>5</vt:i4>
      </vt:variant>
      <vt:variant>
        <vt:lpwstr/>
      </vt:variant>
      <vt:variant>
        <vt:lpwstr>_Toc30597</vt:lpwstr>
      </vt:variant>
      <vt:variant>
        <vt:i4>1966134</vt:i4>
      </vt:variant>
      <vt:variant>
        <vt:i4>26</vt:i4>
      </vt:variant>
      <vt:variant>
        <vt:i4>0</vt:i4>
      </vt:variant>
      <vt:variant>
        <vt:i4>5</vt:i4>
      </vt:variant>
      <vt:variant>
        <vt:lpwstr/>
      </vt:variant>
      <vt:variant>
        <vt:lpwstr>_Toc30596</vt:lpwstr>
      </vt:variant>
      <vt:variant>
        <vt:i4>1966134</vt:i4>
      </vt:variant>
      <vt:variant>
        <vt:i4>20</vt:i4>
      </vt:variant>
      <vt:variant>
        <vt:i4>0</vt:i4>
      </vt:variant>
      <vt:variant>
        <vt:i4>5</vt:i4>
      </vt:variant>
      <vt:variant>
        <vt:lpwstr/>
      </vt:variant>
      <vt:variant>
        <vt:lpwstr>_Toc30595</vt:lpwstr>
      </vt:variant>
      <vt:variant>
        <vt:i4>1966134</vt:i4>
      </vt:variant>
      <vt:variant>
        <vt:i4>14</vt:i4>
      </vt:variant>
      <vt:variant>
        <vt:i4>0</vt:i4>
      </vt:variant>
      <vt:variant>
        <vt:i4>5</vt:i4>
      </vt:variant>
      <vt:variant>
        <vt:lpwstr/>
      </vt:variant>
      <vt:variant>
        <vt:lpwstr>_Toc30594</vt:lpwstr>
      </vt:variant>
      <vt:variant>
        <vt:i4>1966134</vt:i4>
      </vt:variant>
      <vt:variant>
        <vt:i4>8</vt:i4>
      </vt:variant>
      <vt:variant>
        <vt:i4>0</vt:i4>
      </vt:variant>
      <vt:variant>
        <vt:i4>5</vt:i4>
      </vt:variant>
      <vt:variant>
        <vt:lpwstr/>
      </vt:variant>
      <vt:variant>
        <vt:lpwstr>_Toc30593</vt:lpwstr>
      </vt:variant>
      <vt:variant>
        <vt:i4>1966134</vt:i4>
      </vt:variant>
      <vt:variant>
        <vt:i4>2</vt:i4>
      </vt:variant>
      <vt:variant>
        <vt:i4>0</vt:i4>
      </vt:variant>
      <vt:variant>
        <vt:i4>5</vt:i4>
      </vt:variant>
      <vt:variant>
        <vt:lpwstr/>
      </vt:variant>
      <vt:variant>
        <vt:lpwstr>_Toc30592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 Bleidere (2244841)</dc:creator>
  <cp:keywords/>
  <cp:lastModifiedBy>Galina Bleidere</cp:lastModifiedBy>
  <cp:revision>2</cp:revision>
  <dcterms:created xsi:type="dcterms:W3CDTF">2026-08-10T15:17:00Z</dcterms:created>
  <dcterms:modified xsi:type="dcterms:W3CDTF">2026-08-10T15:17:00Z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0eefe87e-ce6f-433c-949d-c3e68d104d65</vt:lpwstr>
  </property>
</Properties>
</file>