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9FF72" w14:textId="77777777" w:rsidR="00997542" w:rsidRPr="00997542" w:rsidRDefault="005450E1" w:rsidP="00997542">
      <w:pPr>
        <w:pStyle w:val="NoSpacing"/>
        <w:rPr>
          <w:rFonts w:ascii="Verdana" w:eastAsia="Droid Sans" w:hAnsi="Verdana" w:cs="Times New Roman"/>
          <w:color w:val="000000"/>
          <w:sz w:val="44"/>
          <w:szCs w:val="44"/>
          <w:lang w:val="en-GB" w:eastAsia="hi-IN" w:bidi="hi-IN"/>
        </w:rPr>
      </w:pPr>
      <w:r w:rsidRPr="00997542">
        <w:rPr>
          <w:rFonts w:ascii="Times New Roman" w:hAnsi="Times New Roman" w:cs="Times New Roman"/>
          <w:b/>
          <w:i/>
          <w:sz w:val="44"/>
          <w:szCs w:val="44"/>
          <w:shd w:val="clear" w:color="auto" w:fill="FFFFFF"/>
        </w:rPr>
        <w:t xml:space="preserve"> </w:t>
      </w:r>
      <w:r w:rsidR="00997542" w:rsidRPr="00997542">
        <w:rPr>
          <w:rFonts w:ascii="Verdana" w:eastAsia="Droid Sans" w:hAnsi="Verdana" w:cs="Times New Roman"/>
          <w:color w:val="000000"/>
          <w:sz w:val="44"/>
          <w:szCs w:val="44"/>
          <w:lang w:val="en-GB" w:eastAsia="hi-IN" w:bidi="hi-IN"/>
        </w:rPr>
        <w:t>University of Wales Trinity Saint David</w:t>
      </w:r>
    </w:p>
    <w:p w14:paraId="0269B09A" w14:textId="77777777" w:rsidR="00997542" w:rsidRPr="00997542" w:rsidRDefault="00997542" w:rsidP="00997542">
      <w:pPr>
        <w:suppressAutoHyphens/>
        <w:spacing w:after="0" w:line="100" w:lineRule="atLeast"/>
        <w:rPr>
          <w:rFonts w:ascii="Verdana" w:eastAsia="Droid Sans" w:hAnsi="Verdana" w:cs="Times New Roman"/>
          <w:color w:val="000000"/>
          <w:sz w:val="56"/>
          <w:szCs w:val="56"/>
          <w:lang w:val="en-GB" w:eastAsia="hi-IN" w:bidi="hi-IN"/>
        </w:rPr>
      </w:pPr>
    </w:p>
    <w:p w14:paraId="2BA8C4E9" w14:textId="77777777" w:rsidR="00997542" w:rsidRPr="00997542" w:rsidRDefault="00997542" w:rsidP="00997542">
      <w:pPr>
        <w:suppressAutoHyphens/>
        <w:spacing w:after="0" w:line="100" w:lineRule="atLeast"/>
        <w:rPr>
          <w:rFonts w:ascii="Verdana" w:eastAsia="Droid Sans" w:hAnsi="Verdana" w:cs="Times New Roman"/>
          <w:color w:val="000000"/>
          <w:sz w:val="56"/>
          <w:szCs w:val="56"/>
          <w:lang w:val="en-GB" w:eastAsia="hi-IN" w:bidi="hi-IN"/>
        </w:rPr>
      </w:pPr>
    </w:p>
    <w:p w14:paraId="0496E4A2" w14:textId="77777777" w:rsidR="00997542" w:rsidRPr="00997542" w:rsidRDefault="00997542" w:rsidP="00997542">
      <w:pPr>
        <w:suppressAutoHyphens/>
        <w:spacing w:after="0" w:line="100" w:lineRule="atLeast"/>
        <w:rPr>
          <w:rFonts w:ascii="Verdana" w:eastAsia="Droid Sans" w:hAnsi="Verdana" w:cs="Times New Roman"/>
          <w:color w:val="000000"/>
          <w:sz w:val="44"/>
          <w:szCs w:val="44"/>
          <w:lang w:val="en-GB" w:eastAsia="hi-IN" w:bidi="hi-IN"/>
        </w:rPr>
      </w:pPr>
      <w:r w:rsidRPr="00997542">
        <w:rPr>
          <w:rFonts w:ascii="Verdana" w:eastAsia="Droid Sans" w:hAnsi="Verdana" w:cs="Times New Roman"/>
          <w:color w:val="000000"/>
          <w:sz w:val="44"/>
          <w:szCs w:val="44"/>
          <w:lang w:val="en-GB" w:eastAsia="hi-IN" w:bidi="hi-IN"/>
        </w:rPr>
        <w:t xml:space="preserve">Student name and id </w:t>
      </w:r>
      <w:proofErr w:type="spellStart"/>
      <w:proofErr w:type="gramStart"/>
      <w:r w:rsidRPr="00997542">
        <w:rPr>
          <w:rFonts w:ascii="Verdana" w:eastAsia="Droid Sans" w:hAnsi="Verdana" w:cs="Times New Roman"/>
          <w:color w:val="000000"/>
          <w:sz w:val="44"/>
          <w:szCs w:val="44"/>
          <w:lang w:val="en-GB" w:eastAsia="hi-IN" w:bidi="hi-IN"/>
        </w:rPr>
        <w:t>number:Diana</w:t>
      </w:r>
      <w:proofErr w:type="spellEnd"/>
      <w:proofErr w:type="gramEnd"/>
      <w:r w:rsidRPr="00997542">
        <w:rPr>
          <w:rFonts w:ascii="Verdana" w:eastAsia="Droid Sans" w:hAnsi="Verdana" w:cs="Times New Roman"/>
          <w:color w:val="000000"/>
          <w:sz w:val="44"/>
          <w:szCs w:val="44"/>
          <w:lang w:val="en-GB" w:eastAsia="hi-IN" w:bidi="hi-IN"/>
        </w:rPr>
        <w:t xml:space="preserve"> Maftei 1921554</w:t>
      </w:r>
    </w:p>
    <w:p w14:paraId="2BCDD7FF" w14:textId="77777777" w:rsidR="00997542" w:rsidRPr="00997542" w:rsidRDefault="00997542" w:rsidP="00997542">
      <w:pPr>
        <w:suppressAutoHyphens/>
        <w:spacing w:after="0" w:line="100" w:lineRule="atLeast"/>
        <w:rPr>
          <w:rFonts w:ascii="Verdana" w:eastAsia="Droid Sans" w:hAnsi="Verdana" w:cs="Times New Roman"/>
          <w:color w:val="000000"/>
          <w:sz w:val="44"/>
          <w:szCs w:val="44"/>
          <w:lang w:val="en-GB" w:eastAsia="hi-IN" w:bidi="hi-IN"/>
        </w:rPr>
      </w:pPr>
    </w:p>
    <w:p w14:paraId="12E40D82" w14:textId="5F3CA95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r w:rsidRPr="00997542">
        <w:rPr>
          <w:rFonts w:ascii="Verdana" w:eastAsia="Droid Sans" w:hAnsi="Verdana" w:cs="DejaVu Sans"/>
          <w:sz w:val="44"/>
          <w:szCs w:val="44"/>
          <w:lang w:val="en-GB" w:eastAsia="hi-IN" w:bidi="hi-IN"/>
        </w:rPr>
        <w:t xml:space="preserve">Unit </w:t>
      </w:r>
      <w:proofErr w:type="spellStart"/>
      <w:proofErr w:type="gramStart"/>
      <w:r w:rsidRPr="00997542">
        <w:rPr>
          <w:rFonts w:ascii="Verdana" w:eastAsia="Droid Sans" w:hAnsi="Verdana" w:cs="DejaVu Sans"/>
          <w:sz w:val="44"/>
          <w:szCs w:val="44"/>
          <w:lang w:val="en-GB" w:eastAsia="hi-IN" w:bidi="hi-IN"/>
        </w:rPr>
        <w:t>title:</w:t>
      </w:r>
      <w:r>
        <w:rPr>
          <w:rFonts w:ascii="Verdana" w:eastAsia="Droid Sans" w:hAnsi="Verdana" w:cs="DejaVu Sans"/>
          <w:sz w:val="44"/>
          <w:szCs w:val="44"/>
          <w:lang w:val="en-GB" w:eastAsia="hi-IN" w:bidi="hi-IN"/>
        </w:rPr>
        <w:t>Accounting</w:t>
      </w:r>
      <w:proofErr w:type="spellEnd"/>
      <w:proofErr w:type="gramEnd"/>
      <w:r>
        <w:rPr>
          <w:rFonts w:ascii="Verdana" w:eastAsia="Droid Sans" w:hAnsi="Verdana" w:cs="DejaVu Sans"/>
          <w:sz w:val="44"/>
          <w:szCs w:val="44"/>
          <w:lang w:val="en-GB" w:eastAsia="hi-IN" w:bidi="hi-IN"/>
        </w:rPr>
        <w:t xml:space="preserve"> Fundamentals</w:t>
      </w:r>
    </w:p>
    <w:p w14:paraId="51E6ECB9"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
    <w:p w14:paraId="23144D66" w14:textId="73661A85"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r w:rsidRPr="00997542">
        <w:rPr>
          <w:rFonts w:ascii="Verdana" w:eastAsia="Droid Sans" w:hAnsi="Verdana" w:cs="DejaVu Sans"/>
          <w:sz w:val="44"/>
          <w:szCs w:val="44"/>
          <w:lang w:val="en-GB" w:eastAsia="hi-IN" w:bidi="hi-IN"/>
        </w:rPr>
        <w:t xml:space="preserve">Unit </w:t>
      </w:r>
      <w:proofErr w:type="gramStart"/>
      <w:r w:rsidRPr="00997542">
        <w:rPr>
          <w:rFonts w:ascii="Verdana" w:eastAsia="Droid Sans" w:hAnsi="Verdana" w:cs="DejaVu Sans"/>
          <w:sz w:val="44"/>
          <w:szCs w:val="44"/>
          <w:lang w:val="en-GB" w:eastAsia="hi-IN" w:bidi="hi-IN"/>
        </w:rPr>
        <w:t>code:LCBB</w:t>
      </w:r>
      <w:proofErr w:type="gramEnd"/>
      <w:r w:rsidRPr="00997542">
        <w:rPr>
          <w:rFonts w:ascii="Verdana" w:eastAsia="Droid Sans" w:hAnsi="Verdana" w:cs="DejaVu Sans"/>
          <w:sz w:val="44"/>
          <w:szCs w:val="44"/>
          <w:lang w:val="en-GB" w:eastAsia="hi-IN" w:bidi="hi-IN"/>
        </w:rPr>
        <w:t>400</w:t>
      </w:r>
      <w:r>
        <w:rPr>
          <w:rFonts w:ascii="Verdana" w:eastAsia="Droid Sans" w:hAnsi="Verdana" w:cs="DejaVu Sans"/>
          <w:sz w:val="44"/>
          <w:szCs w:val="44"/>
          <w:lang w:val="en-GB" w:eastAsia="hi-IN" w:bidi="hi-IN"/>
        </w:rPr>
        <w:t>1</w:t>
      </w:r>
    </w:p>
    <w:p w14:paraId="5CEA13E0"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
    <w:p w14:paraId="1B095FB4"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r w:rsidRPr="00997542">
        <w:rPr>
          <w:rFonts w:ascii="Verdana" w:eastAsia="Droid Sans" w:hAnsi="Verdana" w:cs="DejaVu Sans"/>
          <w:sz w:val="44"/>
          <w:szCs w:val="44"/>
          <w:lang w:val="en-GB" w:eastAsia="hi-IN" w:bidi="hi-IN"/>
        </w:rPr>
        <w:t>Academic year:2020/2021</w:t>
      </w:r>
    </w:p>
    <w:p w14:paraId="51A9425F"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
    <w:p w14:paraId="65642960" w14:textId="0C66EF2E"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r w:rsidRPr="00997542">
        <w:rPr>
          <w:rFonts w:ascii="Verdana" w:eastAsia="Droid Sans" w:hAnsi="Verdana" w:cs="DejaVu Sans"/>
          <w:sz w:val="44"/>
          <w:szCs w:val="44"/>
          <w:lang w:val="en-GB" w:eastAsia="hi-IN" w:bidi="hi-IN"/>
        </w:rPr>
        <w:t xml:space="preserve">Unit </w:t>
      </w:r>
      <w:proofErr w:type="spellStart"/>
      <w:proofErr w:type="gramStart"/>
      <w:r w:rsidRPr="00997542">
        <w:rPr>
          <w:rFonts w:ascii="Verdana" w:eastAsia="Droid Sans" w:hAnsi="Verdana" w:cs="DejaVu Sans"/>
          <w:sz w:val="44"/>
          <w:szCs w:val="44"/>
          <w:lang w:val="en-GB" w:eastAsia="hi-IN" w:bidi="hi-IN"/>
        </w:rPr>
        <w:t>Assessor</w:t>
      </w:r>
      <w:r>
        <w:rPr>
          <w:rFonts w:ascii="Verdana" w:eastAsia="Droid Sans" w:hAnsi="Verdana" w:cs="DejaVu Sans"/>
          <w:sz w:val="44"/>
          <w:szCs w:val="44"/>
          <w:lang w:val="en-GB" w:eastAsia="hi-IN" w:bidi="hi-IN"/>
        </w:rPr>
        <w:t>:Dr</w:t>
      </w:r>
      <w:proofErr w:type="spellEnd"/>
      <w:r>
        <w:rPr>
          <w:rFonts w:ascii="Verdana" w:eastAsia="Droid Sans" w:hAnsi="Verdana" w:cs="DejaVu Sans"/>
          <w:sz w:val="44"/>
          <w:szCs w:val="44"/>
          <w:lang w:val="en-GB" w:eastAsia="hi-IN" w:bidi="hi-IN"/>
        </w:rPr>
        <w:t>.</w:t>
      </w:r>
      <w:proofErr w:type="gramEnd"/>
      <w:r>
        <w:rPr>
          <w:rFonts w:ascii="Verdana" w:eastAsia="Droid Sans" w:hAnsi="Verdana" w:cs="DejaVu Sans"/>
          <w:sz w:val="44"/>
          <w:szCs w:val="44"/>
          <w:lang w:val="en-GB" w:eastAsia="hi-IN" w:bidi="hi-IN"/>
        </w:rPr>
        <w:t xml:space="preserve"> </w:t>
      </w:r>
      <w:proofErr w:type="spellStart"/>
      <w:r>
        <w:rPr>
          <w:rFonts w:ascii="Verdana" w:eastAsia="Droid Sans" w:hAnsi="Verdana" w:cs="DejaVu Sans"/>
          <w:sz w:val="44"/>
          <w:szCs w:val="44"/>
          <w:lang w:val="en-GB" w:eastAsia="hi-IN" w:bidi="hi-IN"/>
        </w:rPr>
        <w:t>Widin</w:t>
      </w:r>
      <w:proofErr w:type="spellEnd"/>
      <w:r>
        <w:rPr>
          <w:rFonts w:ascii="Verdana" w:eastAsia="Droid Sans" w:hAnsi="Verdana" w:cs="DejaVu Sans"/>
          <w:sz w:val="44"/>
          <w:szCs w:val="44"/>
          <w:lang w:val="en-GB" w:eastAsia="hi-IN" w:bidi="hi-IN"/>
        </w:rPr>
        <w:t xml:space="preserve"> </w:t>
      </w:r>
      <w:proofErr w:type="spellStart"/>
      <w:r>
        <w:rPr>
          <w:rFonts w:ascii="Verdana" w:eastAsia="Droid Sans" w:hAnsi="Verdana" w:cs="DejaVu Sans"/>
          <w:sz w:val="44"/>
          <w:szCs w:val="44"/>
          <w:lang w:val="en-GB" w:eastAsia="hi-IN" w:bidi="hi-IN"/>
        </w:rPr>
        <w:t>Bongasu</w:t>
      </w:r>
      <w:proofErr w:type="spellEnd"/>
      <w:r>
        <w:rPr>
          <w:rFonts w:ascii="Verdana" w:eastAsia="Droid Sans" w:hAnsi="Verdana" w:cs="DejaVu Sans"/>
          <w:sz w:val="44"/>
          <w:szCs w:val="44"/>
          <w:lang w:val="en-GB" w:eastAsia="hi-IN" w:bidi="hi-IN"/>
        </w:rPr>
        <w:t xml:space="preserve"> </w:t>
      </w:r>
      <w:proofErr w:type="spellStart"/>
      <w:r>
        <w:rPr>
          <w:rFonts w:ascii="Verdana" w:eastAsia="Droid Sans" w:hAnsi="Verdana" w:cs="DejaVu Sans"/>
          <w:sz w:val="44"/>
          <w:szCs w:val="44"/>
          <w:lang w:val="en-GB" w:eastAsia="hi-IN" w:bidi="hi-IN"/>
        </w:rPr>
        <w:t>Shav’en</w:t>
      </w:r>
      <w:proofErr w:type="spellEnd"/>
    </w:p>
    <w:p w14:paraId="4E94332C"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
    <w:p w14:paraId="267BFD05"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r w:rsidRPr="00997542">
        <w:rPr>
          <w:rFonts w:ascii="Verdana" w:eastAsia="Droid Sans" w:hAnsi="Verdana" w:cs="DejaVu Sans"/>
          <w:sz w:val="44"/>
          <w:szCs w:val="44"/>
          <w:lang w:val="en-GB" w:eastAsia="hi-IN" w:bidi="hi-IN"/>
        </w:rPr>
        <w:t>Date submitted:27/08/2020</w:t>
      </w:r>
    </w:p>
    <w:p w14:paraId="7DA68114"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
    <w:p w14:paraId="77B2DB6A" w14:textId="77777777" w:rsidR="00997542" w:rsidRPr="00997542" w:rsidRDefault="00997542" w:rsidP="00997542">
      <w:pPr>
        <w:suppressAutoHyphens/>
        <w:spacing w:after="0" w:line="100" w:lineRule="atLeast"/>
        <w:rPr>
          <w:rFonts w:ascii="Verdana" w:eastAsia="Droid Sans" w:hAnsi="Verdana" w:cs="DejaVu Sans"/>
          <w:sz w:val="44"/>
          <w:szCs w:val="44"/>
          <w:lang w:val="en-GB" w:eastAsia="hi-IN" w:bidi="hi-IN"/>
        </w:rPr>
      </w:pPr>
      <w:proofErr w:type="spellStart"/>
      <w:proofErr w:type="gramStart"/>
      <w:r w:rsidRPr="00997542">
        <w:rPr>
          <w:rFonts w:ascii="Verdana" w:eastAsia="Droid Sans" w:hAnsi="Verdana" w:cs="DejaVu Sans"/>
          <w:sz w:val="44"/>
          <w:szCs w:val="44"/>
          <w:lang w:val="en-GB" w:eastAsia="hi-IN" w:bidi="hi-IN"/>
        </w:rPr>
        <w:t>Semester:June</w:t>
      </w:r>
      <w:proofErr w:type="spellEnd"/>
      <w:proofErr w:type="gramEnd"/>
      <w:r w:rsidRPr="00997542">
        <w:rPr>
          <w:rFonts w:ascii="Verdana" w:eastAsia="Droid Sans" w:hAnsi="Verdana" w:cs="DejaVu Sans"/>
          <w:sz w:val="44"/>
          <w:szCs w:val="44"/>
          <w:lang w:val="en-GB" w:eastAsia="hi-IN" w:bidi="hi-IN"/>
        </w:rPr>
        <w:t xml:space="preserve"> 2020</w:t>
      </w:r>
    </w:p>
    <w:p w14:paraId="50CF603F" w14:textId="23987B27" w:rsidR="00954CCF" w:rsidRPr="00255EC2" w:rsidRDefault="00954CCF" w:rsidP="00255EC2">
      <w:pPr>
        <w:spacing w:line="360" w:lineRule="auto"/>
        <w:jc w:val="both"/>
        <w:rPr>
          <w:rFonts w:ascii="Times New Roman" w:hAnsi="Times New Roman" w:cs="Times New Roman"/>
          <w:b/>
          <w:i/>
          <w:sz w:val="88"/>
          <w:szCs w:val="88"/>
          <w:shd w:val="clear" w:color="auto" w:fill="FFFFFF"/>
        </w:rPr>
      </w:pPr>
    </w:p>
    <w:p w14:paraId="3EAC3E95" w14:textId="77777777" w:rsidR="005450E1" w:rsidRPr="00255EC2" w:rsidRDefault="005450E1" w:rsidP="00255EC2">
      <w:pPr>
        <w:spacing w:line="360" w:lineRule="auto"/>
        <w:jc w:val="both"/>
        <w:rPr>
          <w:rFonts w:ascii="Times New Roman" w:hAnsi="Times New Roman" w:cs="Times New Roman"/>
          <w:b/>
          <w:i/>
          <w:sz w:val="24"/>
          <w:szCs w:val="24"/>
          <w:shd w:val="clear" w:color="auto" w:fill="FFFFFF"/>
        </w:rPr>
      </w:pPr>
      <w:r w:rsidRPr="00255EC2">
        <w:rPr>
          <w:rFonts w:ascii="Times New Roman" w:hAnsi="Times New Roman" w:cs="Times New Roman"/>
          <w:b/>
          <w:i/>
          <w:sz w:val="24"/>
          <w:szCs w:val="24"/>
          <w:shd w:val="clear" w:color="auto" w:fill="FFFFFF"/>
        </w:rPr>
        <w:br w:type="page"/>
      </w:r>
    </w:p>
    <w:sdt>
      <w:sdtPr>
        <w:rPr>
          <w:rFonts w:asciiTheme="minorHAnsi" w:eastAsiaTheme="minorHAnsi" w:hAnsiTheme="minorHAnsi" w:cstheme="minorBidi"/>
          <w:color w:val="auto"/>
          <w:sz w:val="22"/>
          <w:szCs w:val="22"/>
        </w:rPr>
        <w:id w:val="-1175262941"/>
        <w:docPartObj>
          <w:docPartGallery w:val="Table of Contents"/>
          <w:docPartUnique/>
        </w:docPartObj>
      </w:sdtPr>
      <w:sdtEndPr>
        <w:rPr>
          <w:b/>
          <w:bCs/>
          <w:noProof/>
        </w:rPr>
      </w:sdtEndPr>
      <w:sdtContent>
        <w:p w14:paraId="70E9B0F8" w14:textId="77777777" w:rsidR="003E099E" w:rsidRPr="00997542" w:rsidRDefault="003E099E">
          <w:pPr>
            <w:pStyle w:val="TOCHeading"/>
            <w:rPr>
              <w:color w:val="auto"/>
            </w:rPr>
          </w:pPr>
          <w:r w:rsidRPr="00997542">
            <w:rPr>
              <w:color w:val="auto"/>
            </w:rPr>
            <w:t>Contents</w:t>
          </w:r>
        </w:p>
        <w:p w14:paraId="503707F0" w14:textId="77777777" w:rsidR="003E099E" w:rsidRDefault="003E099E">
          <w:pPr>
            <w:pStyle w:val="TOC1"/>
            <w:tabs>
              <w:tab w:val="right" w:leader="dot" w:pos="9350"/>
            </w:tabs>
            <w:rPr>
              <w:noProof/>
            </w:rPr>
          </w:pPr>
          <w:r>
            <w:fldChar w:fldCharType="begin"/>
          </w:r>
          <w:r>
            <w:instrText xml:space="preserve"> TOC \o "1-3" \h \z \u </w:instrText>
          </w:r>
          <w:r>
            <w:fldChar w:fldCharType="separate"/>
          </w:r>
          <w:hyperlink w:anchor="_Toc47792635" w:history="1">
            <w:r w:rsidRPr="00DB125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_Toc47792635 \h </w:instrText>
            </w:r>
            <w:r>
              <w:rPr>
                <w:noProof/>
                <w:webHidden/>
              </w:rPr>
            </w:r>
            <w:r>
              <w:rPr>
                <w:noProof/>
                <w:webHidden/>
              </w:rPr>
              <w:fldChar w:fldCharType="separate"/>
            </w:r>
            <w:r>
              <w:rPr>
                <w:noProof/>
                <w:webHidden/>
              </w:rPr>
              <w:t>3</w:t>
            </w:r>
            <w:r>
              <w:rPr>
                <w:noProof/>
                <w:webHidden/>
              </w:rPr>
              <w:fldChar w:fldCharType="end"/>
            </w:r>
          </w:hyperlink>
        </w:p>
        <w:p w14:paraId="6A38671D" w14:textId="77777777" w:rsidR="003E099E" w:rsidRDefault="00997542">
          <w:pPr>
            <w:pStyle w:val="TOC1"/>
            <w:tabs>
              <w:tab w:val="right" w:leader="dot" w:pos="9350"/>
            </w:tabs>
            <w:rPr>
              <w:noProof/>
            </w:rPr>
          </w:pPr>
          <w:hyperlink w:anchor="_Toc47792636" w:history="1">
            <w:r w:rsidR="003E099E" w:rsidRPr="00DB1251">
              <w:rPr>
                <w:rStyle w:val="Hyperlink"/>
                <w:rFonts w:ascii="Times New Roman" w:hAnsi="Times New Roman" w:cs="Times New Roman"/>
                <w:b/>
                <w:noProof/>
              </w:rPr>
              <w:t>MAIN BODY</w:t>
            </w:r>
            <w:r w:rsidR="003E099E">
              <w:rPr>
                <w:noProof/>
                <w:webHidden/>
              </w:rPr>
              <w:tab/>
            </w:r>
            <w:r w:rsidR="003E099E">
              <w:rPr>
                <w:noProof/>
                <w:webHidden/>
              </w:rPr>
              <w:fldChar w:fldCharType="begin"/>
            </w:r>
            <w:r w:rsidR="003E099E">
              <w:rPr>
                <w:noProof/>
                <w:webHidden/>
              </w:rPr>
              <w:instrText xml:space="preserve"> PAGEREF _Toc47792636 \h </w:instrText>
            </w:r>
            <w:r w:rsidR="003E099E">
              <w:rPr>
                <w:noProof/>
                <w:webHidden/>
              </w:rPr>
            </w:r>
            <w:r w:rsidR="003E099E">
              <w:rPr>
                <w:noProof/>
                <w:webHidden/>
              </w:rPr>
              <w:fldChar w:fldCharType="separate"/>
            </w:r>
            <w:r w:rsidR="003E099E">
              <w:rPr>
                <w:noProof/>
                <w:webHidden/>
              </w:rPr>
              <w:t>3</w:t>
            </w:r>
            <w:r w:rsidR="003E099E">
              <w:rPr>
                <w:noProof/>
                <w:webHidden/>
              </w:rPr>
              <w:fldChar w:fldCharType="end"/>
            </w:r>
          </w:hyperlink>
        </w:p>
        <w:p w14:paraId="10D8B714" w14:textId="77777777" w:rsidR="003E099E" w:rsidRDefault="00997542">
          <w:pPr>
            <w:pStyle w:val="TOC2"/>
            <w:tabs>
              <w:tab w:val="right" w:leader="dot" w:pos="9350"/>
            </w:tabs>
            <w:rPr>
              <w:noProof/>
            </w:rPr>
          </w:pPr>
          <w:hyperlink w:anchor="_Toc47792637" w:history="1">
            <w:r w:rsidR="003E099E" w:rsidRPr="00DB1251">
              <w:rPr>
                <w:rStyle w:val="Hyperlink"/>
                <w:rFonts w:ascii="Times New Roman" w:hAnsi="Times New Roman" w:cs="Times New Roman"/>
                <w:noProof/>
              </w:rPr>
              <w:t>Question 1.</w:t>
            </w:r>
            <w:r w:rsidR="003E099E">
              <w:rPr>
                <w:noProof/>
                <w:webHidden/>
              </w:rPr>
              <w:tab/>
            </w:r>
            <w:r w:rsidR="003E099E">
              <w:rPr>
                <w:noProof/>
                <w:webHidden/>
              </w:rPr>
              <w:fldChar w:fldCharType="begin"/>
            </w:r>
            <w:r w:rsidR="003E099E">
              <w:rPr>
                <w:noProof/>
                <w:webHidden/>
              </w:rPr>
              <w:instrText xml:space="preserve"> PAGEREF _Toc47792637 \h </w:instrText>
            </w:r>
            <w:r w:rsidR="003E099E">
              <w:rPr>
                <w:noProof/>
                <w:webHidden/>
              </w:rPr>
            </w:r>
            <w:r w:rsidR="003E099E">
              <w:rPr>
                <w:noProof/>
                <w:webHidden/>
              </w:rPr>
              <w:fldChar w:fldCharType="separate"/>
            </w:r>
            <w:r w:rsidR="003E099E">
              <w:rPr>
                <w:noProof/>
                <w:webHidden/>
              </w:rPr>
              <w:t>3</w:t>
            </w:r>
            <w:r w:rsidR="003E099E">
              <w:rPr>
                <w:noProof/>
                <w:webHidden/>
              </w:rPr>
              <w:fldChar w:fldCharType="end"/>
            </w:r>
          </w:hyperlink>
        </w:p>
        <w:p w14:paraId="64F43130" w14:textId="77777777" w:rsidR="003E099E" w:rsidRDefault="00997542">
          <w:pPr>
            <w:pStyle w:val="TOC2"/>
            <w:tabs>
              <w:tab w:val="right" w:leader="dot" w:pos="9350"/>
            </w:tabs>
            <w:rPr>
              <w:noProof/>
            </w:rPr>
          </w:pPr>
          <w:hyperlink w:anchor="_Toc47792638" w:history="1">
            <w:r w:rsidR="003E099E" w:rsidRPr="00DB1251">
              <w:rPr>
                <w:rStyle w:val="Hyperlink"/>
                <w:rFonts w:ascii="Times New Roman" w:hAnsi="Times New Roman" w:cs="Times New Roman"/>
                <w:noProof/>
              </w:rPr>
              <w:t>Question 2.</w:t>
            </w:r>
            <w:r w:rsidR="003E099E">
              <w:rPr>
                <w:noProof/>
                <w:webHidden/>
              </w:rPr>
              <w:tab/>
            </w:r>
            <w:r w:rsidR="003E099E">
              <w:rPr>
                <w:noProof/>
                <w:webHidden/>
              </w:rPr>
              <w:fldChar w:fldCharType="begin"/>
            </w:r>
            <w:r w:rsidR="003E099E">
              <w:rPr>
                <w:noProof/>
                <w:webHidden/>
              </w:rPr>
              <w:instrText xml:space="preserve"> PAGEREF _Toc47792638 \h </w:instrText>
            </w:r>
            <w:r w:rsidR="003E099E">
              <w:rPr>
                <w:noProof/>
                <w:webHidden/>
              </w:rPr>
            </w:r>
            <w:r w:rsidR="003E099E">
              <w:rPr>
                <w:noProof/>
                <w:webHidden/>
              </w:rPr>
              <w:fldChar w:fldCharType="separate"/>
            </w:r>
            <w:r w:rsidR="003E099E">
              <w:rPr>
                <w:noProof/>
                <w:webHidden/>
              </w:rPr>
              <w:t>8</w:t>
            </w:r>
            <w:r w:rsidR="003E099E">
              <w:rPr>
                <w:noProof/>
                <w:webHidden/>
              </w:rPr>
              <w:fldChar w:fldCharType="end"/>
            </w:r>
          </w:hyperlink>
        </w:p>
        <w:p w14:paraId="070FDDC0" w14:textId="77777777" w:rsidR="003E099E" w:rsidRDefault="00997542">
          <w:pPr>
            <w:pStyle w:val="TOC2"/>
            <w:tabs>
              <w:tab w:val="right" w:leader="dot" w:pos="9350"/>
            </w:tabs>
            <w:rPr>
              <w:noProof/>
            </w:rPr>
          </w:pPr>
          <w:hyperlink w:anchor="_Toc47792639" w:history="1">
            <w:r w:rsidR="003E099E" w:rsidRPr="00DB1251">
              <w:rPr>
                <w:rStyle w:val="Hyperlink"/>
                <w:rFonts w:ascii="Times New Roman" w:hAnsi="Times New Roman" w:cs="Times New Roman"/>
                <w:noProof/>
              </w:rPr>
              <w:t>Question 3.</w:t>
            </w:r>
            <w:r w:rsidR="003E099E">
              <w:rPr>
                <w:noProof/>
                <w:webHidden/>
              </w:rPr>
              <w:tab/>
            </w:r>
            <w:r w:rsidR="003E099E">
              <w:rPr>
                <w:noProof/>
                <w:webHidden/>
              </w:rPr>
              <w:fldChar w:fldCharType="begin"/>
            </w:r>
            <w:r w:rsidR="003E099E">
              <w:rPr>
                <w:noProof/>
                <w:webHidden/>
              </w:rPr>
              <w:instrText xml:space="preserve"> PAGEREF _Toc47792639 \h </w:instrText>
            </w:r>
            <w:r w:rsidR="003E099E">
              <w:rPr>
                <w:noProof/>
                <w:webHidden/>
              </w:rPr>
            </w:r>
            <w:r w:rsidR="003E099E">
              <w:rPr>
                <w:noProof/>
                <w:webHidden/>
              </w:rPr>
              <w:fldChar w:fldCharType="separate"/>
            </w:r>
            <w:r w:rsidR="003E099E">
              <w:rPr>
                <w:noProof/>
                <w:webHidden/>
              </w:rPr>
              <w:t>19</w:t>
            </w:r>
            <w:r w:rsidR="003E099E">
              <w:rPr>
                <w:noProof/>
                <w:webHidden/>
              </w:rPr>
              <w:fldChar w:fldCharType="end"/>
            </w:r>
          </w:hyperlink>
        </w:p>
        <w:p w14:paraId="06BAC407" w14:textId="77777777" w:rsidR="003E099E" w:rsidRDefault="00997542">
          <w:pPr>
            <w:pStyle w:val="TOC1"/>
            <w:tabs>
              <w:tab w:val="right" w:leader="dot" w:pos="9350"/>
            </w:tabs>
            <w:rPr>
              <w:noProof/>
            </w:rPr>
          </w:pPr>
          <w:hyperlink w:anchor="_Toc47792640" w:history="1">
            <w:r w:rsidR="003E099E" w:rsidRPr="00DB1251">
              <w:rPr>
                <w:rStyle w:val="Hyperlink"/>
                <w:rFonts w:ascii="Times New Roman" w:hAnsi="Times New Roman" w:cs="Times New Roman"/>
                <w:b/>
                <w:noProof/>
              </w:rPr>
              <w:t>CONCLUSION</w:t>
            </w:r>
            <w:r w:rsidR="003E099E">
              <w:rPr>
                <w:noProof/>
                <w:webHidden/>
              </w:rPr>
              <w:tab/>
            </w:r>
            <w:r w:rsidR="003E099E">
              <w:rPr>
                <w:noProof/>
                <w:webHidden/>
              </w:rPr>
              <w:fldChar w:fldCharType="begin"/>
            </w:r>
            <w:r w:rsidR="003E099E">
              <w:rPr>
                <w:noProof/>
                <w:webHidden/>
              </w:rPr>
              <w:instrText xml:space="preserve"> PAGEREF _Toc47792640 \h </w:instrText>
            </w:r>
            <w:r w:rsidR="003E099E">
              <w:rPr>
                <w:noProof/>
                <w:webHidden/>
              </w:rPr>
            </w:r>
            <w:r w:rsidR="003E099E">
              <w:rPr>
                <w:noProof/>
                <w:webHidden/>
              </w:rPr>
              <w:fldChar w:fldCharType="separate"/>
            </w:r>
            <w:r w:rsidR="003E099E">
              <w:rPr>
                <w:noProof/>
                <w:webHidden/>
              </w:rPr>
              <w:t>22</w:t>
            </w:r>
            <w:r w:rsidR="003E099E">
              <w:rPr>
                <w:noProof/>
                <w:webHidden/>
              </w:rPr>
              <w:fldChar w:fldCharType="end"/>
            </w:r>
          </w:hyperlink>
        </w:p>
        <w:p w14:paraId="45FEF9A3" w14:textId="77777777" w:rsidR="003E099E" w:rsidRDefault="00997542">
          <w:pPr>
            <w:pStyle w:val="TOC1"/>
            <w:tabs>
              <w:tab w:val="right" w:leader="dot" w:pos="9350"/>
            </w:tabs>
            <w:rPr>
              <w:noProof/>
            </w:rPr>
          </w:pPr>
          <w:hyperlink w:anchor="_Toc47792641" w:history="1">
            <w:r w:rsidR="003E099E" w:rsidRPr="00DB1251">
              <w:rPr>
                <w:rStyle w:val="Hyperlink"/>
                <w:rFonts w:ascii="Times New Roman" w:hAnsi="Times New Roman" w:cs="Times New Roman"/>
                <w:b/>
                <w:noProof/>
              </w:rPr>
              <w:t>REFERENCES</w:t>
            </w:r>
            <w:r w:rsidR="003E099E">
              <w:rPr>
                <w:noProof/>
                <w:webHidden/>
              </w:rPr>
              <w:tab/>
            </w:r>
            <w:r w:rsidR="003E099E">
              <w:rPr>
                <w:noProof/>
                <w:webHidden/>
              </w:rPr>
              <w:fldChar w:fldCharType="begin"/>
            </w:r>
            <w:r w:rsidR="003E099E">
              <w:rPr>
                <w:noProof/>
                <w:webHidden/>
              </w:rPr>
              <w:instrText xml:space="preserve"> PAGEREF _Toc47792641 \h </w:instrText>
            </w:r>
            <w:r w:rsidR="003E099E">
              <w:rPr>
                <w:noProof/>
                <w:webHidden/>
              </w:rPr>
            </w:r>
            <w:r w:rsidR="003E099E">
              <w:rPr>
                <w:noProof/>
                <w:webHidden/>
              </w:rPr>
              <w:fldChar w:fldCharType="separate"/>
            </w:r>
            <w:r w:rsidR="003E099E">
              <w:rPr>
                <w:noProof/>
                <w:webHidden/>
              </w:rPr>
              <w:t>23</w:t>
            </w:r>
            <w:r w:rsidR="003E099E">
              <w:rPr>
                <w:noProof/>
                <w:webHidden/>
              </w:rPr>
              <w:fldChar w:fldCharType="end"/>
            </w:r>
          </w:hyperlink>
        </w:p>
        <w:p w14:paraId="61BBCBC9" w14:textId="77777777" w:rsidR="003E099E" w:rsidRDefault="003E099E">
          <w:r>
            <w:rPr>
              <w:b/>
              <w:bCs/>
              <w:noProof/>
            </w:rPr>
            <w:fldChar w:fldCharType="end"/>
          </w:r>
        </w:p>
      </w:sdtContent>
    </w:sdt>
    <w:p w14:paraId="7C85DB99" w14:textId="77777777" w:rsidR="005450E1" w:rsidRPr="00255EC2" w:rsidRDefault="005450E1"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br w:type="page"/>
      </w:r>
    </w:p>
    <w:p w14:paraId="364666E8" w14:textId="77777777" w:rsidR="005450E1" w:rsidRPr="00255EC2" w:rsidRDefault="005450E1" w:rsidP="00255EC2">
      <w:pPr>
        <w:pStyle w:val="Heading1"/>
        <w:spacing w:line="360" w:lineRule="auto"/>
        <w:jc w:val="both"/>
        <w:rPr>
          <w:rFonts w:ascii="Times New Roman" w:hAnsi="Times New Roman" w:cs="Times New Roman"/>
          <w:b/>
          <w:color w:val="auto"/>
          <w:sz w:val="28"/>
          <w:szCs w:val="28"/>
        </w:rPr>
      </w:pPr>
      <w:bookmarkStart w:id="0" w:name="_Toc47792635"/>
      <w:r w:rsidRPr="00255EC2">
        <w:rPr>
          <w:rFonts w:ascii="Times New Roman" w:hAnsi="Times New Roman" w:cs="Times New Roman"/>
          <w:b/>
          <w:color w:val="auto"/>
          <w:sz w:val="28"/>
          <w:szCs w:val="28"/>
        </w:rPr>
        <w:lastRenderedPageBreak/>
        <w:t>INTRODUCTION</w:t>
      </w:r>
      <w:bookmarkEnd w:id="0"/>
    </w:p>
    <w:p w14:paraId="45E6A288" w14:textId="77777777" w:rsidR="005450E1" w:rsidRPr="00255EC2" w:rsidRDefault="005450E1"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
        <w:t>In any types of business, this is essential that they should keep their financial records in a systematic manner so that these data can be used for further decision making process. For this objective, accounting plays a key role under that business transactions are identified and recorded in the books in a proper way</w:t>
      </w:r>
      <w:r w:rsidR="00D10914" w:rsidRPr="00255EC2">
        <w:rPr>
          <w:rFonts w:ascii="Times New Roman" w:hAnsi="Times New Roman" w:cs="Times New Roman"/>
          <w:sz w:val="24"/>
          <w:szCs w:val="24"/>
        </w:rPr>
        <w:t xml:space="preserve"> (</w:t>
      </w:r>
      <w:proofErr w:type="spellStart"/>
      <w:r w:rsidR="00D10914" w:rsidRPr="00255EC2">
        <w:rPr>
          <w:rFonts w:ascii="Times New Roman" w:hAnsi="Times New Roman" w:cs="Times New Roman"/>
          <w:sz w:val="24"/>
          <w:szCs w:val="24"/>
          <w:shd w:val="clear" w:color="auto" w:fill="FFFFFF"/>
        </w:rPr>
        <w:t>Ogneva</w:t>
      </w:r>
      <w:proofErr w:type="spellEnd"/>
      <w:r w:rsidR="00D10914" w:rsidRPr="00255EC2">
        <w:rPr>
          <w:rFonts w:ascii="Times New Roman" w:hAnsi="Times New Roman" w:cs="Times New Roman"/>
          <w:sz w:val="24"/>
          <w:szCs w:val="24"/>
          <w:shd w:val="clear" w:color="auto" w:fill="FFFFFF"/>
        </w:rPr>
        <w:t xml:space="preserve">, </w:t>
      </w:r>
      <w:proofErr w:type="spellStart"/>
      <w:r w:rsidR="00D10914" w:rsidRPr="00255EC2">
        <w:rPr>
          <w:rFonts w:ascii="Times New Roman" w:hAnsi="Times New Roman" w:cs="Times New Roman"/>
          <w:sz w:val="24"/>
          <w:szCs w:val="24"/>
          <w:shd w:val="clear" w:color="auto" w:fill="FFFFFF"/>
        </w:rPr>
        <w:t>Piotroski</w:t>
      </w:r>
      <w:proofErr w:type="spellEnd"/>
      <w:r w:rsidR="00D10914" w:rsidRPr="00255EC2">
        <w:rPr>
          <w:rFonts w:ascii="Times New Roman" w:hAnsi="Times New Roman" w:cs="Times New Roman"/>
          <w:sz w:val="24"/>
          <w:szCs w:val="24"/>
          <w:shd w:val="clear" w:color="auto" w:fill="FFFFFF"/>
        </w:rPr>
        <w:t xml:space="preserve"> and </w:t>
      </w:r>
      <w:proofErr w:type="spellStart"/>
      <w:r w:rsidR="00D10914" w:rsidRPr="00255EC2">
        <w:rPr>
          <w:rFonts w:ascii="Times New Roman" w:hAnsi="Times New Roman" w:cs="Times New Roman"/>
          <w:sz w:val="24"/>
          <w:szCs w:val="24"/>
          <w:shd w:val="clear" w:color="auto" w:fill="FFFFFF"/>
        </w:rPr>
        <w:t>Zakolyukina</w:t>
      </w:r>
      <w:proofErr w:type="spellEnd"/>
      <w:r w:rsidR="00D10914" w:rsidRPr="00255EC2">
        <w:rPr>
          <w:rFonts w:ascii="Times New Roman" w:hAnsi="Times New Roman" w:cs="Times New Roman"/>
          <w:sz w:val="24"/>
          <w:szCs w:val="24"/>
          <w:shd w:val="clear" w:color="auto" w:fill="FFFFFF"/>
        </w:rPr>
        <w:t>, 2019</w:t>
      </w:r>
      <w:r w:rsidR="00D10914" w:rsidRPr="00255EC2">
        <w:rPr>
          <w:rFonts w:ascii="Times New Roman" w:hAnsi="Times New Roman" w:cs="Times New Roman"/>
          <w:sz w:val="24"/>
          <w:szCs w:val="24"/>
        </w:rPr>
        <w:t>)</w:t>
      </w:r>
      <w:r w:rsidRPr="00255EC2">
        <w:rPr>
          <w:rFonts w:ascii="Times New Roman" w:hAnsi="Times New Roman" w:cs="Times New Roman"/>
          <w:sz w:val="24"/>
          <w:szCs w:val="24"/>
        </w:rPr>
        <w:t xml:space="preserve">. The objective of this project report is to gain information about different types of accounting fundamentals along with practical work of given tasks. There are basically, three questions which are covered under the report. In the first question income statement and balance sheet is prepared in accordance of given data. The second question consists information about performance analysis of Jerry plc by help of ratio analysis technique. In the end of report, users and importance of financial information is discussed. </w:t>
      </w:r>
    </w:p>
    <w:p w14:paraId="3BF6037D" w14:textId="77777777" w:rsidR="005450E1" w:rsidRPr="00255EC2" w:rsidRDefault="005450E1" w:rsidP="00255EC2">
      <w:pPr>
        <w:spacing w:line="360" w:lineRule="auto"/>
        <w:jc w:val="both"/>
        <w:rPr>
          <w:rFonts w:ascii="Times New Roman" w:hAnsi="Times New Roman" w:cs="Times New Roman"/>
          <w:sz w:val="24"/>
          <w:szCs w:val="24"/>
        </w:rPr>
      </w:pPr>
    </w:p>
    <w:p w14:paraId="67F0A235" w14:textId="77777777" w:rsidR="005450E1" w:rsidRPr="00255EC2" w:rsidRDefault="005450E1" w:rsidP="00255EC2">
      <w:pPr>
        <w:pStyle w:val="Heading1"/>
        <w:spacing w:line="360" w:lineRule="auto"/>
        <w:jc w:val="both"/>
        <w:rPr>
          <w:rFonts w:ascii="Times New Roman" w:hAnsi="Times New Roman" w:cs="Times New Roman"/>
          <w:b/>
          <w:color w:val="auto"/>
          <w:sz w:val="28"/>
          <w:szCs w:val="28"/>
        </w:rPr>
      </w:pPr>
      <w:bookmarkStart w:id="1" w:name="_Toc47792636"/>
      <w:r w:rsidRPr="00255EC2">
        <w:rPr>
          <w:rFonts w:ascii="Times New Roman" w:hAnsi="Times New Roman" w:cs="Times New Roman"/>
          <w:b/>
          <w:color w:val="auto"/>
          <w:sz w:val="28"/>
          <w:szCs w:val="28"/>
        </w:rPr>
        <w:t>MAIN BODY</w:t>
      </w:r>
      <w:bookmarkEnd w:id="1"/>
    </w:p>
    <w:p w14:paraId="158BB641" w14:textId="77777777" w:rsidR="005450E1" w:rsidRPr="00255EC2" w:rsidRDefault="005450E1" w:rsidP="00255EC2">
      <w:pPr>
        <w:spacing w:line="360" w:lineRule="auto"/>
        <w:jc w:val="both"/>
        <w:rPr>
          <w:rFonts w:ascii="Times New Roman" w:hAnsi="Times New Roman" w:cs="Times New Roman"/>
          <w:sz w:val="24"/>
          <w:szCs w:val="24"/>
        </w:rPr>
      </w:pPr>
    </w:p>
    <w:p w14:paraId="2BDB9DC7" w14:textId="77777777" w:rsidR="005450E1" w:rsidRPr="00255EC2" w:rsidRDefault="005450E1" w:rsidP="00255EC2">
      <w:pPr>
        <w:pStyle w:val="Heading2"/>
        <w:spacing w:line="360" w:lineRule="auto"/>
        <w:jc w:val="both"/>
        <w:rPr>
          <w:rFonts w:ascii="Times New Roman" w:hAnsi="Times New Roman" w:cs="Times New Roman"/>
          <w:color w:val="auto"/>
          <w:sz w:val="24"/>
          <w:szCs w:val="24"/>
          <w:u w:val="single"/>
        </w:rPr>
      </w:pPr>
      <w:bookmarkStart w:id="2" w:name="_Toc47792637"/>
      <w:r w:rsidRPr="00255EC2">
        <w:rPr>
          <w:rFonts w:ascii="Times New Roman" w:hAnsi="Times New Roman" w:cs="Times New Roman"/>
          <w:color w:val="auto"/>
          <w:sz w:val="24"/>
          <w:szCs w:val="24"/>
          <w:u w:val="single"/>
        </w:rPr>
        <w:t>Question 1.</w:t>
      </w:r>
      <w:bookmarkEnd w:id="2"/>
    </w:p>
    <w:p w14:paraId="23409DAE" w14:textId="77777777" w:rsidR="00C62A57" w:rsidRPr="00255EC2" w:rsidRDefault="00C62A57" w:rsidP="00255EC2">
      <w:pPr>
        <w:spacing w:line="360" w:lineRule="auto"/>
        <w:jc w:val="both"/>
        <w:rPr>
          <w:rFonts w:ascii="Times New Roman" w:hAnsi="Times New Roman" w:cs="Times New Roman"/>
          <w:b/>
          <w:bCs/>
          <w:sz w:val="24"/>
          <w:szCs w:val="24"/>
          <w:lang w:val="en-GB"/>
        </w:rPr>
      </w:pPr>
      <w:r w:rsidRPr="00255EC2">
        <w:rPr>
          <w:rFonts w:ascii="Times New Roman" w:hAnsi="Times New Roman" w:cs="Times New Roman"/>
          <w:b/>
          <w:bCs/>
          <w:sz w:val="24"/>
          <w:szCs w:val="24"/>
          <w:lang w:val="en-GB"/>
        </w:rPr>
        <w:t>Income-statement:</w:t>
      </w:r>
      <w:r w:rsidRPr="00255EC2">
        <w:rPr>
          <w:rFonts w:ascii="Times New Roman" w:hAnsi="Times New Roman" w:cs="Times New Roman"/>
          <w:sz w:val="24"/>
          <w:szCs w:val="24"/>
          <w:lang w:val="en-GB"/>
        </w:rPr>
        <w:t xml:space="preserve"> The income statement implies to report that indicates how much revenue/sales a business earns for a specified period of time-frame (normally for year or part of year). This statement also reveals costs and expenditures associated with obtaining the salary. Typically, the actual "bottom line" of statement indicates the firm's total net profits or losses. It shows how much business has gained or lost during a specific period.</w:t>
      </w:r>
    </w:p>
    <w:p w14:paraId="00EDF38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b/>
          <w:bCs/>
          <w:sz w:val="24"/>
          <w:szCs w:val="24"/>
          <w:lang w:val="en-GB"/>
        </w:rPr>
        <w:t>Wales Plc's Income Statement for the year ended 31</w:t>
      </w:r>
      <w:r w:rsidRPr="00255EC2">
        <w:rPr>
          <w:rFonts w:ascii="Times New Roman" w:hAnsi="Times New Roman" w:cs="Times New Roman"/>
          <w:b/>
          <w:bCs/>
          <w:sz w:val="24"/>
          <w:szCs w:val="24"/>
          <w:vertAlign w:val="superscript"/>
          <w:lang w:val="en-GB"/>
        </w:rPr>
        <w:t>st</w:t>
      </w:r>
      <w:r w:rsidRPr="00255EC2">
        <w:rPr>
          <w:rFonts w:ascii="Times New Roman" w:hAnsi="Times New Roman" w:cs="Times New Roman"/>
          <w:b/>
          <w:bCs/>
          <w:sz w:val="24"/>
          <w:szCs w:val="24"/>
          <w:lang w:val="en-GB"/>
        </w:rPr>
        <w:t xml:space="preserve"> December, 2019: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57"/>
        <w:gridCol w:w="1392"/>
        <w:gridCol w:w="1392"/>
        <w:gridCol w:w="1396"/>
      </w:tblGrid>
      <w:tr w:rsidR="00255EC2" w:rsidRPr="00255EC2" w14:paraId="4EB3915D" w14:textId="77777777" w:rsidTr="006277A7">
        <w:trPr>
          <w:trHeight w:val="242"/>
        </w:trPr>
        <w:tc>
          <w:tcPr>
            <w:tcW w:w="5157" w:type="dxa"/>
            <w:tcBorders>
              <w:top w:val="single" w:sz="1" w:space="0" w:color="000000"/>
              <w:left w:val="single" w:sz="1" w:space="0" w:color="000000"/>
              <w:bottom w:val="single" w:sz="1" w:space="0" w:color="000000"/>
            </w:tcBorders>
            <w:shd w:val="clear" w:color="auto" w:fill="auto"/>
            <w:vAlign w:val="bottom"/>
          </w:tcPr>
          <w:p w14:paraId="43A366C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Particulars</w:t>
            </w:r>
          </w:p>
        </w:tc>
        <w:tc>
          <w:tcPr>
            <w:tcW w:w="1392" w:type="dxa"/>
            <w:tcBorders>
              <w:top w:val="single" w:sz="1" w:space="0" w:color="000000"/>
              <w:left w:val="single" w:sz="1" w:space="0" w:color="000000"/>
              <w:bottom w:val="single" w:sz="1" w:space="0" w:color="000000"/>
            </w:tcBorders>
            <w:shd w:val="clear" w:color="auto" w:fill="auto"/>
            <w:vAlign w:val="bottom"/>
          </w:tcPr>
          <w:p w14:paraId="6EAB45CC"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top w:val="single" w:sz="1" w:space="0" w:color="000000"/>
              <w:left w:val="single" w:sz="1" w:space="0" w:color="000000"/>
              <w:bottom w:val="single" w:sz="1" w:space="0" w:color="000000"/>
            </w:tcBorders>
            <w:shd w:val="clear" w:color="auto" w:fill="auto"/>
            <w:vAlign w:val="bottom"/>
          </w:tcPr>
          <w:p w14:paraId="3BA1966D"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top w:val="single" w:sz="1" w:space="0" w:color="000000"/>
              <w:left w:val="single" w:sz="1" w:space="0" w:color="000000"/>
              <w:bottom w:val="single" w:sz="1" w:space="0" w:color="000000"/>
              <w:right w:val="single" w:sz="1" w:space="0" w:color="000000"/>
            </w:tcBorders>
            <w:shd w:val="clear" w:color="auto" w:fill="auto"/>
            <w:vAlign w:val="bottom"/>
          </w:tcPr>
          <w:p w14:paraId="41149C0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Amount</w:t>
            </w:r>
          </w:p>
        </w:tc>
      </w:tr>
      <w:tr w:rsidR="00255EC2" w:rsidRPr="00255EC2" w14:paraId="2427B44C" w14:textId="77777777" w:rsidTr="006277A7">
        <w:trPr>
          <w:trHeight w:val="242"/>
        </w:trPr>
        <w:tc>
          <w:tcPr>
            <w:tcW w:w="5157" w:type="dxa"/>
            <w:tcBorders>
              <w:left w:val="single" w:sz="1" w:space="0" w:color="000000"/>
              <w:bottom w:val="single" w:sz="1" w:space="0" w:color="000000"/>
            </w:tcBorders>
            <w:shd w:val="clear" w:color="auto" w:fill="auto"/>
            <w:vAlign w:val="bottom"/>
          </w:tcPr>
          <w:p w14:paraId="59DC732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Sales</w:t>
            </w:r>
          </w:p>
        </w:tc>
        <w:tc>
          <w:tcPr>
            <w:tcW w:w="1392" w:type="dxa"/>
            <w:tcBorders>
              <w:left w:val="single" w:sz="1" w:space="0" w:color="000000"/>
              <w:bottom w:val="single" w:sz="1" w:space="0" w:color="000000"/>
            </w:tcBorders>
            <w:shd w:val="clear" w:color="auto" w:fill="auto"/>
            <w:vAlign w:val="bottom"/>
          </w:tcPr>
          <w:p w14:paraId="793B6FBE"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783AC98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0252237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£ 30300</w:t>
            </w:r>
          </w:p>
        </w:tc>
      </w:tr>
      <w:tr w:rsidR="00255EC2" w:rsidRPr="00255EC2" w14:paraId="6C93B43D" w14:textId="77777777" w:rsidTr="006277A7">
        <w:trPr>
          <w:trHeight w:val="242"/>
        </w:trPr>
        <w:tc>
          <w:tcPr>
            <w:tcW w:w="5157" w:type="dxa"/>
            <w:tcBorders>
              <w:left w:val="single" w:sz="1" w:space="0" w:color="000000"/>
              <w:bottom w:val="single" w:sz="1" w:space="0" w:color="000000"/>
            </w:tcBorders>
            <w:shd w:val="clear" w:color="auto" w:fill="auto"/>
            <w:vAlign w:val="bottom"/>
          </w:tcPr>
          <w:p w14:paraId="223C8B33"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Cost of Sales including depreciation on plant</w:t>
            </w:r>
          </w:p>
        </w:tc>
        <w:tc>
          <w:tcPr>
            <w:tcW w:w="1392" w:type="dxa"/>
            <w:tcBorders>
              <w:left w:val="single" w:sz="1" w:space="0" w:color="000000"/>
              <w:bottom w:val="single" w:sz="1" w:space="0" w:color="000000"/>
            </w:tcBorders>
            <w:shd w:val="clear" w:color="auto" w:fill="auto"/>
            <w:vAlign w:val="bottom"/>
          </w:tcPr>
          <w:p w14:paraId="07B4E7DE"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422FD5F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02F2B0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£ 18780</w:t>
            </w:r>
          </w:p>
        </w:tc>
      </w:tr>
      <w:tr w:rsidR="00255EC2" w:rsidRPr="00255EC2" w14:paraId="12743675" w14:textId="77777777" w:rsidTr="006277A7">
        <w:trPr>
          <w:trHeight w:val="242"/>
        </w:trPr>
        <w:tc>
          <w:tcPr>
            <w:tcW w:w="5157" w:type="dxa"/>
            <w:tcBorders>
              <w:left w:val="single" w:sz="1" w:space="0" w:color="000000"/>
              <w:bottom w:val="single" w:sz="1" w:space="0" w:color="000000"/>
            </w:tcBorders>
            <w:shd w:val="clear" w:color="auto" w:fill="auto"/>
            <w:vAlign w:val="bottom"/>
          </w:tcPr>
          <w:p w14:paraId="7976878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Gross Profit</w:t>
            </w:r>
          </w:p>
        </w:tc>
        <w:tc>
          <w:tcPr>
            <w:tcW w:w="1392" w:type="dxa"/>
            <w:tcBorders>
              <w:left w:val="single" w:sz="1" w:space="0" w:color="000000"/>
              <w:bottom w:val="single" w:sz="1" w:space="0" w:color="000000"/>
            </w:tcBorders>
            <w:shd w:val="clear" w:color="auto" w:fill="auto"/>
            <w:vAlign w:val="bottom"/>
          </w:tcPr>
          <w:p w14:paraId="533A8AE1"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7EEBA2D"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6C68FB0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£ 11520</w:t>
            </w:r>
          </w:p>
        </w:tc>
      </w:tr>
      <w:tr w:rsidR="00255EC2" w:rsidRPr="00255EC2" w14:paraId="7BF3DD4C" w14:textId="77777777" w:rsidTr="006277A7">
        <w:trPr>
          <w:trHeight w:val="242"/>
        </w:trPr>
        <w:tc>
          <w:tcPr>
            <w:tcW w:w="5157" w:type="dxa"/>
            <w:tcBorders>
              <w:left w:val="single" w:sz="1" w:space="0" w:color="000000"/>
              <w:bottom w:val="single" w:sz="1" w:space="0" w:color="000000"/>
            </w:tcBorders>
            <w:shd w:val="clear" w:color="auto" w:fill="auto"/>
            <w:vAlign w:val="bottom"/>
          </w:tcPr>
          <w:p w14:paraId="0F59EF6A"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8425ED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753E4EAD"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725D2F7E"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DBBE995" w14:textId="77777777" w:rsidTr="006277A7">
        <w:trPr>
          <w:trHeight w:val="242"/>
        </w:trPr>
        <w:tc>
          <w:tcPr>
            <w:tcW w:w="5157" w:type="dxa"/>
            <w:tcBorders>
              <w:left w:val="single" w:sz="1" w:space="0" w:color="000000"/>
              <w:bottom w:val="single" w:sz="1" w:space="0" w:color="000000"/>
            </w:tcBorders>
            <w:shd w:val="clear" w:color="auto" w:fill="auto"/>
            <w:vAlign w:val="bottom"/>
          </w:tcPr>
          <w:p w14:paraId="557D956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Expenses:</w:t>
            </w:r>
          </w:p>
        </w:tc>
        <w:tc>
          <w:tcPr>
            <w:tcW w:w="1392" w:type="dxa"/>
            <w:tcBorders>
              <w:left w:val="single" w:sz="1" w:space="0" w:color="000000"/>
              <w:bottom w:val="single" w:sz="1" w:space="0" w:color="000000"/>
            </w:tcBorders>
            <w:shd w:val="clear" w:color="auto" w:fill="auto"/>
            <w:vAlign w:val="bottom"/>
          </w:tcPr>
          <w:p w14:paraId="4DDAA1A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57789E2B"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958C64A"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BD4F7A7" w14:textId="77777777" w:rsidTr="006277A7">
        <w:trPr>
          <w:trHeight w:val="242"/>
        </w:trPr>
        <w:tc>
          <w:tcPr>
            <w:tcW w:w="5157" w:type="dxa"/>
            <w:tcBorders>
              <w:left w:val="single" w:sz="1" w:space="0" w:color="000000"/>
              <w:bottom w:val="single" w:sz="1" w:space="0" w:color="000000"/>
            </w:tcBorders>
            <w:shd w:val="clear" w:color="auto" w:fill="auto"/>
            <w:vAlign w:val="bottom"/>
          </w:tcPr>
          <w:p w14:paraId="5CFCFE2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70ADFB5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5D906A7C"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0851F948"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28F0FB6" w14:textId="77777777" w:rsidTr="006277A7">
        <w:trPr>
          <w:trHeight w:val="242"/>
        </w:trPr>
        <w:tc>
          <w:tcPr>
            <w:tcW w:w="5157" w:type="dxa"/>
            <w:tcBorders>
              <w:left w:val="single" w:sz="1" w:space="0" w:color="000000"/>
              <w:bottom w:val="single" w:sz="1" w:space="0" w:color="000000"/>
            </w:tcBorders>
            <w:shd w:val="clear" w:color="auto" w:fill="auto"/>
            <w:vAlign w:val="bottom"/>
          </w:tcPr>
          <w:p w14:paraId="442D99D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Distribution Expenses</w:t>
            </w:r>
          </w:p>
        </w:tc>
        <w:tc>
          <w:tcPr>
            <w:tcW w:w="1392" w:type="dxa"/>
            <w:tcBorders>
              <w:left w:val="single" w:sz="1" w:space="0" w:color="000000"/>
              <w:bottom w:val="single" w:sz="1" w:space="0" w:color="000000"/>
            </w:tcBorders>
            <w:shd w:val="clear" w:color="auto" w:fill="auto"/>
            <w:vAlign w:val="bottom"/>
          </w:tcPr>
          <w:p w14:paraId="24745EB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1F63865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£ 2160</w:t>
            </w:r>
          </w:p>
        </w:tc>
        <w:tc>
          <w:tcPr>
            <w:tcW w:w="1396" w:type="dxa"/>
            <w:tcBorders>
              <w:left w:val="single" w:sz="1" w:space="0" w:color="000000"/>
              <w:bottom w:val="single" w:sz="1" w:space="0" w:color="000000"/>
              <w:right w:val="single" w:sz="1" w:space="0" w:color="000000"/>
            </w:tcBorders>
            <w:shd w:val="clear" w:color="auto" w:fill="auto"/>
            <w:vAlign w:val="bottom"/>
          </w:tcPr>
          <w:p w14:paraId="4825F0AE"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28314A96" w14:textId="77777777" w:rsidTr="006277A7">
        <w:trPr>
          <w:trHeight w:val="242"/>
        </w:trPr>
        <w:tc>
          <w:tcPr>
            <w:tcW w:w="5157" w:type="dxa"/>
            <w:tcBorders>
              <w:left w:val="single" w:sz="1" w:space="0" w:color="000000"/>
              <w:bottom w:val="single" w:sz="1" w:space="0" w:color="000000"/>
            </w:tcBorders>
            <w:shd w:val="clear" w:color="auto" w:fill="auto"/>
            <w:vAlign w:val="bottom"/>
          </w:tcPr>
          <w:p w14:paraId="755AA46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Administration Expenses:</w:t>
            </w:r>
          </w:p>
        </w:tc>
        <w:tc>
          <w:tcPr>
            <w:tcW w:w="1392" w:type="dxa"/>
            <w:tcBorders>
              <w:left w:val="single" w:sz="1" w:space="0" w:color="000000"/>
              <w:bottom w:val="single" w:sz="1" w:space="0" w:color="000000"/>
            </w:tcBorders>
            <w:shd w:val="clear" w:color="auto" w:fill="auto"/>
            <w:vAlign w:val="bottom"/>
          </w:tcPr>
          <w:p w14:paraId="3162548B"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245230D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00286181"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F397CEE" w14:textId="77777777" w:rsidTr="006277A7">
        <w:trPr>
          <w:trHeight w:val="242"/>
        </w:trPr>
        <w:tc>
          <w:tcPr>
            <w:tcW w:w="5157" w:type="dxa"/>
            <w:tcBorders>
              <w:left w:val="single" w:sz="1" w:space="0" w:color="000000"/>
              <w:bottom w:val="single" w:sz="1" w:space="0" w:color="000000"/>
            </w:tcBorders>
            <w:shd w:val="clear" w:color="auto" w:fill="auto"/>
            <w:vAlign w:val="bottom"/>
          </w:tcPr>
          <w:p w14:paraId="0607233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General Admin Expenses</w:t>
            </w:r>
          </w:p>
        </w:tc>
        <w:tc>
          <w:tcPr>
            <w:tcW w:w="1392" w:type="dxa"/>
            <w:tcBorders>
              <w:left w:val="single" w:sz="1" w:space="0" w:color="000000"/>
              <w:bottom w:val="single" w:sz="1" w:space="0" w:color="000000"/>
            </w:tcBorders>
            <w:shd w:val="clear" w:color="auto" w:fill="auto"/>
            <w:vAlign w:val="bottom"/>
          </w:tcPr>
          <w:p w14:paraId="5ADF3BE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£ 2920</w:t>
            </w:r>
          </w:p>
        </w:tc>
        <w:tc>
          <w:tcPr>
            <w:tcW w:w="1392" w:type="dxa"/>
            <w:tcBorders>
              <w:left w:val="single" w:sz="1" w:space="0" w:color="000000"/>
              <w:bottom w:val="single" w:sz="1" w:space="0" w:color="000000"/>
            </w:tcBorders>
            <w:shd w:val="clear" w:color="auto" w:fill="auto"/>
            <w:vAlign w:val="bottom"/>
          </w:tcPr>
          <w:p w14:paraId="410A63AA"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69E3A90"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8090021" w14:textId="77777777" w:rsidTr="006277A7">
        <w:trPr>
          <w:trHeight w:val="242"/>
        </w:trPr>
        <w:tc>
          <w:tcPr>
            <w:tcW w:w="5157" w:type="dxa"/>
            <w:tcBorders>
              <w:left w:val="single" w:sz="1" w:space="0" w:color="000000"/>
              <w:bottom w:val="single" w:sz="1" w:space="0" w:color="000000"/>
            </w:tcBorders>
            <w:shd w:val="clear" w:color="auto" w:fill="auto"/>
            <w:vAlign w:val="bottom"/>
          </w:tcPr>
          <w:p w14:paraId="1B7A8F6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Depreciation on Building </w:t>
            </w:r>
          </w:p>
        </w:tc>
        <w:tc>
          <w:tcPr>
            <w:tcW w:w="1392" w:type="dxa"/>
            <w:tcBorders>
              <w:left w:val="single" w:sz="1" w:space="0" w:color="000000"/>
              <w:bottom w:val="single" w:sz="1" w:space="0" w:color="000000"/>
            </w:tcBorders>
            <w:shd w:val="clear" w:color="auto" w:fill="auto"/>
            <w:vAlign w:val="bottom"/>
          </w:tcPr>
          <w:p w14:paraId="47DC2D3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£ 320</w:t>
            </w:r>
          </w:p>
        </w:tc>
        <w:tc>
          <w:tcPr>
            <w:tcW w:w="1392" w:type="dxa"/>
            <w:tcBorders>
              <w:left w:val="single" w:sz="1" w:space="0" w:color="000000"/>
              <w:bottom w:val="single" w:sz="1" w:space="0" w:color="000000"/>
            </w:tcBorders>
            <w:shd w:val="clear" w:color="auto" w:fill="auto"/>
            <w:vAlign w:val="bottom"/>
          </w:tcPr>
          <w:p w14:paraId="64BEBBA4"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043172AD"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9044CB7" w14:textId="77777777" w:rsidTr="006277A7">
        <w:trPr>
          <w:trHeight w:val="242"/>
        </w:trPr>
        <w:tc>
          <w:tcPr>
            <w:tcW w:w="5157" w:type="dxa"/>
            <w:tcBorders>
              <w:left w:val="single" w:sz="1" w:space="0" w:color="000000"/>
              <w:bottom w:val="single" w:sz="1" w:space="0" w:color="000000"/>
            </w:tcBorders>
            <w:shd w:val="clear" w:color="auto" w:fill="auto"/>
            <w:vAlign w:val="bottom"/>
          </w:tcPr>
          <w:p w14:paraId="0C56F56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Bad-debt</w:t>
            </w:r>
          </w:p>
        </w:tc>
        <w:tc>
          <w:tcPr>
            <w:tcW w:w="1392" w:type="dxa"/>
            <w:tcBorders>
              <w:left w:val="single" w:sz="1" w:space="0" w:color="000000"/>
              <w:bottom w:val="single" w:sz="1" w:space="0" w:color="000000"/>
            </w:tcBorders>
            <w:shd w:val="clear" w:color="auto" w:fill="auto"/>
            <w:vAlign w:val="bottom"/>
          </w:tcPr>
          <w:p w14:paraId="7F11AE0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£ 240</w:t>
            </w:r>
          </w:p>
        </w:tc>
        <w:tc>
          <w:tcPr>
            <w:tcW w:w="1392" w:type="dxa"/>
            <w:tcBorders>
              <w:left w:val="single" w:sz="1" w:space="0" w:color="000000"/>
              <w:bottom w:val="single" w:sz="1" w:space="0" w:color="000000"/>
            </w:tcBorders>
            <w:shd w:val="clear" w:color="auto" w:fill="auto"/>
            <w:vAlign w:val="bottom"/>
          </w:tcPr>
          <w:p w14:paraId="644F6B6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55D78B35"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70952F2" w14:textId="77777777" w:rsidTr="006277A7">
        <w:trPr>
          <w:trHeight w:val="242"/>
        </w:trPr>
        <w:tc>
          <w:tcPr>
            <w:tcW w:w="5157" w:type="dxa"/>
            <w:tcBorders>
              <w:left w:val="single" w:sz="1" w:space="0" w:color="000000"/>
              <w:bottom w:val="single" w:sz="1" w:space="0" w:color="000000"/>
            </w:tcBorders>
            <w:shd w:val="clear" w:color="auto" w:fill="auto"/>
            <w:vAlign w:val="bottom"/>
          </w:tcPr>
          <w:p w14:paraId="44FFE7D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Allowance for trade receivables  </w:t>
            </w:r>
          </w:p>
        </w:tc>
        <w:tc>
          <w:tcPr>
            <w:tcW w:w="1392" w:type="dxa"/>
            <w:tcBorders>
              <w:left w:val="single" w:sz="1" w:space="0" w:color="000000"/>
              <w:bottom w:val="single" w:sz="1" w:space="0" w:color="000000"/>
            </w:tcBorders>
            <w:shd w:val="clear" w:color="auto" w:fill="auto"/>
            <w:vAlign w:val="bottom"/>
          </w:tcPr>
          <w:p w14:paraId="286EEBE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£ 160</w:t>
            </w:r>
          </w:p>
        </w:tc>
        <w:tc>
          <w:tcPr>
            <w:tcW w:w="1392" w:type="dxa"/>
            <w:tcBorders>
              <w:left w:val="single" w:sz="1" w:space="0" w:color="000000"/>
              <w:bottom w:val="single" w:sz="1" w:space="0" w:color="000000"/>
            </w:tcBorders>
            <w:shd w:val="clear" w:color="auto" w:fill="auto"/>
            <w:vAlign w:val="bottom"/>
          </w:tcPr>
          <w:p w14:paraId="425C652A"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6DA1E634"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DECC977" w14:textId="77777777" w:rsidTr="006277A7">
        <w:trPr>
          <w:trHeight w:val="242"/>
        </w:trPr>
        <w:tc>
          <w:tcPr>
            <w:tcW w:w="5157" w:type="dxa"/>
            <w:tcBorders>
              <w:left w:val="single" w:sz="1" w:space="0" w:color="000000"/>
              <w:bottom w:val="single" w:sz="1" w:space="0" w:color="000000"/>
            </w:tcBorders>
            <w:shd w:val="clear" w:color="auto" w:fill="auto"/>
            <w:vAlign w:val="bottom"/>
          </w:tcPr>
          <w:p w14:paraId="3BC00A1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Outstanding Insurance Fees</w:t>
            </w:r>
          </w:p>
        </w:tc>
        <w:tc>
          <w:tcPr>
            <w:tcW w:w="1392" w:type="dxa"/>
            <w:tcBorders>
              <w:left w:val="single" w:sz="1" w:space="0" w:color="000000"/>
              <w:bottom w:val="single" w:sz="1" w:space="0" w:color="000000"/>
            </w:tcBorders>
            <w:shd w:val="clear" w:color="auto" w:fill="auto"/>
            <w:vAlign w:val="bottom"/>
          </w:tcPr>
          <w:p w14:paraId="514F2DA1"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£ 500</w:t>
            </w:r>
          </w:p>
        </w:tc>
        <w:tc>
          <w:tcPr>
            <w:tcW w:w="1392" w:type="dxa"/>
            <w:tcBorders>
              <w:left w:val="single" w:sz="1" w:space="0" w:color="000000"/>
              <w:bottom w:val="single" w:sz="1" w:space="0" w:color="000000"/>
            </w:tcBorders>
            <w:shd w:val="clear" w:color="auto" w:fill="auto"/>
            <w:vAlign w:val="bottom"/>
          </w:tcPr>
          <w:p w14:paraId="6596523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£ 4140</w:t>
            </w:r>
          </w:p>
        </w:tc>
        <w:tc>
          <w:tcPr>
            <w:tcW w:w="1396" w:type="dxa"/>
            <w:tcBorders>
              <w:left w:val="single" w:sz="1" w:space="0" w:color="000000"/>
              <w:bottom w:val="single" w:sz="1" w:space="0" w:color="000000"/>
              <w:right w:val="single" w:sz="1" w:space="0" w:color="000000"/>
            </w:tcBorders>
            <w:shd w:val="clear" w:color="auto" w:fill="auto"/>
            <w:vAlign w:val="bottom"/>
          </w:tcPr>
          <w:p w14:paraId="52DC7120"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E5D1DA7" w14:textId="77777777" w:rsidTr="006277A7">
        <w:trPr>
          <w:trHeight w:val="242"/>
        </w:trPr>
        <w:tc>
          <w:tcPr>
            <w:tcW w:w="5157" w:type="dxa"/>
            <w:tcBorders>
              <w:left w:val="single" w:sz="1" w:space="0" w:color="000000"/>
              <w:bottom w:val="single" w:sz="1" w:space="0" w:color="000000"/>
            </w:tcBorders>
            <w:shd w:val="clear" w:color="auto" w:fill="auto"/>
            <w:vAlign w:val="bottom"/>
          </w:tcPr>
          <w:p w14:paraId="2FF9C93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1CA883D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7D5BE0C"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2DE89306"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2B823B7" w14:textId="77777777" w:rsidTr="006277A7">
        <w:trPr>
          <w:trHeight w:val="242"/>
        </w:trPr>
        <w:tc>
          <w:tcPr>
            <w:tcW w:w="5157" w:type="dxa"/>
            <w:tcBorders>
              <w:left w:val="single" w:sz="1" w:space="0" w:color="000000"/>
              <w:bottom w:val="single" w:sz="1" w:space="0" w:color="000000"/>
            </w:tcBorders>
            <w:shd w:val="clear" w:color="auto" w:fill="auto"/>
            <w:vAlign w:val="bottom"/>
          </w:tcPr>
          <w:p w14:paraId="65476CA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Total Expenses</w:t>
            </w:r>
          </w:p>
        </w:tc>
        <w:tc>
          <w:tcPr>
            <w:tcW w:w="1392" w:type="dxa"/>
            <w:tcBorders>
              <w:left w:val="single" w:sz="1" w:space="0" w:color="000000"/>
              <w:bottom w:val="single" w:sz="1" w:space="0" w:color="000000"/>
            </w:tcBorders>
            <w:shd w:val="clear" w:color="auto" w:fill="auto"/>
            <w:vAlign w:val="bottom"/>
          </w:tcPr>
          <w:p w14:paraId="00202C7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6D56BD5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33AB03A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£ 6300</w:t>
            </w:r>
          </w:p>
        </w:tc>
      </w:tr>
      <w:tr w:rsidR="00255EC2" w:rsidRPr="00255EC2" w14:paraId="5379C328" w14:textId="77777777" w:rsidTr="006277A7">
        <w:trPr>
          <w:trHeight w:val="242"/>
        </w:trPr>
        <w:tc>
          <w:tcPr>
            <w:tcW w:w="5157" w:type="dxa"/>
            <w:tcBorders>
              <w:left w:val="single" w:sz="1" w:space="0" w:color="000000"/>
              <w:bottom w:val="single" w:sz="1" w:space="0" w:color="000000"/>
            </w:tcBorders>
            <w:shd w:val="clear" w:color="auto" w:fill="auto"/>
            <w:vAlign w:val="bottom"/>
          </w:tcPr>
          <w:p w14:paraId="2D3EFB9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6446E76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F2978C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50B098A"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174892EF" w14:textId="77777777" w:rsidTr="006277A7">
        <w:trPr>
          <w:trHeight w:val="242"/>
        </w:trPr>
        <w:tc>
          <w:tcPr>
            <w:tcW w:w="5157" w:type="dxa"/>
            <w:tcBorders>
              <w:left w:val="single" w:sz="1" w:space="0" w:color="000000"/>
              <w:bottom w:val="single" w:sz="1" w:space="0" w:color="000000"/>
            </w:tcBorders>
            <w:shd w:val="clear" w:color="auto" w:fill="auto"/>
            <w:vAlign w:val="bottom"/>
          </w:tcPr>
          <w:p w14:paraId="0140AF13"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Profit Before Tax and Interest</w:t>
            </w:r>
          </w:p>
        </w:tc>
        <w:tc>
          <w:tcPr>
            <w:tcW w:w="1392" w:type="dxa"/>
            <w:tcBorders>
              <w:left w:val="single" w:sz="1" w:space="0" w:color="000000"/>
              <w:bottom w:val="single" w:sz="1" w:space="0" w:color="000000"/>
            </w:tcBorders>
            <w:shd w:val="clear" w:color="auto" w:fill="auto"/>
            <w:vAlign w:val="bottom"/>
          </w:tcPr>
          <w:p w14:paraId="298921B4"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CDEB9E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578EAB2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£ 5220</w:t>
            </w:r>
          </w:p>
        </w:tc>
      </w:tr>
      <w:tr w:rsidR="00255EC2" w:rsidRPr="00255EC2" w14:paraId="2B018F4C" w14:textId="77777777" w:rsidTr="006277A7">
        <w:trPr>
          <w:trHeight w:val="242"/>
        </w:trPr>
        <w:tc>
          <w:tcPr>
            <w:tcW w:w="5157" w:type="dxa"/>
            <w:tcBorders>
              <w:left w:val="single" w:sz="1" w:space="0" w:color="000000"/>
              <w:bottom w:val="single" w:sz="1" w:space="0" w:color="000000"/>
            </w:tcBorders>
            <w:shd w:val="clear" w:color="auto" w:fill="auto"/>
            <w:vAlign w:val="bottom"/>
          </w:tcPr>
          <w:p w14:paraId="5639869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Debenture interest</w:t>
            </w:r>
          </w:p>
        </w:tc>
        <w:tc>
          <w:tcPr>
            <w:tcW w:w="1392" w:type="dxa"/>
            <w:tcBorders>
              <w:left w:val="single" w:sz="1" w:space="0" w:color="000000"/>
              <w:bottom w:val="single" w:sz="1" w:space="0" w:color="000000"/>
            </w:tcBorders>
            <w:shd w:val="clear" w:color="auto" w:fill="auto"/>
            <w:vAlign w:val="bottom"/>
          </w:tcPr>
          <w:p w14:paraId="77ECDEF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5532859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0E3BE65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£ 240</w:t>
            </w:r>
          </w:p>
        </w:tc>
      </w:tr>
      <w:tr w:rsidR="00255EC2" w:rsidRPr="00255EC2" w14:paraId="797FC39D" w14:textId="77777777" w:rsidTr="006277A7">
        <w:trPr>
          <w:trHeight w:val="242"/>
        </w:trPr>
        <w:tc>
          <w:tcPr>
            <w:tcW w:w="5157" w:type="dxa"/>
            <w:tcBorders>
              <w:left w:val="single" w:sz="1" w:space="0" w:color="000000"/>
              <w:bottom w:val="single" w:sz="1" w:space="0" w:color="000000"/>
            </w:tcBorders>
            <w:shd w:val="clear" w:color="auto" w:fill="auto"/>
            <w:vAlign w:val="bottom"/>
          </w:tcPr>
          <w:p w14:paraId="75E326B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Profit Before Tax </w:t>
            </w:r>
          </w:p>
        </w:tc>
        <w:tc>
          <w:tcPr>
            <w:tcW w:w="1392" w:type="dxa"/>
            <w:tcBorders>
              <w:left w:val="single" w:sz="1" w:space="0" w:color="000000"/>
              <w:bottom w:val="single" w:sz="1" w:space="0" w:color="000000"/>
            </w:tcBorders>
            <w:shd w:val="clear" w:color="auto" w:fill="auto"/>
            <w:vAlign w:val="bottom"/>
          </w:tcPr>
          <w:p w14:paraId="2650CE4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0505B86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77F4B7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£ 4980</w:t>
            </w:r>
          </w:p>
        </w:tc>
      </w:tr>
      <w:tr w:rsidR="00255EC2" w:rsidRPr="00255EC2" w14:paraId="73646F06" w14:textId="77777777" w:rsidTr="006277A7">
        <w:trPr>
          <w:trHeight w:val="242"/>
        </w:trPr>
        <w:tc>
          <w:tcPr>
            <w:tcW w:w="5157" w:type="dxa"/>
            <w:tcBorders>
              <w:left w:val="single" w:sz="1" w:space="0" w:color="000000"/>
              <w:bottom w:val="single" w:sz="1" w:space="0" w:color="000000"/>
            </w:tcBorders>
            <w:shd w:val="clear" w:color="auto" w:fill="auto"/>
            <w:vAlign w:val="bottom"/>
          </w:tcPr>
          <w:p w14:paraId="358049A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Income Tax</w:t>
            </w:r>
          </w:p>
        </w:tc>
        <w:tc>
          <w:tcPr>
            <w:tcW w:w="1392" w:type="dxa"/>
            <w:tcBorders>
              <w:left w:val="single" w:sz="1" w:space="0" w:color="000000"/>
              <w:bottom w:val="single" w:sz="1" w:space="0" w:color="000000"/>
            </w:tcBorders>
            <w:shd w:val="clear" w:color="auto" w:fill="auto"/>
            <w:vAlign w:val="bottom"/>
          </w:tcPr>
          <w:p w14:paraId="15959F6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2810D3D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289B930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£ 1600</w:t>
            </w:r>
          </w:p>
        </w:tc>
      </w:tr>
      <w:tr w:rsidR="00255EC2" w:rsidRPr="00255EC2" w14:paraId="4195A3D1" w14:textId="77777777" w:rsidTr="006277A7">
        <w:trPr>
          <w:trHeight w:val="242"/>
        </w:trPr>
        <w:tc>
          <w:tcPr>
            <w:tcW w:w="5157" w:type="dxa"/>
            <w:tcBorders>
              <w:left w:val="single" w:sz="1" w:space="0" w:color="000000"/>
              <w:bottom w:val="single" w:sz="1" w:space="0" w:color="000000"/>
            </w:tcBorders>
            <w:shd w:val="clear" w:color="auto" w:fill="auto"/>
            <w:vAlign w:val="bottom"/>
          </w:tcPr>
          <w:p w14:paraId="6F04203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Profit After Tax</w:t>
            </w:r>
          </w:p>
        </w:tc>
        <w:tc>
          <w:tcPr>
            <w:tcW w:w="1392" w:type="dxa"/>
            <w:tcBorders>
              <w:left w:val="single" w:sz="1" w:space="0" w:color="000000"/>
              <w:bottom w:val="single" w:sz="1" w:space="0" w:color="000000"/>
            </w:tcBorders>
            <w:shd w:val="clear" w:color="auto" w:fill="auto"/>
            <w:vAlign w:val="bottom"/>
          </w:tcPr>
          <w:p w14:paraId="0C5461CE"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2" w:type="dxa"/>
            <w:tcBorders>
              <w:left w:val="single" w:sz="1" w:space="0" w:color="000000"/>
              <w:bottom w:val="single" w:sz="1" w:space="0" w:color="000000"/>
            </w:tcBorders>
            <w:shd w:val="clear" w:color="auto" w:fill="auto"/>
            <w:vAlign w:val="bottom"/>
          </w:tcPr>
          <w:p w14:paraId="1C38D981"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396" w:type="dxa"/>
            <w:tcBorders>
              <w:left w:val="single" w:sz="1" w:space="0" w:color="000000"/>
              <w:bottom w:val="single" w:sz="1" w:space="0" w:color="000000"/>
              <w:right w:val="single" w:sz="1" w:space="0" w:color="000000"/>
            </w:tcBorders>
            <w:shd w:val="clear" w:color="auto" w:fill="auto"/>
            <w:vAlign w:val="bottom"/>
          </w:tcPr>
          <w:p w14:paraId="4BFCF02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£ 3380</w:t>
            </w:r>
          </w:p>
        </w:tc>
      </w:tr>
    </w:tbl>
    <w:p w14:paraId="24BA63BE" w14:textId="77777777" w:rsidR="00C62A57" w:rsidRPr="00255EC2" w:rsidRDefault="00C62A57" w:rsidP="00255EC2">
      <w:pPr>
        <w:spacing w:line="360" w:lineRule="auto"/>
        <w:jc w:val="both"/>
        <w:rPr>
          <w:rFonts w:ascii="Times New Roman" w:hAnsi="Times New Roman" w:cs="Times New Roman"/>
          <w:sz w:val="24"/>
          <w:szCs w:val="24"/>
          <w:lang w:val="en-GB"/>
        </w:rPr>
      </w:pPr>
    </w:p>
    <w:p w14:paraId="1D912932" w14:textId="77777777" w:rsidR="00C62A57" w:rsidRPr="00255EC2" w:rsidRDefault="00C62A57" w:rsidP="00255EC2">
      <w:pPr>
        <w:spacing w:line="360" w:lineRule="auto"/>
        <w:jc w:val="both"/>
        <w:rPr>
          <w:rFonts w:ascii="Times New Roman" w:hAnsi="Times New Roman" w:cs="Times New Roman"/>
          <w:sz w:val="24"/>
          <w:szCs w:val="24"/>
        </w:rPr>
      </w:pPr>
      <w:r w:rsidRPr="00255EC2">
        <w:rPr>
          <w:rFonts w:ascii="Times New Roman" w:hAnsi="Times New Roman" w:cs="Times New Roman"/>
          <w:b/>
          <w:bCs/>
          <w:sz w:val="24"/>
          <w:szCs w:val="24"/>
          <w:lang w:val="en-GB"/>
        </w:rPr>
        <w:lastRenderedPageBreak/>
        <w:t>Balance Sheet:</w:t>
      </w:r>
      <w:r w:rsidRPr="00255EC2">
        <w:rPr>
          <w:rFonts w:ascii="Times New Roman" w:hAnsi="Times New Roman" w:cs="Times New Roman"/>
          <w:sz w:val="24"/>
          <w:szCs w:val="24"/>
          <w:lang w:val="en-GB"/>
        </w:rPr>
        <w:t xml:space="preserve"> A company's balance sheet contains comprehensive information on the assets, all the liabilities as well as share capital or equity of the corporation. </w:t>
      </w:r>
      <w:r w:rsidRPr="00255EC2">
        <w:rPr>
          <w:rFonts w:ascii="Times New Roman" w:hAnsi="Times New Roman" w:cs="Times New Roman"/>
          <w:b/>
          <w:bCs/>
          <w:sz w:val="24"/>
          <w:szCs w:val="24"/>
          <w:lang w:val="en-GB"/>
        </w:rPr>
        <w:t xml:space="preserve">Assets </w:t>
      </w:r>
      <w:r w:rsidRPr="00255EC2">
        <w:rPr>
          <w:rFonts w:ascii="Times New Roman" w:hAnsi="Times New Roman" w:cs="Times New Roman"/>
          <w:sz w:val="24"/>
          <w:szCs w:val="24"/>
          <w:lang w:val="en-GB"/>
        </w:rPr>
        <w:t>are items a corporation owns which have material value.  This usually implies that these could be sold or utilized by a corporation to produce goods or to offer services which can then be sold. Assets involve physical assets like plants, vehicles, machinery and inventories. It also contains items that couldn't be touched actually but still exists and also bear some value, like patents and copyrights. Cash funds itself is asset. So the company makes investments</w:t>
      </w:r>
      <w:r w:rsidR="00D10914" w:rsidRPr="00255EC2">
        <w:rPr>
          <w:rFonts w:ascii="Times New Roman" w:hAnsi="Times New Roman" w:cs="Times New Roman"/>
          <w:sz w:val="24"/>
          <w:szCs w:val="24"/>
          <w:lang w:val="en-GB"/>
        </w:rPr>
        <w:t xml:space="preserve"> (</w:t>
      </w:r>
      <w:proofErr w:type="spellStart"/>
      <w:r w:rsidR="00D10914" w:rsidRPr="00255EC2">
        <w:rPr>
          <w:rFonts w:ascii="Times New Roman" w:hAnsi="Times New Roman" w:cs="Times New Roman"/>
          <w:sz w:val="24"/>
          <w:szCs w:val="24"/>
          <w:shd w:val="clear" w:color="auto" w:fill="FFFFFF"/>
        </w:rPr>
        <w:t>Avramov</w:t>
      </w:r>
      <w:proofErr w:type="spellEnd"/>
      <w:r w:rsidR="00D10914" w:rsidRPr="00255EC2">
        <w:rPr>
          <w:rFonts w:ascii="Times New Roman" w:hAnsi="Times New Roman" w:cs="Times New Roman"/>
          <w:sz w:val="24"/>
          <w:szCs w:val="24"/>
          <w:shd w:val="clear" w:color="auto" w:fill="FFFFFF"/>
        </w:rPr>
        <w:t xml:space="preserve">, </w:t>
      </w:r>
      <w:proofErr w:type="spellStart"/>
      <w:r w:rsidR="00D10914" w:rsidRPr="00255EC2">
        <w:rPr>
          <w:rFonts w:ascii="Times New Roman" w:hAnsi="Times New Roman" w:cs="Times New Roman"/>
          <w:sz w:val="24"/>
          <w:szCs w:val="24"/>
          <w:shd w:val="clear" w:color="auto" w:fill="FFFFFF"/>
        </w:rPr>
        <w:t>Kaplanski</w:t>
      </w:r>
      <w:proofErr w:type="spellEnd"/>
      <w:r w:rsidR="00D10914" w:rsidRPr="00255EC2">
        <w:rPr>
          <w:rFonts w:ascii="Times New Roman" w:hAnsi="Times New Roman" w:cs="Times New Roman"/>
          <w:sz w:val="24"/>
          <w:szCs w:val="24"/>
          <w:shd w:val="clear" w:color="auto" w:fill="FFFFFF"/>
        </w:rPr>
        <w:t xml:space="preserve"> and Subrahmanyam, 2019</w:t>
      </w:r>
      <w:r w:rsidR="00D10914" w:rsidRPr="00255EC2">
        <w:rPr>
          <w:rFonts w:ascii="Times New Roman" w:hAnsi="Times New Roman" w:cs="Times New Roman"/>
          <w:sz w:val="24"/>
          <w:szCs w:val="24"/>
          <w:lang w:val="en-GB"/>
        </w:rPr>
        <w:t>)</w:t>
      </w:r>
      <w:r w:rsidRPr="00255EC2">
        <w:rPr>
          <w:rFonts w:ascii="Times New Roman" w:hAnsi="Times New Roman" w:cs="Times New Roman"/>
          <w:sz w:val="24"/>
          <w:szCs w:val="24"/>
          <w:lang w:val="en-GB"/>
        </w:rPr>
        <w:t xml:space="preserve">. </w:t>
      </w:r>
      <w:r w:rsidRPr="00255EC2">
        <w:rPr>
          <w:rFonts w:ascii="Times New Roman" w:hAnsi="Times New Roman" w:cs="Times New Roman"/>
          <w:b/>
          <w:bCs/>
          <w:sz w:val="24"/>
          <w:szCs w:val="24"/>
          <w:lang w:val="en-GB"/>
        </w:rPr>
        <w:t>Liabilities</w:t>
      </w:r>
      <w:r w:rsidRPr="00255EC2">
        <w:rPr>
          <w:rFonts w:ascii="Times New Roman" w:hAnsi="Times New Roman" w:cs="Times New Roman"/>
          <w:sz w:val="24"/>
          <w:szCs w:val="24"/>
          <w:lang w:val="en-GB"/>
        </w:rPr>
        <w:t xml:space="preserve"> are sum of money which a corporation owes to different parities. These can involve all sorts of commitments, such as money lent from bank to introduce new product, lease for building usage, sum owed to its suppliers for supplies, salaries owed by a corporation to its personnel, environmental maintenance expenses, or tax due to government. Liabilities shall also involve commitments to deliver products to consumers in future. </w:t>
      </w:r>
      <w:r w:rsidRPr="00255EC2">
        <w:rPr>
          <w:rFonts w:ascii="Times New Roman" w:hAnsi="Times New Roman" w:cs="Times New Roman"/>
          <w:b/>
          <w:bCs/>
          <w:sz w:val="24"/>
          <w:szCs w:val="24"/>
          <w:lang w:val="en-GB"/>
        </w:rPr>
        <w:t>Shareholders' equity</w:t>
      </w:r>
      <w:r w:rsidRPr="00255EC2">
        <w:rPr>
          <w:rFonts w:ascii="Times New Roman" w:hAnsi="Times New Roman" w:cs="Times New Roman"/>
          <w:sz w:val="24"/>
          <w:szCs w:val="24"/>
          <w:lang w:val="en-GB"/>
        </w:rPr>
        <w:t xml:space="preserve"> within balance sheet is often referred to as net worth. This is the funds which would remain if a corporation sold all the assets and required to pay off all the liabilities. The funds actually left over originally belonged to shareholders of the corporation.</w:t>
      </w:r>
    </w:p>
    <w:p w14:paraId="64E62D5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b/>
          <w:bCs/>
          <w:sz w:val="24"/>
          <w:szCs w:val="24"/>
          <w:lang w:val="en-GB"/>
        </w:rPr>
        <w:t>Wales Plc's Statement of financial position as on 31st December, 2019:</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60"/>
        <w:gridCol w:w="4133"/>
        <w:gridCol w:w="1720"/>
        <w:gridCol w:w="1724"/>
      </w:tblGrid>
      <w:tr w:rsidR="00255EC2" w:rsidRPr="00255EC2" w14:paraId="50DABA3E" w14:textId="77777777" w:rsidTr="006277A7">
        <w:tc>
          <w:tcPr>
            <w:tcW w:w="7613" w:type="dxa"/>
            <w:gridSpan w:val="3"/>
            <w:tcBorders>
              <w:top w:val="single" w:sz="1" w:space="0" w:color="000000"/>
              <w:left w:val="single" w:sz="1" w:space="0" w:color="000000"/>
              <w:bottom w:val="single" w:sz="1" w:space="0" w:color="000000"/>
            </w:tcBorders>
            <w:shd w:val="clear" w:color="auto" w:fill="auto"/>
            <w:vAlign w:val="bottom"/>
          </w:tcPr>
          <w:p w14:paraId="6D665C10"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Particulars</w:t>
            </w:r>
          </w:p>
        </w:tc>
        <w:tc>
          <w:tcPr>
            <w:tcW w:w="1724" w:type="dxa"/>
            <w:tcBorders>
              <w:top w:val="single" w:sz="1" w:space="0" w:color="000000"/>
              <w:left w:val="single" w:sz="1" w:space="0" w:color="000000"/>
              <w:bottom w:val="single" w:sz="1" w:space="0" w:color="000000"/>
              <w:right w:val="single" w:sz="1" w:space="0" w:color="000000"/>
            </w:tcBorders>
            <w:shd w:val="clear" w:color="auto" w:fill="auto"/>
            <w:vAlign w:val="bottom"/>
          </w:tcPr>
          <w:p w14:paraId="0AE6BC8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Amount</w:t>
            </w:r>
          </w:p>
        </w:tc>
      </w:tr>
      <w:tr w:rsidR="00255EC2" w:rsidRPr="00255EC2" w14:paraId="1973ED24" w14:textId="77777777" w:rsidTr="006277A7">
        <w:tc>
          <w:tcPr>
            <w:tcW w:w="7613" w:type="dxa"/>
            <w:gridSpan w:val="3"/>
            <w:tcBorders>
              <w:left w:val="single" w:sz="1" w:space="0" w:color="000000"/>
              <w:bottom w:val="single" w:sz="1" w:space="0" w:color="000000"/>
            </w:tcBorders>
            <w:shd w:val="clear" w:color="auto" w:fill="auto"/>
            <w:vAlign w:val="bottom"/>
          </w:tcPr>
          <w:p w14:paraId="7227AF6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Equity and Liabilities</w:t>
            </w:r>
          </w:p>
        </w:tc>
        <w:tc>
          <w:tcPr>
            <w:tcW w:w="1724" w:type="dxa"/>
            <w:tcBorders>
              <w:left w:val="single" w:sz="1" w:space="0" w:color="000000"/>
              <w:bottom w:val="single" w:sz="1" w:space="0" w:color="000000"/>
              <w:right w:val="single" w:sz="1" w:space="0" w:color="000000"/>
            </w:tcBorders>
            <w:shd w:val="clear" w:color="auto" w:fill="auto"/>
            <w:vAlign w:val="bottom"/>
          </w:tcPr>
          <w:p w14:paraId="77808B7B"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AAE80E5" w14:textId="77777777" w:rsidTr="006277A7">
        <w:tc>
          <w:tcPr>
            <w:tcW w:w="7613" w:type="dxa"/>
            <w:gridSpan w:val="3"/>
            <w:tcBorders>
              <w:left w:val="single" w:sz="1" w:space="0" w:color="000000"/>
              <w:bottom w:val="single" w:sz="1" w:space="0" w:color="000000"/>
            </w:tcBorders>
            <w:shd w:val="clear" w:color="auto" w:fill="auto"/>
            <w:vAlign w:val="bottom"/>
          </w:tcPr>
          <w:p w14:paraId="0F5D308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Shareholder's Fund</w:t>
            </w:r>
          </w:p>
        </w:tc>
        <w:tc>
          <w:tcPr>
            <w:tcW w:w="1724" w:type="dxa"/>
            <w:tcBorders>
              <w:left w:val="single" w:sz="1" w:space="0" w:color="000000"/>
              <w:bottom w:val="single" w:sz="1" w:space="0" w:color="000000"/>
              <w:right w:val="single" w:sz="1" w:space="0" w:color="000000"/>
            </w:tcBorders>
            <w:shd w:val="clear" w:color="auto" w:fill="auto"/>
            <w:vAlign w:val="bottom"/>
          </w:tcPr>
          <w:p w14:paraId="051AA812"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DF374C6" w14:textId="77777777" w:rsidTr="006277A7">
        <w:tc>
          <w:tcPr>
            <w:tcW w:w="7613" w:type="dxa"/>
            <w:gridSpan w:val="3"/>
            <w:tcBorders>
              <w:left w:val="single" w:sz="1" w:space="0" w:color="000000"/>
              <w:bottom w:val="single" w:sz="1" w:space="0" w:color="000000"/>
            </w:tcBorders>
            <w:shd w:val="clear" w:color="auto" w:fill="auto"/>
            <w:vAlign w:val="bottom"/>
          </w:tcPr>
          <w:p w14:paraId="4393C08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Share Capital</w:t>
            </w:r>
          </w:p>
        </w:tc>
        <w:tc>
          <w:tcPr>
            <w:tcW w:w="1724" w:type="dxa"/>
            <w:tcBorders>
              <w:left w:val="single" w:sz="1" w:space="0" w:color="000000"/>
              <w:bottom w:val="single" w:sz="1" w:space="0" w:color="000000"/>
              <w:right w:val="single" w:sz="1" w:space="0" w:color="000000"/>
            </w:tcBorders>
            <w:shd w:val="clear" w:color="auto" w:fill="auto"/>
            <w:vAlign w:val="bottom"/>
          </w:tcPr>
          <w:p w14:paraId="164E1E7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£ 29000</w:t>
            </w:r>
          </w:p>
        </w:tc>
      </w:tr>
      <w:tr w:rsidR="00255EC2" w:rsidRPr="00255EC2" w14:paraId="50C02D8F" w14:textId="77777777" w:rsidTr="006277A7">
        <w:tc>
          <w:tcPr>
            <w:tcW w:w="7613" w:type="dxa"/>
            <w:gridSpan w:val="3"/>
            <w:tcBorders>
              <w:left w:val="single" w:sz="1" w:space="0" w:color="000000"/>
              <w:bottom w:val="single" w:sz="1" w:space="0" w:color="000000"/>
            </w:tcBorders>
            <w:shd w:val="clear" w:color="auto" w:fill="auto"/>
            <w:vAlign w:val="bottom"/>
          </w:tcPr>
          <w:p w14:paraId="0FD3BCF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Reserve and Surplus</w:t>
            </w:r>
          </w:p>
        </w:tc>
        <w:tc>
          <w:tcPr>
            <w:tcW w:w="1724" w:type="dxa"/>
            <w:tcBorders>
              <w:left w:val="single" w:sz="1" w:space="0" w:color="000000"/>
              <w:bottom w:val="single" w:sz="1" w:space="0" w:color="000000"/>
              <w:right w:val="single" w:sz="1" w:space="0" w:color="000000"/>
            </w:tcBorders>
            <w:shd w:val="clear" w:color="auto" w:fill="auto"/>
            <w:vAlign w:val="bottom"/>
          </w:tcPr>
          <w:p w14:paraId="49049B21"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5243BC5" w14:textId="77777777" w:rsidTr="006277A7">
        <w:trPr>
          <w:trHeight w:val="242"/>
        </w:trPr>
        <w:tc>
          <w:tcPr>
            <w:tcW w:w="1760" w:type="dxa"/>
            <w:tcBorders>
              <w:left w:val="single" w:sz="1" w:space="0" w:color="000000"/>
              <w:bottom w:val="single" w:sz="1" w:space="0" w:color="000000"/>
            </w:tcBorders>
            <w:shd w:val="clear" w:color="auto" w:fill="auto"/>
            <w:vAlign w:val="bottom"/>
          </w:tcPr>
          <w:p w14:paraId="77A0A85A"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96789F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Share Premium</w:t>
            </w:r>
          </w:p>
        </w:tc>
        <w:tc>
          <w:tcPr>
            <w:tcW w:w="1720" w:type="dxa"/>
            <w:tcBorders>
              <w:left w:val="single" w:sz="1" w:space="0" w:color="000000"/>
              <w:bottom w:val="single" w:sz="1" w:space="0" w:color="000000"/>
            </w:tcBorders>
            <w:shd w:val="clear" w:color="auto" w:fill="auto"/>
            <w:vAlign w:val="bottom"/>
          </w:tcPr>
          <w:p w14:paraId="4425B48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£ 5000</w:t>
            </w:r>
          </w:p>
        </w:tc>
        <w:tc>
          <w:tcPr>
            <w:tcW w:w="1724" w:type="dxa"/>
            <w:tcBorders>
              <w:left w:val="single" w:sz="1" w:space="0" w:color="000000"/>
              <w:bottom w:val="single" w:sz="1" w:space="0" w:color="000000"/>
              <w:right w:val="single" w:sz="1" w:space="0" w:color="000000"/>
            </w:tcBorders>
            <w:shd w:val="clear" w:color="auto" w:fill="auto"/>
            <w:vAlign w:val="bottom"/>
          </w:tcPr>
          <w:p w14:paraId="758AB3E5"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89DD77C"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A15DDD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73EC62C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Retained Earnings</w:t>
            </w:r>
          </w:p>
        </w:tc>
        <w:tc>
          <w:tcPr>
            <w:tcW w:w="1720" w:type="dxa"/>
            <w:tcBorders>
              <w:left w:val="single" w:sz="1" w:space="0" w:color="000000"/>
              <w:bottom w:val="single" w:sz="1" w:space="0" w:color="000000"/>
            </w:tcBorders>
            <w:shd w:val="clear" w:color="auto" w:fill="auto"/>
            <w:vAlign w:val="bottom"/>
          </w:tcPr>
          <w:p w14:paraId="4E979A0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£ 8380</w:t>
            </w:r>
          </w:p>
        </w:tc>
        <w:tc>
          <w:tcPr>
            <w:tcW w:w="1724" w:type="dxa"/>
            <w:tcBorders>
              <w:left w:val="single" w:sz="1" w:space="0" w:color="000000"/>
              <w:bottom w:val="single" w:sz="1" w:space="0" w:color="000000"/>
              <w:right w:val="single" w:sz="1" w:space="0" w:color="000000"/>
            </w:tcBorders>
            <w:shd w:val="clear" w:color="auto" w:fill="auto"/>
            <w:vAlign w:val="bottom"/>
          </w:tcPr>
          <w:p w14:paraId="28FC0D7A"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27BD278C" w14:textId="77777777" w:rsidTr="006277A7">
        <w:trPr>
          <w:trHeight w:val="242"/>
        </w:trPr>
        <w:tc>
          <w:tcPr>
            <w:tcW w:w="1760" w:type="dxa"/>
            <w:tcBorders>
              <w:left w:val="single" w:sz="1" w:space="0" w:color="000000"/>
              <w:bottom w:val="single" w:sz="1" w:space="0" w:color="000000"/>
            </w:tcBorders>
            <w:shd w:val="clear" w:color="auto" w:fill="auto"/>
            <w:vAlign w:val="bottom"/>
          </w:tcPr>
          <w:p w14:paraId="0A60ABE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39AFA06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Dividend Paid</w:t>
            </w:r>
          </w:p>
        </w:tc>
        <w:tc>
          <w:tcPr>
            <w:tcW w:w="1720" w:type="dxa"/>
            <w:tcBorders>
              <w:left w:val="single" w:sz="1" w:space="0" w:color="000000"/>
              <w:bottom w:val="single" w:sz="1" w:space="0" w:color="000000"/>
            </w:tcBorders>
            <w:shd w:val="clear" w:color="auto" w:fill="auto"/>
            <w:vAlign w:val="bottom"/>
          </w:tcPr>
          <w:p w14:paraId="21AA317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£ 560</w:t>
            </w:r>
          </w:p>
        </w:tc>
        <w:tc>
          <w:tcPr>
            <w:tcW w:w="1724" w:type="dxa"/>
            <w:tcBorders>
              <w:left w:val="single" w:sz="1" w:space="0" w:color="000000"/>
              <w:bottom w:val="single" w:sz="1" w:space="0" w:color="000000"/>
              <w:right w:val="single" w:sz="1" w:space="0" w:color="000000"/>
            </w:tcBorders>
            <w:shd w:val="clear" w:color="auto" w:fill="auto"/>
            <w:vAlign w:val="bottom"/>
          </w:tcPr>
          <w:p w14:paraId="19388118"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AF3D019" w14:textId="77777777" w:rsidTr="006277A7">
        <w:trPr>
          <w:trHeight w:val="242"/>
        </w:trPr>
        <w:tc>
          <w:tcPr>
            <w:tcW w:w="1760" w:type="dxa"/>
            <w:tcBorders>
              <w:left w:val="single" w:sz="1" w:space="0" w:color="000000"/>
              <w:bottom w:val="single" w:sz="1" w:space="0" w:color="000000"/>
            </w:tcBorders>
            <w:shd w:val="clear" w:color="auto" w:fill="auto"/>
            <w:vAlign w:val="bottom"/>
          </w:tcPr>
          <w:p w14:paraId="1EA2F7A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D04B58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Add: Revaluation Reserve </w:t>
            </w:r>
          </w:p>
        </w:tc>
        <w:tc>
          <w:tcPr>
            <w:tcW w:w="1720" w:type="dxa"/>
            <w:tcBorders>
              <w:left w:val="single" w:sz="1" w:space="0" w:color="000000"/>
              <w:bottom w:val="single" w:sz="1" w:space="0" w:color="000000"/>
            </w:tcBorders>
            <w:shd w:val="clear" w:color="auto" w:fill="auto"/>
            <w:vAlign w:val="bottom"/>
          </w:tcPr>
          <w:p w14:paraId="68B5351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£ 5000</w:t>
            </w:r>
          </w:p>
        </w:tc>
        <w:tc>
          <w:tcPr>
            <w:tcW w:w="1724" w:type="dxa"/>
            <w:tcBorders>
              <w:left w:val="single" w:sz="1" w:space="0" w:color="000000"/>
              <w:bottom w:val="single" w:sz="1" w:space="0" w:color="000000"/>
              <w:right w:val="single" w:sz="1" w:space="0" w:color="000000"/>
            </w:tcBorders>
            <w:shd w:val="clear" w:color="auto" w:fill="auto"/>
            <w:vAlign w:val="bottom"/>
          </w:tcPr>
          <w:p w14:paraId="0AC38C8E"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2C38086" w14:textId="77777777" w:rsidTr="006277A7">
        <w:trPr>
          <w:trHeight w:val="242"/>
        </w:trPr>
        <w:tc>
          <w:tcPr>
            <w:tcW w:w="1760" w:type="dxa"/>
            <w:tcBorders>
              <w:left w:val="single" w:sz="1" w:space="0" w:color="000000"/>
              <w:bottom w:val="single" w:sz="1" w:space="0" w:color="000000"/>
            </w:tcBorders>
            <w:shd w:val="clear" w:color="auto" w:fill="auto"/>
            <w:vAlign w:val="bottom"/>
          </w:tcPr>
          <w:p w14:paraId="4682FE8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2A6AC09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Add: Net Profit for the year</w:t>
            </w:r>
          </w:p>
        </w:tc>
        <w:tc>
          <w:tcPr>
            <w:tcW w:w="1720" w:type="dxa"/>
            <w:tcBorders>
              <w:left w:val="single" w:sz="1" w:space="0" w:color="000000"/>
              <w:bottom w:val="single" w:sz="1" w:space="0" w:color="000000"/>
            </w:tcBorders>
            <w:shd w:val="clear" w:color="auto" w:fill="auto"/>
            <w:vAlign w:val="bottom"/>
          </w:tcPr>
          <w:p w14:paraId="5C6BCC0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£ 3380</w:t>
            </w:r>
          </w:p>
        </w:tc>
        <w:tc>
          <w:tcPr>
            <w:tcW w:w="1724" w:type="dxa"/>
            <w:tcBorders>
              <w:left w:val="single" w:sz="1" w:space="0" w:color="000000"/>
              <w:bottom w:val="single" w:sz="1" w:space="0" w:color="000000"/>
              <w:right w:val="single" w:sz="1" w:space="0" w:color="000000"/>
            </w:tcBorders>
            <w:shd w:val="clear" w:color="auto" w:fill="auto"/>
            <w:vAlign w:val="bottom"/>
          </w:tcPr>
          <w:p w14:paraId="2E80157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£ 21200</w:t>
            </w:r>
          </w:p>
        </w:tc>
      </w:tr>
      <w:tr w:rsidR="00255EC2" w:rsidRPr="00255EC2" w14:paraId="72145742" w14:textId="77777777" w:rsidTr="006277A7">
        <w:trPr>
          <w:trHeight w:val="242"/>
        </w:trPr>
        <w:tc>
          <w:tcPr>
            <w:tcW w:w="1760" w:type="dxa"/>
            <w:tcBorders>
              <w:left w:val="single" w:sz="1" w:space="0" w:color="000000"/>
              <w:bottom w:val="single" w:sz="1" w:space="0" w:color="000000"/>
            </w:tcBorders>
            <w:shd w:val="clear" w:color="auto" w:fill="auto"/>
            <w:vAlign w:val="bottom"/>
          </w:tcPr>
          <w:p w14:paraId="21263A7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529CEFD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69AB214A"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65290792"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8CBCFC8" w14:textId="77777777" w:rsidTr="006277A7">
        <w:tc>
          <w:tcPr>
            <w:tcW w:w="7613" w:type="dxa"/>
            <w:gridSpan w:val="3"/>
            <w:tcBorders>
              <w:left w:val="single" w:sz="1" w:space="0" w:color="000000"/>
              <w:bottom w:val="single" w:sz="1" w:space="0" w:color="000000"/>
            </w:tcBorders>
            <w:shd w:val="clear" w:color="auto" w:fill="auto"/>
            <w:vAlign w:val="bottom"/>
          </w:tcPr>
          <w:p w14:paraId="11647C6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Non-current Liabilities</w:t>
            </w:r>
          </w:p>
        </w:tc>
        <w:tc>
          <w:tcPr>
            <w:tcW w:w="1724" w:type="dxa"/>
            <w:tcBorders>
              <w:left w:val="single" w:sz="1" w:space="0" w:color="000000"/>
              <w:bottom w:val="single" w:sz="1" w:space="0" w:color="000000"/>
              <w:right w:val="single" w:sz="1" w:space="0" w:color="000000"/>
            </w:tcBorders>
            <w:shd w:val="clear" w:color="auto" w:fill="auto"/>
            <w:vAlign w:val="bottom"/>
          </w:tcPr>
          <w:p w14:paraId="57057E51"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5C53507B" w14:textId="77777777" w:rsidTr="006277A7">
        <w:trPr>
          <w:trHeight w:val="242"/>
        </w:trPr>
        <w:tc>
          <w:tcPr>
            <w:tcW w:w="1760" w:type="dxa"/>
            <w:tcBorders>
              <w:left w:val="single" w:sz="1" w:space="0" w:color="000000"/>
              <w:bottom w:val="single" w:sz="1" w:space="0" w:color="000000"/>
            </w:tcBorders>
            <w:shd w:val="clear" w:color="auto" w:fill="auto"/>
            <w:vAlign w:val="bottom"/>
          </w:tcPr>
          <w:p w14:paraId="0DEEE3C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20A5250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12% Debentures 2024</w:t>
            </w:r>
          </w:p>
        </w:tc>
        <w:tc>
          <w:tcPr>
            <w:tcW w:w="1720" w:type="dxa"/>
            <w:tcBorders>
              <w:left w:val="single" w:sz="1" w:space="0" w:color="000000"/>
              <w:bottom w:val="single" w:sz="1" w:space="0" w:color="000000"/>
            </w:tcBorders>
            <w:shd w:val="clear" w:color="auto" w:fill="auto"/>
            <w:vAlign w:val="bottom"/>
          </w:tcPr>
          <w:p w14:paraId="7A897DC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07AB93D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£ 4000</w:t>
            </w:r>
          </w:p>
        </w:tc>
      </w:tr>
      <w:tr w:rsidR="00255EC2" w:rsidRPr="00255EC2" w14:paraId="6CC87AD5" w14:textId="77777777" w:rsidTr="006277A7">
        <w:tc>
          <w:tcPr>
            <w:tcW w:w="7613" w:type="dxa"/>
            <w:gridSpan w:val="3"/>
            <w:tcBorders>
              <w:left w:val="single" w:sz="1" w:space="0" w:color="000000"/>
              <w:bottom w:val="single" w:sz="1" w:space="0" w:color="000000"/>
            </w:tcBorders>
            <w:shd w:val="clear" w:color="auto" w:fill="auto"/>
            <w:vAlign w:val="bottom"/>
          </w:tcPr>
          <w:p w14:paraId="0343736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Current Liabilities</w:t>
            </w:r>
          </w:p>
        </w:tc>
        <w:tc>
          <w:tcPr>
            <w:tcW w:w="1724" w:type="dxa"/>
            <w:tcBorders>
              <w:left w:val="single" w:sz="1" w:space="0" w:color="000000"/>
              <w:bottom w:val="single" w:sz="1" w:space="0" w:color="000000"/>
              <w:right w:val="single" w:sz="1" w:space="0" w:color="000000"/>
            </w:tcBorders>
            <w:shd w:val="clear" w:color="auto" w:fill="auto"/>
            <w:vAlign w:val="bottom"/>
          </w:tcPr>
          <w:p w14:paraId="4DAFCFEC"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5C3E307A" w14:textId="77777777" w:rsidTr="006277A7">
        <w:trPr>
          <w:trHeight w:val="242"/>
        </w:trPr>
        <w:tc>
          <w:tcPr>
            <w:tcW w:w="1760" w:type="dxa"/>
            <w:tcBorders>
              <w:left w:val="single" w:sz="1" w:space="0" w:color="000000"/>
              <w:bottom w:val="single" w:sz="1" w:space="0" w:color="000000"/>
            </w:tcBorders>
            <w:shd w:val="clear" w:color="auto" w:fill="auto"/>
            <w:vAlign w:val="bottom"/>
          </w:tcPr>
          <w:p w14:paraId="621D360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15ADFC0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Trade Payable</w:t>
            </w:r>
          </w:p>
        </w:tc>
        <w:tc>
          <w:tcPr>
            <w:tcW w:w="1720" w:type="dxa"/>
            <w:tcBorders>
              <w:left w:val="single" w:sz="1" w:space="0" w:color="000000"/>
              <w:bottom w:val="single" w:sz="1" w:space="0" w:color="000000"/>
            </w:tcBorders>
            <w:shd w:val="clear" w:color="auto" w:fill="auto"/>
            <w:vAlign w:val="bottom"/>
          </w:tcPr>
          <w:p w14:paraId="4EA9E0A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£ 4480</w:t>
            </w:r>
          </w:p>
        </w:tc>
        <w:tc>
          <w:tcPr>
            <w:tcW w:w="1724" w:type="dxa"/>
            <w:tcBorders>
              <w:left w:val="single" w:sz="1" w:space="0" w:color="000000"/>
              <w:bottom w:val="single" w:sz="1" w:space="0" w:color="000000"/>
              <w:right w:val="single" w:sz="1" w:space="0" w:color="000000"/>
            </w:tcBorders>
            <w:shd w:val="clear" w:color="auto" w:fill="auto"/>
            <w:vAlign w:val="bottom"/>
          </w:tcPr>
          <w:p w14:paraId="661C06CF"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01EFE03" w14:textId="77777777" w:rsidTr="006277A7">
        <w:trPr>
          <w:trHeight w:val="242"/>
        </w:trPr>
        <w:tc>
          <w:tcPr>
            <w:tcW w:w="1760" w:type="dxa"/>
            <w:tcBorders>
              <w:left w:val="single" w:sz="1" w:space="0" w:color="000000"/>
              <w:bottom w:val="single" w:sz="1" w:space="0" w:color="000000"/>
            </w:tcBorders>
            <w:shd w:val="clear" w:color="auto" w:fill="auto"/>
            <w:vAlign w:val="bottom"/>
          </w:tcPr>
          <w:p w14:paraId="58D6AD2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3EBCD20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Outstanding Insurance Fees</w:t>
            </w:r>
          </w:p>
        </w:tc>
        <w:tc>
          <w:tcPr>
            <w:tcW w:w="1720" w:type="dxa"/>
            <w:tcBorders>
              <w:left w:val="single" w:sz="1" w:space="0" w:color="000000"/>
              <w:bottom w:val="single" w:sz="1" w:space="0" w:color="000000"/>
            </w:tcBorders>
            <w:shd w:val="clear" w:color="auto" w:fill="auto"/>
            <w:vAlign w:val="bottom"/>
          </w:tcPr>
          <w:p w14:paraId="6CD17CB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£ 500</w:t>
            </w:r>
          </w:p>
        </w:tc>
        <w:tc>
          <w:tcPr>
            <w:tcW w:w="1724" w:type="dxa"/>
            <w:tcBorders>
              <w:left w:val="single" w:sz="1" w:space="0" w:color="000000"/>
              <w:bottom w:val="single" w:sz="1" w:space="0" w:color="000000"/>
              <w:right w:val="single" w:sz="1" w:space="0" w:color="000000"/>
            </w:tcBorders>
            <w:shd w:val="clear" w:color="auto" w:fill="auto"/>
            <w:vAlign w:val="bottom"/>
          </w:tcPr>
          <w:p w14:paraId="3BA9E766"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1F1600DA" w14:textId="77777777" w:rsidTr="006277A7">
        <w:trPr>
          <w:trHeight w:val="242"/>
        </w:trPr>
        <w:tc>
          <w:tcPr>
            <w:tcW w:w="1760" w:type="dxa"/>
            <w:tcBorders>
              <w:left w:val="single" w:sz="1" w:space="0" w:color="000000"/>
              <w:bottom w:val="single" w:sz="1" w:space="0" w:color="000000"/>
            </w:tcBorders>
            <w:shd w:val="clear" w:color="auto" w:fill="auto"/>
            <w:vAlign w:val="bottom"/>
          </w:tcPr>
          <w:p w14:paraId="4003774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003D5D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Income Tax Provision</w:t>
            </w:r>
          </w:p>
        </w:tc>
        <w:tc>
          <w:tcPr>
            <w:tcW w:w="1720" w:type="dxa"/>
            <w:tcBorders>
              <w:left w:val="single" w:sz="1" w:space="0" w:color="000000"/>
              <w:bottom w:val="single" w:sz="1" w:space="0" w:color="000000"/>
            </w:tcBorders>
            <w:shd w:val="clear" w:color="auto" w:fill="auto"/>
            <w:vAlign w:val="bottom"/>
          </w:tcPr>
          <w:p w14:paraId="0E300C7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£ 1600</w:t>
            </w:r>
          </w:p>
        </w:tc>
        <w:tc>
          <w:tcPr>
            <w:tcW w:w="1724" w:type="dxa"/>
            <w:tcBorders>
              <w:left w:val="single" w:sz="1" w:space="0" w:color="000000"/>
              <w:bottom w:val="single" w:sz="1" w:space="0" w:color="000000"/>
              <w:right w:val="single" w:sz="1" w:space="0" w:color="000000"/>
            </w:tcBorders>
            <w:shd w:val="clear" w:color="auto" w:fill="auto"/>
            <w:vAlign w:val="bottom"/>
          </w:tcPr>
          <w:p w14:paraId="645B569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£ 6580</w:t>
            </w:r>
          </w:p>
        </w:tc>
      </w:tr>
      <w:tr w:rsidR="00255EC2" w:rsidRPr="00255EC2" w14:paraId="2BC458B3" w14:textId="77777777" w:rsidTr="006277A7">
        <w:trPr>
          <w:trHeight w:val="242"/>
        </w:trPr>
        <w:tc>
          <w:tcPr>
            <w:tcW w:w="1760" w:type="dxa"/>
            <w:tcBorders>
              <w:left w:val="single" w:sz="1" w:space="0" w:color="000000"/>
              <w:bottom w:val="single" w:sz="1" w:space="0" w:color="000000"/>
            </w:tcBorders>
            <w:shd w:val="clear" w:color="auto" w:fill="auto"/>
            <w:vAlign w:val="bottom"/>
          </w:tcPr>
          <w:p w14:paraId="2A2B79CC"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0EC4F5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64AC9A5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4CA9DE5C"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7E08BAE" w14:textId="77777777" w:rsidTr="006277A7">
        <w:tc>
          <w:tcPr>
            <w:tcW w:w="7613" w:type="dxa"/>
            <w:gridSpan w:val="3"/>
            <w:tcBorders>
              <w:left w:val="single" w:sz="1" w:space="0" w:color="000000"/>
              <w:bottom w:val="single" w:sz="1" w:space="0" w:color="000000"/>
            </w:tcBorders>
            <w:shd w:val="clear" w:color="auto" w:fill="auto"/>
            <w:vAlign w:val="bottom"/>
          </w:tcPr>
          <w:p w14:paraId="268B865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Total Equity and Liabilities</w:t>
            </w:r>
          </w:p>
        </w:tc>
        <w:tc>
          <w:tcPr>
            <w:tcW w:w="1724" w:type="dxa"/>
            <w:tcBorders>
              <w:left w:val="single" w:sz="1" w:space="0" w:color="000000"/>
              <w:bottom w:val="single" w:sz="1" w:space="0" w:color="000000"/>
              <w:right w:val="single" w:sz="1" w:space="0" w:color="000000"/>
            </w:tcBorders>
            <w:shd w:val="clear" w:color="auto" w:fill="auto"/>
            <w:vAlign w:val="bottom"/>
          </w:tcPr>
          <w:p w14:paraId="51AEBEF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£ 60780</w:t>
            </w:r>
          </w:p>
        </w:tc>
      </w:tr>
      <w:tr w:rsidR="00255EC2" w:rsidRPr="00255EC2" w14:paraId="6C063F9B" w14:textId="77777777" w:rsidTr="006277A7">
        <w:tc>
          <w:tcPr>
            <w:tcW w:w="7613" w:type="dxa"/>
            <w:gridSpan w:val="3"/>
            <w:tcBorders>
              <w:left w:val="single" w:sz="1" w:space="0" w:color="000000"/>
              <w:bottom w:val="single" w:sz="1" w:space="0" w:color="000000"/>
            </w:tcBorders>
            <w:shd w:val="clear" w:color="auto" w:fill="auto"/>
            <w:vAlign w:val="bottom"/>
          </w:tcPr>
          <w:p w14:paraId="3C5B616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Assets</w:t>
            </w:r>
          </w:p>
        </w:tc>
        <w:tc>
          <w:tcPr>
            <w:tcW w:w="1724" w:type="dxa"/>
            <w:tcBorders>
              <w:left w:val="single" w:sz="1" w:space="0" w:color="000000"/>
              <w:bottom w:val="single" w:sz="1" w:space="0" w:color="000000"/>
              <w:right w:val="single" w:sz="1" w:space="0" w:color="000000"/>
            </w:tcBorders>
            <w:shd w:val="clear" w:color="auto" w:fill="auto"/>
            <w:vAlign w:val="bottom"/>
          </w:tcPr>
          <w:p w14:paraId="18B4D2C3"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67B2C10" w14:textId="77777777" w:rsidTr="006277A7">
        <w:tc>
          <w:tcPr>
            <w:tcW w:w="7613" w:type="dxa"/>
            <w:gridSpan w:val="3"/>
            <w:tcBorders>
              <w:left w:val="single" w:sz="1" w:space="0" w:color="000000"/>
              <w:bottom w:val="single" w:sz="1" w:space="0" w:color="000000"/>
            </w:tcBorders>
            <w:shd w:val="clear" w:color="auto" w:fill="auto"/>
            <w:vAlign w:val="bottom"/>
          </w:tcPr>
          <w:p w14:paraId="46C30310"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Non-Current Assets</w:t>
            </w:r>
          </w:p>
        </w:tc>
        <w:tc>
          <w:tcPr>
            <w:tcW w:w="1724" w:type="dxa"/>
            <w:tcBorders>
              <w:left w:val="single" w:sz="1" w:space="0" w:color="000000"/>
              <w:bottom w:val="single" w:sz="1" w:space="0" w:color="000000"/>
              <w:right w:val="single" w:sz="1" w:space="0" w:color="000000"/>
            </w:tcBorders>
            <w:shd w:val="clear" w:color="auto" w:fill="auto"/>
            <w:vAlign w:val="bottom"/>
          </w:tcPr>
          <w:p w14:paraId="42594A10"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3F6C7FE" w14:textId="77777777" w:rsidTr="006277A7">
        <w:tc>
          <w:tcPr>
            <w:tcW w:w="7613" w:type="dxa"/>
            <w:gridSpan w:val="3"/>
            <w:tcBorders>
              <w:left w:val="single" w:sz="1" w:space="0" w:color="000000"/>
              <w:bottom w:val="single" w:sz="1" w:space="0" w:color="000000"/>
            </w:tcBorders>
            <w:shd w:val="clear" w:color="auto" w:fill="auto"/>
            <w:vAlign w:val="bottom"/>
          </w:tcPr>
          <w:p w14:paraId="6E56635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Tangible Assets</w:t>
            </w:r>
          </w:p>
        </w:tc>
        <w:tc>
          <w:tcPr>
            <w:tcW w:w="1724" w:type="dxa"/>
            <w:tcBorders>
              <w:left w:val="single" w:sz="1" w:space="0" w:color="000000"/>
              <w:bottom w:val="single" w:sz="1" w:space="0" w:color="000000"/>
              <w:right w:val="single" w:sz="1" w:space="0" w:color="000000"/>
            </w:tcBorders>
            <w:shd w:val="clear" w:color="auto" w:fill="auto"/>
            <w:vAlign w:val="bottom"/>
          </w:tcPr>
          <w:p w14:paraId="032EC2E0"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45EE4AA" w14:textId="77777777" w:rsidTr="006277A7">
        <w:trPr>
          <w:trHeight w:val="242"/>
        </w:trPr>
        <w:tc>
          <w:tcPr>
            <w:tcW w:w="1760" w:type="dxa"/>
            <w:tcBorders>
              <w:left w:val="single" w:sz="1" w:space="0" w:color="000000"/>
              <w:bottom w:val="single" w:sz="1" w:space="0" w:color="000000"/>
            </w:tcBorders>
            <w:shd w:val="clear" w:color="auto" w:fill="auto"/>
            <w:vAlign w:val="bottom"/>
          </w:tcPr>
          <w:p w14:paraId="1D63331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w:t>
            </w:r>
          </w:p>
        </w:tc>
        <w:tc>
          <w:tcPr>
            <w:tcW w:w="4133" w:type="dxa"/>
            <w:tcBorders>
              <w:left w:val="single" w:sz="1" w:space="0" w:color="000000"/>
              <w:bottom w:val="single" w:sz="1" w:space="0" w:color="000000"/>
            </w:tcBorders>
            <w:shd w:val="clear" w:color="auto" w:fill="auto"/>
            <w:vAlign w:val="bottom"/>
          </w:tcPr>
          <w:p w14:paraId="01ABE5B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Land </w:t>
            </w:r>
          </w:p>
        </w:tc>
        <w:tc>
          <w:tcPr>
            <w:tcW w:w="1720" w:type="dxa"/>
            <w:tcBorders>
              <w:left w:val="single" w:sz="1" w:space="0" w:color="000000"/>
              <w:bottom w:val="single" w:sz="1" w:space="0" w:color="000000"/>
            </w:tcBorders>
            <w:shd w:val="clear" w:color="auto" w:fill="auto"/>
            <w:vAlign w:val="bottom"/>
          </w:tcPr>
          <w:p w14:paraId="3A97F6E5"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72E77420"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£ 20000</w:t>
            </w:r>
          </w:p>
        </w:tc>
      </w:tr>
      <w:tr w:rsidR="00255EC2" w:rsidRPr="00255EC2" w14:paraId="513749D2"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7771D1C"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FA47C5B"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1443B05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03CFAD48"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59036FFB" w14:textId="77777777" w:rsidTr="006277A7">
        <w:trPr>
          <w:trHeight w:val="242"/>
        </w:trPr>
        <w:tc>
          <w:tcPr>
            <w:tcW w:w="1760" w:type="dxa"/>
            <w:tcBorders>
              <w:left w:val="single" w:sz="1" w:space="0" w:color="000000"/>
              <w:bottom w:val="single" w:sz="1" w:space="0" w:color="000000"/>
            </w:tcBorders>
            <w:shd w:val="clear" w:color="auto" w:fill="auto"/>
            <w:vAlign w:val="bottom"/>
          </w:tcPr>
          <w:p w14:paraId="5117CCA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191270C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Building</w:t>
            </w:r>
          </w:p>
        </w:tc>
        <w:tc>
          <w:tcPr>
            <w:tcW w:w="1720" w:type="dxa"/>
            <w:tcBorders>
              <w:left w:val="single" w:sz="1" w:space="0" w:color="000000"/>
              <w:bottom w:val="single" w:sz="1" w:space="0" w:color="000000"/>
            </w:tcBorders>
            <w:shd w:val="clear" w:color="auto" w:fill="auto"/>
            <w:vAlign w:val="bottom"/>
          </w:tcPr>
          <w:p w14:paraId="737CEA1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£ 16000</w:t>
            </w:r>
          </w:p>
        </w:tc>
        <w:tc>
          <w:tcPr>
            <w:tcW w:w="1724" w:type="dxa"/>
            <w:tcBorders>
              <w:left w:val="single" w:sz="1" w:space="0" w:color="000000"/>
              <w:bottom w:val="single" w:sz="1" w:space="0" w:color="000000"/>
              <w:right w:val="single" w:sz="1" w:space="0" w:color="000000"/>
            </w:tcBorders>
            <w:shd w:val="clear" w:color="auto" w:fill="auto"/>
            <w:vAlign w:val="bottom"/>
          </w:tcPr>
          <w:p w14:paraId="1A2D5ADC"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0BB8F20" w14:textId="77777777" w:rsidTr="006277A7">
        <w:trPr>
          <w:trHeight w:val="242"/>
        </w:trPr>
        <w:tc>
          <w:tcPr>
            <w:tcW w:w="1760" w:type="dxa"/>
            <w:tcBorders>
              <w:left w:val="single" w:sz="1" w:space="0" w:color="000000"/>
              <w:bottom w:val="single" w:sz="1" w:space="0" w:color="000000"/>
            </w:tcBorders>
            <w:shd w:val="clear" w:color="auto" w:fill="auto"/>
            <w:vAlign w:val="bottom"/>
          </w:tcPr>
          <w:p w14:paraId="73EBC3A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36BDC4D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Accumulated Depreciation</w:t>
            </w:r>
          </w:p>
        </w:tc>
        <w:tc>
          <w:tcPr>
            <w:tcW w:w="1720" w:type="dxa"/>
            <w:tcBorders>
              <w:left w:val="single" w:sz="1" w:space="0" w:color="000000"/>
              <w:bottom w:val="single" w:sz="1" w:space="0" w:color="000000"/>
            </w:tcBorders>
            <w:shd w:val="clear" w:color="auto" w:fill="auto"/>
            <w:vAlign w:val="bottom"/>
          </w:tcPr>
          <w:p w14:paraId="293570F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£ 4260</w:t>
            </w:r>
          </w:p>
        </w:tc>
        <w:tc>
          <w:tcPr>
            <w:tcW w:w="1724" w:type="dxa"/>
            <w:tcBorders>
              <w:left w:val="single" w:sz="1" w:space="0" w:color="000000"/>
              <w:bottom w:val="single" w:sz="1" w:space="0" w:color="000000"/>
              <w:right w:val="single" w:sz="1" w:space="0" w:color="000000"/>
            </w:tcBorders>
            <w:shd w:val="clear" w:color="auto" w:fill="auto"/>
            <w:vAlign w:val="bottom"/>
          </w:tcPr>
          <w:p w14:paraId="023B1C5B"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28916051" w14:textId="77777777" w:rsidTr="006277A7">
        <w:trPr>
          <w:trHeight w:val="242"/>
        </w:trPr>
        <w:tc>
          <w:tcPr>
            <w:tcW w:w="1760" w:type="dxa"/>
            <w:tcBorders>
              <w:left w:val="single" w:sz="1" w:space="0" w:color="000000"/>
              <w:bottom w:val="single" w:sz="1" w:space="0" w:color="000000"/>
            </w:tcBorders>
            <w:shd w:val="clear" w:color="auto" w:fill="auto"/>
            <w:vAlign w:val="bottom"/>
          </w:tcPr>
          <w:p w14:paraId="266E7DB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77D9C41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Depreciation (W.N.)</w:t>
            </w:r>
          </w:p>
        </w:tc>
        <w:tc>
          <w:tcPr>
            <w:tcW w:w="1720" w:type="dxa"/>
            <w:tcBorders>
              <w:left w:val="single" w:sz="1" w:space="0" w:color="000000"/>
              <w:bottom w:val="single" w:sz="1" w:space="0" w:color="000000"/>
            </w:tcBorders>
            <w:shd w:val="clear" w:color="auto" w:fill="auto"/>
            <w:vAlign w:val="bottom"/>
          </w:tcPr>
          <w:p w14:paraId="7843EAA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£ 320</w:t>
            </w:r>
          </w:p>
        </w:tc>
        <w:tc>
          <w:tcPr>
            <w:tcW w:w="1724" w:type="dxa"/>
            <w:tcBorders>
              <w:left w:val="single" w:sz="1" w:space="0" w:color="000000"/>
              <w:bottom w:val="single" w:sz="1" w:space="0" w:color="000000"/>
              <w:right w:val="single" w:sz="1" w:space="0" w:color="000000"/>
            </w:tcBorders>
            <w:shd w:val="clear" w:color="auto" w:fill="auto"/>
            <w:vAlign w:val="bottom"/>
          </w:tcPr>
          <w:p w14:paraId="608D520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£ 11420</w:t>
            </w:r>
          </w:p>
        </w:tc>
      </w:tr>
      <w:tr w:rsidR="00255EC2" w:rsidRPr="00255EC2" w14:paraId="69AA29D0" w14:textId="77777777" w:rsidTr="006277A7">
        <w:trPr>
          <w:trHeight w:val="242"/>
        </w:trPr>
        <w:tc>
          <w:tcPr>
            <w:tcW w:w="1760" w:type="dxa"/>
            <w:tcBorders>
              <w:left w:val="single" w:sz="1" w:space="0" w:color="000000"/>
              <w:bottom w:val="single" w:sz="1" w:space="0" w:color="000000"/>
            </w:tcBorders>
            <w:shd w:val="clear" w:color="auto" w:fill="auto"/>
            <w:vAlign w:val="bottom"/>
          </w:tcPr>
          <w:p w14:paraId="6C28C19D"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72989B1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6382D9A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2DE5F30E"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0B17087" w14:textId="77777777" w:rsidTr="006277A7">
        <w:trPr>
          <w:trHeight w:val="242"/>
        </w:trPr>
        <w:tc>
          <w:tcPr>
            <w:tcW w:w="1760" w:type="dxa"/>
            <w:tcBorders>
              <w:left w:val="single" w:sz="1" w:space="0" w:color="000000"/>
              <w:bottom w:val="single" w:sz="1" w:space="0" w:color="000000"/>
            </w:tcBorders>
            <w:shd w:val="clear" w:color="auto" w:fill="auto"/>
            <w:vAlign w:val="bottom"/>
          </w:tcPr>
          <w:p w14:paraId="4013069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34F0127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Plant</w:t>
            </w:r>
          </w:p>
        </w:tc>
        <w:tc>
          <w:tcPr>
            <w:tcW w:w="1720" w:type="dxa"/>
            <w:tcBorders>
              <w:left w:val="single" w:sz="1" w:space="0" w:color="000000"/>
              <w:bottom w:val="single" w:sz="1" w:space="0" w:color="000000"/>
            </w:tcBorders>
            <w:shd w:val="clear" w:color="auto" w:fill="auto"/>
            <w:vAlign w:val="bottom"/>
          </w:tcPr>
          <w:p w14:paraId="790129A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£ 25600</w:t>
            </w:r>
          </w:p>
        </w:tc>
        <w:tc>
          <w:tcPr>
            <w:tcW w:w="1724" w:type="dxa"/>
            <w:tcBorders>
              <w:left w:val="single" w:sz="1" w:space="0" w:color="000000"/>
              <w:bottom w:val="single" w:sz="1" w:space="0" w:color="000000"/>
              <w:right w:val="single" w:sz="1" w:space="0" w:color="000000"/>
            </w:tcBorders>
            <w:shd w:val="clear" w:color="auto" w:fill="auto"/>
            <w:vAlign w:val="bottom"/>
          </w:tcPr>
          <w:p w14:paraId="3CA713DA"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2A7A3DF" w14:textId="77777777" w:rsidTr="006277A7">
        <w:trPr>
          <w:trHeight w:val="242"/>
        </w:trPr>
        <w:tc>
          <w:tcPr>
            <w:tcW w:w="1760" w:type="dxa"/>
            <w:tcBorders>
              <w:left w:val="single" w:sz="1" w:space="0" w:color="000000"/>
              <w:bottom w:val="single" w:sz="1" w:space="0" w:color="000000"/>
            </w:tcBorders>
            <w:shd w:val="clear" w:color="auto" w:fill="auto"/>
            <w:vAlign w:val="bottom"/>
          </w:tcPr>
          <w:p w14:paraId="6236DF2E"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E1CD68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Accumulated Depreciation</w:t>
            </w:r>
          </w:p>
        </w:tc>
        <w:tc>
          <w:tcPr>
            <w:tcW w:w="1720" w:type="dxa"/>
            <w:tcBorders>
              <w:left w:val="single" w:sz="1" w:space="0" w:color="000000"/>
              <w:bottom w:val="single" w:sz="1" w:space="0" w:color="000000"/>
            </w:tcBorders>
            <w:shd w:val="clear" w:color="auto" w:fill="auto"/>
            <w:vAlign w:val="bottom"/>
          </w:tcPr>
          <w:p w14:paraId="635EEBA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£ 4960</w:t>
            </w:r>
          </w:p>
        </w:tc>
        <w:tc>
          <w:tcPr>
            <w:tcW w:w="1724" w:type="dxa"/>
            <w:tcBorders>
              <w:left w:val="single" w:sz="1" w:space="0" w:color="000000"/>
              <w:bottom w:val="single" w:sz="1" w:space="0" w:color="000000"/>
              <w:right w:val="single" w:sz="1" w:space="0" w:color="000000"/>
            </w:tcBorders>
            <w:shd w:val="clear" w:color="auto" w:fill="auto"/>
            <w:vAlign w:val="bottom"/>
          </w:tcPr>
          <w:p w14:paraId="4B846F1E"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A3C2DAB" w14:textId="77777777" w:rsidTr="006277A7">
        <w:trPr>
          <w:trHeight w:val="242"/>
        </w:trPr>
        <w:tc>
          <w:tcPr>
            <w:tcW w:w="1760" w:type="dxa"/>
            <w:tcBorders>
              <w:left w:val="single" w:sz="1" w:space="0" w:color="000000"/>
              <w:bottom w:val="single" w:sz="1" w:space="0" w:color="000000"/>
            </w:tcBorders>
            <w:shd w:val="clear" w:color="auto" w:fill="auto"/>
            <w:vAlign w:val="bottom"/>
          </w:tcPr>
          <w:p w14:paraId="644670E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7D667EB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Depreciation (W.N.)</w:t>
            </w:r>
          </w:p>
        </w:tc>
        <w:tc>
          <w:tcPr>
            <w:tcW w:w="1720" w:type="dxa"/>
            <w:tcBorders>
              <w:left w:val="single" w:sz="1" w:space="0" w:color="000000"/>
              <w:bottom w:val="single" w:sz="1" w:space="0" w:color="000000"/>
            </w:tcBorders>
            <w:shd w:val="clear" w:color="auto" w:fill="auto"/>
            <w:vAlign w:val="bottom"/>
          </w:tcPr>
          <w:p w14:paraId="60195900"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£ 2560</w:t>
            </w:r>
          </w:p>
        </w:tc>
        <w:tc>
          <w:tcPr>
            <w:tcW w:w="1724" w:type="dxa"/>
            <w:tcBorders>
              <w:left w:val="single" w:sz="1" w:space="0" w:color="000000"/>
              <w:bottom w:val="single" w:sz="1" w:space="0" w:color="000000"/>
              <w:right w:val="single" w:sz="1" w:space="0" w:color="000000"/>
            </w:tcBorders>
            <w:shd w:val="clear" w:color="auto" w:fill="auto"/>
            <w:vAlign w:val="bottom"/>
          </w:tcPr>
          <w:p w14:paraId="4778395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£ 18080</w:t>
            </w:r>
          </w:p>
        </w:tc>
      </w:tr>
      <w:tr w:rsidR="00255EC2" w:rsidRPr="00255EC2" w14:paraId="45AA60DE" w14:textId="77777777" w:rsidTr="006277A7">
        <w:trPr>
          <w:trHeight w:val="242"/>
        </w:trPr>
        <w:tc>
          <w:tcPr>
            <w:tcW w:w="1760" w:type="dxa"/>
            <w:tcBorders>
              <w:left w:val="single" w:sz="1" w:space="0" w:color="000000"/>
              <w:bottom w:val="single" w:sz="1" w:space="0" w:color="000000"/>
            </w:tcBorders>
            <w:shd w:val="clear" w:color="auto" w:fill="auto"/>
            <w:vAlign w:val="bottom"/>
          </w:tcPr>
          <w:p w14:paraId="21B0F761"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1D0EFA3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62A0D4E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4F13CCF3"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1155596"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452EF4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CB24D55"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0F4DAE3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32214308"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C9B3003" w14:textId="77777777" w:rsidTr="006277A7">
        <w:tc>
          <w:tcPr>
            <w:tcW w:w="7613" w:type="dxa"/>
            <w:gridSpan w:val="3"/>
            <w:tcBorders>
              <w:left w:val="single" w:sz="1" w:space="0" w:color="000000"/>
              <w:bottom w:val="single" w:sz="1" w:space="0" w:color="000000"/>
            </w:tcBorders>
            <w:shd w:val="clear" w:color="auto" w:fill="auto"/>
            <w:vAlign w:val="bottom"/>
          </w:tcPr>
          <w:p w14:paraId="6A812080"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Current Assets</w:t>
            </w:r>
          </w:p>
        </w:tc>
        <w:tc>
          <w:tcPr>
            <w:tcW w:w="1724" w:type="dxa"/>
            <w:tcBorders>
              <w:left w:val="single" w:sz="1" w:space="0" w:color="000000"/>
              <w:bottom w:val="single" w:sz="1" w:space="0" w:color="000000"/>
              <w:right w:val="single" w:sz="1" w:space="0" w:color="000000"/>
            </w:tcBorders>
            <w:shd w:val="clear" w:color="auto" w:fill="auto"/>
            <w:vAlign w:val="bottom"/>
          </w:tcPr>
          <w:p w14:paraId="76C8B380"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119D720"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88D95F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2ABF0B62"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Trade Receivables </w:t>
            </w:r>
          </w:p>
        </w:tc>
        <w:tc>
          <w:tcPr>
            <w:tcW w:w="1720" w:type="dxa"/>
            <w:tcBorders>
              <w:left w:val="single" w:sz="1" w:space="0" w:color="000000"/>
              <w:bottom w:val="single" w:sz="1" w:space="0" w:color="000000"/>
            </w:tcBorders>
            <w:shd w:val="clear" w:color="auto" w:fill="auto"/>
            <w:vAlign w:val="bottom"/>
          </w:tcPr>
          <w:p w14:paraId="7E24829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£ 8240</w:t>
            </w:r>
          </w:p>
        </w:tc>
        <w:tc>
          <w:tcPr>
            <w:tcW w:w="1724" w:type="dxa"/>
            <w:tcBorders>
              <w:left w:val="single" w:sz="1" w:space="0" w:color="000000"/>
              <w:bottom w:val="single" w:sz="1" w:space="0" w:color="000000"/>
              <w:right w:val="single" w:sz="1" w:space="0" w:color="000000"/>
            </w:tcBorders>
            <w:shd w:val="clear" w:color="auto" w:fill="auto"/>
            <w:vAlign w:val="bottom"/>
          </w:tcPr>
          <w:p w14:paraId="59B2F2CF"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6BC38DAC" w14:textId="77777777" w:rsidTr="006277A7">
        <w:trPr>
          <w:trHeight w:val="242"/>
        </w:trPr>
        <w:tc>
          <w:tcPr>
            <w:tcW w:w="1760" w:type="dxa"/>
            <w:tcBorders>
              <w:left w:val="single" w:sz="1" w:space="0" w:color="000000"/>
              <w:bottom w:val="single" w:sz="1" w:space="0" w:color="000000"/>
            </w:tcBorders>
            <w:shd w:val="clear" w:color="auto" w:fill="auto"/>
            <w:vAlign w:val="bottom"/>
          </w:tcPr>
          <w:p w14:paraId="175EBDFF"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28AB8B2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Less: Bad-debt</w:t>
            </w:r>
          </w:p>
        </w:tc>
        <w:tc>
          <w:tcPr>
            <w:tcW w:w="1720" w:type="dxa"/>
            <w:tcBorders>
              <w:left w:val="single" w:sz="1" w:space="0" w:color="000000"/>
              <w:bottom w:val="single" w:sz="1" w:space="0" w:color="000000"/>
            </w:tcBorders>
            <w:shd w:val="clear" w:color="auto" w:fill="auto"/>
            <w:vAlign w:val="bottom"/>
          </w:tcPr>
          <w:p w14:paraId="5806DEE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£ 240</w:t>
            </w:r>
          </w:p>
        </w:tc>
        <w:tc>
          <w:tcPr>
            <w:tcW w:w="1724" w:type="dxa"/>
            <w:tcBorders>
              <w:left w:val="single" w:sz="1" w:space="0" w:color="000000"/>
              <w:bottom w:val="single" w:sz="1" w:space="0" w:color="000000"/>
              <w:right w:val="single" w:sz="1" w:space="0" w:color="000000"/>
            </w:tcBorders>
            <w:shd w:val="clear" w:color="auto" w:fill="auto"/>
            <w:vAlign w:val="bottom"/>
          </w:tcPr>
          <w:p w14:paraId="1AA29F3C"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5AFCEB4B" w14:textId="77777777" w:rsidTr="006277A7">
        <w:trPr>
          <w:trHeight w:val="242"/>
        </w:trPr>
        <w:tc>
          <w:tcPr>
            <w:tcW w:w="1760" w:type="dxa"/>
            <w:tcBorders>
              <w:left w:val="single" w:sz="1" w:space="0" w:color="000000"/>
              <w:bottom w:val="single" w:sz="1" w:space="0" w:color="000000"/>
            </w:tcBorders>
            <w:shd w:val="clear" w:color="auto" w:fill="auto"/>
            <w:vAlign w:val="bottom"/>
          </w:tcPr>
          <w:p w14:paraId="481EE74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49ABED8"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1F98459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£ 8000</w:t>
            </w:r>
          </w:p>
        </w:tc>
        <w:tc>
          <w:tcPr>
            <w:tcW w:w="1724" w:type="dxa"/>
            <w:tcBorders>
              <w:left w:val="single" w:sz="1" w:space="0" w:color="000000"/>
              <w:bottom w:val="single" w:sz="1" w:space="0" w:color="000000"/>
              <w:right w:val="single" w:sz="1" w:space="0" w:color="000000"/>
            </w:tcBorders>
            <w:shd w:val="clear" w:color="auto" w:fill="auto"/>
            <w:vAlign w:val="bottom"/>
          </w:tcPr>
          <w:p w14:paraId="2FB201D4"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2C18306E"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3DB8ED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090290F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xml:space="preserve">Less: Allowance @ 2% </w:t>
            </w:r>
          </w:p>
        </w:tc>
        <w:tc>
          <w:tcPr>
            <w:tcW w:w="1720" w:type="dxa"/>
            <w:tcBorders>
              <w:left w:val="single" w:sz="1" w:space="0" w:color="000000"/>
              <w:bottom w:val="single" w:sz="1" w:space="0" w:color="000000"/>
            </w:tcBorders>
            <w:shd w:val="clear" w:color="auto" w:fill="auto"/>
            <w:vAlign w:val="bottom"/>
          </w:tcPr>
          <w:p w14:paraId="42810211"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£ 160</w:t>
            </w:r>
          </w:p>
        </w:tc>
        <w:tc>
          <w:tcPr>
            <w:tcW w:w="1724" w:type="dxa"/>
            <w:tcBorders>
              <w:left w:val="single" w:sz="1" w:space="0" w:color="000000"/>
              <w:bottom w:val="single" w:sz="1" w:space="0" w:color="000000"/>
              <w:right w:val="single" w:sz="1" w:space="0" w:color="000000"/>
            </w:tcBorders>
            <w:shd w:val="clear" w:color="auto" w:fill="auto"/>
            <w:vAlign w:val="bottom"/>
          </w:tcPr>
          <w:p w14:paraId="6A391CF1"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112BA24E"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706AE8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1661235E"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27968FD6"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£ 7840</w:t>
            </w:r>
          </w:p>
        </w:tc>
        <w:tc>
          <w:tcPr>
            <w:tcW w:w="1724" w:type="dxa"/>
            <w:tcBorders>
              <w:left w:val="single" w:sz="1" w:space="0" w:color="000000"/>
              <w:bottom w:val="single" w:sz="1" w:space="0" w:color="000000"/>
              <w:right w:val="single" w:sz="1" w:space="0" w:color="000000"/>
            </w:tcBorders>
            <w:shd w:val="clear" w:color="auto" w:fill="auto"/>
            <w:vAlign w:val="bottom"/>
          </w:tcPr>
          <w:p w14:paraId="5618D18B"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006839ED" w14:textId="77777777" w:rsidTr="006277A7">
        <w:trPr>
          <w:trHeight w:val="242"/>
        </w:trPr>
        <w:tc>
          <w:tcPr>
            <w:tcW w:w="1760" w:type="dxa"/>
            <w:tcBorders>
              <w:left w:val="single" w:sz="1" w:space="0" w:color="000000"/>
              <w:bottom w:val="single" w:sz="1" w:space="0" w:color="000000"/>
            </w:tcBorders>
            <w:shd w:val="clear" w:color="auto" w:fill="auto"/>
            <w:vAlign w:val="bottom"/>
          </w:tcPr>
          <w:p w14:paraId="51FE57E3"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257E793B"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0" w:type="dxa"/>
            <w:tcBorders>
              <w:left w:val="single" w:sz="1" w:space="0" w:color="000000"/>
              <w:bottom w:val="single" w:sz="1" w:space="0" w:color="000000"/>
            </w:tcBorders>
            <w:shd w:val="clear" w:color="auto" w:fill="auto"/>
            <w:vAlign w:val="bottom"/>
          </w:tcPr>
          <w:p w14:paraId="7FFD972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1724" w:type="dxa"/>
            <w:tcBorders>
              <w:left w:val="single" w:sz="1" w:space="0" w:color="000000"/>
              <w:bottom w:val="single" w:sz="1" w:space="0" w:color="000000"/>
              <w:right w:val="single" w:sz="1" w:space="0" w:color="000000"/>
            </w:tcBorders>
            <w:shd w:val="clear" w:color="auto" w:fill="auto"/>
            <w:vAlign w:val="bottom"/>
          </w:tcPr>
          <w:p w14:paraId="3E9BF73A"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737F63B0" w14:textId="77777777" w:rsidTr="006277A7">
        <w:trPr>
          <w:trHeight w:val="242"/>
        </w:trPr>
        <w:tc>
          <w:tcPr>
            <w:tcW w:w="1760" w:type="dxa"/>
            <w:tcBorders>
              <w:left w:val="single" w:sz="1" w:space="0" w:color="000000"/>
              <w:bottom w:val="single" w:sz="1" w:space="0" w:color="000000"/>
            </w:tcBorders>
            <w:shd w:val="clear" w:color="auto" w:fill="auto"/>
            <w:vAlign w:val="bottom"/>
          </w:tcPr>
          <w:p w14:paraId="3982E20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D25474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Inventories</w:t>
            </w:r>
          </w:p>
        </w:tc>
        <w:tc>
          <w:tcPr>
            <w:tcW w:w="1720" w:type="dxa"/>
            <w:tcBorders>
              <w:left w:val="single" w:sz="1" w:space="0" w:color="000000"/>
              <w:bottom w:val="single" w:sz="1" w:space="0" w:color="000000"/>
            </w:tcBorders>
            <w:shd w:val="clear" w:color="auto" w:fill="auto"/>
            <w:vAlign w:val="bottom"/>
          </w:tcPr>
          <w:p w14:paraId="4A2D8F18"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£ 3120</w:t>
            </w:r>
          </w:p>
        </w:tc>
        <w:tc>
          <w:tcPr>
            <w:tcW w:w="1724" w:type="dxa"/>
            <w:tcBorders>
              <w:left w:val="single" w:sz="1" w:space="0" w:color="000000"/>
              <w:bottom w:val="single" w:sz="1" w:space="0" w:color="000000"/>
              <w:right w:val="single" w:sz="1" w:space="0" w:color="000000"/>
            </w:tcBorders>
            <w:shd w:val="clear" w:color="auto" w:fill="auto"/>
            <w:vAlign w:val="bottom"/>
          </w:tcPr>
          <w:p w14:paraId="50D76D0D"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5058ECC0" w14:textId="77777777" w:rsidTr="006277A7">
        <w:trPr>
          <w:trHeight w:val="242"/>
        </w:trPr>
        <w:tc>
          <w:tcPr>
            <w:tcW w:w="1760" w:type="dxa"/>
            <w:tcBorders>
              <w:left w:val="single" w:sz="1" w:space="0" w:color="000000"/>
              <w:bottom w:val="single" w:sz="1" w:space="0" w:color="000000"/>
            </w:tcBorders>
            <w:shd w:val="clear" w:color="auto" w:fill="auto"/>
            <w:vAlign w:val="bottom"/>
          </w:tcPr>
          <w:p w14:paraId="79203A37"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4133" w:type="dxa"/>
            <w:tcBorders>
              <w:left w:val="single" w:sz="1" w:space="0" w:color="000000"/>
              <w:bottom w:val="single" w:sz="1" w:space="0" w:color="000000"/>
            </w:tcBorders>
            <w:shd w:val="clear" w:color="auto" w:fill="auto"/>
            <w:vAlign w:val="bottom"/>
          </w:tcPr>
          <w:p w14:paraId="646643BE"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Bank</w:t>
            </w:r>
          </w:p>
        </w:tc>
        <w:tc>
          <w:tcPr>
            <w:tcW w:w="1720" w:type="dxa"/>
            <w:tcBorders>
              <w:left w:val="single" w:sz="1" w:space="0" w:color="000000"/>
              <w:bottom w:val="single" w:sz="1" w:space="0" w:color="000000"/>
            </w:tcBorders>
            <w:shd w:val="clear" w:color="auto" w:fill="auto"/>
            <w:vAlign w:val="bottom"/>
          </w:tcPr>
          <w:p w14:paraId="4241C24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£ 320</w:t>
            </w:r>
          </w:p>
        </w:tc>
        <w:tc>
          <w:tcPr>
            <w:tcW w:w="1724" w:type="dxa"/>
            <w:tcBorders>
              <w:left w:val="single" w:sz="1" w:space="0" w:color="000000"/>
              <w:bottom w:val="single" w:sz="1" w:space="0" w:color="000000"/>
              <w:right w:val="single" w:sz="1" w:space="0" w:color="000000"/>
            </w:tcBorders>
            <w:shd w:val="clear" w:color="auto" w:fill="auto"/>
            <w:vAlign w:val="bottom"/>
          </w:tcPr>
          <w:p w14:paraId="6FC76ACB"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£ 11280</w:t>
            </w:r>
          </w:p>
        </w:tc>
      </w:tr>
      <w:tr w:rsidR="00255EC2" w:rsidRPr="00255EC2" w14:paraId="1E9A2025" w14:textId="77777777" w:rsidTr="006277A7">
        <w:tc>
          <w:tcPr>
            <w:tcW w:w="7613" w:type="dxa"/>
            <w:gridSpan w:val="3"/>
            <w:tcBorders>
              <w:left w:val="single" w:sz="1" w:space="0" w:color="000000"/>
              <w:bottom w:val="single" w:sz="1" w:space="0" w:color="000000"/>
            </w:tcBorders>
            <w:shd w:val="clear" w:color="auto" w:fill="auto"/>
            <w:vAlign w:val="bottom"/>
          </w:tcPr>
          <w:p w14:paraId="7E7F571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Total Assets</w:t>
            </w:r>
          </w:p>
        </w:tc>
        <w:tc>
          <w:tcPr>
            <w:tcW w:w="1724" w:type="dxa"/>
            <w:tcBorders>
              <w:left w:val="single" w:sz="1" w:space="0" w:color="000000"/>
              <w:bottom w:val="single" w:sz="1" w:space="0" w:color="000000"/>
              <w:right w:val="single" w:sz="1" w:space="0" w:color="000000"/>
            </w:tcBorders>
            <w:shd w:val="clear" w:color="auto" w:fill="auto"/>
            <w:vAlign w:val="bottom"/>
          </w:tcPr>
          <w:p w14:paraId="763D0949"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£ 60780</w:t>
            </w:r>
          </w:p>
        </w:tc>
      </w:tr>
    </w:tbl>
    <w:p w14:paraId="19CFF134" w14:textId="77777777" w:rsidR="00C62A57" w:rsidRPr="00255EC2" w:rsidRDefault="00C62A57" w:rsidP="00255EC2">
      <w:pPr>
        <w:spacing w:line="360" w:lineRule="auto"/>
        <w:jc w:val="both"/>
        <w:rPr>
          <w:rFonts w:ascii="Times New Roman" w:hAnsi="Times New Roman" w:cs="Times New Roman"/>
          <w:sz w:val="24"/>
          <w:szCs w:val="24"/>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863"/>
        <w:gridCol w:w="3361"/>
        <w:gridCol w:w="2113"/>
      </w:tblGrid>
      <w:tr w:rsidR="00255EC2" w:rsidRPr="00255EC2" w14:paraId="01E71F98" w14:textId="77777777" w:rsidTr="006277A7">
        <w:trPr>
          <w:trHeight w:val="242"/>
        </w:trPr>
        <w:tc>
          <w:tcPr>
            <w:tcW w:w="3863" w:type="dxa"/>
            <w:tcBorders>
              <w:top w:val="single" w:sz="1" w:space="0" w:color="000000"/>
              <w:left w:val="single" w:sz="1" w:space="0" w:color="000000"/>
              <w:bottom w:val="single" w:sz="1" w:space="0" w:color="000000"/>
            </w:tcBorders>
            <w:shd w:val="clear" w:color="auto" w:fill="auto"/>
            <w:vAlign w:val="bottom"/>
          </w:tcPr>
          <w:p w14:paraId="59650F7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b/>
                <w:bCs/>
                <w:sz w:val="24"/>
                <w:szCs w:val="24"/>
                <w:lang w:val="en-GB"/>
              </w:rPr>
              <w:t>Working Note:</w:t>
            </w:r>
          </w:p>
        </w:tc>
        <w:tc>
          <w:tcPr>
            <w:tcW w:w="3361" w:type="dxa"/>
            <w:tcBorders>
              <w:top w:val="single" w:sz="1" w:space="0" w:color="000000"/>
              <w:left w:val="single" w:sz="1" w:space="0" w:color="000000"/>
              <w:bottom w:val="single" w:sz="1" w:space="0" w:color="000000"/>
            </w:tcBorders>
            <w:shd w:val="clear" w:color="auto" w:fill="auto"/>
            <w:vAlign w:val="bottom"/>
          </w:tcPr>
          <w:p w14:paraId="150FFFB6"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2113" w:type="dxa"/>
            <w:tcBorders>
              <w:top w:val="single" w:sz="1" w:space="0" w:color="000000"/>
              <w:left w:val="single" w:sz="1" w:space="0" w:color="000000"/>
              <w:bottom w:val="single" w:sz="1" w:space="0" w:color="000000"/>
              <w:right w:val="single" w:sz="1" w:space="0" w:color="000000"/>
            </w:tcBorders>
            <w:shd w:val="clear" w:color="auto" w:fill="auto"/>
            <w:vAlign w:val="bottom"/>
          </w:tcPr>
          <w:p w14:paraId="21D19FAB"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E8CBD42" w14:textId="77777777" w:rsidTr="006277A7">
        <w:trPr>
          <w:trHeight w:val="242"/>
        </w:trPr>
        <w:tc>
          <w:tcPr>
            <w:tcW w:w="3863" w:type="dxa"/>
            <w:tcBorders>
              <w:left w:val="single" w:sz="1" w:space="0" w:color="000000"/>
              <w:bottom w:val="single" w:sz="1" w:space="0" w:color="000000"/>
            </w:tcBorders>
            <w:shd w:val="clear" w:color="auto" w:fill="auto"/>
            <w:vAlign w:val="bottom"/>
          </w:tcPr>
          <w:p w14:paraId="1AB3ADBD"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lastRenderedPageBreak/>
              <w:t>Depreciation on Building</w:t>
            </w:r>
          </w:p>
        </w:tc>
        <w:tc>
          <w:tcPr>
            <w:tcW w:w="3361" w:type="dxa"/>
            <w:tcBorders>
              <w:left w:val="single" w:sz="1" w:space="0" w:color="000000"/>
              <w:bottom w:val="single" w:sz="1" w:space="0" w:color="000000"/>
            </w:tcBorders>
            <w:shd w:val="clear" w:color="auto" w:fill="auto"/>
            <w:vAlign w:val="bottom"/>
          </w:tcPr>
          <w:p w14:paraId="7A1CE2E2"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2113" w:type="dxa"/>
            <w:tcBorders>
              <w:top w:val="single" w:sz="1" w:space="0" w:color="000000"/>
              <w:left w:val="single" w:sz="1" w:space="0" w:color="000000"/>
              <w:bottom w:val="single" w:sz="1" w:space="0" w:color="000000"/>
              <w:right w:val="single" w:sz="1" w:space="0" w:color="000000"/>
            </w:tcBorders>
            <w:shd w:val="clear" w:color="auto" w:fill="auto"/>
            <w:vAlign w:val="bottom"/>
          </w:tcPr>
          <w:p w14:paraId="4138E3EC"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4270DE08" w14:textId="77777777" w:rsidTr="006277A7">
        <w:trPr>
          <w:trHeight w:val="242"/>
        </w:trPr>
        <w:tc>
          <w:tcPr>
            <w:tcW w:w="3863" w:type="dxa"/>
            <w:tcBorders>
              <w:left w:val="single" w:sz="1" w:space="0" w:color="000000"/>
              <w:bottom w:val="single" w:sz="1" w:space="0" w:color="000000"/>
            </w:tcBorders>
            <w:shd w:val="clear" w:color="auto" w:fill="auto"/>
            <w:vAlign w:val="bottom"/>
          </w:tcPr>
          <w:p w14:paraId="384575BA"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2 % on cost of Building =</w:t>
            </w:r>
          </w:p>
        </w:tc>
        <w:tc>
          <w:tcPr>
            <w:tcW w:w="3361" w:type="dxa"/>
            <w:tcBorders>
              <w:left w:val="single" w:sz="1" w:space="0" w:color="000000"/>
              <w:bottom w:val="single" w:sz="1" w:space="0" w:color="000000"/>
            </w:tcBorders>
            <w:shd w:val="clear" w:color="auto" w:fill="auto"/>
            <w:vAlign w:val="bottom"/>
          </w:tcPr>
          <w:p w14:paraId="5BC237DC"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2% * £ 16000 =</w:t>
            </w:r>
          </w:p>
        </w:tc>
        <w:tc>
          <w:tcPr>
            <w:tcW w:w="2113" w:type="dxa"/>
            <w:tcBorders>
              <w:left w:val="single" w:sz="1" w:space="0" w:color="000000"/>
              <w:bottom w:val="single" w:sz="1" w:space="0" w:color="000000"/>
              <w:right w:val="single" w:sz="1" w:space="0" w:color="000000"/>
            </w:tcBorders>
            <w:shd w:val="clear" w:color="auto" w:fill="auto"/>
            <w:vAlign w:val="bottom"/>
          </w:tcPr>
          <w:p w14:paraId="44E5E437"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£ 320</w:t>
            </w:r>
          </w:p>
        </w:tc>
      </w:tr>
      <w:tr w:rsidR="00255EC2" w:rsidRPr="00255EC2" w14:paraId="1D0E671F" w14:textId="77777777" w:rsidTr="006277A7">
        <w:trPr>
          <w:trHeight w:val="242"/>
        </w:trPr>
        <w:tc>
          <w:tcPr>
            <w:tcW w:w="3863" w:type="dxa"/>
            <w:tcBorders>
              <w:left w:val="single" w:sz="1" w:space="0" w:color="000000"/>
              <w:bottom w:val="single" w:sz="1" w:space="0" w:color="000000"/>
            </w:tcBorders>
            <w:shd w:val="clear" w:color="auto" w:fill="auto"/>
            <w:vAlign w:val="bottom"/>
          </w:tcPr>
          <w:p w14:paraId="7F02C0C1"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3361" w:type="dxa"/>
            <w:tcBorders>
              <w:left w:val="single" w:sz="1" w:space="0" w:color="000000"/>
              <w:bottom w:val="single" w:sz="1" w:space="0" w:color="000000"/>
            </w:tcBorders>
            <w:shd w:val="clear" w:color="auto" w:fill="auto"/>
            <w:vAlign w:val="bottom"/>
          </w:tcPr>
          <w:p w14:paraId="27A9A2E0"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2113" w:type="dxa"/>
            <w:tcBorders>
              <w:left w:val="single" w:sz="1" w:space="0" w:color="000000"/>
              <w:bottom w:val="single" w:sz="1" w:space="0" w:color="000000"/>
              <w:right w:val="single" w:sz="1" w:space="0" w:color="000000"/>
            </w:tcBorders>
            <w:shd w:val="clear" w:color="auto" w:fill="auto"/>
            <w:vAlign w:val="bottom"/>
          </w:tcPr>
          <w:p w14:paraId="31DA4178"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2DAB5B9A" w14:textId="77777777" w:rsidTr="006277A7">
        <w:trPr>
          <w:trHeight w:val="242"/>
        </w:trPr>
        <w:tc>
          <w:tcPr>
            <w:tcW w:w="3863" w:type="dxa"/>
            <w:tcBorders>
              <w:left w:val="single" w:sz="1" w:space="0" w:color="000000"/>
              <w:bottom w:val="single" w:sz="1" w:space="0" w:color="000000"/>
            </w:tcBorders>
            <w:shd w:val="clear" w:color="auto" w:fill="auto"/>
            <w:vAlign w:val="bottom"/>
          </w:tcPr>
          <w:p w14:paraId="4C96D186"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Depreciation on Plant</w:t>
            </w:r>
          </w:p>
        </w:tc>
        <w:tc>
          <w:tcPr>
            <w:tcW w:w="3361" w:type="dxa"/>
            <w:tcBorders>
              <w:left w:val="single" w:sz="1" w:space="0" w:color="000000"/>
              <w:bottom w:val="single" w:sz="1" w:space="0" w:color="000000"/>
            </w:tcBorders>
            <w:shd w:val="clear" w:color="auto" w:fill="auto"/>
            <w:vAlign w:val="bottom"/>
          </w:tcPr>
          <w:p w14:paraId="50F0E389" w14:textId="77777777" w:rsidR="00C62A57" w:rsidRPr="00255EC2" w:rsidRDefault="00C62A57" w:rsidP="00255EC2">
            <w:pPr>
              <w:spacing w:line="360" w:lineRule="auto"/>
              <w:jc w:val="both"/>
              <w:rPr>
                <w:rFonts w:ascii="Times New Roman" w:hAnsi="Times New Roman" w:cs="Times New Roman"/>
                <w:sz w:val="24"/>
                <w:szCs w:val="24"/>
                <w:lang w:val="en-GB"/>
              </w:rPr>
            </w:pPr>
          </w:p>
        </w:tc>
        <w:tc>
          <w:tcPr>
            <w:tcW w:w="2113" w:type="dxa"/>
            <w:tcBorders>
              <w:left w:val="single" w:sz="1" w:space="0" w:color="000000"/>
              <w:bottom w:val="single" w:sz="1" w:space="0" w:color="000000"/>
              <w:right w:val="single" w:sz="1" w:space="0" w:color="000000"/>
            </w:tcBorders>
            <w:shd w:val="clear" w:color="auto" w:fill="auto"/>
            <w:vAlign w:val="bottom"/>
          </w:tcPr>
          <w:p w14:paraId="4455E127" w14:textId="77777777" w:rsidR="00C62A57" w:rsidRPr="00255EC2" w:rsidRDefault="00C62A57" w:rsidP="00255EC2">
            <w:pPr>
              <w:spacing w:line="360" w:lineRule="auto"/>
              <w:jc w:val="both"/>
              <w:rPr>
                <w:rFonts w:ascii="Times New Roman" w:hAnsi="Times New Roman" w:cs="Times New Roman"/>
                <w:sz w:val="24"/>
                <w:szCs w:val="24"/>
                <w:lang w:val="en-GB"/>
              </w:rPr>
            </w:pPr>
          </w:p>
        </w:tc>
      </w:tr>
      <w:tr w:rsidR="00255EC2" w:rsidRPr="00255EC2" w14:paraId="3F79D8C3" w14:textId="77777777" w:rsidTr="006277A7">
        <w:trPr>
          <w:trHeight w:val="242"/>
        </w:trPr>
        <w:tc>
          <w:tcPr>
            <w:tcW w:w="3863" w:type="dxa"/>
            <w:tcBorders>
              <w:left w:val="single" w:sz="1" w:space="0" w:color="000000"/>
              <w:bottom w:val="single" w:sz="1" w:space="0" w:color="000000"/>
            </w:tcBorders>
            <w:shd w:val="clear" w:color="auto" w:fill="auto"/>
            <w:vAlign w:val="bottom"/>
          </w:tcPr>
          <w:p w14:paraId="21E5F2E5"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10 % on cost of Plant =</w:t>
            </w:r>
          </w:p>
        </w:tc>
        <w:tc>
          <w:tcPr>
            <w:tcW w:w="3361" w:type="dxa"/>
            <w:tcBorders>
              <w:left w:val="single" w:sz="1" w:space="0" w:color="000000"/>
              <w:bottom w:val="single" w:sz="1" w:space="0" w:color="000000"/>
            </w:tcBorders>
            <w:shd w:val="clear" w:color="auto" w:fill="auto"/>
            <w:vAlign w:val="bottom"/>
          </w:tcPr>
          <w:p w14:paraId="0DA40DC4"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10% * £ 25600 =</w:t>
            </w:r>
          </w:p>
        </w:tc>
        <w:tc>
          <w:tcPr>
            <w:tcW w:w="2113" w:type="dxa"/>
            <w:tcBorders>
              <w:left w:val="single" w:sz="1" w:space="0" w:color="000000"/>
              <w:bottom w:val="single" w:sz="1" w:space="0" w:color="000000"/>
              <w:right w:val="single" w:sz="1" w:space="0" w:color="000000"/>
            </w:tcBorders>
            <w:shd w:val="clear" w:color="auto" w:fill="auto"/>
            <w:vAlign w:val="bottom"/>
          </w:tcPr>
          <w:p w14:paraId="69B0D21F" w14:textId="77777777" w:rsidR="00C62A57" w:rsidRPr="00255EC2" w:rsidRDefault="00C62A57" w:rsidP="00255EC2">
            <w:pPr>
              <w:spacing w:line="360" w:lineRule="auto"/>
              <w:jc w:val="both"/>
              <w:rPr>
                <w:rFonts w:ascii="Times New Roman" w:hAnsi="Times New Roman" w:cs="Times New Roman"/>
                <w:sz w:val="24"/>
                <w:szCs w:val="24"/>
                <w:lang w:val="en-GB"/>
              </w:rPr>
            </w:pPr>
            <w:r w:rsidRPr="00255EC2">
              <w:rPr>
                <w:rFonts w:ascii="Times New Roman" w:hAnsi="Times New Roman" w:cs="Times New Roman"/>
                <w:sz w:val="24"/>
                <w:szCs w:val="24"/>
                <w:lang w:val="en-GB"/>
              </w:rPr>
              <w:t>£ 2560</w:t>
            </w:r>
          </w:p>
        </w:tc>
      </w:tr>
    </w:tbl>
    <w:p w14:paraId="407D8117" w14:textId="77777777" w:rsidR="005450E1" w:rsidRPr="00255EC2" w:rsidRDefault="005450E1" w:rsidP="00255EC2">
      <w:pPr>
        <w:spacing w:line="360" w:lineRule="auto"/>
        <w:jc w:val="both"/>
        <w:rPr>
          <w:rFonts w:ascii="Times New Roman" w:hAnsi="Times New Roman" w:cs="Times New Roman"/>
          <w:sz w:val="24"/>
          <w:szCs w:val="24"/>
        </w:rPr>
      </w:pPr>
    </w:p>
    <w:p w14:paraId="29CE1770" w14:textId="77777777" w:rsidR="005450E1" w:rsidRPr="00255EC2" w:rsidRDefault="005450E1" w:rsidP="00255EC2">
      <w:pPr>
        <w:pStyle w:val="Heading2"/>
        <w:spacing w:line="360" w:lineRule="auto"/>
        <w:jc w:val="both"/>
        <w:rPr>
          <w:rFonts w:ascii="Times New Roman" w:hAnsi="Times New Roman" w:cs="Times New Roman"/>
          <w:color w:val="auto"/>
          <w:sz w:val="24"/>
          <w:szCs w:val="24"/>
          <w:u w:val="single"/>
        </w:rPr>
      </w:pPr>
      <w:bookmarkStart w:id="3" w:name="_Toc47792638"/>
      <w:r w:rsidRPr="00255EC2">
        <w:rPr>
          <w:rFonts w:ascii="Times New Roman" w:hAnsi="Times New Roman" w:cs="Times New Roman"/>
          <w:color w:val="auto"/>
          <w:sz w:val="24"/>
          <w:szCs w:val="24"/>
          <w:u w:val="single"/>
        </w:rPr>
        <w:t>Question 2.</w:t>
      </w:r>
      <w:bookmarkEnd w:id="3"/>
    </w:p>
    <w:p w14:paraId="6265F37C" w14:textId="77777777" w:rsidR="005450E1" w:rsidRPr="00255EC2" w:rsidRDefault="005450E1" w:rsidP="00255EC2">
      <w:pPr>
        <w:pStyle w:val="ListParagraph"/>
        <w:numPr>
          <w:ilvl w:val="0"/>
          <w:numId w:val="1"/>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Calculation of ratios for year 2018-19:</w:t>
      </w:r>
    </w:p>
    <w:p w14:paraId="7C3AC70B" w14:textId="77777777" w:rsidR="005450E1" w:rsidRPr="00255EC2" w:rsidRDefault="005450E1" w:rsidP="00255EC2">
      <w:pPr>
        <w:pStyle w:val="ListParagraph"/>
        <w:spacing w:line="360" w:lineRule="auto"/>
        <w:jc w:val="both"/>
        <w:rPr>
          <w:rFonts w:ascii="Times New Roman" w:hAnsi="Times New Roman" w:cs="Times New Roman"/>
          <w:sz w:val="24"/>
          <w:szCs w:val="24"/>
        </w:rPr>
      </w:pPr>
    </w:p>
    <w:p w14:paraId="75F2D985" w14:textId="77777777" w:rsidR="005450E1" w:rsidRPr="00255EC2" w:rsidRDefault="005450E1"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Return on capital employed ratio: Operating profit / capital employed</w:t>
      </w:r>
    </w:p>
    <w:p w14:paraId="008FAC25" w14:textId="77777777" w:rsidR="005450E1" w:rsidRPr="00255EC2" w:rsidRDefault="005450E1" w:rsidP="00255EC2">
      <w:pPr>
        <w:pStyle w:val="ListParagraph"/>
        <w:spacing w:line="360" w:lineRule="auto"/>
        <w:ind w:left="1080"/>
        <w:jc w:val="both"/>
        <w:rPr>
          <w:rFonts w:ascii="Times New Roman" w:hAnsi="Times New Roman" w:cs="Times New Roman"/>
          <w:sz w:val="24"/>
          <w:szCs w:val="24"/>
        </w:rPr>
      </w:pP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097C829F" w14:textId="77777777" w:rsidTr="00F962EB">
        <w:tc>
          <w:tcPr>
            <w:tcW w:w="4135" w:type="dxa"/>
          </w:tcPr>
          <w:p w14:paraId="22CBBF6A" w14:textId="77777777" w:rsidR="005450E1" w:rsidRPr="00255EC2" w:rsidRDefault="00F962EB"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return on capital employed ratio</w:t>
            </w:r>
          </w:p>
        </w:tc>
        <w:tc>
          <w:tcPr>
            <w:tcW w:w="2070" w:type="dxa"/>
          </w:tcPr>
          <w:p w14:paraId="7D7B1348" w14:textId="77777777" w:rsidR="005450E1"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759FAB53" w14:textId="77777777" w:rsidR="005450E1"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3A104077" w14:textId="77777777" w:rsidTr="00F962EB">
        <w:tc>
          <w:tcPr>
            <w:tcW w:w="4135" w:type="dxa"/>
          </w:tcPr>
          <w:p w14:paraId="08ABBDCB"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Operating profit</w:t>
            </w:r>
          </w:p>
        </w:tc>
        <w:tc>
          <w:tcPr>
            <w:tcW w:w="2070" w:type="dxa"/>
          </w:tcPr>
          <w:p w14:paraId="3F9CD8C8"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29.7</w:t>
            </w:r>
          </w:p>
        </w:tc>
        <w:tc>
          <w:tcPr>
            <w:tcW w:w="2065" w:type="dxa"/>
          </w:tcPr>
          <w:p w14:paraId="7F3547CB"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23.0</w:t>
            </w:r>
          </w:p>
        </w:tc>
      </w:tr>
      <w:tr w:rsidR="00255EC2" w:rsidRPr="00255EC2" w14:paraId="7DF06859" w14:textId="77777777" w:rsidTr="00F962EB">
        <w:tc>
          <w:tcPr>
            <w:tcW w:w="4135" w:type="dxa"/>
          </w:tcPr>
          <w:p w14:paraId="1C85E9AD"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Capital employed (Total assets-current liabilities)</w:t>
            </w:r>
          </w:p>
        </w:tc>
        <w:tc>
          <w:tcPr>
            <w:tcW w:w="2070" w:type="dxa"/>
          </w:tcPr>
          <w:p w14:paraId="58626085"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145.4</w:t>
            </w:r>
          </w:p>
        </w:tc>
        <w:tc>
          <w:tcPr>
            <w:tcW w:w="2065" w:type="dxa"/>
          </w:tcPr>
          <w:p w14:paraId="511DC3E1"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135.1</w:t>
            </w:r>
          </w:p>
        </w:tc>
      </w:tr>
      <w:tr w:rsidR="00255EC2" w:rsidRPr="00255EC2" w14:paraId="42911F4F" w14:textId="77777777" w:rsidTr="00F962EB">
        <w:tc>
          <w:tcPr>
            <w:tcW w:w="4135" w:type="dxa"/>
          </w:tcPr>
          <w:p w14:paraId="0AE027D4"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5464AF7B"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29.7/145.4</w:t>
            </w:r>
          </w:p>
        </w:tc>
        <w:tc>
          <w:tcPr>
            <w:tcW w:w="2065" w:type="dxa"/>
          </w:tcPr>
          <w:p w14:paraId="35ACD5C1"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23.0/135.1</w:t>
            </w:r>
          </w:p>
        </w:tc>
      </w:tr>
      <w:tr w:rsidR="005450E1" w:rsidRPr="00255EC2" w14:paraId="73EB7843" w14:textId="77777777" w:rsidTr="00F962EB">
        <w:tc>
          <w:tcPr>
            <w:tcW w:w="4135" w:type="dxa"/>
          </w:tcPr>
          <w:p w14:paraId="546AFD81"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Return on capital employed</w:t>
            </w:r>
          </w:p>
        </w:tc>
        <w:tc>
          <w:tcPr>
            <w:tcW w:w="2070" w:type="dxa"/>
          </w:tcPr>
          <w:p w14:paraId="278C159B"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0.20</w:t>
            </w:r>
          </w:p>
        </w:tc>
        <w:tc>
          <w:tcPr>
            <w:tcW w:w="2065" w:type="dxa"/>
          </w:tcPr>
          <w:p w14:paraId="4425A9AF" w14:textId="77777777" w:rsidR="005450E1"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0.17</w:t>
            </w:r>
          </w:p>
        </w:tc>
      </w:tr>
    </w:tbl>
    <w:p w14:paraId="3E258652" w14:textId="77777777" w:rsidR="00F962EB" w:rsidRPr="00255EC2" w:rsidRDefault="00F962EB" w:rsidP="00255EC2">
      <w:pPr>
        <w:spacing w:line="360" w:lineRule="auto"/>
        <w:jc w:val="both"/>
        <w:rPr>
          <w:rFonts w:ascii="Times New Roman" w:hAnsi="Times New Roman" w:cs="Times New Roman"/>
          <w:sz w:val="24"/>
          <w:szCs w:val="24"/>
        </w:rPr>
      </w:pPr>
    </w:p>
    <w:p w14:paraId="409EC544" w14:textId="77777777" w:rsidR="00F962EB" w:rsidRPr="00255EC2" w:rsidRDefault="00F962EB"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Return on equity: Net income/shareholders’ equity</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1F4A6A42" w14:textId="77777777" w:rsidTr="009342E0">
        <w:tc>
          <w:tcPr>
            <w:tcW w:w="4135" w:type="dxa"/>
          </w:tcPr>
          <w:p w14:paraId="26029480" w14:textId="77777777" w:rsidR="00F962EB" w:rsidRPr="00255EC2" w:rsidRDefault="00F962EB"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return on equity ratio</w:t>
            </w:r>
          </w:p>
        </w:tc>
        <w:tc>
          <w:tcPr>
            <w:tcW w:w="2070" w:type="dxa"/>
          </w:tcPr>
          <w:p w14:paraId="4C07C153" w14:textId="77777777" w:rsidR="00F962EB"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60906A49" w14:textId="77777777" w:rsidR="00F962EB"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3EE55609" w14:textId="77777777" w:rsidTr="009342E0">
        <w:tc>
          <w:tcPr>
            <w:tcW w:w="4135" w:type="dxa"/>
          </w:tcPr>
          <w:p w14:paraId="04DB237F"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Net income</w:t>
            </w:r>
          </w:p>
        </w:tc>
        <w:tc>
          <w:tcPr>
            <w:tcW w:w="2070" w:type="dxa"/>
          </w:tcPr>
          <w:p w14:paraId="65ED777B"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18.3</w:t>
            </w:r>
          </w:p>
        </w:tc>
        <w:tc>
          <w:tcPr>
            <w:tcW w:w="2065" w:type="dxa"/>
          </w:tcPr>
          <w:p w14:paraId="620D9A4D"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12.9</w:t>
            </w:r>
          </w:p>
        </w:tc>
      </w:tr>
      <w:tr w:rsidR="00255EC2" w:rsidRPr="00255EC2" w14:paraId="74F8939D" w14:textId="77777777" w:rsidTr="009342E0">
        <w:tc>
          <w:tcPr>
            <w:tcW w:w="4135" w:type="dxa"/>
          </w:tcPr>
          <w:p w14:paraId="7F227DD8"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Shareholders’ equity</w:t>
            </w:r>
          </w:p>
        </w:tc>
        <w:tc>
          <w:tcPr>
            <w:tcW w:w="2070" w:type="dxa"/>
          </w:tcPr>
          <w:p w14:paraId="6942BADB"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80.3</w:t>
            </w:r>
          </w:p>
        </w:tc>
        <w:tc>
          <w:tcPr>
            <w:tcW w:w="2065" w:type="dxa"/>
          </w:tcPr>
          <w:p w14:paraId="40075945"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93.1</w:t>
            </w:r>
          </w:p>
        </w:tc>
      </w:tr>
      <w:tr w:rsidR="00255EC2" w:rsidRPr="00255EC2" w14:paraId="395D3778" w14:textId="77777777" w:rsidTr="009342E0">
        <w:tc>
          <w:tcPr>
            <w:tcW w:w="4135" w:type="dxa"/>
          </w:tcPr>
          <w:p w14:paraId="7F43EF48"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6C3FAA18"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18.3/80.3</w:t>
            </w:r>
          </w:p>
        </w:tc>
        <w:tc>
          <w:tcPr>
            <w:tcW w:w="2065" w:type="dxa"/>
          </w:tcPr>
          <w:p w14:paraId="616D4E2E"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12.9/93.1</w:t>
            </w:r>
          </w:p>
        </w:tc>
      </w:tr>
      <w:tr w:rsidR="00F962EB" w:rsidRPr="00255EC2" w14:paraId="097EDAC4" w14:textId="77777777" w:rsidTr="009342E0">
        <w:tc>
          <w:tcPr>
            <w:tcW w:w="4135" w:type="dxa"/>
          </w:tcPr>
          <w:p w14:paraId="4825BAA1"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Return on equity</w:t>
            </w:r>
          </w:p>
        </w:tc>
        <w:tc>
          <w:tcPr>
            <w:tcW w:w="2070" w:type="dxa"/>
          </w:tcPr>
          <w:p w14:paraId="6A7589A1"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0.23</w:t>
            </w:r>
          </w:p>
        </w:tc>
        <w:tc>
          <w:tcPr>
            <w:tcW w:w="2065" w:type="dxa"/>
          </w:tcPr>
          <w:p w14:paraId="3A2DC8D8" w14:textId="77777777" w:rsidR="00F962EB" w:rsidRPr="00255EC2" w:rsidRDefault="00F962EB"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0.14</w:t>
            </w:r>
          </w:p>
        </w:tc>
      </w:tr>
    </w:tbl>
    <w:p w14:paraId="7BA361FD" w14:textId="77777777" w:rsidR="00C62A57" w:rsidRPr="00D66BB8" w:rsidRDefault="00C62A57" w:rsidP="00255EC2">
      <w:pPr>
        <w:pStyle w:val="ListParagraph"/>
        <w:pageBreakBefore/>
        <w:numPr>
          <w:ilvl w:val="0"/>
          <w:numId w:val="2"/>
        </w:numPr>
        <w:spacing w:line="360" w:lineRule="auto"/>
        <w:jc w:val="both"/>
        <w:rPr>
          <w:rFonts w:ascii="Times New Roman" w:hAnsi="Times New Roman" w:cs="Times New Roman"/>
          <w:i/>
          <w:sz w:val="24"/>
          <w:szCs w:val="24"/>
          <w:shd w:val="clear" w:color="auto" w:fill="FFFFFF"/>
        </w:rPr>
      </w:pPr>
      <w:r w:rsidRPr="00D66BB8">
        <w:rPr>
          <w:rFonts w:ascii="Times New Roman" w:hAnsi="Times New Roman" w:cs="Times New Roman"/>
          <w:bCs/>
          <w:i/>
          <w:sz w:val="24"/>
          <w:szCs w:val="24"/>
          <w:shd w:val="clear" w:color="auto" w:fill="FFFFFF"/>
        </w:rPr>
        <w:lastRenderedPageBreak/>
        <w:t xml:space="preserve">EPS or Earning per share: Net Profit / Number of Shares </w:t>
      </w:r>
    </w:p>
    <w:tbl>
      <w:tblPr>
        <w:tblW w:w="8309" w:type="dxa"/>
        <w:tblInd w:w="1079" w:type="dxa"/>
        <w:tblLayout w:type="fixed"/>
        <w:tblCellMar>
          <w:top w:w="55" w:type="dxa"/>
          <w:left w:w="55" w:type="dxa"/>
          <w:bottom w:w="55" w:type="dxa"/>
          <w:right w:w="55" w:type="dxa"/>
        </w:tblCellMar>
        <w:tblLook w:val="0000" w:firstRow="0" w:lastRow="0" w:firstColumn="0" w:lastColumn="0" w:noHBand="0" w:noVBand="0"/>
      </w:tblPr>
      <w:tblGrid>
        <w:gridCol w:w="4140"/>
        <w:gridCol w:w="2070"/>
        <w:gridCol w:w="2099"/>
      </w:tblGrid>
      <w:tr w:rsidR="00255EC2" w:rsidRPr="00255EC2" w14:paraId="750F684F" w14:textId="77777777" w:rsidTr="00E874F7">
        <w:tc>
          <w:tcPr>
            <w:tcW w:w="4140" w:type="dxa"/>
            <w:tcBorders>
              <w:top w:val="single" w:sz="1" w:space="0" w:color="000000"/>
              <w:left w:val="single" w:sz="1" w:space="0" w:color="000000"/>
              <w:bottom w:val="single" w:sz="1" w:space="0" w:color="000000"/>
            </w:tcBorders>
            <w:shd w:val="clear" w:color="auto" w:fill="auto"/>
          </w:tcPr>
          <w:p w14:paraId="45F32623" w14:textId="77777777" w:rsidR="00C62A57" w:rsidRPr="00255EC2" w:rsidRDefault="00E874F7" w:rsidP="00255EC2">
            <w:pPr>
              <w:pStyle w:val="TableContents"/>
              <w:rPr>
                <w:color w:val="auto"/>
                <w:szCs w:val="24"/>
                <w:shd w:val="clear" w:color="auto" w:fill="FFFFFF"/>
              </w:rPr>
            </w:pPr>
            <w:r w:rsidRPr="00255EC2">
              <w:rPr>
                <w:b/>
                <w:i/>
                <w:color w:val="auto"/>
                <w:szCs w:val="24"/>
              </w:rPr>
              <w:t>All data in £ except EPS</w:t>
            </w:r>
          </w:p>
        </w:tc>
        <w:tc>
          <w:tcPr>
            <w:tcW w:w="2070" w:type="dxa"/>
            <w:tcBorders>
              <w:top w:val="single" w:sz="1" w:space="0" w:color="000000"/>
              <w:left w:val="single" w:sz="1" w:space="0" w:color="000000"/>
              <w:bottom w:val="single" w:sz="1" w:space="0" w:color="000000"/>
            </w:tcBorders>
            <w:shd w:val="clear" w:color="auto" w:fill="auto"/>
          </w:tcPr>
          <w:p w14:paraId="1C0AF70A"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2019 (£ in Million)</w:t>
            </w:r>
          </w:p>
        </w:tc>
        <w:tc>
          <w:tcPr>
            <w:tcW w:w="2099" w:type="dxa"/>
            <w:tcBorders>
              <w:top w:val="single" w:sz="1" w:space="0" w:color="000000"/>
              <w:left w:val="single" w:sz="1" w:space="0" w:color="000000"/>
              <w:bottom w:val="single" w:sz="1" w:space="0" w:color="000000"/>
              <w:right w:val="single" w:sz="1" w:space="0" w:color="000000"/>
            </w:tcBorders>
            <w:shd w:val="clear" w:color="auto" w:fill="auto"/>
          </w:tcPr>
          <w:p w14:paraId="6BB40ACE" w14:textId="77777777" w:rsidR="00C62A57" w:rsidRPr="00255EC2" w:rsidRDefault="00C62A57" w:rsidP="00255EC2">
            <w:pPr>
              <w:pStyle w:val="TableContents"/>
              <w:rPr>
                <w:color w:val="auto"/>
                <w:szCs w:val="24"/>
              </w:rPr>
            </w:pPr>
            <w:r w:rsidRPr="00255EC2">
              <w:rPr>
                <w:color w:val="auto"/>
                <w:szCs w:val="24"/>
                <w:shd w:val="clear" w:color="auto" w:fill="FFFFFF"/>
              </w:rPr>
              <w:t xml:space="preserve"> 2018 (£ in Million)</w:t>
            </w:r>
          </w:p>
        </w:tc>
      </w:tr>
      <w:tr w:rsidR="00255EC2" w:rsidRPr="00255EC2" w14:paraId="6B67A80F" w14:textId="77777777" w:rsidTr="00E874F7">
        <w:tc>
          <w:tcPr>
            <w:tcW w:w="4140" w:type="dxa"/>
            <w:tcBorders>
              <w:left w:val="single" w:sz="1" w:space="0" w:color="000000"/>
              <w:bottom w:val="single" w:sz="1" w:space="0" w:color="000000"/>
            </w:tcBorders>
            <w:shd w:val="clear" w:color="auto" w:fill="auto"/>
          </w:tcPr>
          <w:p w14:paraId="6B21990E"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Net Profit</w:t>
            </w:r>
          </w:p>
        </w:tc>
        <w:tc>
          <w:tcPr>
            <w:tcW w:w="2070" w:type="dxa"/>
            <w:tcBorders>
              <w:left w:val="single" w:sz="1" w:space="0" w:color="000000"/>
              <w:bottom w:val="single" w:sz="1" w:space="0" w:color="000000"/>
            </w:tcBorders>
            <w:shd w:val="clear" w:color="auto" w:fill="auto"/>
          </w:tcPr>
          <w:p w14:paraId="02F99FC2"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12.9</w:t>
            </w:r>
          </w:p>
        </w:tc>
        <w:tc>
          <w:tcPr>
            <w:tcW w:w="2099" w:type="dxa"/>
            <w:tcBorders>
              <w:left w:val="single" w:sz="1" w:space="0" w:color="000000"/>
              <w:bottom w:val="single" w:sz="1" w:space="0" w:color="000000"/>
              <w:right w:val="single" w:sz="1" w:space="0" w:color="000000"/>
            </w:tcBorders>
            <w:shd w:val="clear" w:color="auto" w:fill="auto"/>
          </w:tcPr>
          <w:p w14:paraId="3D7277B8" w14:textId="77777777" w:rsidR="00C62A57" w:rsidRPr="00255EC2" w:rsidRDefault="00C62A57" w:rsidP="00255EC2">
            <w:pPr>
              <w:pStyle w:val="TableContents"/>
              <w:rPr>
                <w:color w:val="auto"/>
                <w:szCs w:val="24"/>
              </w:rPr>
            </w:pPr>
            <w:r w:rsidRPr="00255EC2">
              <w:rPr>
                <w:color w:val="auto"/>
                <w:szCs w:val="24"/>
                <w:shd w:val="clear" w:color="auto" w:fill="FFFFFF"/>
              </w:rPr>
              <w:t>18.3</w:t>
            </w:r>
          </w:p>
        </w:tc>
      </w:tr>
      <w:tr w:rsidR="00255EC2" w:rsidRPr="00255EC2" w14:paraId="2C00EB73" w14:textId="77777777" w:rsidTr="00E874F7">
        <w:tc>
          <w:tcPr>
            <w:tcW w:w="4140" w:type="dxa"/>
            <w:tcBorders>
              <w:left w:val="single" w:sz="1" w:space="0" w:color="000000"/>
              <w:bottom w:val="single" w:sz="1" w:space="0" w:color="000000"/>
            </w:tcBorders>
            <w:shd w:val="clear" w:color="auto" w:fill="auto"/>
          </w:tcPr>
          <w:p w14:paraId="02A72C9B"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Number of Shares</w:t>
            </w:r>
          </w:p>
        </w:tc>
        <w:tc>
          <w:tcPr>
            <w:tcW w:w="2070" w:type="dxa"/>
            <w:tcBorders>
              <w:left w:val="single" w:sz="1" w:space="0" w:color="000000"/>
              <w:bottom w:val="single" w:sz="1" w:space="0" w:color="000000"/>
            </w:tcBorders>
            <w:shd w:val="clear" w:color="auto" w:fill="auto"/>
          </w:tcPr>
          <w:p w14:paraId="6266F22D"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17.8</w:t>
            </w:r>
          </w:p>
        </w:tc>
        <w:tc>
          <w:tcPr>
            <w:tcW w:w="2099" w:type="dxa"/>
            <w:tcBorders>
              <w:left w:val="single" w:sz="1" w:space="0" w:color="000000"/>
              <w:bottom w:val="single" w:sz="1" w:space="0" w:color="000000"/>
              <w:right w:val="single" w:sz="1" w:space="0" w:color="000000"/>
            </w:tcBorders>
            <w:shd w:val="clear" w:color="auto" w:fill="auto"/>
          </w:tcPr>
          <w:p w14:paraId="22658736" w14:textId="77777777" w:rsidR="00C62A57" w:rsidRPr="00255EC2" w:rsidRDefault="00C62A57" w:rsidP="00255EC2">
            <w:pPr>
              <w:pStyle w:val="TableContents"/>
              <w:rPr>
                <w:color w:val="auto"/>
                <w:szCs w:val="24"/>
              </w:rPr>
            </w:pPr>
            <w:r w:rsidRPr="00255EC2">
              <w:rPr>
                <w:color w:val="auto"/>
                <w:szCs w:val="24"/>
                <w:shd w:val="clear" w:color="auto" w:fill="FFFFFF"/>
              </w:rPr>
              <w:t>17.8</w:t>
            </w:r>
          </w:p>
        </w:tc>
      </w:tr>
      <w:tr w:rsidR="00255EC2" w:rsidRPr="00255EC2" w14:paraId="53368488" w14:textId="77777777" w:rsidTr="00E874F7">
        <w:tc>
          <w:tcPr>
            <w:tcW w:w="4140" w:type="dxa"/>
            <w:tcBorders>
              <w:left w:val="single" w:sz="1" w:space="0" w:color="000000"/>
              <w:bottom w:val="single" w:sz="1" w:space="0" w:color="000000"/>
            </w:tcBorders>
            <w:shd w:val="clear" w:color="auto" w:fill="auto"/>
          </w:tcPr>
          <w:p w14:paraId="3A556389"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 xml:space="preserve">Calculation </w:t>
            </w:r>
          </w:p>
        </w:tc>
        <w:tc>
          <w:tcPr>
            <w:tcW w:w="2070" w:type="dxa"/>
            <w:tcBorders>
              <w:left w:val="single" w:sz="1" w:space="0" w:color="000000"/>
              <w:bottom w:val="single" w:sz="1" w:space="0" w:color="000000"/>
            </w:tcBorders>
            <w:shd w:val="clear" w:color="auto" w:fill="auto"/>
          </w:tcPr>
          <w:p w14:paraId="78D8408E"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12.9 / 17.8</w:t>
            </w:r>
          </w:p>
        </w:tc>
        <w:tc>
          <w:tcPr>
            <w:tcW w:w="2099" w:type="dxa"/>
            <w:tcBorders>
              <w:left w:val="single" w:sz="1" w:space="0" w:color="000000"/>
              <w:bottom w:val="single" w:sz="1" w:space="0" w:color="000000"/>
              <w:right w:val="single" w:sz="1" w:space="0" w:color="000000"/>
            </w:tcBorders>
            <w:shd w:val="clear" w:color="auto" w:fill="auto"/>
          </w:tcPr>
          <w:p w14:paraId="1B3173DC"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18.3 / 17.8</w:t>
            </w:r>
          </w:p>
        </w:tc>
      </w:tr>
      <w:tr w:rsidR="00255EC2" w:rsidRPr="00255EC2" w14:paraId="4B9D3537" w14:textId="77777777" w:rsidTr="00E874F7">
        <w:tc>
          <w:tcPr>
            <w:tcW w:w="4140" w:type="dxa"/>
            <w:tcBorders>
              <w:left w:val="single" w:sz="1" w:space="0" w:color="000000"/>
              <w:bottom w:val="single" w:sz="1" w:space="0" w:color="000000"/>
            </w:tcBorders>
            <w:shd w:val="clear" w:color="auto" w:fill="auto"/>
          </w:tcPr>
          <w:p w14:paraId="6D87256D"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 xml:space="preserve">EPS </w:t>
            </w:r>
          </w:p>
        </w:tc>
        <w:tc>
          <w:tcPr>
            <w:tcW w:w="2070" w:type="dxa"/>
            <w:tcBorders>
              <w:left w:val="single" w:sz="1" w:space="0" w:color="000000"/>
              <w:bottom w:val="single" w:sz="1" w:space="0" w:color="000000"/>
            </w:tcBorders>
            <w:shd w:val="clear" w:color="auto" w:fill="auto"/>
          </w:tcPr>
          <w:p w14:paraId="74B3C67F" w14:textId="77777777" w:rsidR="00C62A57" w:rsidRPr="00255EC2" w:rsidRDefault="00C62A57" w:rsidP="00255EC2">
            <w:pPr>
              <w:pStyle w:val="TableContents"/>
              <w:rPr>
                <w:color w:val="auto"/>
                <w:szCs w:val="24"/>
                <w:shd w:val="clear" w:color="auto" w:fill="FFFFFF"/>
              </w:rPr>
            </w:pPr>
            <w:r w:rsidRPr="00255EC2">
              <w:rPr>
                <w:color w:val="auto"/>
                <w:szCs w:val="24"/>
                <w:shd w:val="clear" w:color="auto" w:fill="FFFFFF"/>
              </w:rPr>
              <w:t>0.7247 per share</w:t>
            </w:r>
          </w:p>
        </w:tc>
        <w:tc>
          <w:tcPr>
            <w:tcW w:w="2099" w:type="dxa"/>
            <w:tcBorders>
              <w:left w:val="single" w:sz="1" w:space="0" w:color="000000"/>
              <w:bottom w:val="single" w:sz="1" w:space="0" w:color="000000"/>
              <w:right w:val="single" w:sz="1" w:space="0" w:color="000000"/>
            </w:tcBorders>
            <w:shd w:val="clear" w:color="auto" w:fill="auto"/>
          </w:tcPr>
          <w:p w14:paraId="2FD2F8BD" w14:textId="77777777" w:rsidR="00C62A57" w:rsidRPr="00255EC2" w:rsidRDefault="00C62A57" w:rsidP="00255EC2">
            <w:pPr>
              <w:pStyle w:val="TableContents"/>
              <w:rPr>
                <w:color w:val="auto"/>
                <w:szCs w:val="24"/>
              </w:rPr>
            </w:pPr>
            <w:r w:rsidRPr="00255EC2">
              <w:rPr>
                <w:color w:val="auto"/>
                <w:szCs w:val="24"/>
                <w:shd w:val="clear" w:color="auto" w:fill="FFFFFF"/>
              </w:rPr>
              <w:t>1.0281 per share</w:t>
            </w:r>
          </w:p>
        </w:tc>
      </w:tr>
    </w:tbl>
    <w:p w14:paraId="690F4E8D" w14:textId="77777777" w:rsidR="00E874F7" w:rsidRPr="00255EC2" w:rsidRDefault="00E874F7"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
      </w:r>
    </w:p>
    <w:p w14:paraId="0B4573AF" w14:textId="77777777" w:rsidR="00F962EB" w:rsidRPr="00255EC2" w:rsidRDefault="00F962EB" w:rsidP="00255EC2">
      <w:pPr>
        <w:spacing w:line="360" w:lineRule="auto"/>
        <w:jc w:val="both"/>
        <w:rPr>
          <w:rFonts w:ascii="Times New Roman" w:hAnsi="Times New Roman" w:cs="Times New Roman"/>
          <w:sz w:val="24"/>
          <w:szCs w:val="24"/>
        </w:rPr>
      </w:pPr>
    </w:p>
    <w:p w14:paraId="0273A8BD" w14:textId="77777777" w:rsidR="00F962EB" w:rsidRPr="00255EC2" w:rsidRDefault="00F962EB"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Gross profit margin: Gross profit/net sales*100</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08EEF7E5" w14:textId="77777777" w:rsidTr="009342E0">
        <w:tc>
          <w:tcPr>
            <w:tcW w:w="4135" w:type="dxa"/>
          </w:tcPr>
          <w:p w14:paraId="2A1D1BED" w14:textId="77777777" w:rsidR="00F962EB" w:rsidRPr="00255EC2" w:rsidRDefault="00F962EB"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 xml:space="preserve">All data in £ except </w:t>
            </w:r>
            <w:r w:rsidR="00CE61ED" w:rsidRPr="00255EC2">
              <w:rPr>
                <w:rFonts w:ascii="Times New Roman" w:hAnsi="Times New Roman" w:cs="Times New Roman"/>
                <w:b/>
                <w:i/>
                <w:sz w:val="24"/>
                <w:szCs w:val="24"/>
              </w:rPr>
              <w:t>gross profit margin</w:t>
            </w:r>
          </w:p>
        </w:tc>
        <w:tc>
          <w:tcPr>
            <w:tcW w:w="2070" w:type="dxa"/>
          </w:tcPr>
          <w:p w14:paraId="39C50E98" w14:textId="77777777" w:rsidR="00F962EB"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57CDB03D" w14:textId="77777777" w:rsidR="00F962EB" w:rsidRPr="00255EC2" w:rsidRDefault="00F962EB"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3815A968" w14:textId="77777777" w:rsidTr="009342E0">
        <w:tc>
          <w:tcPr>
            <w:tcW w:w="4135" w:type="dxa"/>
          </w:tcPr>
          <w:p w14:paraId="52A8B69A"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Gross profit</w:t>
            </w:r>
          </w:p>
        </w:tc>
        <w:tc>
          <w:tcPr>
            <w:tcW w:w="2070" w:type="dxa"/>
          </w:tcPr>
          <w:p w14:paraId="2D720471"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186.9</w:t>
            </w:r>
          </w:p>
        </w:tc>
        <w:tc>
          <w:tcPr>
            <w:tcW w:w="2065" w:type="dxa"/>
          </w:tcPr>
          <w:p w14:paraId="0A213C5E"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191.8</w:t>
            </w:r>
          </w:p>
        </w:tc>
      </w:tr>
      <w:tr w:rsidR="00255EC2" w:rsidRPr="00255EC2" w14:paraId="7304EFBC" w14:textId="77777777" w:rsidTr="009342E0">
        <w:tc>
          <w:tcPr>
            <w:tcW w:w="4135" w:type="dxa"/>
          </w:tcPr>
          <w:p w14:paraId="3210CAA8"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Net sales</w:t>
            </w:r>
          </w:p>
        </w:tc>
        <w:tc>
          <w:tcPr>
            <w:tcW w:w="2070" w:type="dxa"/>
          </w:tcPr>
          <w:p w14:paraId="493B5AA2"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486.8</w:t>
            </w:r>
          </w:p>
        </w:tc>
        <w:tc>
          <w:tcPr>
            <w:tcW w:w="2065" w:type="dxa"/>
          </w:tcPr>
          <w:p w14:paraId="0510DD42"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501.3</w:t>
            </w:r>
          </w:p>
        </w:tc>
      </w:tr>
      <w:tr w:rsidR="00255EC2" w:rsidRPr="00255EC2" w14:paraId="4AD6AC75" w14:textId="77777777" w:rsidTr="009342E0">
        <w:tc>
          <w:tcPr>
            <w:tcW w:w="4135" w:type="dxa"/>
          </w:tcPr>
          <w:p w14:paraId="1F6DF96F"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5906CDCC"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186.9/486.8*100</w:t>
            </w:r>
          </w:p>
        </w:tc>
        <w:tc>
          <w:tcPr>
            <w:tcW w:w="2065" w:type="dxa"/>
          </w:tcPr>
          <w:p w14:paraId="7511E6F8"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191.8/501.3*100</w:t>
            </w:r>
          </w:p>
        </w:tc>
      </w:tr>
      <w:tr w:rsidR="00F962EB" w:rsidRPr="00255EC2" w14:paraId="594EBCA5" w14:textId="77777777" w:rsidTr="009342E0">
        <w:tc>
          <w:tcPr>
            <w:tcW w:w="4135" w:type="dxa"/>
          </w:tcPr>
          <w:p w14:paraId="28A2E1CB"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Gross profit margin</w:t>
            </w:r>
          </w:p>
        </w:tc>
        <w:tc>
          <w:tcPr>
            <w:tcW w:w="2070" w:type="dxa"/>
          </w:tcPr>
          <w:p w14:paraId="0BBCE1B2"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38.39%</w:t>
            </w:r>
          </w:p>
        </w:tc>
        <w:tc>
          <w:tcPr>
            <w:tcW w:w="2065" w:type="dxa"/>
          </w:tcPr>
          <w:p w14:paraId="682B1EF0" w14:textId="77777777" w:rsidR="00F962EB"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38.26%</w:t>
            </w:r>
          </w:p>
        </w:tc>
      </w:tr>
    </w:tbl>
    <w:p w14:paraId="3CA7EF84" w14:textId="77777777" w:rsidR="00F962EB" w:rsidRPr="00255EC2" w:rsidRDefault="00F962EB" w:rsidP="00255EC2">
      <w:pPr>
        <w:spacing w:line="360" w:lineRule="auto"/>
        <w:jc w:val="both"/>
        <w:rPr>
          <w:rFonts w:ascii="Times New Roman" w:hAnsi="Times New Roman" w:cs="Times New Roman"/>
          <w:sz w:val="24"/>
          <w:szCs w:val="24"/>
        </w:rPr>
      </w:pPr>
    </w:p>
    <w:p w14:paraId="119C722C" w14:textId="77777777" w:rsidR="00CE61ED" w:rsidRPr="00255EC2" w:rsidRDefault="00CE61ED" w:rsidP="00255EC2">
      <w:pPr>
        <w:spacing w:line="360" w:lineRule="auto"/>
        <w:jc w:val="both"/>
        <w:rPr>
          <w:rFonts w:ascii="Times New Roman" w:hAnsi="Times New Roman" w:cs="Times New Roman"/>
          <w:sz w:val="24"/>
          <w:szCs w:val="24"/>
        </w:rPr>
      </w:pPr>
    </w:p>
    <w:p w14:paraId="39D4C5F2" w14:textId="77777777" w:rsidR="00CE61ED" w:rsidRPr="00255EC2" w:rsidRDefault="00CE61ED"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Assets turnover ratio: Net sales/total net assets</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17F80337" w14:textId="77777777" w:rsidTr="009342E0">
        <w:tc>
          <w:tcPr>
            <w:tcW w:w="4135" w:type="dxa"/>
          </w:tcPr>
          <w:p w14:paraId="32BAA517" w14:textId="77777777" w:rsidR="00CE61ED" w:rsidRPr="00255EC2" w:rsidRDefault="00CE61ED"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assets turnover ratio</w:t>
            </w:r>
          </w:p>
        </w:tc>
        <w:tc>
          <w:tcPr>
            <w:tcW w:w="2070" w:type="dxa"/>
          </w:tcPr>
          <w:p w14:paraId="3D5C2478" w14:textId="77777777" w:rsidR="00CE61ED" w:rsidRPr="00255EC2" w:rsidRDefault="00CE61ED"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12EFE384" w14:textId="77777777" w:rsidR="00CE61ED" w:rsidRPr="00255EC2" w:rsidRDefault="00CE61ED"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15C7EF29" w14:textId="77777777" w:rsidTr="009342E0">
        <w:tc>
          <w:tcPr>
            <w:tcW w:w="4135" w:type="dxa"/>
          </w:tcPr>
          <w:p w14:paraId="20A01AAB"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Net sales</w:t>
            </w:r>
          </w:p>
        </w:tc>
        <w:tc>
          <w:tcPr>
            <w:tcW w:w="2070" w:type="dxa"/>
          </w:tcPr>
          <w:p w14:paraId="392BC2C0"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486.8</w:t>
            </w:r>
          </w:p>
        </w:tc>
        <w:tc>
          <w:tcPr>
            <w:tcW w:w="2065" w:type="dxa"/>
          </w:tcPr>
          <w:p w14:paraId="5EDB152B"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501.3</w:t>
            </w:r>
          </w:p>
        </w:tc>
      </w:tr>
      <w:tr w:rsidR="00255EC2" w:rsidRPr="00255EC2" w14:paraId="210E1E52" w14:textId="77777777" w:rsidTr="009342E0">
        <w:tc>
          <w:tcPr>
            <w:tcW w:w="4135" w:type="dxa"/>
          </w:tcPr>
          <w:p w14:paraId="322EB7E2"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Total net assets</w:t>
            </w:r>
          </w:p>
        </w:tc>
        <w:tc>
          <w:tcPr>
            <w:tcW w:w="2070" w:type="dxa"/>
          </w:tcPr>
          <w:p w14:paraId="45513796"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80.3</w:t>
            </w:r>
          </w:p>
        </w:tc>
        <w:tc>
          <w:tcPr>
            <w:tcW w:w="2065" w:type="dxa"/>
          </w:tcPr>
          <w:p w14:paraId="57CE5134"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93.2</w:t>
            </w:r>
          </w:p>
        </w:tc>
      </w:tr>
      <w:tr w:rsidR="00255EC2" w:rsidRPr="00255EC2" w14:paraId="3C605B5C" w14:textId="77777777" w:rsidTr="009342E0">
        <w:tc>
          <w:tcPr>
            <w:tcW w:w="4135" w:type="dxa"/>
          </w:tcPr>
          <w:p w14:paraId="35ADEEE1"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6CB20554"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486.8/80.3</w:t>
            </w:r>
          </w:p>
        </w:tc>
        <w:tc>
          <w:tcPr>
            <w:tcW w:w="2065" w:type="dxa"/>
          </w:tcPr>
          <w:p w14:paraId="04834E52"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501.3/93.2</w:t>
            </w:r>
          </w:p>
        </w:tc>
      </w:tr>
      <w:tr w:rsidR="00CE61ED" w:rsidRPr="00255EC2" w14:paraId="62D38110" w14:textId="77777777" w:rsidTr="009342E0">
        <w:tc>
          <w:tcPr>
            <w:tcW w:w="4135" w:type="dxa"/>
          </w:tcPr>
          <w:p w14:paraId="579D9B68"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Assets turnover ratio</w:t>
            </w:r>
          </w:p>
        </w:tc>
        <w:tc>
          <w:tcPr>
            <w:tcW w:w="2070" w:type="dxa"/>
          </w:tcPr>
          <w:p w14:paraId="545FCD75"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6.06 times</w:t>
            </w:r>
          </w:p>
        </w:tc>
        <w:tc>
          <w:tcPr>
            <w:tcW w:w="2065" w:type="dxa"/>
          </w:tcPr>
          <w:p w14:paraId="7A59D1D3"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5.36 times</w:t>
            </w:r>
          </w:p>
        </w:tc>
      </w:tr>
    </w:tbl>
    <w:p w14:paraId="670B34ED" w14:textId="77777777" w:rsidR="00CE61ED" w:rsidRPr="00255EC2" w:rsidRDefault="00CE61ED" w:rsidP="00255EC2">
      <w:pPr>
        <w:spacing w:line="360" w:lineRule="auto"/>
        <w:jc w:val="both"/>
        <w:rPr>
          <w:rFonts w:ascii="Times New Roman" w:hAnsi="Times New Roman" w:cs="Times New Roman"/>
          <w:sz w:val="24"/>
          <w:szCs w:val="24"/>
        </w:rPr>
      </w:pPr>
    </w:p>
    <w:p w14:paraId="33FA5A70" w14:textId="77777777" w:rsidR="00CE61ED" w:rsidRPr="00255EC2" w:rsidRDefault="00CE61ED" w:rsidP="00255EC2">
      <w:pPr>
        <w:spacing w:line="360" w:lineRule="auto"/>
        <w:jc w:val="both"/>
        <w:rPr>
          <w:rFonts w:ascii="Times New Roman" w:hAnsi="Times New Roman" w:cs="Times New Roman"/>
          <w:sz w:val="24"/>
          <w:szCs w:val="24"/>
        </w:rPr>
      </w:pPr>
    </w:p>
    <w:p w14:paraId="266C5B92" w14:textId="77777777" w:rsidR="00CE61ED" w:rsidRPr="00255EC2" w:rsidRDefault="00CE61ED"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Stock holding period: 365/stock turnover ratio</w:t>
      </w:r>
    </w:p>
    <w:p w14:paraId="2601C48F" w14:textId="77777777" w:rsidR="00CE61ED" w:rsidRPr="00255EC2" w:rsidRDefault="00CE61ED"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sz w:val="24"/>
          <w:szCs w:val="24"/>
        </w:rPr>
        <w:t>Stock turnover ratio: Cost of goods sold/average inventory</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4E07EB44" w14:textId="77777777" w:rsidTr="009342E0">
        <w:tc>
          <w:tcPr>
            <w:tcW w:w="4135" w:type="dxa"/>
          </w:tcPr>
          <w:p w14:paraId="2CDE7798" w14:textId="77777777" w:rsidR="00CE61ED" w:rsidRPr="00255EC2" w:rsidRDefault="00CE61ED"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lastRenderedPageBreak/>
              <w:t>All data in £ except stock turnover ratio</w:t>
            </w:r>
          </w:p>
        </w:tc>
        <w:tc>
          <w:tcPr>
            <w:tcW w:w="2070" w:type="dxa"/>
          </w:tcPr>
          <w:p w14:paraId="6D9ECD4B" w14:textId="77777777" w:rsidR="00CE61ED" w:rsidRPr="00255EC2" w:rsidRDefault="00CE61ED"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0036B69A" w14:textId="77777777" w:rsidR="00CE61ED" w:rsidRPr="00255EC2" w:rsidRDefault="00CE61ED"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3F6619A9" w14:textId="77777777" w:rsidTr="009342E0">
        <w:tc>
          <w:tcPr>
            <w:tcW w:w="4135" w:type="dxa"/>
          </w:tcPr>
          <w:p w14:paraId="20D967D3"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Cost of goods sold</w:t>
            </w:r>
          </w:p>
        </w:tc>
        <w:tc>
          <w:tcPr>
            <w:tcW w:w="2070" w:type="dxa"/>
          </w:tcPr>
          <w:p w14:paraId="4F70BC87"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299.9</w:t>
            </w:r>
          </w:p>
        </w:tc>
        <w:tc>
          <w:tcPr>
            <w:tcW w:w="2065" w:type="dxa"/>
          </w:tcPr>
          <w:p w14:paraId="32FD6DB2"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309.5</w:t>
            </w:r>
          </w:p>
        </w:tc>
      </w:tr>
      <w:tr w:rsidR="00255EC2" w:rsidRPr="00255EC2" w14:paraId="3CFF4F62" w14:textId="77777777" w:rsidTr="009342E0">
        <w:tc>
          <w:tcPr>
            <w:tcW w:w="4135" w:type="dxa"/>
          </w:tcPr>
          <w:p w14:paraId="4AF3339F"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Inventory</w:t>
            </w:r>
          </w:p>
        </w:tc>
        <w:tc>
          <w:tcPr>
            <w:tcW w:w="2070" w:type="dxa"/>
          </w:tcPr>
          <w:p w14:paraId="6F1042AF"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41.1</w:t>
            </w:r>
          </w:p>
        </w:tc>
        <w:tc>
          <w:tcPr>
            <w:tcW w:w="2065" w:type="dxa"/>
          </w:tcPr>
          <w:p w14:paraId="5DDB314D"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38.8</w:t>
            </w:r>
          </w:p>
        </w:tc>
      </w:tr>
      <w:tr w:rsidR="00255EC2" w:rsidRPr="00255EC2" w14:paraId="2BA61710" w14:textId="77777777" w:rsidTr="009342E0">
        <w:tc>
          <w:tcPr>
            <w:tcW w:w="4135" w:type="dxa"/>
          </w:tcPr>
          <w:p w14:paraId="29953879"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5CA43393"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299.9/41.1</w:t>
            </w:r>
          </w:p>
        </w:tc>
        <w:tc>
          <w:tcPr>
            <w:tcW w:w="2065" w:type="dxa"/>
          </w:tcPr>
          <w:p w14:paraId="225B8265"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309.5/38.8</w:t>
            </w:r>
          </w:p>
        </w:tc>
      </w:tr>
      <w:tr w:rsidR="00CE61ED" w:rsidRPr="00255EC2" w14:paraId="181634C1" w14:textId="77777777" w:rsidTr="009342E0">
        <w:tc>
          <w:tcPr>
            <w:tcW w:w="4135" w:type="dxa"/>
          </w:tcPr>
          <w:p w14:paraId="1DCF8766"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Stock turnover ratio</w:t>
            </w:r>
          </w:p>
        </w:tc>
        <w:tc>
          <w:tcPr>
            <w:tcW w:w="2070" w:type="dxa"/>
          </w:tcPr>
          <w:p w14:paraId="3D8A0B94"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7.30 times</w:t>
            </w:r>
          </w:p>
        </w:tc>
        <w:tc>
          <w:tcPr>
            <w:tcW w:w="2065" w:type="dxa"/>
          </w:tcPr>
          <w:p w14:paraId="73EAF717" w14:textId="77777777" w:rsidR="00CE61ED" w:rsidRPr="00255EC2" w:rsidRDefault="00CE61ED"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7.98 times</w:t>
            </w:r>
          </w:p>
        </w:tc>
      </w:tr>
    </w:tbl>
    <w:p w14:paraId="26F28C48" w14:textId="77777777" w:rsidR="00CE61ED" w:rsidRPr="00255EC2" w:rsidRDefault="00CE61ED" w:rsidP="00255EC2">
      <w:pPr>
        <w:spacing w:line="360" w:lineRule="auto"/>
        <w:jc w:val="both"/>
        <w:rPr>
          <w:rFonts w:ascii="Times New Roman" w:hAnsi="Times New Roman" w:cs="Times New Roman"/>
          <w:sz w:val="24"/>
          <w:szCs w:val="24"/>
        </w:rPr>
      </w:pPr>
    </w:p>
    <w:p w14:paraId="41FC7A87" w14:textId="77777777" w:rsidR="007D64D4" w:rsidRPr="00255EC2" w:rsidRDefault="007D64D4"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
        <w:t xml:space="preserve">       Stock holding period: </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1A7AFCF3" w14:textId="77777777" w:rsidTr="009342E0">
        <w:tc>
          <w:tcPr>
            <w:tcW w:w="4135" w:type="dxa"/>
          </w:tcPr>
          <w:p w14:paraId="0DF554C1"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Stock turnover ratio</w:t>
            </w:r>
          </w:p>
        </w:tc>
        <w:tc>
          <w:tcPr>
            <w:tcW w:w="2070" w:type="dxa"/>
          </w:tcPr>
          <w:p w14:paraId="17C11D13"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7.30 times</w:t>
            </w:r>
          </w:p>
        </w:tc>
        <w:tc>
          <w:tcPr>
            <w:tcW w:w="2065" w:type="dxa"/>
          </w:tcPr>
          <w:p w14:paraId="668514C7"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7.98 times</w:t>
            </w:r>
          </w:p>
        </w:tc>
      </w:tr>
      <w:tr w:rsidR="00255EC2" w:rsidRPr="00255EC2" w14:paraId="67FFE48D" w14:textId="77777777" w:rsidTr="009342E0">
        <w:tc>
          <w:tcPr>
            <w:tcW w:w="4135" w:type="dxa"/>
          </w:tcPr>
          <w:p w14:paraId="7B46A3E8"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600AECDF"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365/7.30</w:t>
            </w:r>
          </w:p>
        </w:tc>
        <w:tc>
          <w:tcPr>
            <w:tcW w:w="2065" w:type="dxa"/>
          </w:tcPr>
          <w:p w14:paraId="1E2E0EF1"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365/7.98</w:t>
            </w:r>
          </w:p>
        </w:tc>
      </w:tr>
      <w:tr w:rsidR="007D64D4" w:rsidRPr="00255EC2" w14:paraId="2FD7F93D" w14:textId="77777777" w:rsidTr="009342E0">
        <w:tc>
          <w:tcPr>
            <w:tcW w:w="4135" w:type="dxa"/>
          </w:tcPr>
          <w:p w14:paraId="5EEFED7B"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Stock holding period</w:t>
            </w:r>
          </w:p>
        </w:tc>
        <w:tc>
          <w:tcPr>
            <w:tcW w:w="2070" w:type="dxa"/>
          </w:tcPr>
          <w:p w14:paraId="357675FB"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 days</w:t>
            </w:r>
          </w:p>
        </w:tc>
        <w:tc>
          <w:tcPr>
            <w:tcW w:w="2065" w:type="dxa"/>
          </w:tcPr>
          <w:p w14:paraId="1C98E00C" w14:textId="77777777" w:rsidR="007D64D4" w:rsidRPr="00255EC2" w:rsidRDefault="007D64D4"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46 days</w:t>
            </w:r>
          </w:p>
        </w:tc>
      </w:tr>
    </w:tbl>
    <w:p w14:paraId="0B815A93" w14:textId="77777777" w:rsidR="007D64D4" w:rsidRPr="00255EC2" w:rsidRDefault="007D64D4" w:rsidP="00255EC2">
      <w:pPr>
        <w:spacing w:line="360" w:lineRule="auto"/>
        <w:jc w:val="both"/>
        <w:rPr>
          <w:rFonts w:ascii="Times New Roman" w:hAnsi="Times New Roman" w:cs="Times New Roman"/>
          <w:sz w:val="24"/>
          <w:szCs w:val="24"/>
        </w:rPr>
      </w:pPr>
    </w:p>
    <w:p w14:paraId="7C7C82D4" w14:textId="77777777" w:rsidR="007D64D4" w:rsidRPr="00255EC2" w:rsidRDefault="007D64D4" w:rsidP="00255EC2">
      <w:pPr>
        <w:spacing w:line="360" w:lineRule="auto"/>
        <w:jc w:val="both"/>
        <w:rPr>
          <w:rFonts w:ascii="Times New Roman" w:hAnsi="Times New Roman" w:cs="Times New Roman"/>
          <w:sz w:val="24"/>
          <w:szCs w:val="24"/>
        </w:rPr>
      </w:pPr>
    </w:p>
    <w:p w14:paraId="4FB3FF84" w14:textId="77777777" w:rsidR="00C57B63" w:rsidRPr="00255EC2" w:rsidRDefault="00C57B63"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Debtors collection period: 365/Accounts receivable turnover ratio</w:t>
      </w:r>
    </w:p>
    <w:p w14:paraId="475E5893" w14:textId="77777777" w:rsidR="00C57B63" w:rsidRPr="00255EC2" w:rsidRDefault="00C57B63"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sz w:val="24"/>
          <w:szCs w:val="24"/>
        </w:rPr>
        <w:t>Accounts receivable turnover ratio: Net sales/Accounts receivable</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2EB63ED8" w14:textId="77777777" w:rsidTr="009342E0">
        <w:tc>
          <w:tcPr>
            <w:tcW w:w="4135" w:type="dxa"/>
          </w:tcPr>
          <w:p w14:paraId="0978CF48" w14:textId="77777777" w:rsidR="00C57B63" w:rsidRPr="00255EC2" w:rsidRDefault="00C57B63"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average receivable turnover ratio</w:t>
            </w:r>
          </w:p>
        </w:tc>
        <w:tc>
          <w:tcPr>
            <w:tcW w:w="2070" w:type="dxa"/>
          </w:tcPr>
          <w:p w14:paraId="7AB4A264" w14:textId="77777777" w:rsidR="00C57B63" w:rsidRPr="00255EC2" w:rsidRDefault="00C57B63"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7EC6E118" w14:textId="77777777" w:rsidR="00C57B63" w:rsidRPr="00255EC2" w:rsidRDefault="00C57B63"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7D0B9AEB" w14:textId="77777777" w:rsidTr="009342E0">
        <w:tc>
          <w:tcPr>
            <w:tcW w:w="4135" w:type="dxa"/>
          </w:tcPr>
          <w:p w14:paraId="2095B851"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Net sales</w:t>
            </w:r>
          </w:p>
        </w:tc>
        <w:tc>
          <w:tcPr>
            <w:tcW w:w="2070" w:type="dxa"/>
          </w:tcPr>
          <w:p w14:paraId="2ACCB8B8"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486.8</w:t>
            </w:r>
          </w:p>
        </w:tc>
        <w:tc>
          <w:tcPr>
            <w:tcW w:w="2065" w:type="dxa"/>
          </w:tcPr>
          <w:p w14:paraId="0AD734A7"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501.3</w:t>
            </w:r>
          </w:p>
        </w:tc>
      </w:tr>
      <w:tr w:rsidR="00255EC2" w:rsidRPr="00255EC2" w14:paraId="03D38AEF" w14:textId="77777777" w:rsidTr="009342E0">
        <w:tc>
          <w:tcPr>
            <w:tcW w:w="4135" w:type="dxa"/>
          </w:tcPr>
          <w:p w14:paraId="414328AD"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Accounts receivable</w:t>
            </w:r>
          </w:p>
        </w:tc>
        <w:tc>
          <w:tcPr>
            <w:tcW w:w="2070" w:type="dxa"/>
          </w:tcPr>
          <w:p w14:paraId="487C3FB3"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114.7</w:t>
            </w:r>
          </w:p>
        </w:tc>
        <w:tc>
          <w:tcPr>
            <w:tcW w:w="2065" w:type="dxa"/>
          </w:tcPr>
          <w:p w14:paraId="61A4A179"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114.9</w:t>
            </w:r>
          </w:p>
        </w:tc>
      </w:tr>
      <w:tr w:rsidR="00255EC2" w:rsidRPr="00255EC2" w14:paraId="391F988B" w14:textId="77777777" w:rsidTr="009342E0">
        <w:tc>
          <w:tcPr>
            <w:tcW w:w="4135" w:type="dxa"/>
          </w:tcPr>
          <w:p w14:paraId="65859C7B"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51D11A96"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486.8/114.7</w:t>
            </w:r>
          </w:p>
        </w:tc>
        <w:tc>
          <w:tcPr>
            <w:tcW w:w="2065" w:type="dxa"/>
          </w:tcPr>
          <w:p w14:paraId="5DF5C8A7"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501.3/114.9</w:t>
            </w:r>
          </w:p>
        </w:tc>
      </w:tr>
      <w:tr w:rsidR="00C57B63" w:rsidRPr="00255EC2" w14:paraId="7EB317CB" w14:textId="77777777" w:rsidTr="009342E0">
        <w:tc>
          <w:tcPr>
            <w:tcW w:w="4135" w:type="dxa"/>
          </w:tcPr>
          <w:p w14:paraId="0C2BD93A"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Accounts receivable turnover ratio</w:t>
            </w:r>
          </w:p>
        </w:tc>
        <w:tc>
          <w:tcPr>
            <w:tcW w:w="2070" w:type="dxa"/>
          </w:tcPr>
          <w:p w14:paraId="0939398D"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4.24 times</w:t>
            </w:r>
          </w:p>
        </w:tc>
        <w:tc>
          <w:tcPr>
            <w:tcW w:w="2065" w:type="dxa"/>
          </w:tcPr>
          <w:p w14:paraId="73618187"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4.36 times</w:t>
            </w:r>
          </w:p>
        </w:tc>
      </w:tr>
    </w:tbl>
    <w:p w14:paraId="37A4BB69" w14:textId="77777777" w:rsidR="00C57B63" w:rsidRPr="00255EC2" w:rsidRDefault="00C57B63" w:rsidP="00255EC2">
      <w:pPr>
        <w:pStyle w:val="ListParagraph"/>
        <w:spacing w:line="360" w:lineRule="auto"/>
        <w:ind w:left="1080"/>
        <w:jc w:val="both"/>
        <w:rPr>
          <w:rFonts w:ascii="Times New Roman" w:hAnsi="Times New Roman" w:cs="Times New Roman"/>
          <w:sz w:val="24"/>
          <w:szCs w:val="24"/>
        </w:rPr>
      </w:pPr>
    </w:p>
    <w:p w14:paraId="45B67DF1" w14:textId="77777777" w:rsidR="00C57B63" w:rsidRPr="00255EC2" w:rsidRDefault="00C57B63"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sz w:val="24"/>
          <w:szCs w:val="24"/>
        </w:rPr>
        <w:t>Debtors collection period:</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48492FE5" w14:textId="77777777" w:rsidTr="009342E0">
        <w:tc>
          <w:tcPr>
            <w:tcW w:w="4135" w:type="dxa"/>
          </w:tcPr>
          <w:p w14:paraId="050A5561"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Accounts receivable turnover ratio</w:t>
            </w:r>
          </w:p>
        </w:tc>
        <w:tc>
          <w:tcPr>
            <w:tcW w:w="2070" w:type="dxa"/>
          </w:tcPr>
          <w:p w14:paraId="787A2102"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4.24 times</w:t>
            </w:r>
          </w:p>
        </w:tc>
        <w:tc>
          <w:tcPr>
            <w:tcW w:w="2065" w:type="dxa"/>
          </w:tcPr>
          <w:p w14:paraId="00514177"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4.36 times</w:t>
            </w:r>
          </w:p>
        </w:tc>
      </w:tr>
      <w:tr w:rsidR="00255EC2" w:rsidRPr="00255EC2" w14:paraId="5599BFA8" w14:textId="77777777" w:rsidTr="009342E0">
        <w:tc>
          <w:tcPr>
            <w:tcW w:w="4135" w:type="dxa"/>
          </w:tcPr>
          <w:p w14:paraId="3ABF50D7"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588D1881"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365/4.24</w:t>
            </w:r>
          </w:p>
        </w:tc>
        <w:tc>
          <w:tcPr>
            <w:tcW w:w="2065" w:type="dxa"/>
          </w:tcPr>
          <w:p w14:paraId="37F1E2E2"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365/4.36</w:t>
            </w:r>
          </w:p>
        </w:tc>
      </w:tr>
      <w:tr w:rsidR="00C57B63" w:rsidRPr="00255EC2" w14:paraId="63B3656A" w14:textId="77777777" w:rsidTr="009342E0">
        <w:tc>
          <w:tcPr>
            <w:tcW w:w="4135" w:type="dxa"/>
          </w:tcPr>
          <w:p w14:paraId="065A7BC8"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Debtors collection period</w:t>
            </w:r>
          </w:p>
        </w:tc>
        <w:tc>
          <w:tcPr>
            <w:tcW w:w="2070" w:type="dxa"/>
          </w:tcPr>
          <w:p w14:paraId="584B62C6"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86 days</w:t>
            </w:r>
          </w:p>
        </w:tc>
        <w:tc>
          <w:tcPr>
            <w:tcW w:w="2065" w:type="dxa"/>
          </w:tcPr>
          <w:p w14:paraId="5F192BD5"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84 days</w:t>
            </w:r>
          </w:p>
        </w:tc>
      </w:tr>
    </w:tbl>
    <w:p w14:paraId="744687F2" w14:textId="77777777" w:rsidR="00C57B63" w:rsidRPr="00255EC2" w:rsidRDefault="00C57B63" w:rsidP="00255EC2">
      <w:pPr>
        <w:spacing w:line="360" w:lineRule="auto"/>
        <w:jc w:val="both"/>
        <w:rPr>
          <w:rFonts w:ascii="Times New Roman" w:hAnsi="Times New Roman" w:cs="Times New Roman"/>
          <w:sz w:val="24"/>
          <w:szCs w:val="24"/>
        </w:rPr>
      </w:pPr>
    </w:p>
    <w:p w14:paraId="50DA3318" w14:textId="498EF1B6" w:rsidR="00C57B63" w:rsidRDefault="00C57B63" w:rsidP="00255EC2">
      <w:pPr>
        <w:pStyle w:val="ListParagraph"/>
        <w:spacing w:line="360" w:lineRule="auto"/>
        <w:ind w:left="1080"/>
        <w:jc w:val="both"/>
        <w:rPr>
          <w:rFonts w:ascii="Times New Roman" w:hAnsi="Times New Roman" w:cs="Times New Roman"/>
          <w:sz w:val="24"/>
          <w:szCs w:val="24"/>
        </w:rPr>
      </w:pPr>
    </w:p>
    <w:p w14:paraId="0BDBAE29" w14:textId="77777777" w:rsidR="004A79FA" w:rsidRPr="00255EC2" w:rsidRDefault="004A79FA" w:rsidP="00255EC2">
      <w:pPr>
        <w:pStyle w:val="ListParagraph"/>
        <w:spacing w:line="360" w:lineRule="auto"/>
        <w:ind w:left="1080"/>
        <w:jc w:val="both"/>
        <w:rPr>
          <w:rFonts w:ascii="Times New Roman" w:hAnsi="Times New Roman" w:cs="Times New Roman"/>
          <w:sz w:val="24"/>
          <w:szCs w:val="24"/>
        </w:rPr>
      </w:pPr>
    </w:p>
    <w:p w14:paraId="5DE6F403" w14:textId="77777777" w:rsidR="007D64D4" w:rsidRPr="00255EC2" w:rsidRDefault="00C57B63"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lastRenderedPageBreak/>
        <w:t>Current ratio: Current assets/current liabilities</w:t>
      </w:r>
    </w:p>
    <w:tbl>
      <w:tblPr>
        <w:tblStyle w:val="TableGrid"/>
        <w:tblW w:w="0" w:type="auto"/>
        <w:tblInd w:w="1080" w:type="dxa"/>
        <w:tblLook w:val="04A0" w:firstRow="1" w:lastRow="0" w:firstColumn="1" w:lastColumn="0" w:noHBand="0" w:noVBand="1"/>
      </w:tblPr>
      <w:tblGrid>
        <w:gridCol w:w="4135"/>
        <w:gridCol w:w="2070"/>
        <w:gridCol w:w="2065"/>
      </w:tblGrid>
      <w:tr w:rsidR="00255EC2" w:rsidRPr="00255EC2" w14:paraId="2F306287" w14:textId="77777777" w:rsidTr="009342E0">
        <w:tc>
          <w:tcPr>
            <w:tcW w:w="4135" w:type="dxa"/>
          </w:tcPr>
          <w:p w14:paraId="002BFE32" w14:textId="77777777" w:rsidR="00C57B63" w:rsidRPr="00255EC2" w:rsidRDefault="00C57B63"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current ratio</w:t>
            </w:r>
          </w:p>
        </w:tc>
        <w:tc>
          <w:tcPr>
            <w:tcW w:w="2070" w:type="dxa"/>
          </w:tcPr>
          <w:p w14:paraId="32C3753E" w14:textId="77777777" w:rsidR="00C57B63" w:rsidRPr="00255EC2" w:rsidRDefault="00C57B63"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2018</w:t>
            </w:r>
          </w:p>
        </w:tc>
        <w:tc>
          <w:tcPr>
            <w:tcW w:w="2065" w:type="dxa"/>
          </w:tcPr>
          <w:p w14:paraId="0F75A465" w14:textId="77777777" w:rsidR="00C57B63" w:rsidRPr="00255EC2" w:rsidRDefault="00C57B63" w:rsidP="00255EC2">
            <w:pPr>
              <w:pStyle w:val="ListParagraph"/>
              <w:spacing w:line="360" w:lineRule="auto"/>
              <w:ind w:left="0"/>
              <w:jc w:val="both"/>
              <w:rPr>
                <w:rFonts w:ascii="Times New Roman" w:hAnsi="Times New Roman" w:cs="Times New Roman"/>
                <w:b/>
                <w:i/>
                <w:sz w:val="24"/>
                <w:szCs w:val="24"/>
              </w:rPr>
            </w:pPr>
            <w:r w:rsidRPr="00255EC2">
              <w:rPr>
                <w:rFonts w:ascii="Times New Roman" w:hAnsi="Times New Roman" w:cs="Times New Roman"/>
                <w:b/>
                <w:i/>
                <w:sz w:val="24"/>
                <w:szCs w:val="24"/>
              </w:rPr>
              <w:t>2019</w:t>
            </w:r>
          </w:p>
        </w:tc>
      </w:tr>
      <w:tr w:rsidR="00255EC2" w:rsidRPr="00255EC2" w14:paraId="605F5909" w14:textId="77777777" w:rsidTr="009342E0">
        <w:tc>
          <w:tcPr>
            <w:tcW w:w="4135" w:type="dxa"/>
          </w:tcPr>
          <w:p w14:paraId="6E40927B"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Current assets</w:t>
            </w:r>
          </w:p>
        </w:tc>
        <w:tc>
          <w:tcPr>
            <w:tcW w:w="2070" w:type="dxa"/>
          </w:tcPr>
          <w:p w14:paraId="3E4076CA"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156.5</w:t>
            </w:r>
          </w:p>
        </w:tc>
        <w:tc>
          <w:tcPr>
            <w:tcW w:w="2065" w:type="dxa"/>
          </w:tcPr>
          <w:p w14:paraId="4A19F1D5"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153.9</w:t>
            </w:r>
          </w:p>
        </w:tc>
      </w:tr>
      <w:tr w:rsidR="00255EC2" w:rsidRPr="00255EC2" w14:paraId="26678500" w14:textId="77777777" w:rsidTr="009342E0">
        <w:tc>
          <w:tcPr>
            <w:tcW w:w="4135" w:type="dxa"/>
          </w:tcPr>
          <w:p w14:paraId="44E7943F"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Current liabilities</w:t>
            </w:r>
          </w:p>
        </w:tc>
        <w:tc>
          <w:tcPr>
            <w:tcW w:w="2070" w:type="dxa"/>
          </w:tcPr>
          <w:p w14:paraId="032F16E6"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148.4</w:t>
            </w:r>
          </w:p>
        </w:tc>
        <w:tc>
          <w:tcPr>
            <w:tcW w:w="2065" w:type="dxa"/>
          </w:tcPr>
          <w:p w14:paraId="408E1925"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151.0</w:t>
            </w:r>
          </w:p>
        </w:tc>
      </w:tr>
      <w:tr w:rsidR="00255EC2" w:rsidRPr="00255EC2" w14:paraId="7261775D" w14:textId="77777777" w:rsidTr="009342E0">
        <w:tc>
          <w:tcPr>
            <w:tcW w:w="4135" w:type="dxa"/>
          </w:tcPr>
          <w:p w14:paraId="6C661256"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Calculation</w:t>
            </w:r>
          </w:p>
        </w:tc>
        <w:tc>
          <w:tcPr>
            <w:tcW w:w="2070" w:type="dxa"/>
          </w:tcPr>
          <w:p w14:paraId="22DA5612"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156.5/148.4</w:t>
            </w:r>
          </w:p>
        </w:tc>
        <w:tc>
          <w:tcPr>
            <w:tcW w:w="2065" w:type="dxa"/>
          </w:tcPr>
          <w:p w14:paraId="2D24A883"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153.9/151.0</w:t>
            </w:r>
          </w:p>
        </w:tc>
      </w:tr>
      <w:tr w:rsidR="00C57B63" w:rsidRPr="00255EC2" w14:paraId="75B0D4FB" w14:textId="77777777" w:rsidTr="009342E0">
        <w:tc>
          <w:tcPr>
            <w:tcW w:w="4135" w:type="dxa"/>
          </w:tcPr>
          <w:p w14:paraId="202D1975"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Current ratio</w:t>
            </w:r>
          </w:p>
        </w:tc>
        <w:tc>
          <w:tcPr>
            <w:tcW w:w="2070" w:type="dxa"/>
          </w:tcPr>
          <w:p w14:paraId="7D365BEA"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1.05 times</w:t>
            </w:r>
          </w:p>
        </w:tc>
        <w:tc>
          <w:tcPr>
            <w:tcW w:w="2065" w:type="dxa"/>
          </w:tcPr>
          <w:p w14:paraId="29712BFA" w14:textId="77777777" w:rsidR="00C57B63" w:rsidRPr="00255EC2" w:rsidRDefault="00C57B63" w:rsidP="00255EC2">
            <w:pPr>
              <w:pStyle w:val="ListParagraph"/>
              <w:spacing w:line="360" w:lineRule="auto"/>
              <w:ind w:left="0"/>
              <w:jc w:val="both"/>
              <w:rPr>
                <w:rFonts w:ascii="Times New Roman" w:hAnsi="Times New Roman" w:cs="Times New Roman"/>
                <w:sz w:val="24"/>
                <w:szCs w:val="24"/>
              </w:rPr>
            </w:pPr>
            <w:r w:rsidRPr="00255EC2">
              <w:rPr>
                <w:rFonts w:ascii="Times New Roman" w:hAnsi="Times New Roman" w:cs="Times New Roman"/>
                <w:sz w:val="24"/>
                <w:szCs w:val="24"/>
              </w:rPr>
              <w:t>1.02 times</w:t>
            </w:r>
          </w:p>
        </w:tc>
      </w:tr>
    </w:tbl>
    <w:p w14:paraId="1BE7A61C" w14:textId="77777777" w:rsidR="00C57B63" w:rsidRPr="00255EC2" w:rsidRDefault="00C57B63" w:rsidP="00255EC2">
      <w:pPr>
        <w:spacing w:line="360" w:lineRule="auto"/>
        <w:jc w:val="both"/>
        <w:rPr>
          <w:rFonts w:ascii="Times New Roman" w:hAnsi="Times New Roman" w:cs="Times New Roman"/>
          <w:sz w:val="24"/>
          <w:szCs w:val="24"/>
        </w:rPr>
      </w:pPr>
    </w:p>
    <w:p w14:paraId="20DC3CA4" w14:textId="77777777" w:rsidR="00C57B63" w:rsidRPr="00255EC2" w:rsidRDefault="00C57B63" w:rsidP="00255EC2">
      <w:pPr>
        <w:spacing w:line="360" w:lineRule="auto"/>
        <w:jc w:val="both"/>
        <w:rPr>
          <w:rFonts w:ascii="Times New Roman" w:hAnsi="Times New Roman" w:cs="Times New Roman"/>
          <w:sz w:val="24"/>
          <w:szCs w:val="24"/>
        </w:rPr>
      </w:pPr>
    </w:p>
    <w:p w14:paraId="3C0F2975" w14:textId="77777777" w:rsidR="00C57B63" w:rsidRPr="00255EC2" w:rsidRDefault="00C57B63" w:rsidP="00255EC2">
      <w:pPr>
        <w:pStyle w:val="ListParagraph"/>
        <w:numPr>
          <w:ilvl w:val="0"/>
          <w:numId w:val="2"/>
        </w:numPr>
        <w:spacing w:line="360" w:lineRule="auto"/>
        <w:jc w:val="both"/>
        <w:rPr>
          <w:rFonts w:ascii="Times New Roman" w:hAnsi="Times New Roman" w:cs="Times New Roman"/>
          <w:bCs/>
          <w:sz w:val="24"/>
          <w:szCs w:val="24"/>
          <w:shd w:val="clear" w:color="auto" w:fill="FFFFFF"/>
        </w:rPr>
      </w:pPr>
      <w:r w:rsidRPr="00255EC2">
        <w:rPr>
          <w:rFonts w:ascii="Times New Roman" w:hAnsi="Times New Roman" w:cs="Times New Roman"/>
          <w:sz w:val="24"/>
          <w:szCs w:val="24"/>
        </w:rPr>
        <w:t>Gearing ratio</w:t>
      </w:r>
      <w:r w:rsidR="00E874F7" w:rsidRPr="00255EC2">
        <w:rPr>
          <w:rFonts w:ascii="Times New Roman" w:hAnsi="Times New Roman" w:cs="Times New Roman"/>
          <w:sz w:val="24"/>
          <w:szCs w:val="24"/>
        </w:rPr>
        <w:t xml:space="preserve">: </w:t>
      </w:r>
      <w:r w:rsidR="00E874F7" w:rsidRPr="00255EC2">
        <w:rPr>
          <w:rFonts w:ascii="Times New Roman" w:hAnsi="Times New Roman" w:cs="Times New Roman"/>
          <w:bCs/>
          <w:sz w:val="24"/>
          <w:szCs w:val="24"/>
          <w:shd w:val="clear" w:color="auto" w:fill="FFFFFF"/>
        </w:rPr>
        <w:t>Long term Liabilities / Capital Employed * 100</w:t>
      </w:r>
    </w:p>
    <w:tbl>
      <w:tblPr>
        <w:tblW w:w="8309" w:type="dxa"/>
        <w:tblInd w:w="1079" w:type="dxa"/>
        <w:tblLayout w:type="fixed"/>
        <w:tblCellMar>
          <w:top w:w="55" w:type="dxa"/>
          <w:left w:w="55" w:type="dxa"/>
          <w:bottom w:w="55" w:type="dxa"/>
          <w:right w:w="55" w:type="dxa"/>
        </w:tblCellMar>
        <w:tblLook w:val="0000" w:firstRow="0" w:lastRow="0" w:firstColumn="0" w:lastColumn="0" w:noHBand="0" w:noVBand="0"/>
      </w:tblPr>
      <w:tblGrid>
        <w:gridCol w:w="4140"/>
        <w:gridCol w:w="2070"/>
        <w:gridCol w:w="2099"/>
      </w:tblGrid>
      <w:tr w:rsidR="00255EC2" w:rsidRPr="00255EC2" w14:paraId="2FE90A75" w14:textId="77777777" w:rsidTr="00E874F7">
        <w:tc>
          <w:tcPr>
            <w:tcW w:w="4140" w:type="dxa"/>
            <w:tcBorders>
              <w:top w:val="single" w:sz="1" w:space="0" w:color="000000"/>
              <w:left w:val="single" w:sz="1" w:space="0" w:color="000000"/>
              <w:bottom w:val="single" w:sz="1" w:space="0" w:color="000000"/>
            </w:tcBorders>
            <w:shd w:val="clear" w:color="auto" w:fill="auto"/>
          </w:tcPr>
          <w:p w14:paraId="2CB64B17" w14:textId="77777777" w:rsidR="00E874F7" w:rsidRPr="00255EC2" w:rsidRDefault="00E874F7" w:rsidP="00255EC2">
            <w:pPr>
              <w:spacing w:line="360" w:lineRule="auto"/>
              <w:jc w:val="both"/>
              <w:rPr>
                <w:rFonts w:ascii="Times New Roman" w:hAnsi="Times New Roman" w:cs="Times New Roman"/>
                <w:b/>
                <w:i/>
                <w:sz w:val="24"/>
                <w:szCs w:val="24"/>
              </w:rPr>
            </w:pPr>
            <w:r w:rsidRPr="00255EC2">
              <w:rPr>
                <w:rFonts w:ascii="Times New Roman" w:hAnsi="Times New Roman" w:cs="Times New Roman"/>
                <w:b/>
                <w:i/>
                <w:sz w:val="24"/>
                <w:szCs w:val="24"/>
              </w:rPr>
              <w:t>All data in £ except Gearing ratio</w:t>
            </w:r>
          </w:p>
        </w:tc>
        <w:tc>
          <w:tcPr>
            <w:tcW w:w="2070" w:type="dxa"/>
            <w:tcBorders>
              <w:top w:val="single" w:sz="1" w:space="0" w:color="000000"/>
              <w:left w:val="single" w:sz="1" w:space="0" w:color="000000"/>
              <w:bottom w:val="single" w:sz="1" w:space="0" w:color="000000"/>
            </w:tcBorders>
            <w:shd w:val="clear" w:color="auto" w:fill="auto"/>
          </w:tcPr>
          <w:p w14:paraId="686B862C"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2019</w:t>
            </w:r>
          </w:p>
        </w:tc>
        <w:tc>
          <w:tcPr>
            <w:tcW w:w="2099" w:type="dxa"/>
            <w:tcBorders>
              <w:top w:val="single" w:sz="1" w:space="0" w:color="000000"/>
              <w:left w:val="single" w:sz="1" w:space="0" w:color="000000"/>
              <w:bottom w:val="single" w:sz="1" w:space="0" w:color="000000"/>
              <w:right w:val="single" w:sz="1" w:space="0" w:color="000000"/>
            </w:tcBorders>
            <w:shd w:val="clear" w:color="auto" w:fill="auto"/>
          </w:tcPr>
          <w:p w14:paraId="00073781" w14:textId="77777777" w:rsidR="00E874F7" w:rsidRPr="00255EC2" w:rsidRDefault="00E874F7" w:rsidP="00255EC2">
            <w:pPr>
              <w:pStyle w:val="TableContents"/>
              <w:rPr>
                <w:color w:val="auto"/>
                <w:szCs w:val="24"/>
              </w:rPr>
            </w:pPr>
            <w:r w:rsidRPr="00255EC2">
              <w:rPr>
                <w:color w:val="auto"/>
                <w:szCs w:val="24"/>
                <w:shd w:val="clear" w:color="auto" w:fill="FFFFFF"/>
              </w:rPr>
              <w:t xml:space="preserve"> 2018</w:t>
            </w:r>
          </w:p>
        </w:tc>
      </w:tr>
      <w:tr w:rsidR="00255EC2" w:rsidRPr="00255EC2" w14:paraId="18073DE2" w14:textId="77777777" w:rsidTr="00E874F7">
        <w:tc>
          <w:tcPr>
            <w:tcW w:w="4140" w:type="dxa"/>
            <w:tcBorders>
              <w:left w:val="single" w:sz="1" w:space="0" w:color="000000"/>
              <w:bottom w:val="single" w:sz="1" w:space="0" w:color="000000"/>
            </w:tcBorders>
            <w:shd w:val="clear" w:color="auto" w:fill="auto"/>
          </w:tcPr>
          <w:p w14:paraId="1A4305FF"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Long term liabilities</w:t>
            </w:r>
          </w:p>
        </w:tc>
        <w:tc>
          <w:tcPr>
            <w:tcW w:w="2070" w:type="dxa"/>
            <w:tcBorders>
              <w:left w:val="single" w:sz="1" w:space="0" w:color="000000"/>
              <w:bottom w:val="single" w:sz="1" w:space="0" w:color="000000"/>
            </w:tcBorders>
            <w:shd w:val="clear" w:color="auto" w:fill="auto"/>
          </w:tcPr>
          <w:p w14:paraId="1849C06F"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41.9</w:t>
            </w:r>
          </w:p>
        </w:tc>
        <w:tc>
          <w:tcPr>
            <w:tcW w:w="2099" w:type="dxa"/>
            <w:tcBorders>
              <w:left w:val="single" w:sz="1" w:space="0" w:color="000000"/>
              <w:bottom w:val="single" w:sz="1" w:space="0" w:color="000000"/>
              <w:right w:val="single" w:sz="1" w:space="0" w:color="000000"/>
            </w:tcBorders>
            <w:shd w:val="clear" w:color="auto" w:fill="auto"/>
          </w:tcPr>
          <w:p w14:paraId="60683006" w14:textId="77777777" w:rsidR="00E874F7" w:rsidRPr="00255EC2" w:rsidRDefault="00E874F7" w:rsidP="00255EC2">
            <w:pPr>
              <w:pStyle w:val="TableContents"/>
              <w:rPr>
                <w:color w:val="auto"/>
                <w:szCs w:val="24"/>
              </w:rPr>
            </w:pPr>
            <w:r w:rsidRPr="00255EC2">
              <w:rPr>
                <w:color w:val="auto"/>
                <w:szCs w:val="24"/>
                <w:shd w:val="clear" w:color="auto" w:fill="FFFFFF"/>
              </w:rPr>
              <w:t>65.1</w:t>
            </w:r>
          </w:p>
        </w:tc>
      </w:tr>
      <w:tr w:rsidR="00255EC2" w:rsidRPr="00255EC2" w14:paraId="67E0290B" w14:textId="77777777" w:rsidTr="00E874F7">
        <w:tc>
          <w:tcPr>
            <w:tcW w:w="4140" w:type="dxa"/>
            <w:tcBorders>
              <w:left w:val="single" w:sz="1" w:space="0" w:color="000000"/>
              <w:bottom w:val="single" w:sz="1" w:space="0" w:color="000000"/>
            </w:tcBorders>
            <w:shd w:val="clear" w:color="auto" w:fill="auto"/>
          </w:tcPr>
          <w:p w14:paraId="68DDC990"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Capital Employed</w:t>
            </w:r>
          </w:p>
        </w:tc>
        <w:tc>
          <w:tcPr>
            <w:tcW w:w="2070" w:type="dxa"/>
            <w:tcBorders>
              <w:left w:val="single" w:sz="1" w:space="0" w:color="000000"/>
              <w:bottom w:val="single" w:sz="1" w:space="0" w:color="000000"/>
            </w:tcBorders>
            <w:shd w:val="clear" w:color="auto" w:fill="auto"/>
          </w:tcPr>
          <w:p w14:paraId="1F8A7793"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93.2</w:t>
            </w:r>
          </w:p>
        </w:tc>
        <w:tc>
          <w:tcPr>
            <w:tcW w:w="2099" w:type="dxa"/>
            <w:tcBorders>
              <w:left w:val="single" w:sz="1" w:space="0" w:color="000000"/>
              <w:bottom w:val="single" w:sz="1" w:space="0" w:color="000000"/>
              <w:right w:val="single" w:sz="1" w:space="0" w:color="000000"/>
            </w:tcBorders>
            <w:shd w:val="clear" w:color="auto" w:fill="auto"/>
          </w:tcPr>
          <w:p w14:paraId="1E1A0936" w14:textId="77777777" w:rsidR="00E874F7" w:rsidRPr="00255EC2" w:rsidRDefault="00E874F7" w:rsidP="00255EC2">
            <w:pPr>
              <w:pStyle w:val="TableContents"/>
              <w:rPr>
                <w:color w:val="auto"/>
                <w:szCs w:val="24"/>
              </w:rPr>
            </w:pPr>
            <w:r w:rsidRPr="00255EC2">
              <w:rPr>
                <w:color w:val="auto"/>
                <w:szCs w:val="24"/>
                <w:shd w:val="clear" w:color="auto" w:fill="FFFFFF"/>
              </w:rPr>
              <w:t>80.3</w:t>
            </w:r>
          </w:p>
        </w:tc>
      </w:tr>
      <w:tr w:rsidR="00E874F7" w:rsidRPr="00255EC2" w14:paraId="02F3402C" w14:textId="77777777" w:rsidTr="00E874F7">
        <w:tc>
          <w:tcPr>
            <w:tcW w:w="4140" w:type="dxa"/>
            <w:tcBorders>
              <w:left w:val="single" w:sz="1" w:space="0" w:color="000000"/>
              <w:bottom w:val="single" w:sz="1" w:space="0" w:color="000000"/>
            </w:tcBorders>
            <w:shd w:val="clear" w:color="auto" w:fill="auto"/>
          </w:tcPr>
          <w:p w14:paraId="1D936F54"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Calculation</w:t>
            </w:r>
          </w:p>
        </w:tc>
        <w:tc>
          <w:tcPr>
            <w:tcW w:w="2070" w:type="dxa"/>
            <w:tcBorders>
              <w:left w:val="single" w:sz="1" w:space="0" w:color="000000"/>
              <w:bottom w:val="single" w:sz="1" w:space="0" w:color="000000"/>
            </w:tcBorders>
            <w:shd w:val="clear" w:color="auto" w:fill="auto"/>
          </w:tcPr>
          <w:p w14:paraId="3C22A54F"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41.9 / 93.2 * 100</w:t>
            </w:r>
          </w:p>
        </w:tc>
        <w:tc>
          <w:tcPr>
            <w:tcW w:w="2099" w:type="dxa"/>
            <w:tcBorders>
              <w:left w:val="single" w:sz="1" w:space="0" w:color="000000"/>
              <w:bottom w:val="single" w:sz="1" w:space="0" w:color="000000"/>
              <w:right w:val="single" w:sz="1" w:space="0" w:color="000000"/>
            </w:tcBorders>
            <w:shd w:val="clear" w:color="auto" w:fill="auto"/>
          </w:tcPr>
          <w:p w14:paraId="182C9F98"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65.1 / 80.3 * 100</w:t>
            </w:r>
          </w:p>
        </w:tc>
      </w:tr>
      <w:tr w:rsidR="00255EC2" w:rsidRPr="00255EC2" w14:paraId="042A867F" w14:textId="77777777" w:rsidTr="00E874F7">
        <w:tc>
          <w:tcPr>
            <w:tcW w:w="4140" w:type="dxa"/>
            <w:tcBorders>
              <w:left w:val="single" w:sz="1" w:space="0" w:color="000000"/>
              <w:bottom w:val="single" w:sz="1" w:space="0" w:color="000000"/>
            </w:tcBorders>
            <w:shd w:val="clear" w:color="auto" w:fill="auto"/>
          </w:tcPr>
          <w:p w14:paraId="48F18311"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Gearing Ratio</w:t>
            </w:r>
          </w:p>
        </w:tc>
        <w:tc>
          <w:tcPr>
            <w:tcW w:w="2070" w:type="dxa"/>
            <w:tcBorders>
              <w:left w:val="single" w:sz="1" w:space="0" w:color="000000"/>
              <w:bottom w:val="single" w:sz="1" w:space="0" w:color="000000"/>
            </w:tcBorders>
            <w:shd w:val="clear" w:color="auto" w:fill="auto"/>
          </w:tcPr>
          <w:p w14:paraId="743E0E06"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44.96 %</w:t>
            </w:r>
          </w:p>
        </w:tc>
        <w:tc>
          <w:tcPr>
            <w:tcW w:w="2099" w:type="dxa"/>
            <w:tcBorders>
              <w:left w:val="single" w:sz="1" w:space="0" w:color="000000"/>
              <w:bottom w:val="single" w:sz="1" w:space="0" w:color="000000"/>
              <w:right w:val="single" w:sz="1" w:space="0" w:color="000000"/>
            </w:tcBorders>
            <w:shd w:val="clear" w:color="auto" w:fill="auto"/>
          </w:tcPr>
          <w:p w14:paraId="0BACEDC6" w14:textId="77777777" w:rsidR="00E874F7" w:rsidRPr="00255EC2" w:rsidRDefault="00E874F7" w:rsidP="00255EC2">
            <w:pPr>
              <w:pStyle w:val="TableContents"/>
              <w:numPr>
                <w:ilvl w:val="1"/>
                <w:numId w:val="12"/>
              </w:numPr>
              <w:rPr>
                <w:color w:val="auto"/>
                <w:szCs w:val="24"/>
              </w:rPr>
            </w:pPr>
          </w:p>
        </w:tc>
      </w:tr>
    </w:tbl>
    <w:p w14:paraId="6E766723" w14:textId="77777777" w:rsidR="00E874F7" w:rsidRPr="00255EC2" w:rsidRDefault="00E874F7" w:rsidP="00255EC2">
      <w:pPr>
        <w:pStyle w:val="ListParagraph"/>
        <w:spacing w:line="360" w:lineRule="auto"/>
        <w:ind w:left="1080"/>
        <w:jc w:val="both"/>
        <w:rPr>
          <w:rFonts w:ascii="Times New Roman" w:hAnsi="Times New Roman" w:cs="Times New Roman"/>
          <w:bCs/>
          <w:sz w:val="24"/>
          <w:szCs w:val="24"/>
          <w:shd w:val="clear" w:color="auto" w:fill="FFFFFF"/>
        </w:rPr>
      </w:pPr>
    </w:p>
    <w:p w14:paraId="4F5FA1F9" w14:textId="77777777" w:rsidR="00E874F7" w:rsidRPr="00255EC2" w:rsidRDefault="00E874F7" w:rsidP="00255EC2">
      <w:pPr>
        <w:pStyle w:val="ListParagraph"/>
        <w:spacing w:line="360" w:lineRule="auto"/>
        <w:ind w:left="1080"/>
        <w:jc w:val="both"/>
        <w:rPr>
          <w:rFonts w:ascii="Times New Roman" w:hAnsi="Times New Roman" w:cs="Times New Roman"/>
          <w:sz w:val="24"/>
          <w:szCs w:val="24"/>
        </w:rPr>
      </w:pPr>
    </w:p>
    <w:p w14:paraId="22D5BBD4" w14:textId="77777777" w:rsidR="00E874F7" w:rsidRPr="00255EC2" w:rsidRDefault="00E874F7" w:rsidP="00255EC2">
      <w:pPr>
        <w:pStyle w:val="ListParagraph"/>
        <w:spacing w:line="360" w:lineRule="auto"/>
        <w:ind w:left="1080"/>
        <w:jc w:val="both"/>
        <w:rPr>
          <w:rFonts w:ascii="Times New Roman" w:hAnsi="Times New Roman" w:cs="Times New Roman"/>
          <w:sz w:val="24"/>
          <w:szCs w:val="24"/>
        </w:rPr>
      </w:pPr>
    </w:p>
    <w:p w14:paraId="7C937CD8" w14:textId="77777777" w:rsidR="00C57B63" w:rsidRPr="00255EC2" w:rsidRDefault="00C57B63" w:rsidP="00255EC2">
      <w:pPr>
        <w:pStyle w:val="ListParagraph"/>
        <w:numPr>
          <w:ilvl w:val="0"/>
          <w:numId w:val="2"/>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Interest cover ratio</w:t>
      </w:r>
      <w:r w:rsidR="00E874F7" w:rsidRPr="00255EC2">
        <w:rPr>
          <w:rFonts w:ascii="Times New Roman" w:hAnsi="Times New Roman" w:cs="Times New Roman"/>
          <w:sz w:val="24"/>
          <w:szCs w:val="24"/>
        </w:rPr>
        <w:t xml:space="preserve">: </w:t>
      </w:r>
      <w:r w:rsidR="00E874F7" w:rsidRPr="00255EC2">
        <w:rPr>
          <w:rFonts w:ascii="Times New Roman" w:hAnsi="Times New Roman" w:cs="Times New Roman"/>
          <w:bCs/>
          <w:sz w:val="24"/>
          <w:szCs w:val="24"/>
          <w:shd w:val="clear" w:color="auto" w:fill="FFFFFF"/>
        </w:rPr>
        <w:t>Earnings before interest and tax / Interest Expenses</w:t>
      </w:r>
    </w:p>
    <w:tbl>
      <w:tblPr>
        <w:tblW w:w="8219" w:type="dxa"/>
        <w:tblInd w:w="1169" w:type="dxa"/>
        <w:tblLayout w:type="fixed"/>
        <w:tblCellMar>
          <w:top w:w="55" w:type="dxa"/>
          <w:left w:w="55" w:type="dxa"/>
          <w:bottom w:w="55" w:type="dxa"/>
          <w:right w:w="55" w:type="dxa"/>
        </w:tblCellMar>
        <w:tblLook w:val="0000" w:firstRow="0" w:lastRow="0" w:firstColumn="0" w:lastColumn="0" w:noHBand="0" w:noVBand="0"/>
      </w:tblPr>
      <w:tblGrid>
        <w:gridCol w:w="4050"/>
        <w:gridCol w:w="2070"/>
        <w:gridCol w:w="2099"/>
      </w:tblGrid>
      <w:tr w:rsidR="00255EC2" w:rsidRPr="00255EC2" w14:paraId="7165AC9E" w14:textId="77777777" w:rsidTr="00E874F7">
        <w:tc>
          <w:tcPr>
            <w:tcW w:w="4050" w:type="dxa"/>
            <w:tcBorders>
              <w:top w:val="single" w:sz="1" w:space="0" w:color="000000"/>
              <w:left w:val="single" w:sz="1" w:space="0" w:color="000000"/>
              <w:bottom w:val="single" w:sz="1" w:space="0" w:color="000000"/>
            </w:tcBorders>
            <w:shd w:val="clear" w:color="auto" w:fill="auto"/>
          </w:tcPr>
          <w:p w14:paraId="41295996" w14:textId="77777777" w:rsidR="00E874F7" w:rsidRPr="00255EC2" w:rsidRDefault="00E874F7" w:rsidP="00255EC2">
            <w:pPr>
              <w:pStyle w:val="TableContents"/>
              <w:rPr>
                <w:color w:val="auto"/>
                <w:szCs w:val="24"/>
                <w:shd w:val="clear" w:color="auto" w:fill="FFFFFF"/>
              </w:rPr>
            </w:pPr>
            <w:r w:rsidRPr="00255EC2">
              <w:rPr>
                <w:b/>
                <w:i/>
                <w:color w:val="auto"/>
                <w:szCs w:val="24"/>
              </w:rPr>
              <w:t>All data in £ except interest cover ratio</w:t>
            </w:r>
          </w:p>
        </w:tc>
        <w:tc>
          <w:tcPr>
            <w:tcW w:w="2070" w:type="dxa"/>
            <w:tcBorders>
              <w:top w:val="single" w:sz="1" w:space="0" w:color="000000"/>
              <w:left w:val="single" w:sz="1" w:space="0" w:color="000000"/>
              <w:bottom w:val="single" w:sz="1" w:space="0" w:color="000000"/>
            </w:tcBorders>
            <w:shd w:val="clear" w:color="auto" w:fill="auto"/>
          </w:tcPr>
          <w:p w14:paraId="6A5EB7B7"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2019</w:t>
            </w:r>
          </w:p>
        </w:tc>
        <w:tc>
          <w:tcPr>
            <w:tcW w:w="2099" w:type="dxa"/>
            <w:tcBorders>
              <w:top w:val="single" w:sz="1" w:space="0" w:color="000000"/>
              <w:left w:val="single" w:sz="1" w:space="0" w:color="000000"/>
              <w:bottom w:val="single" w:sz="1" w:space="0" w:color="000000"/>
              <w:right w:val="single" w:sz="1" w:space="0" w:color="000000"/>
            </w:tcBorders>
            <w:shd w:val="clear" w:color="auto" w:fill="auto"/>
          </w:tcPr>
          <w:p w14:paraId="4EBADAB8" w14:textId="77777777" w:rsidR="00E874F7" w:rsidRPr="00255EC2" w:rsidRDefault="00E874F7" w:rsidP="00255EC2">
            <w:pPr>
              <w:pStyle w:val="TableContents"/>
              <w:rPr>
                <w:color w:val="auto"/>
                <w:szCs w:val="24"/>
              </w:rPr>
            </w:pPr>
            <w:r w:rsidRPr="00255EC2">
              <w:rPr>
                <w:color w:val="auto"/>
                <w:szCs w:val="24"/>
                <w:shd w:val="clear" w:color="auto" w:fill="FFFFFF"/>
              </w:rPr>
              <w:t xml:space="preserve"> 2018</w:t>
            </w:r>
          </w:p>
        </w:tc>
      </w:tr>
      <w:tr w:rsidR="00255EC2" w:rsidRPr="00255EC2" w14:paraId="7D5FBF33" w14:textId="77777777" w:rsidTr="00E874F7">
        <w:tc>
          <w:tcPr>
            <w:tcW w:w="4050" w:type="dxa"/>
            <w:tcBorders>
              <w:left w:val="single" w:sz="1" w:space="0" w:color="000000"/>
              <w:bottom w:val="single" w:sz="1" w:space="0" w:color="000000"/>
            </w:tcBorders>
            <w:shd w:val="clear" w:color="auto" w:fill="auto"/>
          </w:tcPr>
          <w:p w14:paraId="649C1931" w14:textId="77777777" w:rsidR="00E874F7" w:rsidRPr="00255EC2" w:rsidRDefault="00E874F7" w:rsidP="00255EC2">
            <w:pPr>
              <w:spacing w:line="360" w:lineRule="auto"/>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Earnings before interest and tax</w:t>
            </w:r>
          </w:p>
        </w:tc>
        <w:tc>
          <w:tcPr>
            <w:tcW w:w="2070" w:type="dxa"/>
            <w:tcBorders>
              <w:left w:val="single" w:sz="1" w:space="0" w:color="000000"/>
              <w:bottom w:val="single" w:sz="1" w:space="0" w:color="000000"/>
            </w:tcBorders>
            <w:shd w:val="clear" w:color="auto" w:fill="auto"/>
          </w:tcPr>
          <w:p w14:paraId="537F46F0"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23</w:t>
            </w:r>
          </w:p>
        </w:tc>
        <w:tc>
          <w:tcPr>
            <w:tcW w:w="2099" w:type="dxa"/>
            <w:tcBorders>
              <w:left w:val="single" w:sz="1" w:space="0" w:color="000000"/>
              <w:bottom w:val="single" w:sz="1" w:space="0" w:color="000000"/>
              <w:right w:val="single" w:sz="1" w:space="0" w:color="000000"/>
            </w:tcBorders>
            <w:shd w:val="clear" w:color="auto" w:fill="auto"/>
          </w:tcPr>
          <w:p w14:paraId="54D152BB" w14:textId="77777777" w:rsidR="00E874F7" w:rsidRPr="00255EC2" w:rsidRDefault="00E874F7" w:rsidP="00255EC2">
            <w:pPr>
              <w:pStyle w:val="TableContents"/>
              <w:rPr>
                <w:color w:val="auto"/>
                <w:szCs w:val="24"/>
              </w:rPr>
            </w:pPr>
            <w:r w:rsidRPr="00255EC2">
              <w:rPr>
                <w:color w:val="auto"/>
                <w:szCs w:val="24"/>
                <w:shd w:val="clear" w:color="auto" w:fill="FFFFFF"/>
              </w:rPr>
              <w:t>29.7</w:t>
            </w:r>
          </w:p>
        </w:tc>
      </w:tr>
      <w:tr w:rsidR="00255EC2" w:rsidRPr="00255EC2" w14:paraId="0C2D2EE2" w14:textId="77777777" w:rsidTr="00E874F7">
        <w:tc>
          <w:tcPr>
            <w:tcW w:w="4050" w:type="dxa"/>
            <w:tcBorders>
              <w:left w:val="single" w:sz="1" w:space="0" w:color="000000"/>
              <w:bottom w:val="single" w:sz="1" w:space="0" w:color="000000"/>
            </w:tcBorders>
            <w:shd w:val="clear" w:color="auto" w:fill="auto"/>
          </w:tcPr>
          <w:p w14:paraId="5D36FD9D"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Interest Expenses</w:t>
            </w:r>
          </w:p>
        </w:tc>
        <w:tc>
          <w:tcPr>
            <w:tcW w:w="2070" w:type="dxa"/>
            <w:tcBorders>
              <w:left w:val="single" w:sz="1" w:space="0" w:color="000000"/>
              <w:bottom w:val="single" w:sz="1" w:space="0" w:color="000000"/>
            </w:tcBorders>
            <w:shd w:val="clear" w:color="auto" w:fill="auto"/>
          </w:tcPr>
          <w:p w14:paraId="21AC5411"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0.2</w:t>
            </w:r>
          </w:p>
        </w:tc>
        <w:tc>
          <w:tcPr>
            <w:tcW w:w="2099" w:type="dxa"/>
            <w:tcBorders>
              <w:left w:val="single" w:sz="1" w:space="0" w:color="000000"/>
              <w:bottom w:val="single" w:sz="1" w:space="0" w:color="000000"/>
              <w:right w:val="single" w:sz="1" w:space="0" w:color="000000"/>
            </w:tcBorders>
            <w:shd w:val="clear" w:color="auto" w:fill="auto"/>
          </w:tcPr>
          <w:p w14:paraId="6B21D675" w14:textId="77777777" w:rsidR="00E874F7" w:rsidRPr="00255EC2" w:rsidRDefault="00E874F7" w:rsidP="00255EC2">
            <w:pPr>
              <w:pStyle w:val="TableContents"/>
              <w:rPr>
                <w:color w:val="auto"/>
                <w:szCs w:val="24"/>
              </w:rPr>
            </w:pPr>
            <w:r w:rsidRPr="00255EC2">
              <w:rPr>
                <w:color w:val="auto"/>
                <w:szCs w:val="24"/>
                <w:shd w:val="clear" w:color="auto" w:fill="FFFFFF"/>
              </w:rPr>
              <w:t>3.5</w:t>
            </w:r>
          </w:p>
        </w:tc>
      </w:tr>
      <w:tr w:rsidR="00E874F7" w:rsidRPr="00255EC2" w14:paraId="395EA455" w14:textId="77777777" w:rsidTr="00E874F7">
        <w:tc>
          <w:tcPr>
            <w:tcW w:w="4050" w:type="dxa"/>
            <w:tcBorders>
              <w:left w:val="single" w:sz="1" w:space="0" w:color="000000"/>
              <w:bottom w:val="single" w:sz="1" w:space="0" w:color="000000"/>
            </w:tcBorders>
            <w:shd w:val="clear" w:color="auto" w:fill="auto"/>
          </w:tcPr>
          <w:p w14:paraId="3C6C48A0"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Calculation</w:t>
            </w:r>
          </w:p>
        </w:tc>
        <w:tc>
          <w:tcPr>
            <w:tcW w:w="2070" w:type="dxa"/>
            <w:tcBorders>
              <w:left w:val="single" w:sz="1" w:space="0" w:color="000000"/>
              <w:bottom w:val="single" w:sz="1" w:space="0" w:color="000000"/>
            </w:tcBorders>
            <w:shd w:val="clear" w:color="auto" w:fill="auto"/>
          </w:tcPr>
          <w:p w14:paraId="212B08A1"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23 / .2</w:t>
            </w:r>
          </w:p>
        </w:tc>
        <w:tc>
          <w:tcPr>
            <w:tcW w:w="2099" w:type="dxa"/>
            <w:tcBorders>
              <w:left w:val="single" w:sz="1" w:space="0" w:color="000000"/>
              <w:bottom w:val="single" w:sz="1" w:space="0" w:color="000000"/>
              <w:right w:val="single" w:sz="1" w:space="0" w:color="000000"/>
            </w:tcBorders>
            <w:shd w:val="clear" w:color="auto" w:fill="auto"/>
          </w:tcPr>
          <w:p w14:paraId="0AF6CE8D"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29.7 / 3.5</w:t>
            </w:r>
          </w:p>
        </w:tc>
      </w:tr>
      <w:tr w:rsidR="00255EC2" w:rsidRPr="00255EC2" w14:paraId="51C42D79" w14:textId="77777777" w:rsidTr="00E874F7">
        <w:tc>
          <w:tcPr>
            <w:tcW w:w="4050" w:type="dxa"/>
            <w:tcBorders>
              <w:left w:val="single" w:sz="1" w:space="0" w:color="000000"/>
              <w:bottom w:val="single" w:sz="1" w:space="0" w:color="000000"/>
            </w:tcBorders>
            <w:shd w:val="clear" w:color="auto" w:fill="auto"/>
          </w:tcPr>
          <w:p w14:paraId="7ED311B0"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Interest Cover Ratio</w:t>
            </w:r>
          </w:p>
        </w:tc>
        <w:tc>
          <w:tcPr>
            <w:tcW w:w="2070" w:type="dxa"/>
            <w:tcBorders>
              <w:left w:val="single" w:sz="1" w:space="0" w:color="000000"/>
              <w:bottom w:val="single" w:sz="1" w:space="0" w:color="000000"/>
            </w:tcBorders>
            <w:shd w:val="clear" w:color="auto" w:fill="auto"/>
          </w:tcPr>
          <w:p w14:paraId="025A91B7" w14:textId="77777777" w:rsidR="00E874F7" w:rsidRPr="00255EC2" w:rsidRDefault="00E874F7" w:rsidP="00255EC2">
            <w:pPr>
              <w:pStyle w:val="TableContents"/>
              <w:rPr>
                <w:color w:val="auto"/>
                <w:szCs w:val="24"/>
                <w:shd w:val="clear" w:color="auto" w:fill="FFFFFF"/>
              </w:rPr>
            </w:pPr>
            <w:r w:rsidRPr="00255EC2">
              <w:rPr>
                <w:color w:val="auto"/>
                <w:szCs w:val="24"/>
                <w:shd w:val="clear" w:color="auto" w:fill="FFFFFF"/>
              </w:rPr>
              <w:t>115</w:t>
            </w:r>
          </w:p>
        </w:tc>
        <w:tc>
          <w:tcPr>
            <w:tcW w:w="2099" w:type="dxa"/>
            <w:tcBorders>
              <w:left w:val="single" w:sz="1" w:space="0" w:color="000000"/>
              <w:bottom w:val="single" w:sz="1" w:space="0" w:color="000000"/>
              <w:right w:val="single" w:sz="1" w:space="0" w:color="000000"/>
            </w:tcBorders>
            <w:shd w:val="clear" w:color="auto" w:fill="auto"/>
          </w:tcPr>
          <w:p w14:paraId="6794C7DC" w14:textId="77777777" w:rsidR="00E874F7" w:rsidRPr="00255EC2" w:rsidRDefault="00E874F7" w:rsidP="00255EC2">
            <w:pPr>
              <w:pStyle w:val="TableContents"/>
              <w:rPr>
                <w:color w:val="auto"/>
                <w:szCs w:val="24"/>
              </w:rPr>
            </w:pPr>
            <w:r w:rsidRPr="00255EC2">
              <w:rPr>
                <w:color w:val="auto"/>
                <w:szCs w:val="24"/>
                <w:shd w:val="clear" w:color="auto" w:fill="FFFFFF"/>
              </w:rPr>
              <w:t>8.49</w:t>
            </w:r>
          </w:p>
        </w:tc>
      </w:tr>
    </w:tbl>
    <w:p w14:paraId="6E1150AC" w14:textId="77777777" w:rsidR="00E874F7" w:rsidRPr="00255EC2" w:rsidRDefault="00E874F7" w:rsidP="00255EC2">
      <w:pPr>
        <w:pStyle w:val="ListParagraph"/>
        <w:spacing w:line="360" w:lineRule="auto"/>
        <w:ind w:left="1080"/>
        <w:jc w:val="both"/>
        <w:rPr>
          <w:rFonts w:ascii="Times New Roman" w:hAnsi="Times New Roman" w:cs="Times New Roman"/>
          <w:sz w:val="24"/>
          <w:szCs w:val="24"/>
        </w:rPr>
      </w:pPr>
    </w:p>
    <w:p w14:paraId="2950CEE5" w14:textId="77777777" w:rsidR="00C57B63" w:rsidRPr="00255EC2" w:rsidRDefault="00C57B63" w:rsidP="00255EC2">
      <w:pPr>
        <w:spacing w:line="360" w:lineRule="auto"/>
        <w:jc w:val="both"/>
        <w:rPr>
          <w:rFonts w:ascii="Times New Roman" w:hAnsi="Times New Roman" w:cs="Times New Roman"/>
          <w:sz w:val="24"/>
          <w:szCs w:val="24"/>
        </w:rPr>
      </w:pPr>
    </w:p>
    <w:p w14:paraId="1C1DFD23" w14:textId="77777777" w:rsidR="00C57B63" w:rsidRPr="00255EC2" w:rsidRDefault="00C57B63" w:rsidP="00255EC2">
      <w:pPr>
        <w:spacing w:line="360" w:lineRule="auto"/>
        <w:jc w:val="both"/>
        <w:rPr>
          <w:rFonts w:ascii="Times New Roman" w:hAnsi="Times New Roman" w:cs="Times New Roman"/>
          <w:sz w:val="24"/>
          <w:szCs w:val="24"/>
        </w:rPr>
      </w:pPr>
    </w:p>
    <w:p w14:paraId="4584E84E" w14:textId="77777777" w:rsidR="00C57B63" w:rsidRPr="00255EC2" w:rsidRDefault="00C57B63" w:rsidP="00255EC2">
      <w:pPr>
        <w:spacing w:line="360" w:lineRule="auto"/>
        <w:jc w:val="both"/>
        <w:rPr>
          <w:rFonts w:ascii="Times New Roman" w:hAnsi="Times New Roman" w:cs="Times New Roman"/>
          <w:sz w:val="24"/>
          <w:szCs w:val="24"/>
        </w:rPr>
      </w:pPr>
    </w:p>
    <w:p w14:paraId="16D0C1D8" w14:textId="77777777" w:rsidR="00C57B63" w:rsidRPr="00255EC2" w:rsidRDefault="00203A5F" w:rsidP="00255EC2">
      <w:pPr>
        <w:pStyle w:val="ListParagraph"/>
        <w:numPr>
          <w:ilvl w:val="0"/>
          <w:numId w:val="1"/>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Discuss of situation as per ratio analysis.</w:t>
      </w:r>
    </w:p>
    <w:p w14:paraId="61A93636" w14:textId="77777777" w:rsidR="00203A5F" w:rsidRPr="00255EC2" w:rsidRDefault="00203A5F" w:rsidP="00255EC2">
      <w:pPr>
        <w:pStyle w:val="ListParagraph"/>
        <w:spacing w:line="360" w:lineRule="auto"/>
        <w:jc w:val="both"/>
        <w:rPr>
          <w:rFonts w:ascii="Times New Roman" w:hAnsi="Times New Roman" w:cs="Times New Roman"/>
          <w:sz w:val="24"/>
          <w:szCs w:val="24"/>
        </w:rPr>
      </w:pPr>
    </w:p>
    <w:p w14:paraId="33919F0B" w14:textId="77777777" w:rsidR="00203A5F" w:rsidRPr="00255EC2" w:rsidRDefault="00203A5F" w:rsidP="00255EC2">
      <w:pPr>
        <w:pStyle w:val="ListParagraph"/>
        <w:numPr>
          <w:ilvl w:val="0"/>
          <w:numId w:val="3"/>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Return on capital employed ratio:</w:t>
      </w:r>
    </w:p>
    <w:p w14:paraId="748F3246" w14:textId="77777777" w:rsidR="00203A5F" w:rsidRPr="00255EC2" w:rsidRDefault="00203A5F"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080D5884" wp14:editId="03097BE6">
            <wp:extent cx="4572000" cy="15430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48899FF" w14:textId="77777777" w:rsidR="00203A5F" w:rsidRPr="00255EC2" w:rsidRDefault="00203A5F"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sz w:val="24"/>
          <w:szCs w:val="24"/>
        </w:rPr>
        <w:t xml:space="preserve">Analysis: From above chart, this can be indicated that company’s efficiency to gain return on employed capital has been reduced in year 2019 as compared to year 2018. The reason behind this situation is lower growth in operation margin in year 2019 as compared to employed capital. </w:t>
      </w:r>
    </w:p>
    <w:p w14:paraId="77889B22" w14:textId="77777777" w:rsidR="00203A5F" w:rsidRPr="00255EC2" w:rsidRDefault="00203A5F" w:rsidP="00255EC2">
      <w:pPr>
        <w:spacing w:line="360" w:lineRule="auto"/>
        <w:jc w:val="both"/>
        <w:rPr>
          <w:rFonts w:ascii="Times New Roman" w:hAnsi="Times New Roman" w:cs="Times New Roman"/>
          <w:sz w:val="24"/>
          <w:szCs w:val="24"/>
        </w:rPr>
      </w:pPr>
    </w:p>
    <w:p w14:paraId="4EB45CD7" w14:textId="77777777" w:rsidR="00203A5F" w:rsidRPr="00255EC2" w:rsidRDefault="000E0896" w:rsidP="00255EC2">
      <w:pPr>
        <w:pStyle w:val="ListParagraph"/>
        <w:numPr>
          <w:ilvl w:val="0"/>
          <w:numId w:val="3"/>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Return on equity:</w:t>
      </w:r>
    </w:p>
    <w:p w14:paraId="785A76C0" w14:textId="77777777" w:rsidR="000E0896" w:rsidRPr="00255EC2" w:rsidRDefault="000E0896"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1DE2E605" wp14:editId="249F21E4">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18A8B00" w14:textId="77777777" w:rsidR="000E0896" w:rsidRPr="00255EC2" w:rsidRDefault="000E0896" w:rsidP="00255EC2">
      <w:pPr>
        <w:pStyle w:val="ListParagraph"/>
        <w:spacing w:line="360" w:lineRule="auto"/>
        <w:ind w:left="1080"/>
        <w:jc w:val="both"/>
        <w:rPr>
          <w:rFonts w:ascii="Times New Roman" w:hAnsi="Times New Roman" w:cs="Times New Roman"/>
          <w:sz w:val="24"/>
          <w:szCs w:val="24"/>
        </w:rPr>
      </w:pPr>
    </w:p>
    <w:p w14:paraId="7B036486" w14:textId="77777777" w:rsidR="000E0896" w:rsidRPr="00255EC2" w:rsidRDefault="000E0896"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sz w:val="24"/>
          <w:szCs w:val="24"/>
        </w:rPr>
        <w:lastRenderedPageBreak/>
        <w:t>Analysis</w:t>
      </w:r>
      <w:r w:rsidR="00EA24F3" w:rsidRPr="00255EC2">
        <w:rPr>
          <w:rFonts w:ascii="Times New Roman" w:hAnsi="Times New Roman" w:cs="Times New Roman"/>
          <w:sz w:val="24"/>
          <w:szCs w:val="24"/>
        </w:rPr>
        <w:t xml:space="preserve">-The above mentioned column chart is indicating that company’s efficiency to generate return on equity has been reduced in year 2019 compared to year 2018. As in year 2018, it was of 0.23 which became of 0.14 for year 2019. The reason behind this poor performance in year 2019, is decreased net income along with lower investment by shareholders. </w:t>
      </w:r>
    </w:p>
    <w:p w14:paraId="4C346D9A" w14:textId="77777777" w:rsidR="00EA24F3" w:rsidRPr="00255EC2" w:rsidRDefault="00EA24F3" w:rsidP="00255EC2">
      <w:pPr>
        <w:pStyle w:val="ListParagraph"/>
        <w:spacing w:line="360" w:lineRule="auto"/>
        <w:ind w:left="1080"/>
        <w:jc w:val="both"/>
        <w:rPr>
          <w:rFonts w:ascii="Times New Roman" w:hAnsi="Times New Roman" w:cs="Times New Roman"/>
          <w:sz w:val="24"/>
          <w:szCs w:val="24"/>
        </w:rPr>
      </w:pPr>
    </w:p>
    <w:p w14:paraId="125D8FC7" w14:textId="77777777" w:rsidR="00EA24F3" w:rsidRPr="00255EC2" w:rsidRDefault="00C62A57" w:rsidP="00255EC2">
      <w:pPr>
        <w:pStyle w:val="ListParagraph"/>
        <w:numPr>
          <w:ilvl w:val="0"/>
          <w:numId w:val="3"/>
        </w:num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EPS:</w:t>
      </w:r>
    </w:p>
    <w:p w14:paraId="2A618F2D" w14:textId="77777777" w:rsidR="00E874F7" w:rsidRPr="00255EC2" w:rsidRDefault="00E874F7" w:rsidP="00255EC2">
      <w:pPr>
        <w:pStyle w:val="ListParagraph"/>
        <w:spacing w:line="360" w:lineRule="auto"/>
        <w:ind w:left="108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07E3EAAB" wp14:editId="4DAE567F">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BE6891" w14:textId="77777777" w:rsidR="00C62A57" w:rsidRPr="00255EC2" w:rsidRDefault="00C62A57" w:rsidP="00255EC2">
      <w:pPr>
        <w:spacing w:line="360" w:lineRule="auto"/>
        <w:ind w:left="1080"/>
        <w:jc w:val="both"/>
        <w:rPr>
          <w:rFonts w:ascii="Times New Roman" w:hAnsi="Times New Roman" w:cs="Times New Roman"/>
          <w:b/>
          <w:bCs/>
          <w:sz w:val="24"/>
          <w:szCs w:val="24"/>
          <w:shd w:val="clear" w:color="auto" w:fill="FFFFFF"/>
        </w:rPr>
      </w:pPr>
      <w:r w:rsidRPr="00255EC2">
        <w:rPr>
          <w:rFonts w:ascii="Times New Roman" w:hAnsi="Times New Roman" w:cs="Times New Roman"/>
          <w:sz w:val="24"/>
          <w:szCs w:val="24"/>
        </w:rPr>
        <w:t xml:space="preserve">Analysis- </w:t>
      </w:r>
      <w:r w:rsidRPr="00255EC2">
        <w:rPr>
          <w:rFonts w:ascii="Times New Roman" w:hAnsi="Times New Roman" w:cs="Times New Roman"/>
          <w:sz w:val="24"/>
          <w:szCs w:val="24"/>
          <w:shd w:val="clear" w:color="auto" w:fill="FFFFFF"/>
        </w:rPr>
        <w:t>This ratio shows how much profit is gained by a shareholder of company on each share it held. Greater earning for every share is regarded as better rather than a lesser ratio, which means that the corporation is more financially and profitably viable and that the corporation has more profits/income to distribute to shareholders. Here as shown in above table company's EPS has been declined from 1.0281 per-share to 0.7247 per-share which indicates that company's profitability position has been decreased over the year.</w:t>
      </w:r>
    </w:p>
    <w:p w14:paraId="52BE7DDB" w14:textId="77777777" w:rsidR="00C62A57" w:rsidRPr="00255EC2" w:rsidRDefault="00C62A57" w:rsidP="00255EC2">
      <w:pPr>
        <w:pStyle w:val="ListParagraph"/>
        <w:spacing w:line="360" w:lineRule="auto"/>
        <w:ind w:left="1080"/>
        <w:jc w:val="both"/>
        <w:rPr>
          <w:rFonts w:ascii="Times New Roman" w:hAnsi="Times New Roman" w:cs="Times New Roman"/>
          <w:sz w:val="24"/>
          <w:szCs w:val="24"/>
        </w:rPr>
      </w:pPr>
    </w:p>
    <w:p w14:paraId="70EF2C13" w14:textId="77777777" w:rsidR="00C25B07" w:rsidRPr="00255EC2" w:rsidRDefault="00C25B07" w:rsidP="00255EC2">
      <w:pPr>
        <w:spacing w:line="360" w:lineRule="auto"/>
        <w:jc w:val="both"/>
        <w:rPr>
          <w:rFonts w:ascii="Times New Roman" w:hAnsi="Times New Roman" w:cs="Times New Roman"/>
          <w:sz w:val="24"/>
          <w:szCs w:val="24"/>
        </w:rPr>
      </w:pPr>
    </w:p>
    <w:p w14:paraId="227AB5DD" w14:textId="77777777" w:rsidR="00C25B07" w:rsidRPr="00255EC2" w:rsidRDefault="00C25B07" w:rsidP="00255EC2">
      <w:pPr>
        <w:spacing w:line="360" w:lineRule="auto"/>
        <w:ind w:firstLine="720"/>
        <w:jc w:val="both"/>
        <w:rPr>
          <w:rFonts w:ascii="Times New Roman" w:hAnsi="Times New Roman" w:cs="Times New Roman"/>
          <w:sz w:val="24"/>
          <w:szCs w:val="24"/>
        </w:rPr>
      </w:pPr>
      <w:r w:rsidRPr="00255EC2">
        <w:rPr>
          <w:rFonts w:ascii="Times New Roman" w:hAnsi="Times New Roman" w:cs="Times New Roman"/>
          <w:sz w:val="24"/>
          <w:szCs w:val="24"/>
        </w:rPr>
        <w:t>4. Gross profit margin:</w:t>
      </w:r>
    </w:p>
    <w:p w14:paraId="589F948F" w14:textId="77777777" w:rsidR="00C25B07" w:rsidRPr="00255EC2" w:rsidRDefault="0046662F"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lastRenderedPageBreak/>
        <w:tab/>
      </w:r>
      <w:r w:rsidRPr="00255EC2">
        <w:rPr>
          <w:rFonts w:ascii="Times New Roman" w:hAnsi="Times New Roman" w:cs="Times New Roman"/>
          <w:noProof/>
          <w:sz w:val="24"/>
          <w:szCs w:val="24"/>
        </w:rPr>
        <w:drawing>
          <wp:inline distT="0" distB="0" distL="0" distR="0" wp14:anchorId="34391EB4" wp14:editId="0E5BADB2">
            <wp:extent cx="4572000" cy="16668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255EC2">
        <w:rPr>
          <w:rFonts w:ascii="Times New Roman" w:hAnsi="Times New Roman" w:cs="Times New Roman"/>
          <w:sz w:val="24"/>
          <w:szCs w:val="24"/>
        </w:rPr>
        <w:tab/>
      </w:r>
    </w:p>
    <w:p w14:paraId="7D131168" w14:textId="77777777" w:rsidR="0046662F" w:rsidRPr="00255EC2" w:rsidRDefault="0046662F"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 xml:space="preserve">Analysis- In the aspect of gross margin, company’s performance is similar in both years because there is no major difference in gross margin. Such as in year 2018, it was of 38.39% that reduced by minor margin and became of 38.26%. This consistency in gross margin is because of </w:t>
      </w:r>
      <w:r w:rsidR="00A33E8A" w:rsidRPr="00255EC2">
        <w:rPr>
          <w:rFonts w:ascii="Times New Roman" w:hAnsi="Times New Roman" w:cs="Times New Roman"/>
          <w:sz w:val="24"/>
          <w:szCs w:val="24"/>
        </w:rPr>
        <w:t>increased value of gross profit for year 2019 as well as revenues were also higher in year 2019 compared to year 2018.</w:t>
      </w:r>
    </w:p>
    <w:p w14:paraId="5F8FAC5B" w14:textId="77777777" w:rsidR="00A33E8A" w:rsidRPr="00255EC2" w:rsidRDefault="00A33E8A" w:rsidP="00255EC2">
      <w:pPr>
        <w:spacing w:line="360" w:lineRule="auto"/>
        <w:ind w:left="720"/>
        <w:jc w:val="both"/>
        <w:rPr>
          <w:rFonts w:ascii="Times New Roman" w:hAnsi="Times New Roman" w:cs="Times New Roman"/>
          <w:sz w:val="24"/>
          <w:szCs w:val="24"/>
        </w:rPr>
      </w:pPr>
    </w:p>
    <w:p w14:paraId="25D3F65A" w14:textId="77777777" w:rsidR="00A33E8A" w:rsidRPr="00255EC2" w:rsidRDefault="00652849" w:rsidP="00255EC2">
      <w:pPr>
        <w:spacing w:line="360" w:lineRule="auto"/>
        <w:ind w:firstLine="720"/>
        <w:jc w:val="both"/>
        <w:rPr>
          <w:rFonts w:ascii="Times New Roman" w:hAnsi="Times New Roman" w:cs="Times New Roman"/>
          <w:sz w:val="24"/>
          <w:szCs w:val="24"/>
        </w:rPr>
      </w:pPr>
      <w:r w:rsidRPr="00255EC2">
        <w:rPr>
          <w:rFonts w:ascii="Times New Roman" w:hAnsi="Times New Roman" w:cs="Times New Roman"/>
          <w:sz w:val="24"/>
          <w:szCs w:val="24"/>
        </w:rPr>
        <w:t>5. Assets turnover ratio:</w:t>
      </w:r>
    </w:p>
    <w:p w14:paraId="4F9EA59F" w14:textId="77777777" w:rsidR="00652849" w:rsidRPr="00255EC2" w:rsidRDefault="00A67B2F" w:rsidP="00255EC2">
      <w:pPr>
        <w:spacing w:line="360" w:lineRule="auto"/>
        <w:ind w:firstLine="72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6E233205" wp14:editId="5742D809">
            <wp:extent cx="4572000" cy="204787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44B72E" w14:textId="77777777" w:rsidR="00A67B2F" w:rsidRPr="00255EC2" w:rsidRDefault="00A67B2F"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 xml:space="preserve">Analysis: This ratio of above company was of 6.06 times for year 2018 which reduced and became of 5.36 times. The higher ratio shows that company is able to generating higher revenue from per pounds of assets. </w:t>
      </w:r>
      <w:r w:rsidR="002B790A" w:rsidRPr="00255EC2">
        <w:rPr>
          <w:rFonts w:ascii="Times New Roman" w:hAnsi="Times New Roman" w:cs="Times New Roman"/>
          <w:sz w:val="24"/>
          <w:szCs w:val="24"/>
        </w:rPr>
        <w:t>In the context of above ratios, this can be find out that company failed to generate higher revenues in year 2019 as compared to year 2018. This can be because of lower sales growth as compared to purchasing growth of net assets in year 2019.</w:t>
      </w:r>
    </w:p>
    <w:p w14:paraId="2B342133" w14:textId="77777777" w:rsidR="002B790A" w:rsidRPr="00255EC2" w:rsidRDefault="002B790A" w:rsidP="00255EC2">
      <w:pPr>
        <w:spacing w:line="360" w:lineRule="auto"/>
        <w:ind w:left="720"/>
        <w:jc w:val="both"/>
        <w:rPr>
          <w:rFonts w:ascii="Times New Roman" w:hAnsi="Times New Roman" w:cs="Times New Roman"/>
          <w:sz w:val="24"/>
          <w:szCs w:val="24"/>
        </w:rPr>
      </w:pPr>
    </w:p>
    <w:p w14:paraId="09EA71EE" w14:textId="77777777" w:rsidR="002B790A" w:rsidRPr="00255EC2" w:rsidRDefault="002B790A"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lastRenderedPageBreak/>
        <w:t xml:space="preserve">6. </w:t>
      </w:r>
      <w:r w:rsidR="000848FE" w:rsidRPr="00255EC2">
        <w:rPr>
          <w:rFonts w:ascii="Times New Roman" w:hAnsi="Times New Roman" w:cs="Times New Roman"/>
          <w:sz w:val="24"/>
          <w:szCs w:val="24"/>
        </w:rPr>
        <w:t>Stock holding period:</w:t>
      </w:r>
    </w:p>
    <w:p w14:paraId="0221671F" w14:textId="77777777" w:rsidR="000848FE" w:rsidRPr="00255EC2" w:rsidRDefault="00B70A32"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3A66B29A" wp14:editId="10DE95EA">
            <wp:extent cx="4572000" cy="16954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7DB174" w14:textId="77777777" w:rsidR="00B70A32" w:rsidRPr="00255EC2" w:rsidRDefault="00B70A32" w:rsidP="00255EC2">
      <w:pPr>
        <w:spacing w:line="360" w:lineRule="auto"/>
        <w:ind w:left="720"/>
        <w:jc w:val="both"/>
        <w:rPr>
          <w:rFonts w:ascii="Times New Roman" w:hAnsi="Times New Roman" w:cs="Times New Roman"/>
          <w:sz w:val="24"/>
          <w:szCs w:val="24"/>
        </w:rPr>
      </w:pPr>
    </w:p>
    <w:p w14:paraId="2F0D9AE4" w14:textId="77777777" w:rsidR="00654570" w:rsidRPr="00255EC2" w:rsidRDefault="00B70A32"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 xml:space="preserve">Analysis: </w:t>
      </w:r>
      <w:r w:rsidR="00654570" w:rsidRPr="00255EC2">
        <w:rPr>
          <w:rFonts w:ascii="Times New Roman" w:hAnsi="Times New Roman" w:cs="Times New Roman"/>
          <w:sz w:val="24"/>
          <w:szCs w:val="24"/>
        </w:rPr>
        <w:t>On the basis of above chart, this can be find out that above company’s performance was better in year 2019 as compared to year 2018 in terms of management of stock. Such as in year 2018, company was taking 50 days in order to sale inventories while in year 2019, this time period was of 46 days. The reason of lower performance in year 2018 can be higher cost of goods sold.</w:t>
      </w:r>
    </w:p>
    <w:p w14:paraId="37FBEEF3" w14:textId="77777777" w:rsidR="00654570" w:rsidRPr="00255EC2" w:rsidRDefault="00654570" w:rsidP="00255EC2">
      <w:pPr>
        <w:spacing w:line="360" w:lineRule="auto"/>
        <w:ind w:left="720"/>
        <w:jc w:val="both"/>
        <w:rPr>
          <w:rFonts w:ascii="Times New Roman" w:hAnsi="Times New Roman" w:cs="Times New Roman"/>
          <w:sz w:val="24"/>
          <w:szCs w:val="24"/>
        </w:rPr>
      </w:pPr>
    </w:p>
    <w:p w14:paraId="570ABD1D" w14:textId="77777777" w:rsidR="00654570" w:rsidRPr="00255EC2" w:rsidRDefault="00654570"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 xml:space="preserve">7. </w:t>
      </w:r>
      <w:r w:rsidR="00CF2266" w:rsidRPr="00255EC2">
        <w:rPr>
          <w:rFonts w:ascii="Times New Roman" w:hAnsi="Times New Roman" w:cs="Times New Roman"/>
          <w:sz w:val="24"/>
          <w:szCs w:val="24"/>
        </w:rPr>
        <w:t>Debtors collection period:</w:t>
      </w:r>
    </w:p>
    <w:p w14:paraId="5205DD65" w14:textId="77777777" w:rsidR="00CF2266" w:rsidRPr="00255EC2" w:rsidRDefault="00CF2266"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4629EEED" wp14:editId="51BFC76C">
            <wp:extent cx="4572000" cy="18478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0B600E" w14:textId="77777777" w:rsidR="00CF2266" w:rsidRPr="00255EC2" w:rsidRDefault="00CF2266"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Analysis: From above chart, it can be stated that above company is taking less time to receive debt amount from debtors in year 2019 as compared to year 2018. Such as in year 2018, time period to collect debt was of 86 days which reduced and became of 84 days for year 2019.</w:t>
      </w:r>
      <w:r w:rsidR="00B41634" w:rsidRPr="00255EC2">
        <w:rPr>
          <w:rFonts w:ascii="Times New Roman" w:hAnsi="Times New Roman" w:cs="Times New Roman"/>
          <w:sz w:val="24"/>
          <w:szCs w:val="24"/>
        </w:rPr>
        <w:t xml:space="preserve"> It is so because of higher credit sales or insolvent debtors. </w:t>
      </w:r>
    </w:p>
    <w:p w14:paraId="3D70D64C" w14:textId="77777777" w:rsidR="00B41634" w:rsidRPr="00255EC2" w:rsidRDefault="00B41634" w:rsidP="00255EC2">
      <w:pPr>
        <w:spacing w:line="360" w:lineRule="auto"/>
        <w:ind w:left="720"/>
        <w:jc w:val="both"/>
        <w:rPr>
          <w:rFonts w:ascii="Times New Roman" w:hAnsi="Times New Roman" w:cs="Times New Roman"/>
          <w:sz w:val="24"/>
          <w:szCs w:val="24"/>
        </w:rPr>
      </w:pPr>
    </w:p>
    <w:p w14:paraId="2CD9F9F4" w14:textId="77777777" w:rsidR="00B41634" w:rsidRPr="00255EC2" w:rsidRDefault="00B41634"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lastRenderedPageBreak/>
        <w:t>8. Current ratio:</w:t>
      </w:r>
    </w:p>
    <w:p w14:paraId="4156BF09" w14:textId="77777777" w:rsidR="00B41634" w:rsidRPr="00255EC2" w:rsidRDefault="000073BE"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noProof/>
          <w:sz w:val="24"/>
          <w:szCs w:val="24"/>
        </w:rPr>
        <w:drawing>
          <wp:inline distT="0" distB="0" distL="0" distR="0" wp14:anchorId="45526575" wp14:editId="050B1093">
            <wp:extent cx="4572000" cy="19240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EB9B5B" w14:textId="77777777" w:rsidR="000073BE" w:rsidRPr="00255EC2" w:rsidRDefault="000073BE"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rPr>
        <w:t xml:space="preserve">Analysis: In both years, company is not able meet ideal criteria of current ratio which is of 2:1 times. Company’s current ratio was of 1.05 times and 1.02 times for year 2018 and 2019 respectively. This indicates their ineffective liquidity position as they don’t have enough current assets to pay current liabilities. </w:t>
      </w:r>
    </w:p>
    <w:p w14:paraId="64B3B8CA" w14:textId="77777777" w:rsidR="00083AA4" w:rsidRPr="00255EC2" w:rsidRDefault="00083AA4" w:rsidP="00255EC2">
      <w:pPr>
        <w:spacing w:line="360" w:lineRule="auto"/>
        <w:ind w:left="720"/>
        <w:jc w:val="both"/>
        <w:rPr>
          <w:rFonts w:ascii="Times New Roman" w:hAnsi="Times New Roman" w:cs="Times New Roman"/>
          <w:sz w:val="24"/>
          <w:szCs w:val="24"/>
        </w:rPr>
      </w:pPr>
    </w:p>
    <w:p w14:paraId="5DC50934" w14:textId="77777777" w:rsidR="00083AA4" w:rsidRPr="00255EC2" w:rsidRDefault="00083AA4" w:rsidP="00255EC2">
      <w:pPr>
        <w:spacing w:line="360" w:lineRule="auto"/>
        <w:ind w:left="720"/>
        <w:jc w:val="both"/>
        <w:rPr>
          <w:rFonts w:ascii="Times New Roman" w:hAnsi="Times New Roman" w:cs="Times New Roman"/>
          <w:bCs/>
          <w:sz w:val="24"/>
          <w:szCs w:val="24"/>
          <w:shd w:val="clear" w:color="auto" w:fill="FFFFFF"/>
        </w:rPr>
      </w:pPr>
      <w:r w:rsidRPr="00255EC2">
        <w:rPr>
          <w:rFonts w:ascii="Times New Roman" w:hAnsi="Times New Roman" w:cs="Times New Roman"/>
          <w:sz w:val="24"/>
          <w:szCs w:val="24"/>
        </w:rPr>
        <w:t>9.</w:t>
      </w:r>
      <w:r w:rsidR="00E874F7" w:rsidRPr="00255EC2">
        <w:rPr>
          <w:rFonts w:ascii="Times New Roman" w:hAnsi="Times New Roman" w:cs="Times New Roman"/>
          <w:sz w:val="24"/>
          <w:szCs w:val="24"/>
        </w:rPr>
        <w:t xml:space="preserve"> </w:t>
      </w:r>
      <w:r w:rsidR="00E874F7" w:rsidRPr="00255EC2">
        <w:rPr>
          <w:rFonts w:ascii="Times New Roman" w:hAnsi="Times New Roman" w:cs="Times New Roman"/>
          <w:bCs/>
          <w:sz w:val="24"/>
          <w:szCs w:val="24"/>
          <w:shd w:val="clear" w:color="auto" w:fill="FFFFFF"/>
        </w:rPr>
        <w:t>Gearing Ratio:</w:t>
      </w:r>
    </w:p>
    <w:p w14:paraId="6AFEF857" w14:textId="77777777" w:rsidR="00E874F7" w:rsidRPr="00255EC2" w:rsidRDefault="00E874F7" w:rsidP="00255EC2">
      <w:pPr>
        <w:spacing w:line="360" w:lineRule="auto"/>
        <w:ind w:left="720"/>
        <w:jc w:val="both"/>
        <w:rPr>
          <w:rFonts w:ascii="Times New Roman" w:hAnsi="Times New Roman" w:cs="Times New Roman"/>
          <w:bCs/>
          <w:sz w:val="24"/>
          <w:szCs w:val="24"/>
          <w:shd w:val="clear" w:color="auto" w:fill="FFFFFF"/>
        </w:rPr>
      </w:pPr>
      <w:r w:rsidRPr="00255EC2">
        <w:rPr>
          <w:rFonts w:ascii="Times New Roman" w:hAnsi="Times New Roman" w:cs="Times New Roman"/>
          <w:noProof/>
          <w:sz w:val="24"/>
          <w:szCs w:val="24"/>
        </w:rPr>
        <w:drawing>
          <wp:inline distT="0" distB="0" distL="0" distR="0" wp14:anchorId="14878D6E" wp14:editId="2F496704">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8A0363" w14:textId="77777777" w:rsidR="00E874F7" w:rsidRPr="00255EC2" w:rsidRDefault="00E874F7" w:rsidP="00255EC2">
      <w:pPr>
        <w:spacing w:line="360" w:lineRule="auto"/>
        <w:ind w:left="720"/>
        <w:jc w:val="both"/>
        <w:rPr>
          <w:rFonts w:ascii="Times New Roman" w:hAnsi="Times New Roman" w:cs="Times New Roman"/>
          <w:sz w:val="24"/>
          <w:szCs w:val="24"/>
        </w:rPr>
      </w:pPr>
    </w:p>
    <w:p w14:paraId="13B0C875" w14:textId="77777777" w:rsidR="00E874F7" w:rsidRPr="00255EC2" w:rsidRDefault="00E874F7" w:rsidP="00255EC2">
      <w:pPr>
        <w:spacing w:line="360" w:lineRule="auto"/>
        <w:ind w:left="720"/>
        <w:jc w:val="both"/>
        <w:rPr>
          <w:rFonts w:ascii="Times New Roman" w:hAnsi="Times New Roman" w:cs="Times New Roman"/>
          <w:sz w:val="24"/>
          <w:szCs w:val="24"/>
        </w:rPr>
      </w:pPr>
      <w:r w:rsidRPr="00255EC2">
        <w:rPr>
          <w:rFonts w:ascii="Times New Roman" w:hAnsi="Times New Roman" w:cs="Times New Roman"/>
          <w:sz w:val="24"/>
          <w:szCs w:val="24"/>
          <w:shd w:val="clear" w:color="auto" w:fill="FFFFFF"/>
        </w:rPr>
        <w:t xml:space="preserve">Analysis: This ratio assists to interpret the actual proportion of a corporation's longer-term liabilities to its overall equity funds as increased/excessive debts may lead to adverse </w:t>
      </w:r>
      <w:r w:rsidRPr="00255EC2">
        <w:rPr>
          <w:rFonts w:ascii="Times New Roman" w:hAnsi="Times New Roman" w:cs="Times New Roman"/>
          <w:sz w:val="24"/>
          <w:szCs w:val="24"/>
          <w:shd w:val="clear" w:color="auto" w:fill="FFFFFF"/>
        </w:rPr>
        <w:lastRenderedPageBreak/>
        <w:t>financial position</w:t>
      </w:r>
      <w:r w:rsidR="00FA0127" w:rsidRPr="00255EC2">
        <w:rPr>
          <w:rFonts w:ascii="Times New Roman" w:hAnsi="Times New Roman" w:cs="Times New Roman"/>
          <w:sz w:val="24"/>
          <w:szCs w:val="24"/>
          <w:shd w:val="clear" w:color="auto" w:fill="FFFFFF"/>
        </w:rPr>
        <w:t xml:space="preserve"> (Warren, C., Jonick and Schneider, 2020)</w:t>
      </w:r>
      <w:r w:rsidRPr="00255EC2">
        <w:rPr>
          <w:rFonts w:ascii="Times New Roman" w:hAnsi="Times New Roman" w:cs="Times New Roman"/>
          <w:sz w:val="24"/>
          <w:szCs w:val="24"/>
          <w:shd w:val="clear" w:color="auto" w:fill="FFFFFF"/>
        </w:rPr>
        <w:t>. The higher gearing ratio reflects a large debts-to-equity proportion, whereas the lower gearing ratio reflects a lower debts-to - equity proportion. Such proportion is identical to debts-to - equity ratio, apart from that there is a variety of differences in the calculation of gearing ratio which can yield somewhat different effects. Here in as stated in above table company's gearing ratio has been decreased from 81.07% to 44.96% which reflects that corporation's dependence on debt funding has been reduced over the period and also a sign of favorable liquidity position.</w:t>
      </w:r>
    </w:p>
    <w:p w14:paraId="0006DBAB" w14:textId="77777777" w:rsidR="00E874F7" w:rsidRPr="00255EC2" w:rsidRDefault="00E874F7" w:rsidP="00255EC2">
      <w:pPr>
        <w:spacing w:line="360" w:lineRule="auto"/>
        <w:ind w:left="720"/>
        <w:jc w:val="both"/>
        <w:rPr>
          <w:rFonts w:ascii="Times New Roman" w:hAnsi="Times New Roman" w:cs="Times New Roman"/>
          <w:sz w:val="24"/>
          <w:szCs w:val="24"/>
        </w:rPr>
      </w:pPr>
    </w:p>
    <w:p w14:paraId="2225D436" w14:textId="77777777" w:rsidR="00083AA4" w:rsidRPr="00255EC2" w:rsidRDefault="00083AA4" w:rsidP="00255EC2">
      <w:pPr>
        <w:spacing w:line="360" w:lineRule="auto"/>
        <w:ind w:left="720"/>
        <w:jc w:val="both"/>
        <w:rPr>
          <w:rFonts w:ascii="Times New Roman" w:hAnsi="Times New Roman" w:cs="Times New Roman"/>
          <w:bCs/>
          <w:sz w:val="24"/>
          <w:szCs w:val="24"/>
          <w:shd w:val="clear" w:color="auto" w:fill="FFFFFF"/>
        </w:rPr>
      </w:pPr>
      <w:r w:rsidRPr="00255EC2">
        <w:rPr>
          <w:rFonts w:ascii="Times New Roman" w:hAnsi="Times New Roman" w:cs="Times New Roman"/>
          <w:sz w:val="24"/>
          <w:szCs w:val="24"/>
        </w:rPr>
        <w:t>10.</w:t>
      </w:r>
      <w:r w:rsidR="00E874F7" w:rsidRPr="00255EC2">
        <w:rPr>
          <w:rFonts w:ascii="Times New Roman" w:hAnsi="Times New Roman" w:cs="Times New Roman"/>
          <w:sz w:val="24"/>
          <w:szCs w:val="24"/>
        </w:rPr>
        <w:t xml:space="preserve"> </w:t>
      </w:r>
      <w:r w:rsidR="00E874F7" w:rsidRPr="00255EC2">
        <w:rPr>
          <w:rFonts w:ascii="Times New Roman" w:hAnsi="Times New Roman" w:cs="Times New Roman"/>
          <w:bCs/>
          <w:sz w:val="24"/>
          <w:szCs w:val="24"/>
          <w:shd w:val="clear" w:color="auto" w:fill="FFFFFF"/>
        </w:rPr>
        <w:t>Interest Cover Ratio:</w:t>
      </w:r>
    </w:p>
    <w:p w14:paraId="204AF217" w14:textId="77777777" w:rsidR="000D7D8A" w:rsidRPr="00255EC2" w:rsidRDefault="000D7D8A" w:rsidP="00255EC2">
      <w:pPr>
        <w:spacing w:line="360" w:lineRule="auto"/>
        <w:ind w:left="720"/>
        <w:jc w:val="both"/>
        <w:rPr>
          <w:rFonts w:ascii="Times New Roman" w:hAnsi="Times New Roman" w:cs="Times New Roman"/>
          <w:bCs/>
          <w:sz w:val="24"/>
          <w:szCs w:val="24"/>
          <w:shd w:val="clear" w:color="auto" w:fill="FFFFFF"/>
        </w:rPr>
      </w:pPr>
      <w:r w:rsidRPr="00255EC2">
        <w:rPr>
          <w:rFonts w:ascii="Times New Roman" w:hAnsi="Times New Roman" w:cs="Times New Roman"/>
          <w:noProof/>
          <w:sz w:val="24"/>
          <w:szCs w:val="24"/>
        </w:rPr>
        <w:drawing>
          <wp:inline distT="0" distB="0" distL="0" distR="0" wp14:anchorId="2E01C4D1" wp14:editId="14E860E4">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360EA1" w14:textId="77777777" w:rsidR="00E874F7" w:rsidRPr="00255EC2" w:rsidRDefault="00E874F7" w:rsidP="00255EC2">
      <w:pPr>
        <w:spacing w:line="360" w:lineRule="auto"/>
        <w:ind w:left="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rPr>
        <w:t xml:space="preserve">Analysis: </w:t>
      </w:r>
      <w:r w:rsidRPr="00255EC2">
        <w:rPr>
          <w:rFonts w:ascii="Times New Roman" w:hAnsi="Times New Roman" w:cs="Times New Roman"/>
          <w:sz w:val="24"/>
          <w:szCs w:val="24"/>
          <w:shd w:val="clear" w:color="auto" w:fill="FFFFFF"/>
        </w:rPr>
        <w:t xml:space="preserve">This ratio act as indicator that how efficient company is to payout </w:t>
      </w:r>
      <w:r w:rsidR="000D7D8A" w:rsidRPr="00255EC2">
        <w:rPr>
          <w:rFonts w:ascii="Times New Roman" w:hAnsi="Times New Roman" w:cs="Times New Roman"/>
          <w:sz w:val="24"/>
          <w:szCs w:val="24"/>
          <w:shd w:val="clear" w:color="auto" w:fill="FFFFFF"/>
        </w:rPr>
        <w:t>it’s</w:t>
      </w:r>
      <w:r w:rsidRPr="00255EC2">
        <w:rPr>
          <w:rFonts w:ascii="Times New Roman" w:hAnsi="Times New Roman" w:cs="Times New Roman"/>
          <w:sz w:val="24"/>
          <w:szCs w:val="24"/>
          <w:shd w:val="clear" w:color="auto" w:fill="FFFFFF"/>
        </w:rPr>
        <w:t xml:space="preserve"> all debt obligations. A greater ratio implies that a corporation will cover its interest cost multiple times over, whereas a lower ratio is strong indicator that business may defaults on loan repayments. As presented in above table. Company's interest cover ratio has been increased over the period which exhibits that company's debt obligation has been decreased and company is able to re pay its all debt-obligations.</w:t>
      </w:r>
    </w:p>
    <w:p w14:paraId="12DC3220" w14:textId="77777777" w:rsidR="00E874F7" w:rsidRPr="00255EC2" w:rsidRDefault="00E874F7" w:rsidP="00255EC2">
      <w:pPr>
        <w:spacing w:line="360" w:lineRule="auto"/>
        <w:ind w:left="720"/>
        <w:jc w:val="both"/>
        <w:rPr>
          <w:rFonts w:ascii="Times New Roman" w:hAnsi="Times New Roman" w:cs="Times New Roman"/>
          <w:sz w:val="24"/>
          <w:szCs w:val="24"/>
        </w:rPr>
      </w:pPr>
    </w:p>
    <w:p w14:paraId="247B9E03" w14:textId="77777777" w:rsidR="00993B9E" w:rsidRPr="00255EC2" w:rsidRDefault="00993B9E" w:rsidP="00255EC2">
      <w:pPr>
        <w:pStyle w:val="Heading2"/>
        <w:spacing w:line="360" w:lineRule="auto"/>
        <w:jc w:val="both"/>
        <w:rPr>
          <w:rFonts w:ascii="Times New Roman" w:hAnsi="Times New Roman" w:cs="Times New Roman"/>
          <w:color w:val="auto"/>
          <w:sz w:val="24"/>
          <w:szCs w:val="24"/>
          <w:u w:val="single"/>
        </w:rPr>
      </w:pPr>
      <w:bookmarkStart w:id="4" w:name="_Toc47792639"/>
      <w:r w:rsidRPr="00255EC2">
        <w:rPr>
          <w:rFonts w:ascii="Times New Roman" w:hAnsi="Times New Roman" w:cs="Times New Roman"/>
          <w:color w:val="auto"/>
          <w:sz w:val="24"/>
          <w:szCs w:val="24"/>
          <w:u w:val="single"/>
        </w:rPr>
        <w:lastRenderedPageBreak/>
        <w:t>Question 3.</w:t>
      </w:r>
      <w:bookmarkEnd w:id="4"/>
    </w:p>
    <w:p w14:paraId="3569AF42" w14:textId="77777777" w:rsidR="00993B9E" w:rsidRPr="00255EC2" w:rsidRDefault="00255EC2"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 xml:space="preserve"> </w:t>
      </w:r>
      <w:r w:rsidR="00993B9E" w:rsidRPr="00255EC2">
        <w:rPr>
          <w:rFonts w:ascii="Times New Roman" w:hAnsi="Times New Roman" w:cs="Times New Roman"/>
          <w:sz w:val="24"/>
          <w:szCs w:val="24"/>
        </w:rPr>
        <w:t xml:space="preserve">(a) Analysis of users of financial statements of company. </w:t>
      </w:r>
    </w:p>
    <w:p w14:paraId="32754C79" w14:textId="77777777" w:rsidR="00993B9E" w:rsidRPr="00255EC2" w:rsidRDefault="00993B9E" w:rsidP="00255EC2">
      <w:pPr>
        <w:spacing w:line="360" w:lineRule="auto"/>
        <w:ind w:firstLine="360"/>
        <w:jc w:val="both"/>
        <w:rPr>
          <w:rFonts w:ascii="Times New Roman" w:hAnsi="Times New Roman" w:cs="Times New Roman"/>
          <w:sz w:val="24"/>
          <w:szCs w:val="24"/>
        </w:rPr>
      </w:pPr>
      <w:r w:rsidRPr="00255EC2">
        <w:rPr>
          <w:rFonts w:ascii="Times New Roman" w:hAnsi="Times New Roman" w:cs="Times New Roman"/>
          <w:sz w:val="24"/>
          <w:szCs w:val="24"/>
        </w:rPr>
        <w:t>In the companies, different types of financial statements are prepared which are used by both internal and external stakeholders. Each stakeholder has own purpose due to which they show their interest in financial information. Herein, below three distinct user of financial statement of companies are mentioned that are as follows:</w:t>
      </w:r>
    </w:p>
    <w:p w14:paraId="59037B19" w14:textId="77777777" w:rsidR="00993B9E" w:rsidRPr="00255EC2" w:rsidRDefault="00993B9E"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Owners and investors- The investors and owners both have their interest in prepared financial statements</w:t>
      </w:r>
      <w:r w:rsidR="00D10914" w:rsidRPr="00255EC2">
        <w:rPr>
          <w:rFonts w:ascii="Times New Roman" w:hAnsi="Times New Roman" w:cs="Times New Roman"/>
          <w:sz w:val="24"/>
          <w:szCs w:val="24"/>
        </w:rPr>
        <w:t xml:space="preserve"> (</w:t>
      </w:r>
      <w:proofErr w:type="spellStart"/>
      <w:r w:rsidR="00D10914" w:rsidRPr="00255EC2">
        <w:rPr>
          <w:rFonts w:ascii="Times New Roman" w:hAnsi="Times New Roman" w:cs="Times New Roman"/>
          <w:sz w:val="24"/>
          <w:szCs w:val="24"/>
          <w:shd w:val="clear" w:color="auto" w:fill="FFFFFF"/>
        </w:rPr>
        <w:t>Pirveli</w:t>
      </w:r>
      <w:proofErr w:type="spellEnd"/>
      <w:r w:rsidR="00D10914" w:rsidRPr="00255EC2">
        <w:rPr>
          <w:rFonts w:ascii="Times New Roman" w:hAnsi="Times New Roman" w:cs="Times New Roman"/>
          <w:sz w:val="24"/>
          <w:szCs w:val="24"/>
          <w:shd w:val="clear" w:color="auto" w:fill="FFFFFF"/>
        </w:rPr>
        <w:t xml:space="preserve"> and </w:t>
      </w:r>
      <w:proofErr w:type="spellStart"/>
      <w:r w:rsidR="00D10914" w:rsidRPr="00255EC2">
        <w:rPr>
          <w:rFonts w:ascii="Times New Roman" w:hAnsi="Times New Roman" w:cs="Times New Roman"/>
          <w:sz w:val="24"/>
          <w:szCs w:val="24"/>
          <w:shd w:val="clear" w:color="auto" w:fill="FFFFFF"/>
        </w:rPr>
        <w:t>Shugliashvili</w:t>
      </w:r>
      <w:proofErr w:type="spellEnd"/>
      <w:r w:rsidR="00D10914" w:rsidRPr="00255EC2">
        <w:rPr>
          <w:rFonts w:ascii="Times New Roman" w:hAnsi="Times New Roman" w:cs="Times New Roman"/>
          <w:sz w:val="24"/>
          <w:szCs w:val="24"/>
          <w:shd w:val="clear" w:color="auto" w:fill="FFFFFF"/>
        </w:rPr>
        <w:t>, 2019</w:t>
      </w:r>
      <w:r w:rsidR="00D10914" w:rsidRPr="00255EC2">
        <w:rPr>
          <w:rFonts w:ascii="Times New Roman" w:hAnsi="Times New Roman" w:cs="Times New Roman"/>
          <w:sz w:val="24"/>
          <w:szCs w:val="24"/>
        </w:rPr>
        <w:t>)</w:t>
      </w:r>
      <w:r w:rsidRPr="00255EC2">
        <w:rPr>
          <w:rFonts w:ascii="Times New Roman" w:hAnsi="Times New Roman" w:cs="Times New Roman"/>
          <w:sz w:val="24"/>
          <w:szCs w:val="24"/>
        </w:rPr>
        <w:t xml:space="preserve">. The investors want to check financial health of company in order to take decision whether they should hold, sell or buy the stock of a company. If financial performance of a company is </w:t>
      </w:r>
      <w:r w:rsidR="00D608BD" w:rsidRPr="00255EC2">
        <w:rPr>
          <w:rFonts w:ascii="Times New Roman" w:hAnsi="Times New Roman" w:cs="Times New Roman"/>
          <w:sz w:val="24"/>
          <w:szCs w:val="24"/>
        </w:rPr>
        <w:t xml:space="preserve">good, then investors try to buy more stock or shares. Along with the investors, the owners also show their interest in the financial performance of a company by assessing different kinds of financial statements. The reason for which they show their interest in financial statement is that owners determine company’s performance from the perspective of finance and take further decisions whether they should invest more or less in business. </w:t>
      </w:r>
      <w:r w:rsidR="003F4FF7" w:rsidRPr="00255EC2">
        <w:rPr>
          <w:rFonts w:ascii="Times New Roman" w:hAnsi="Times New Roman" w:cs="Times New Roman"/>
          <w:sz w:val="24"/>
          <w:szCs w:val="24"/>
        </w:rPr>
        <w:t xml:space="preserve">In the absence of proper financial information, both investors and owners may face a range of difficulties regards to investment and financial decision making. </w:t>
      </w:r>
    </w:p>
    <w:p w14:paraId="7596504F" w14:textId="77777777" w:rsidR="00DD34CC" w:rsidRPr="00255EC2" w:rsidRDefault="00CD08BD"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Employees- The employees also are key user of company accounts. They show their interest in company’s financial performance in order to know about their future in respective company. It can be assessed by help of prepared financial statement. Such as if company is not generating higher return the</w:t>
      </w:r>
      <w:r w:rsidR="00FB1E12" w:rsidRPr="00255EC2">
        <w:rPr>
          <w:rFonts w:ascii="Times New Roman" w:hAnsi="Times New Roman" w:cs="Times New Roman"/>
          <w:sz w:val="24"/>
          <w:szCs w:val="24"/>
        </w:rPr>
        <w:t xml:space="preserve">n employees may seek for another organization because of lower growth of company, their promotion can be extended. On the other hands, if performance of company is well enough then employees focus to do their task with more efficiency. So due to opportunity growth and career development options, employees show their interest in company’s financial performance. </w:t>
      </w:r>
    </w:p>
    <w:p w14:paraId="2293EBED" w14:textId="77777777" w:rsidR="00054858" w:rsidRPr="00255EC2" w:rsidRDefault="00DD34CC"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 xml:space="preserve">Government- </w:t>
      </w:r>
      <w:r w:rsidR="00FB1E12" w:rsidRPr="00255EC2">
        <w:rPr>
          <w:rFonts w:ascii="Times New Roman" w:hAnsi="Times New Roman" w:cs="Times New Roman"/>
          <w:sz w:val="24"/>
          <w:szCs w:val="24"/>
        </w:rPr>
        <w:t xml:space="preserve"> </w:t>
      </w:r>
      <w:r w:rsidRPr="00255EC2">
        <w:rPr>
          <w:rFonts w:ascii="Times New Roman" w:hAnsi="Times New Roman" w:cs="Times New Roman"/>
          <w:sz w:val="24"/>
          <w:szCs w:val="24"/>
        </w:rPr>
        <w:t>State administrative agencies, and tax authorities in particular, are involved in the financial records of an organization for tax and regulatory reasons. The taxes are calculated based on operating results and other tax bases</w:t>
      </w:r>
      <w:r w:rsidR="00D10914" w:rsidRPr="00255EC2">
        <w:rPr>
          <w:rFonts w:ascii="Times New Roman" w:hAnsi="Times New Roman" w:cs="Times New Roman"/>
          <w:sz w:val="24"/>
          <w:szCs w:val="24"/>
        </w:rPr>
        <w:t xml:space="preserve"> (</w:t>
      </w:r>
      <w:r w:rsidR="00D10914" w:rsidRPr="00255EC2">
        <w:rPr>
          <w:rFonts w:ascii="Times New Roman" w:hAnsi="Times New Roman" w:cs="Times New Roman"/>
          <w:sz w:val="24"/>
          <w:szCs w:val="24"/>
          <w:shd w:val="clear" w:color="auto" w:fill="FFFFFF"/>
        </w:rPr>
        <w:t>Caswell, 2019</w:t>
      </w:r>
      <w:r w:rsidR="00D10914" w:rsidRPr="00255EC2">
        <w:rPr>
          <w:rFonts w:ascii="Times New Roman" w:hAnsi="Times New Roman" w:cs="Times New Roman"/>
          <w:sz w:val="24"/>
          <w:szCs w:val="24"/>
        </w:rPr>
        <w:t>)</w:t>
      </w:r>
      <w:r w:rsidRPr="00255EC2">
        <w:rPr>
          <w:rFonts w:ascii="Times New Roman" w:hAnsi="Times New Roman" w:cs="Times New Roman"/>
          <w:sz w:val="24"/>
          <w:szCs w:val="24"/>
        </w:rPr>
        <w:t>. The government would like to understand, in particular, how much the taxpayer tends to make at the end of a financial year.</w:t>
      </w:r>
      <w:r w:rsidR="00F310B9" w:rsidRPr="00255EC2">
        <w:rPr>
          <w:rFonts w:ascii="Times New Roman" w:hAnsi="Times New Roman" w:cs="Times New Roman"/>
          <w:sz w:val="24"/>
          <w:szCs w:val="24"/>
        </w:rPr>
        <w:t xml:space="preserve"> In order to calculate accurate amount of tax, government bodies need to assess income statement in which generated income of a business is included. On the basis of income, </w:t>
      </w:r>
      <w:r w:rsidR="005B19F3" w:rsidRPr="00255EC2">
        <w:rPr>
          <w:rFonts w:ascii="Times New Roman" w:hAnsi="Times New Roman" w:cs="Times New Roman"/>
          <w:sz w:val="24"/>
          <w:szCs w:val="24"/>
        </w:rPr>
        <w:t xml:space="preserve">tax authorities’ computes value of tax that need to be paid by a company. </w:t>
      </w:r>
    </w:p>
    <w:p w14:paraId="1FCE9514" w14:textId="77777777" w:rsidR="00054858" w:rsidRPr="00255EC2" w:rsidRDefault="00054858" w:rsidP="00255EC2">
      <w:pPr>
        <w:spacing w:line="360" w:lineRule="auto"/>
        <w:jc w:val="both"/>
        <w:rPr>
          <w:rFonts w:ascii="Times New Roman" w:hAnsi="Times New Roman" w:cs="Times New Roman"/>
          <w:sz w:val="24"/>
          <w:szCs w:val="24"/>
        </w:rPr>
      </w:pPr>
    </w:p>
    <w:p w14:paraId="5339D9A9" w14:textId="77777777" w:rsidR="00054858" w:rsidRPr="00255EC2" w:rsidRDefault="00054858"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 xml:space="preserve">(b) Benefits and limitations of financial reporting regime for users and preparer. </w:t>
      </w:r>
    </w:p>
    <w:p w14:paraId="6D60077A" w14:textId="77777777" w:rsidR="00054858" w:rsidRPr="00255EC2" w:rsidRDefault="00054858"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
      </w:r>
      <w:r w:rsidR="00666A1F" w:rsidRPr="00255EC2">
        <w:rPr>
          <w:rFonts w:ascii="Times New Roman" w:hAnsi="Times New Roman" w:cs="Times New Roman"/>
          <w:sz w:val="24"/>
          <w:szCs w:val="24"/>
        </w:rPr>
        <w:t>A highly regulated financial reporting regime has different kinds of advantages and disadvantages for users</w:t>
      </w:r>
      <w:r w:rsidR="0003391A" w:rsidRPr="00255EC2">
        <w:rPr>
          <w:rFonts w:ascii="Times New Roman" w:hAnsi="Times New Roman" w:cs="Times New Roman"/>
          <w:sz w:val="24"/>
          <w:szCs w:val="24"/>
        </w:rPr>
        <w:t xml:space="preserve"> and preparer</w:t>
      </w:r>
      <w:r w:rsidR="00666A1F" w:rsidRPr="00255EC2">
        <w:rPr>
          <w:rFonts w:ascii="Times New Roman" w:hAnsi="Times New Roman" w:cs="Times New Roman"/>
          <w:sz w:val="24"/>
          <w:szCs w:val="24"/>
        </w:rPr>
        <w:t xml:space="preserve"> which are as follows:</w:t>
      </w:r>
    </w:p>
    <w:p w14:paraId="180BC06B" w14:textId="77777777" w:rsidR="009B28BD" w:rsidRPr="00255EC2" w:rsidRDefault="009B28BD"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Advantages:</w:t>
      </w:r>
    </w:p>
    <w:p w14:paraId="15E18E55" w14:textId="77777777" w:rsidR="00666A1F" w:rsidRPr="00255EC2" w:rsidRDefault="00666A1F"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Ability to detect pattern- Financial results indicate how much a company makes in revenue each year. Revenue will fluctuate so financial advisors will be able to recognize a trend of sales statistics over years</w:t>
      </w:r>
      <w:r w:rsidR="00D10914" w:rsidRPr="00255EC2">
        <w:rPr>
          <w:rFonts w:ascii="Times New Roman" w:hAnsi="Times New Roman" w:cs="Times New Roman"/>
          <w:sz w:val="24"/>
          <w:szCs w:val="24"/>
        </w:rPr>
        <w:t xml:space="preserve"> (</w:t>
      </w:r>
      <w:r w:rsidR="00D10914" w:rsidRPr="00255EC2">
        <w:rPr>
          <w:rFonts w:ascii="Times New Roman" w:hAnsi="Times New Roman" w:cs="Times New Roman"/>
          <w:sz w:val="24"/>
          <w:szCs w:val="24"/>
          <w:shd w:val="clear" w:color="auto" w:fill="FFFFFF"/>
        </w:rPr>
        <w:t xml:space="preserve">Ross, </w:t>
      </w:r>
      <w:proofErr w:type="spellStart"/>
      <w:r w:rsidR="00D10914" w:rsidRPr="00255EC2">
        <w:rPr>
          <w:rFonts w:ascii="Times New Roman" w:hAnsi="Times New Roman" w:cs="Times New Roman"/>
          <w:sz w:val="24"/>
          <w:szCs w:val="24"/>
          <w:shd w:val="clear" w:color="auto" w:fill="FFFFFF"/>
        </w:rPr>
        <w:t>Ziebart</w:t>
      </w:r>
      <w:proofErr w:type="spellEnd"/>
      <w:r w:rsidR="00D10914" w:rsidRPr="00255EC2">
        <w:rPr>
          <w:rFonts w:ascii="Times New Roman" w:hAnsi="Times New Roman" w:cs="Times New Roman"/>
          <w:sz w:val="24"/>
          <w:szCs w:val="24"/>
          <w:shd w:val="clear" w:color="auto" w:fill="FFFFFF"/>
        </w:rPr>
        <w:t xml:space="preserve"> and </w:t>
      </w:r>
      <w:proofErr w:type="spellStart"/>
      <w:r w:rsidR="00D10914" w:rsidRPr="00255EC2">
        <w:rPr>
          <w:rFonts w:ascii="Times New Roman" w:hAnsi="Times New Roman" w:cs="Times New Roman"/>
          <w:sz w:val="24"/>
          <w:szCs w:val="24"/>
          <w:shd w:val="clear" w:color="auto" w:fill="FFFFFF"/>
        </w:rPr>
        <w:t>Meder</w:t>
      </w:r>
      <w:proofErr w:type="spellEnd"/>
      <w:r w:rsidR="00D10914" w:rsidRPr="00255EC2">
        <w:rPr>
          <w:rFonts w:ascii="Times New Roman" w:hAnsi="Times New Roman" w:cs="Times New Roman"/>
          <w:sz w:val="24"/>
          <w:szCs w:val="24"/>
          <w:shd w:val="clear" w:color="auto" w:fill="FFFFFF"/>
        </w:rPr>
        <w:t>, 2019</w:t>
      </w:r>
      <w:r w:rsidR="00D10914" w:rsidRPr="00255EC2">
        <w:rPr>
          <w:rFonts w:ascii="Times New Roman" w:hAnsi="Times New Roman" w:cs="Times New Roman"/>
          <w:sz w:val="24"/>
          <w:szCs w:val="24"/>
        </w:rPr>
        <w:t>)</w:t>
      </w:r>
      <w:r w:rsidRPr="00255EC2">
        <w:rPr>
          <w:rFonts w:ascii="Times New Roman" w:hAnsi="Times New Roman" w:cs="Times New Roman"/>
          <w:sz w:val="24"/>
          <w:szCs w:val="24"/>
        </w:rPr>
        <w:t xml:space="preserve">. For example, once a new product is launched the business may expect a history of improved revenue. After about a year of being on the market, the sales growing decline. This all becomes possible because of financial reporting regime because it provides a basic framework that need to be consider by accountant and due to which users get accurate financial information. </w:t>
      </w:r>
      <w:r w:rsidR="0003391A" w:rsidRPr="00255EC2">
        <w:rPr>
          <w:rFonts w:ascii="Times New Roman" w:hAnsi="Times New Roman" w:cs="Times New Roman"/>
          <w:sz w:val="24"/>
          <w:szCs w:val="24"/>
        </w:rPr>
        <w:t xml:space="preserve"> By help of it preparer and users get an idea about next years’ financial pattern.</w:t>
      </w:r>
    </w:p>
    <w:p w14:paraId="091E14F8" w14:textId="77777777" w:rsidR="00666A1F" w:rsidRPr="00255EC2" w:rsidRDefault="009B28BD"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 xml:space="preserve">Provides a basis for preparing the budget- Another benefit of using the financial reports for future planning and decision-making is that they show the budgets of the firm. The expenditures demonstrate how much variations the company has to invest on releasing items, creating publicity plans or increasing the existing office space. </w:t>
      </w:r>
      <w:r w:rsidR="0003391A" w:rsidRPr="00255EC2">
        <w:rPr>
          <w:rFonts w:ascii="Times New Roman" w:hAnsi="Times New Roman" w:cs="Times New Roman"/>
          <w:sz w:val="24"/>
          <w:szCs w:val="24"/>
        </w:rPr>
        <w:t xml:space="preserve">The preparer use key information from past financial statements to prepare budget. </w:t>
      </w:r>
    </w:p>
    <w:p w14:paraId="62172983" w14:textId="77777777" w:rsidR="009B28BD" w:rsidRPr="00255EC2" w:rsidRDefault="009B28BD" w:rsidP="00255EC2">
      <w:pPr>
        <w:spacing w:line="360" w:lineRule="auto"/>
        <w:jc w:val="both"/>
        <w:rPr>
          <w:rFonts w:ascii="Times New Roman" w:hAnsi="Times New Roman" w:cs="Times New Roman"/>
          <w:sz w:val="24"/>
          <w:szCs w:val="24"/>
        </w:rPr>
      </w:pPr>
    </w:p>
    <w:p w14:paraId="2DA06201" w14:textId="77777777" w:rsidR="009B28BD" w:rsidRPr="00255EC2" w:rsidRDefault="009B28BD"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Disadvantages:</w:t>
      </w:r>
    </w:p>
    <w:p w14:paraId="7CDC8AEA" w14:textId="77777777" w:rsidR="009B28BD" w:rsidRPr="00255EC2" w:rsidRDefault="009B28BD"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 xml:space="preserve">Based on market patterns- </w:t>
      </w:r>
      <w:r w:rsidR="008F38D7" w:rsidRPr="00255EC2">
        <w:rPr>
          <w:rFonts w:ascii="Times New Roman" w:hAnsi="Times New Roman" w:cs="Times New Roman"/>
          <w:sz w:val="24"/>
          <w:szCs w:val="24"/>
        </w:rPr>
        <w:t>The downside of using financial results for decision-making is that by the point, the facts and statistics are industry dependent</w:t>
      </w:r>
      <w:r w:rsidR="00D10914" w:rsidRPr="00255EC2">
        <w:rPr>
          <w:rFonts w:ascii="Times New Roman" w:hAnsi="Times New Roman" w:cs="Times New Roman"/>
          <w:sz w:val="24"/>
          <w:szCs w:val="24"/>
        </w:rPr>
        <w:t xml:space="preserve"> (</w:t>
      </w:r>
      <w:r w:rsidR="00D10914" w:rsidRPr="00255EC2">
        <w:rPr>
          <w:rFonts w:ascii="Times New Roman" w:hAnsi="Times New Roman" w:cs="Times New Roman"/>
          <w:sz w:val="24"/>
          <w:szCs w:val="24"/>
          <w:shd w:val="clear" w:color="auto" w:fill="FFFFFF"/>
        </w:rPr>
        <w:t>Schroeder, Clark and Cathey, 2019</w:t>
      </w:r>
      <w:r w:rsidR="00D10914" w:rsidRPr="00255EC2">
        <w:rPr>
          <w:rFonts w:ascii="Times New Roman" w:hAnsi="Times New Roman" w:cs="Times New Roman"/>
          <w:sz w:val="24"/>
          <w:szCs w:val="24"/>
        </w:rPr>
        <w:t>)</w:t>
      </w:r>
      <w:r w:rsidR="008F38D7" w:rsidRPr="00255EC2">
        <w:rPr>
          <w:rFonts w:ascii="Times New Roman" w:hAnsi="Times New Roman" w:cs="Times New Roman"/>
          <w:sz w:val="24"/>
          <w:szCs w:val="24"/>
        </w:rPr>
        <w:t xml:space="preserve">. It may change quickly depending on the market, so users </w:t>
      </w:r>
      <w:r w:rsidR="0003391A" w:rsidRPr="00255EC2">
        <w:rPr>
          <w:rFonts w:ascii="Times New Roman" w:hAnsi="Times New Roman" w:cs="Times New Roman"/>
          <w:sz w:val="24"/>
          <w:szCs w:val="24"/>
        </w:rPr>
        <w:t xml:space="preserve">and preparer </w:t>
      </w:r>
      <w:r w:rsidR="008F38D7" w:rsidRPr="00255EC2">
        <w:rPr>
          <w:rFonts w:ascii="Times New Roman" w:hAnsi="Times New Roman" w:cs="Times New Roman"/>
          <w:sz w:val="24"/>
          <w:szCs w:val="24"/>
        </w:rPr>
        <w:t>must not presume that the statistics from a preceding financial report will continue to stay the same or boost.</w:t>
      </w:r>
    </w:p>
    <w:p w14:paraId="33CA28F2" w14:textId="77777777" w:rsidR="00A45603" w:rsidRPr="00255EC2" w:rsidRDefault="008F38D7"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One-time analysis- Another downside is that a single financial statement demonstrates exactly how a corporation is performing at a certain time. The financial statement does not reveal that the company is performing well or badly than the previous year.</w:t>
      </w:r>
    </w:p>
    <w:p w14:paraId="6D91A227" w14:textId="77777777" w:rsidR="00F53913" w:rsidRPr="00255EC2" w:rsidRDefault="00F53913" w:rsidP="00255EC2">
      <w:pPr>
        <w:spacing w:line="360" w:lineRule="auto"/>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lastRenderedPageBreak/>
        <w:t>(c) Limitations of Financial Statements:</w:t>
      </w:r>
    </w:p>
    <w:p w14:paraId="0706B4FF" w14:textId="77777777" w:rsidR="00F53913" w:rsidRPr="00255EC2" w:rsidRDefault="00F53913" w:rsidP="00255EC2">
      <w:pPr>
        <w:spacing w:line="360" w:lineRule="auto"/>
        <w:ind w:firstLine="720"/>
        <w:jc w:val="both"/>
        <w:rPr>
          <w:rFonts w:ascii="Times New Roman" w:hAnsi="Times New Roman" w:cs="Times New Roman"/>
          <w:b/>
          <w:bCs/>
          <w:sz w:val="24"/>
          <w:szCs w:val="24"/>
          <w:shd w:val="clear" w:color="auto" w:fill="FFFFFF"/>
        </w:rPr>
      </w:pPr>
      <w:r w:rsidRPr="00255EC2">
        <w:rPr>
          <w:rFonts w:ascii="Times New Roman" w:hAnsi="Times New Roman" w:cs="Times New Roman"/>
          <w:sz w:val="24"/>
          <w:szCs w:val="24"/>
          <w:shd w:val="clear" w:color="auto" w:fill="FFFFFF"/>
        </w:rPr>
        <w:t xml:space="preserve">Financial Statements' limitations are those variables that users should be informed of before unnecessarily depending on them. Awareness of these variables may lead to a decrease in funds employed in a corporation, or measures taken to even further examine. The below are major Financial Statements limitations, as follows: </w:t>
      </w:r>
    </w:p>
    <w:p w14:paraId="275A53CF"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b/>
          <w:bCs/>
          <w:sz w:val="24"/>
          <w:szCs w:val="24"/>
          <w:shd w:val="clear" w:color="auto" w:fill="FFFFFF"/>
        </w:rPr>
        <w:t xml:space="preserve">Dependency on historical costs: </w:t>
      </w:r>
      <w:r w:rsidRPr="00255EC2">
        <w:rPr>
          <w:rFonts w:ascii="Times New Roman" w:hAnsi="Times New Roman" w:cs="Times New Roman"/>
          <w:sz w:val="24"/>
          <w:szCs w:val="24"/>
          <w:shd w:val="clear" w:color="auto" w:fill="FFFFFF"/>
        </w:rPr>
        <w:t>In an organization transactions are usually recognized at their own cost. It is issue when analyzing balance sheet, where the valuation of assets as well as liabilities or debts can adjust over the period</w:t>
      </w:r>
      <w:r w:rsidR="00D10914" w:rsidRPr="00255EC2">
        <w:rPr>
          <w:rFonts w:ascii="Times New Roman" w:hAnsi="Times New Roman" w:cs="Times New Roman"/>
          <w:sz w:val="24"/>
          <w:szCs w:val="24"/>
          <w:shd w:val="clear" w:color="auto" w:fill="FFFFFF"/>
        </w:rPr>
        <w:t xml:space="preserve"> (Deegan, 2019)</w:t>
      </w:r>
      <w:r w:rsidRPr="00255EC2">
        <w:rPr>
          <w:rFonts w:ascii="Times New Roman" w:hAnsi="Times New Roman" w:cs="Times New Roman"/>
          <w:sz w:val="24"/>
          <w:szCs w:val="24"/>
          <w:shd w:val="clear" w:color="auto" w:fill="FFFFFF"/>
        </w:rPr>
        <w:t>. Some products, like marketable shares, are modified to match fluctuations in their exchange prices, but other products, like tangible assets, may not adjust. Balance sheet may also be inaccurate because a substantial portion of the figure reported is focused on the historical costs.</w:t>
      </w:r>
    </w:p>
    <w:p w14:paraId="4F4DF661" w14:textId="77777777" w:rsidR="00F53913" w:rsidRPr="00255EC2" w:rsidRDefault="00F53913" w:rsidP="00255EC2">
      <w:pPr>
        <w:spacing w:line="360" w:lineRule="auto"/>
        <w:jc w:val="both"/>
        <w:rPr>
          <w:rFonts w:ascii="Times New Roman" w:hAnsi="Times New Roman" w:cs="Times New Roman"/>
          <w:b/>
          <w:bCs/>
          <w:sz w:val="24"/>
          <w:szCs w:val="24"/>
          <w:shd w:val="clear" w:color="auto" w:fill="FFFFFF"/>
        </w:rPr>
      </w:pPr>
      <w:r w:rsidRPr="00255EC2">
        <w:rPr>
          <w:rFonts w:ascii="Times New Roman" w:hAnsi="Times New Roman" w:cs="Times New Roman"/>
          <w:b/>
          <w:bCs/>
          <w:sz w:val="24"/>
          <w:szCs w:val="24"/>
          <w:shd w:val="clear" w:color="auto" w:fill="FFFFFF"/>
        </w:rPr>
        <w:t>Effects of inflation:</w:t>
      </w:r>
      <w:r w:rsidRPr="00255EC2">
        <w:rPr>
          <w:rFonts w:ascii="Times New Roman" w:hAnsi="Times New Roman" w:cs="Times New Roman"/>
          <w:sz w:val="24"/>
          <w:szCs w:val="24"/>
          <w:shd w:val="clear" w:color="auto" w:fill="FFFFFF"/>
        </w:rPr>
        <w:t xml:space="preserve"> When inflation rate is extremely high, the figures linked with the assets and liabilities within balance sheet will show up excessively low, since they're not revised for inflation. It pertains mostly to longer-term assets.</w:t>
      </w:r>
    </w:p>
    <w:p w14:paraId="7CF1BA55" w14:textId="77777777" w:rsidR="00F53913" w:rsidRPr="00255EC2" w:rsidRDefault="00F53913" w:rsidP="00255EC2">
      <w:pPr>
        <w:spacing w:line="360" w:lineRule="auto"/>
        <w:jc w:val="both"/>
        <w:rPr>
          <w:rFonts w:ascii="Times New Roman" w:hAnsi="Times New Roman" w:cs="Times New Roman"/>
          <w:b/>
          <w:bCs/>
          <w:sz w:val="24"/>
          <w:szCs w:val="24"/>
          <w:shd w:val="clear" w:color="auto" w:fill="FFFFFF"/>
        </w:rPr>
      </w:pPr>
      <w:r w:rsidRPr="00255EC2">
        <w:rPr>
          <w:rFonts w:ascii="Times New Roman" w:hAnsi="Times New Roman" w:cs="Times New Roman"/>
          <w:b/>
          <w:bCs/>
          <w:sz w:val="24"/>
          <w:szCs w:val="24"/>
          <w:shd w:val="clear" w:color="auto" w:fill="FFFFFF"/>
        </w:rPr>
        <w:t>Intangible assets are not recorded:</w:t>
      </w:r>
      <w:r w:rsidRPr="00255EC2">
        <w:rPr>
          <w:rFonts w:ascii="Times New Roman" w:hAnsi="Times New Roman" w:cs="Times New Roman"/>
          <w:sz w:val="24"/>
          <w:szCs w:val="24"/>
          <w:shd w:val="clear" w:color="auto" w:fill="FFFFFF"/>
        </w:rPr>
        <w:t> Several intangible assets have not been reported as assets. Alternatively, any investment made to build an intangible value is automatically added/charged to the expense. This approach will massively underestimate the importance of a company, particularly one which has invested a great deal on building up a brand identity or creating new goods. This is a specific concern for start-up businesses that have produced intellectual property and so far achieved minimal revenue.</w:t>
      </w:r>
    </w:p>
    <w:p w14:paraId="60863993"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b/>
          <w:bCs/>
          <w:sz w:val="24"/>
          <w:szCs w:val="24"/>
          <w:shd w:val="clear" w:color="auto" w:fill="FFFFFF"/>
        </w:rPr>
        <w:t xml:space="preserve">Focused on specific time period: </w:t>
      </w:r>
      <w:r w:rsidRPr="00255EC2">
        <w:rPr>
          <w:rFonts w:ascii="Times New Roman" w:hAnsi="Times New Roman" w:cs="Times New Roman"/>
          <w:sz w:val="24"/>
          <w:szCs w:val="24"/>
          <w:shd w:val="clear" w:color="auto" w:fill="FFFFFF"/>
        </w:rPr>
        <w:t>The users of financial statements that obtain an erroneous impression of financial performance or cash flows of company by looking just at single reporting date. Any one time can differ from the usual operating outcomes of a company, possibly owing to sudden rise in revenue or seasonal impact</w:t>
      </w:r>
      <w:r w:rsidR="00D10914" w:rsidRPr="00255EC2">
        <w:rPr>
          <w:rFonts w:ascii="Times New Roman" w:hAnsi="Times New Roman" w:cs="Times New Roman"/>
          <w:sz w:val="24"/>
          <w:szCs w:val="24"/>
          <w:shd w:val="clear" w:color="auto" w:fill="FFFFFF"/>
        </w:rPr>
        <w:t xml:space="preserve"> (Richardson, 2020)</w:t>
      </w:r>
      <w:r w:rsidRPr="00255EC2">
        <w:rPr>
          <w:rFonts w:ascii="Times New Roman" w:hAnsi="Times New Roman" w:cs="Times New Roman"/>
          <w:sz w:val="24"/>
          <w:szCs w:val="24"/>
          <w:shd w:val="clear" w:color="auto" w:fill="FFFFFF"/>
        </w:rPr>
        <w:t>. This is easier to display a sufficient number of successive annual statements in order to get a clearer understanding of the current trends.</w:t>
      </w:r>
    </w:p>
    <w:p w14:paraId="185BAF6C" w14:textId="77777777" w:rsidR="00F53913" w:rsidRPr="00255EC2" w:rsidRDefault="00F53913" w:rsidP="00255EC2">
      <w:pPr>
        <w:spacing w:line="360" w:lineRule="auto"/>
        <w:jc w:val="both"/>
        <w:rPr>
          <w:rFonts w:ascii="Times New Roman" w:hAnsi="Times New Roman" w:cs="Times New Roman"/>
          <w:b/>
          <w:bCs/>
          <w:sz w:val="24"/>
          <w:szCs w:val="24"/>
          <w:shd w:val="clear" w:color="auto" w:fill="FFFFFF"/>
        </w:rPr>
      </w:pPr>
      <w:r w:rsidRPr="00255EC2">
        <w:rPr>
          <w:rFonts w:ascii="Times New Roman" w:hAnsi="Times New Roman" w:cs="Times New Roman"/>
          <w:b/>
          <w:bCs/>
          <w:sz w:val="24"/>
          <w:szCs w:val="24"/>
          <w:shd w:val="clear" w:color="auto" w:fill="FFFFFF"/>
        </w:rPr>
        <w:t>Not always comparable across the company:</w:t>
      </w:r>
      <w:r w:rsidRPr="00255EC2">
        <w:rPr>
          <w:rFonts w:ascii="Times New Roman" w:hAnsi="Times New Roman" w:cs="Times New Roman"/>
          <w:sz w:val="24"/>
          <w:szCs w:val="24"/>
          <w:shd w:val="clear" w:color="auto" w:fill="FFFFFF"/>
        </w:rPr>
        <w:t xml:space="preserve"> When a user tries to a make compare the performance of different organizations, their annual records are not necessarily identical since </w:t>
      </w:r>
      <w:r w:rsidRPr="00255EC2">
        <w:rPr>
          <w:rFonts w:ascii="Times New Roman" w:hAnsi="Times New Roman" w:cs="Times New Roman"/>
          <w:sz w:val="24"/>
          <w:szCs w:val="24"/>
          <w:shd w:val="clear" w:color="auto" w:fill="FFFFFF"/>
        </w:rPr>
        <w:lastRenderedPageBreak/>
        <w:t>different accounting methods are used for organizations. These concerns could be identified by evaluating the disclosures accompanying financial statements.</w:t>
      </w:r>
    </w:p>
    <w:p w14:paraId="10656EBF"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b/>
          <w:bCs/>
          <w:sz w:val="24"/>
          <w:szCs w:val="24"/>
          <w:shd w:val="clear" w:color="auto" w:fill="FFFFFF"/>
        </w:rPr>
        <w:t xml:space="preserve">Subjected to fraud: </w:t>
      </w:r>
      <w:r w:rsidRPr="00255EC2">
        <w:rPr>
          <w:rFonts w:ascii="Times New Roman" w:hAnsi="Times New Roman" w:cs="Times New Roman"/>
          <w:sz w:val="24"/>
          <w:szCs w:val="24"/>
          <w:shd w:val="clear" w:color="auto" w:fill="FFFFFF"/>
        </w:rPr>
        <w:t>The top management staff of a corporation may intentionally design the outcomes described.  Such condition can arise where there is excessive demand to produce outstanding outcomes, such as where an incentive package allows for compensation only when the amount of revenue posted rises. One may assume the existence of this problem when the published findings are higher than the industry standard</w:t>
      </w:r>
      <w:r w:rsidR="00D10914" w:rsidRPr="00255EC2">
        <w:rPr>
          <w:rFonts w:ascii="Times New Roman" w:hAnsi="Times New Roman" w:cs="Times New Roman"/>
          <w:sz w:val="24"/>
          <w:szCs w:val="24"/>
          <w:shd w:val="clear" w:color="auto" w:fill="FFFFFF"/>
        </w:rPr>
        <w:t xml:space="preserve"> (Harlan, 2020)</w:t>
      </w:r>
      <w:r w:rsidRPr="00255EC2">
        <w:rPr>
          <w:rFonts w:ascii="Times New Roman" w:hAnsi="Times New Roman" w:cs="Times New Roman"/>
          <w:sz w:val="24"/>
          <w:szCs w:val="24"/>
          <w:shd w:val="clear" w:color="auto" w:fill="FFFFFF"/>
        </w:rPr>
        <w:t>.</w:t>
      </w:r>
    </w:p>
    <w:p w14:paraId="1E5644D2"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b/>
          <w:bCs/>
          <w:sz w:val="24"/>
          <w:szCs w:val="24"/>
          <w:shd w:val="clear" w:color="auto" w:fill="FFFFFF"/>
        </w:rPr>
        <w:t>There is no mention of non-financial issues:</w:t>
      </w:r>
      <w:r w:rsidRPr="00255EC2">
        <w:rPr>
          <w:rFonts w:ascii="Times New Roman" w:hAnsi="Times New Roman" w:cs="Times New Roman"/>
          <w:sz w:val="24"/>
          <w:szCs w:val="24"/>
          <w:shd w:val="clear" w:color="auto" w:fill="FFFFFF"/>
        </w:rPr>
        <w:t> Financial statements usually do not recognize non-financial concerns, like environmental sensitivity of a corporation 's operations, and how well this works with local community. Businesses announcing outstanding financial reports could have struggled in certain other regions.</w:t>
      </w:r>
    </w:p>
    <w:p w14:paraId="6E9ADEF0" w14:textId="77777777" w:rsidR="00054858" w:rsidRPr="00255EC2" w:rsidRDefault="00054858" w:rsidP="00255EC2">
      <w:pPr>
        <w:spacing w:line="360" w:lineRule="auto"/>
        <w:jc w:val="both"/>
        <w:rPr>
          <w:rFonts w:ascii="Times New Roman" w:hAnsi="Times New Roman" w:cs="Times New Roman"/>
          <w:sz w:val="24"/>
          <w:szCs w:val="24"/>
        </w:rPr>
      </w:pPr>
    </w:p>
    <w:p w14:paraId="4667954C" w14:textId="77777777" w:rsidR="00B97500" w:rsidRPr="00255EC2" w:rsidRDefault="00B97500" w:rsidP="00255EC2">
      <w:pPr>
        <w:pStyle w:val="Heading1"/>
        <w:spacing w:line="360" w:lineRule="auto"/>
        <w:jc w:val="both"/>
        <w:rPr>
          <w:rFonts w:ascii="Times New Roman" w:hAnsi="Times New Roman" w:cs="Times New Roman"/>
          <w:b/>
          <w:color w:val="auto"/>
          <w:sz w:val="28"/>
          <w:szCs w:val="28"/>
        </w:rPr>
      </w:pPr>
      <w:bookmarkStart w:id="5" w:name="_Toc47792640"/>
      <w:r w:rsidRPr="00255EC2">
        <w:rPr>
          <w:rFonts w:ascii="Times New Roman" w:hAnsi="Times New Roman" w:cs="Times New Roman"/>
          <w:b/>
          <w:color w:val="auto"/>
          <w:sz w:val="28"/>
          <w:szCs w:val="28"/>
        </w:rPr>
        <w:t>CONCLUSION</w:t>
      </w:r>
      <w:bookmarkEnd w:id="5"/>
    </w:p>
    <w:p w14:paraId="0ED7650C" w14:textId="77777777" w:rsidR="00B97500" w:rsidRPr="00255EC2" w:rsidRDefault="00B97500"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tab/>
        <w:t xml:space="preserve">From above project report this can be concluded that accounting is a key approach in order to manage financial records. From first part of report this can be concluded that respective company’s financial performance is good as their income statement is showing profit for the year. The second part of report concludes that Jerry plc’s financial performance is better in year 2019 as compared to year 2018. </w:t>
      </w:r>
      <w:r w:rsidR="004012F1" w:rsidRPr="00255EC2">
        <w:rPr>
          <w:rFonts w:ascii="Times New Roman" w:hAnsi="Times New Roman" w:cs="Times New Roman"/>
          <w:sz w:val="24"/>
          <w:szCs w:val="24"/>
        </w:rPr>
        <w:t xml:space="preserve">From last task of report this can be concluded that financial information is useful for different users of company. </w:t>
      </w:r>
    </w:p>
    <w:p w14:paraId="784C2811"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rPr>
        <w:br w:type="page"/>
      </w:r>
    </w:p>
    <w:p w14:paraId="1CAA028C" w14:textId="77777777" w:rsidR="00F53913" w:rsidRPr="00255EC2" w:rsidRDefault="00F53913" w:rsidP="00255EC2">
      <w:pPr>
        <w:pStyle w:val="Heading1"/>
        <w:spacing w:line="360" w:lineRule="auto"/>
        <w:jc w:val="both"/>
        <w:rPr>
          <w:rFonts w:ascii="Times New Roman" w:hAnsi="Times New Roman" w:cs="Times New Roman"/>
          <w:b/>
          <w:color w:val="auto"/>
          <w:sz w:val="28"/>
          <w:szCs w:val="28"/>
        </w:rPr>
      </w:pPr>
      <w:bookmarkStart w:id="6" w:name="_Toc47792641"/>
      <w:r w:rsidRPr="00255EC2">
        <w:rPr>
          <w:rFonts w:ascii="Times New Roman" w:hAnsi="Times New Roman" w:cs="Times New Roman"/>
          <w:b/>
          <w:color w:val="auto"/>
          <w:sz w:val="28"/>
          <w:szCs w:val="28"/>
        </w:rPr>
        <w:lastRenderedPageBreak/>
        <w:t>REFERENCES</w:t>
      </w:r>
      <w:bookmarkEnd w:id="6"/>
      <w:r w:rsidRPr="00255EC2">
        <w:rPr>
          <w:rFonts w:ascii="Times New Roman" w:hAnsi="Times New Roman" w:cs="Times New Roman"/>
          <w:b/>
          <w:color w:val="auto"/>
          <w:sz w:val="28"/>
          <w:szCs w:val="28"/>
        </w:rPr>
        <w:t xml:space="preserve"> </w:t>
      </w:r>
    </w:p>
    <w:p w14:paraId="41307DC4" w14:textId="77777777" w:rsidR="00F53913" w:rsidRPr="00255EC2" w:rsidRDefault="00F53913" w:rsidP="00255EC2">
      <w:pPr>
        <w:spacing w:line="360" w:lineRule="auto"/>
        <w:jc w:val="both"/>
        <w:rPr>
          <w:rFonts w:ascii="Times New Roman" w:hAnsi="Times New Roman" w:cs="Times New Roman"/>
          <w:sz w:val="24"/>
          <w:szCs w:val="24"/>
        </w:rPr>
      </w:pPr>
      <w:r w:rsidRPr="00255EC2">
        <w:rPr>
          <w:rFonts w:ascii="Times New Roman" w:hAnsi="Times New Roman" w:cs="Times New Roman"/>
          <w:sz w:val="24"/>
          <w:szCs w:val="24"/>
          <w:u w:val="single"/>
        </w:rPr>
        <w:t>Books and journal</w:t>
      </w:r>
      <w:r w:rsidRPr="00255EC2">
        <w:rPr>
          <w:rFonts w:ascii="Times New Roman" w:hAnsi="Times New Roman" w:cs="Times New Roman"/>
          <w:sz w:val="24"/>
          <w:szCs w:val="24"/>
        </w:rPr>
        <w:t>:</w:t>
      </w:r>
    </w:p>
    <w:p w14:paraId="7C5597EC" w14:textId="77777777" w:rsidR="00F53913"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proofErr w:type="spellStart"/>
      <w:r w:rsidRPr="00255EC2">
        <w:rPr>
          <w:rFonts w:ascii="Times New Roman" w:hAnsi="Times New Roman" w:cs="Times New Roman"/>
          <w:sz w:val="24"/>
          <w:szCs w:val="24"/>
          <w:shd w:val="clear" w:color="auto" w:fill="FFFFFF"/>
        </w:rPr>
        <w:t>Ogneva</w:t>
      </w:r>
      <w:proofErr w:type="spellEnd"/>
      <w:r w:rsidRPr="00255EC2">
        <w:rPr>
          <w:rFonts w:ascii="Times New Roman" w:hAnsi="Times New Roman" w:cs="Times New Roman"/>
          <w:sz w:val="24"/>
          <w:szCs w:val="24"/>
          <w:shd w:val="clear" w:color="auto" w:fill="FFFFFF"/>
        </w:rPr>
        <w:t xml:space="preserve">, M., </w:t>
      </w:r>
      <w:proofErr w:type="spellStart"/>
      <w:r w:rsidRPr="00255EC2">
        <w:rPr>
          <w:rFonts w:ascii="Times New Roman" w:hAnsi="Times New Roman" w:cs="Times New Roman"/>
          <w:sz w:val="24"/>
          <w:szCs w:val="24"/>
          <w:shd w:val="clear" w:color="auto" w:fill="FFFFFF"/>
        </w:rPr>
        <w:t>Piotroski</w:t>
      </w:r>
      <w:proofErr w:type="spellEnd"/>
      <w:r w:rsidRPr="00255EC2">
        <w:rPr>
          <w:rFonts w:ascii="Times New Roman" w:hAnsi="Times New Roman" w:cs="Times New Roman"/>
          <w:sz w:val="24"/>
          <w:szCs w:val="24"/>
          <w:shd w:val="clear" w:color="auto" w:fill="FFFFFF"/>
        </w:rPr>
        <w:t xml:space="preserve">, J.D. and </w:t>
      </w:r>
      <w:proofErr w:type="spellStart"/>
      <w:r w:rsidRPr="00255EC2">
        <w:rPr>
          <w:rFonts w:ascii="Times New Roman" w:hAnsi="Times New Roman" w:cs="Times New Roman"/>
          <w:sz w:val="24"/>
          <w:szCs w:val="24"/>
          <w:shd w:val="clear" w:color="auto" w:fill="FFFFFF"/>
        </w:rPr>
        <w:t>Zakolyukina</w:t>
      </w:r>
      <w:proofErr w:type="spellEnd"/>
      <w:r w:rsidRPr="00255EC2">
        <w:rPr>
          <w:rFonts w:ascii="Times New Roman" w:hAnsi="Times New Roman" w:cs="Times New Roman"/>
          <w:sz w:val="24"/>
          <w:szCs w:val="24"/>
          <w:shd w:val="clear" w:color="auto" w:fill="FFFFFF"/>
        </w:rPr>
        <w:t>, A.A., 2019. Accounting fundamentals and systematic risk: Corporate failure over the business cycle. </w:t>
      </w:r>
      <w:r w:rsidRPr="00255EC2">
        <w:rPr>
          <w:rFonts w:ascii="Times New Roman" w:hAnsi="Times New Roman" w:cs="Times New Roman"/>
          <w:i/>
          <w:iCs/>
          <w:sz w:val="24"/>
          <w:szCs w:val="24"/>
          <w:shd w:val="clear" w:color="auto" w:fill="FFFFFF"/>
        </w:rPr>
        <w:t>The Accounting Review</w:t>
      </w:r>
      <w:r w:rsidRPr="00255EC2">
        <w:rPr>
          <w:rFonts w:ascii="Times New Roman" w:hAnsi="Times New Roman" w:cs="Times New Roman"/>
          <w:sz w:val="24"/>
          <w:szCs w:val="24"/>
          <w:shd w:val="clear" w:color="auto" w:fill="FFFFFF"/>
        </w:rPr>
        <w:t>, pp.0000-0000.</w:t>
      </w:r>
    </w:p>
    <w:p w14:paraId="7AB24320"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proofErr w:type="spellStart"/>
      <w:r w:rsidRPr="00255EC2">
        <w:rPr>
          <w:rFonts w:ascii="Times New Roman" w:hAnsi="Times New Roman" w:cs="Times New Roman"/>
          <w:sz w:val="24"/>
          <w:szCs w:val="24"/>
          <w:shd w:val="clear" w:color="auto" w:fill="FFFFFF"/>
        </w:rPr>
        <w:t>Avramov</w:t>
      </w:r>
      <w:proofErr w:type="spellEnd"/>
      <w:r w:rsidRPr="00255EC2">
        <w:rPr>
          <w:rFonts w:ascii="Times New Roman" w:hAnsi="Times New Roman" w:cs="Times New Roman"/>
          <w:sz w:val="24"/>
          <w:szCs w:val="24"/>
          <w:shd w:val="clear" w:color="auto" w:fill="FFFFFF"/>
        </w:rPr>
        <w:t xml:space="preserve">, D., </w:t>
      </w:r>
      <w:proofErr w:type="spellStart"/>
      <w:r w:rsidRPr="00255EC2">
        <w:rPr>
          <w:rFonts w:ascii="Times New Roman" w:hAnsi="Times New Roman" w:cs="Times New Roman"/>
          <w:sz w:val="24"/>
          <w:szCs w:val="24"/>
          <w:shd w:val="clear" w:color="auto" w:fill="FFFFFF"/>
        </w:rPr>
        <w:t>Kaplanski</w:t>
      </w:r>
      <w:proofErr w:type="spellEnd"/>
      <w:r w:rsidRPr="00255EC2">
        <w:rPr>
          <w:rFonts w:ascii="Times New Roman" w:hAnsi="Times New Roman" w:cs="Times New Roman"/>
          <w:sz w:val="24"/>
          <w:szCs w:val="24"/>
          <w:shd w:val="clear" w:color="auto" w:fill="FFFFFF"/>
        </w:rPr>
        <w:t>, G. and Subrahmanyam, A., 2019. Anchoring on Past Fundamentals. </w:t>
      </w:r>
      <w:r w:rsidRPr="00255EC2">
        <w:rPr>
          <w:rFonts w:ascii="Times New Roman" w:hAnsi="Times New Roman" w:cs="Times New Roman"/>
          <w:i/>
          <w:iCs/>
          <w:sz w:val="24"/>
          <w:szCs w:val="24"/>
          <w:shd w:val="clear" w:color="auto" w:fill="FFFFFF"/>
        </w:rPr>
        <w:t>Available at SSRN</w:t>
      </w:r>
      <w:r w:rsidRPr="00255EC2">
        <w:rPr>
          <w:rFonts w:ascii="Times New Roman" w:hAnsi="Times New Roman" w:cs="Times New Roman"/>
          <w:sz w:val="24"/>
          <w:szCs w:val="24"/>
          <w:shd w:val="clear" w:color="auto" w:fill="FFFFFF"/>
        </w:rPr>
        <w:t>.</w:t>
      </w:r>
    </w:p>
    <w:p w14:paraId="23C60F59"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proofErr w:type="spellStart"/>
      <w:r w:rsidRPr="00255EC2">
        <w:rPr>
          <w:rFonts w:ascii="Times New Roman" w:hAnsi="Times New Roman" w:cs="Times New Roman"/>
          <w:sz w:val="24"/>
          <w:szCs w:val="24"/>
          <w:shd w:val="clear" w:color="auto" w:fill="FFFFFF"/>
        </w:rPr>
        <w:t>Pirveli</w:t>
      </w:r>
      <w:proofErr w:type="spellEnd"/>
      <w:r w:rsidRPr="00255EC2">
        <w:rPr>
          <w:rFonts w:ascii="Times New Roman" w:hAnsi="Times New Roman" w:cs="Times New Roman"/>
          <w:sz w:val="24"/>
          <w:szCs w:val="24"/>
          <w:shd w:val="clear" w:color="auto" w:fill="FFFFFF"/>
        </w:rPr>
        <w:t xml:space="preserve">, E. and </w:t>
      </w:r>
      <w:proofErr w:type="spellStart"/>
      <w:r w:rsidRPr="00255EC2">
        <w:rPr>
          <w:rFonts w:ascii="Times New Roman" w:hAnsi="Times New Roman" w:cs="Times New Roman"/>
          <w:sz w:val="24"/>
          <w:szCs w:val="24"/>
          <w:shd w:val="clear" w:color="auto" w:fill="FFFFFF"/>
        </w:rPr>
        <w:t>Shugliashvili</w:t>
      </w:r>
      <w:proofErr w:type="spellEnd"/>
      <w:r w:rsidRPr="00255EC2">
        <w:rPr>
          <w:rFonts w:ascii="Times New Roman" w:hAnsi="Times New Roman" w:cs="Times New Roman"/>
          <w:sz w:val="24"/>
          <w:szCs w:val="24"/>
          <w:shd w:val="clear" w:color="auto" w:fill="FFFFFF"/>
        </w:rPr>
        <w:t>, T., 2019. Accounting and audit reform in Georgia: theoretical and descriptive analysis.</w:t>
      </w:r>
    </w:p>
    <w:p w14:paraId="00479264"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Caswell, S., 2019. An Analysis of Financial Accounting Fundamentals Through Case Studies.</w:t>
      </w:r>
    </w:p>
    <w:p w14:paraId="54C7BDA0"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 xml:space="preserve">Ross, J., </w:t>
      </w:r>
      <w:proofErr w:type="spellStart"/>
      <w:r w:rsidRPr="00255EC2">
        <w:rPr>
          <w:rFonts w:ascii="Times New Roman" w:hAnsi="Times New Roman" w:cs="Times New Roman"/>
          <w:sz w:val="24"/>
          <w:szCs w:val="24"/>
          <w:shd w:val="clear" w:color="auto" w:fill="FFFFFF"/>
        </w:rPr>
        <w:t>Ziebart</w:t>
      </w:r>
      <w:proofErr w:type="spellEnd"/>
      <w:r w:rsidRPr="00255EC2">
        <w:rPr>
          <w:rFonts w:ascii="Times New Roman" w:hAnsi="Times New Roman" w:cs="Times New Roman"/>
          <w:sz w:val="24"/>
          <w:szCs w:val="24"/>
          <w:shd w:val="clear" w:color="auto" w:fill="FFFFFF"/>
        </w:rPr>
        <w:t xml:space="preserve">, D. and </w:t>
      </w:r>
      <w:proofErr w:type="spellStart"/>
      <w:r w:rsidRPr="00255EC2">
        <w:rPr>
          <w:rFonts w:ascii="Times New Roman" w:hAnsi="Times New Roman" w:cs="Times New Roman"/>
          <w:sz w:val="24"/>
          <w:szCs w:val="24"/>
          <w:shd w:val="clear" w:color="auto" w:fill="FFFFFF"/>
        </w:rPr>
        <w:t>Meder</w:t>
      </w:r>
      <w:proofErr w:type="spellEnd"/>
      <w:r w:rsidRPr="00255EC2">
        <w:rPr>
          <w:rFonts w:ascii="Times New Roman" w:hAnsi="Times New Roman" w:cs="Times New Roman"/>
          <w:sz w:val="24"/>
          <w:szCs w:val="24"/>
          <w:shd w:val="clear" w:color="auto" w:fill="FFFFFF"/>
        </w:rPr>
        <w:t>, A., 2019. A new measure of firm-group accounting closeness. </w:t>
      </w:r>
      <w:r w:rsidRPr="00255EC2">
        <w:rPr>
          <w:rFonts w:ascii="Times New Roman" w:hAnsi="Times New Roman" w:cs="Times New Roman"/>
          <w:i/>
          <w:iCs/>
          <w:sz w:val="24"/>
          <w:szCs w:val="24"/>
          <w:shd w:val="clear" w:color="auto" w:fill="FFFFFF"/>
        </w:rPr>
        <w:t>Review of Quantitative Finance and Accounting</w:t>
      </w:r>
      <w:r w:rsidRPr="00255EC2">
        <w:rPr>
          <w:rFonts w:ascii="Times New Roman" w:hAnsi="Times New Roman" w:cs="Times New Roman"/>
          <w:sz w:val="24"/>
          <w:szCs w:val="24"/>
          <w:shd w:val="clear" w:color="auto" w:fill="FFFFFF"/>
        </w:rPr>
        <w:t>, </w:t>
      </w:r>
      <w:r w:rsidRPr="00255EC2">
        <w:rPr>
          <w:rFonts w:ascii="Times New Roman" w:hAnsi="Times New Roman" w:cs="Times New Roman"/>
          <w:i/>
          <w:iCs/>
          <w:sz w:val="24"/>
          <w:szCs w:val="24"/>
          <w:shd w:val="clear" w:color="auto" w:fill="FFFFFF"/>
        </w:rPr>
        <w:t>52</w:t>
      </w:r>
      <w:r w:rsidRPr="00255EC2">
        <w:rPr>
          <w:rFonts w:ascii="Times New Roman" w:hAnsi="Times New Roman" w:cs="Times New Roman"/>
          <w:sz w:val="24"/>
          <w:szCs w:val="24"/>
          <w:shd w:val="clear" w:color="auto" w:fill="FFFFFF"/>
        </w:rPr>
        <w:t>(4), pp.1137-1161.</w:t>
      </w:r>
    </w:p>
    <w:p w14:paraId="0DC27EEB"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Schroeder, R.G., Clark, M.W. and Cathey, J.M., 2019. </w:t>
      </w:r>
      <w:r w:rsidRPr="00255EC2">
        <w:rPr>
          <w:rFonts w:ascii="Times New Roman" w:hAnsi="Times New Roman" w:cs="Times New Roman"/>
          <w:i/>
          <w:iCs/>
          <w:sz w:val="24"/>
          <w:szCs w:val="24"/>
          <w:shd w:val="clear" w:color="auto" w:fill="FFFFFF"/>
        </w:rPr>
        <w:t>Financial accounting theory and analysis: text and cases</w:t>
      </w:r>
      <w:r w:rsidRPr="00255EC2">
        <w:rPr>
          <w:rFonts w:ascii="Times New Roman" w:hAnsi="Times New Roman" w:cs="Times New Roman"/>
          <w:sz w:val="24"/>
          <w:szCs w:val="24"/>
          <w:shd w:val="clear" w:color="auto" w:fill="FFFFFF"/>
        </w:rPr>
        <w:t>. John Wiley &amp; Sons.</w:t>
      </w:r>
    </w:p>
    <w:p w14:paraId="798BAC6C"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Deegan, J., 2019. ACCT 115-103: Fundamentals of Financial Accounting.</w:t>
      </w:r>
    </w:p>
    <w:p w14:paraId="7E62AE21"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 xml:space="preserve">Richardson, B.M., 2020. Can Fundamental Accounting Analyses be Used to Explain Macroeconomic </w:t>
      </w:r>
      <w:proofErr w:type="gramStart"/>
      <w:r w:rsidRPr="00255EC2">
        <w:rPr>
          <w:rFonts w:ascii="Times New Roman" w:hAnsi="Times New Roman" w:cs="Times New Roman"/>
          <w:sz w:val="24"/>
          <w:szCs w:val="24"/>
          <w:shd w:val="clear" w:color="auto" w:fill="FFFFFF"/>
        </w:rPr>
        <w:t>Conditions?.</w:t>
      </w:r>
      <w:proofErr w:type="gramEnd"/>
    </w:p>
    <w:p w14:paraId="2ABF34C8" w14:textId="77777777" w:rsidR="00D10914" w:rsidRPr="00255EC2" w:rsidRDefault="00D10914" w:rsidP="00255EC2">
      <w:pPr>
        <w:spacing w:line="240" w:lineRule="auto"/>
        <w:ind w:left="720" w:hanging="720"/>
        <w:jc w:val="both"/>
        <w:rPr>
          <w:rFonts w:ascii="Times New Roman" w:hAnsi="Times New Roman" w:cs="Times New Roman"/>
          <w:sz w:val="24"/>
          <w:szCs w:val="24"/>
          <w:shd w:val="clear" w:color="auto" w:fill="FFFFFF"/>
        </w:rPr>
      </w:pPr>
      <w:r w:rsidRPr="00255EC2">
        <w:rPr>
          <w:rFonts w:ascii="Times New Roman" w:hAnsi="Times New Roman" w:cs="Times New Roman"/>
          <w:sz w:val="24"/>
          <w:szCs w:val="24"/>
          <w:shd w:val="clear" w:color="auto" w:fill="FFFFFF"/>
        </w:rPr>
        <w:t>Harlan, G.A., 2020. The Fundamentals of Financial Accounting: A Compilation of Case Studies.</w:t>
      </w:r>
    </w:p>
    <w:p w14:paraId="04589BD3" w14:textId="77777777" w:rsidR="00D10914" w:rsidRPr="00255EC2" w:rsidRDefault="00D10914" w:rsidP="00255EC2">
      <w:pPr>
        <w:spacing w:line="240" w:lineRule="auto"/>
        <w:ind w:left="720" w:hanging="720"/>
        <w:jc w:val="both"/>
        <w:rPr>
          <w:rFonts w:ascii="Times New Roman" w:hAnsi="Times New Roman" w:cs="Times New Roman"/>
          <w:sz w:val="24"/>
          <w:szCs w:val="24"/>
        </w:rPr>
      </w:pPr>
      <w:r w:rsidRPr="00255EC2">
        <w:rPr>
          <w:rFonts w:ascii="Times New Roman" w:hAnsi="Times New Roman" w:cs="Times New Roman"/>
          <w:sz w:val="24"/>
          <w:szCs w:val="24"/>
          <w:shd w:val="clear" w:color="auto" w:fill="FFFFFF"/>
        </w:rPr>
        <w:t>Warren, C., Jonick, C. and Schneider, J., 2020. </w:t>
      </w:r>
      <w:r w:rsidRPr="00255EC2">
        <w:rPr>
          <w:rFonts w:ascii="Times New Roman" w:hAnsi="Times New Roman" w:cs="Times New Roman"/>
          <w:i/>
          <w:iCs/>
          <w:sz w:val="24"/>
          <w:szCs w:val="24"/>
          <w:shd w:val="clear" w:color="auto" w:fill="FFFFFF"/>
        </w:rPr>
        <w:t>Accounting</w:t>
      </w:r>
      <w:r w:rsidRPr="00255EC2">
        <w:rPr>
          <w:rFonts w:ascii="Times New Roman" w:hAnsi="Times New Roman" w:cs="Times New Roman"/>
          <w:sz w:val="24"/>
          <w:szCs w:val="24"/>
          <w:shd w:val="clear" w:color="auto" w:fill="FFFFFF"/>
        </w:rPr>
        <w:t>. Cengage Learning.</w:t>
      </w:r>
    </w:p>
    <w:p w14:paraId="565EA5D9" w14:textId="77777777" w:rsidR="00F53913" w:rsidRPr="00255EC2" w:rsidRDefault="00F53913" w:rsidP="00255EC2">
      <w:pPr>
        <w:spacing w:line="360" w:lineRule="auto"/>
        <w:jc w:val="both"/>
        <w:rPr>
          <w:rFonts w:ascii="Times New Roman" w:hAnsi="Times New Roman" w:cs="Times New Roman"/>
          <w:sz w:val="24"/>
          <w:szCs w:val="24"/>
        </w:rPr>
      </w:pPr>
    </w:p>
    <w:sectPr w:rsidR="00F53913" w:rsidRPr="00255E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roid Sans">
    <w:charset w:val="80"/>
    <w:family w:val="auto"/>
    <w:pitch w:val="variable"/>
  </w:font>
  <w:font w:name="DejaVu Sans">
    <w:altName w:val="Yu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D2C03D1"/>
    <w:multiLevelType w:val="hybridMultilevel"/>
    <w:tmpl w:val="0D56DC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05DCB"/>
    <w:multiLevelType w:val="hybridMultilevel"/>
    <w:tmpl w:val="1616A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3065A5"/>
    <w:multiLevelType w:val="hybridMultilevel"/>
    <w:tmpl w:val="3A1819EE"/>
    <w:lvl w:ilvl="0" w:tplc="5C185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4DE1D61"/>
    <w:multiLevelType w:val="hybridMultilevel"/>
    <w:tmpl w:val="70666E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FA0968"/>
    <w:multiLevelType w:val="hybridMultilevel"/>
    <w:tmpl w:val="F1F2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EA6AFE"/>
    <w:multiLevelType w:val="hybridMultilevel"/>
    <w:tmpl w:val="B3BC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1F10CB"/>
    <w:multiLevelType w:val="hybridMultilevel"/>
    <w:tmpl w:val="B9404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F96262"/>
    <w:multiLevelType w:val="hybridMultilevel"/>
    <w:tmpl w:val="3A1819EE"/>
    <w:lvl w:ilvl="0" w:tplc="5C185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D1A3AAB"/>
    <w:multiLevelType w:val="multilevel"/>
    <w:tmpl w:val="F0548E78"/>
    <w:lvl w:ilvl="0">
      <w:start w:val="81"/>
      <w:numFmt w:val="decimal"/>
      <w:lvlText w:val="%1"/>
      <w:lvlJc w:val="left"/>
      <w:pPr>
        <w:ind w:left="540" w:hanging="540"/>
      </w:pPr>
      <w:rPr>
        <w:rFonts w:hint="default"/>
      </w:rPr>
    </w:lvl>
    <w:lvl w:ilvl="1">
      <w:start w:val="7"/>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59C2847"/>
    <w:multiLevelType w:val="hybridMultilevel"/>
    <w:tmpl w:val="FC2253E0"/>
    <w:lvl w:ilvl="0" w:tplc="2EC83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CE6594A"/>
    <w:multiLevelType w:val="hybridMultilevel"/>
    <w:tmpl w:val="5A303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F84C8A"/>
    <w:multiLevelType w:val="hybridMultilevel"/>
    <w:tmpl w:val="0400ED94"/>
    <w:lvl w:ilvl="0" w:tplc="54D616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8"/>
  </w:num>
  <w:num w:numId="3">
    <w:abstractNumId w:val="10"/>
  </w:num>
  <w:num w:numId="4">
    <w:abstractNumId w:val="5"/>
  </w:num>
  <w:num w:numId="5">
    <w:abstractNumId w:val="11"/>
  </w:num>
  <w:num w:numId="6">
    <w:abstractNumId w:val="1"/>
  </w:num>
  <w:num w:numId="7">
    <w:abstractNumId w:val="4"/>
  </w:num>
  <w:num w:numId="8">
    <w:abstractNumId w:val="2"/>
  </w:num>
  <w:num w:numId="9">
    <w:abstractNumId w:val="6"/>
  </w:num>
  <w:num w:numId="10">
    <w:abstractNumId w:val="7"/>
  </w:num>
  <w:num w:numId="11">
    <w:abstractNumId w:val="3"/>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474"/>
    <w:rsid w:val="000073BE"/>
    <w:rsid w:val="0003391A"/>
    <w:rsid w:val="00054858"/>
    <w:rsid w:val="00083AA4"/>
    <w:rsid w:val="000848FE"/>
    <w:rsid w:val="000D7D8A"/>
    <w:rsid w:val="000E0896"/>
    <w:rsid w:val="00203A5F"/>
    <w:rsid w:val="00255EC2"/>
    <w:rsid w:val="002B790A"/>
    <w:rsid w:val="003E099E"/>
    <w:rsid w:val="003F4FF7"/>
    <w:rsid w:val="004012F1"/>
    <w:rsid w:val="0046662F"/>
    <w:rsid w:val="004A79FA"/>
    <w:rsid w:val="005450E1"/>
    <w:rsid w:val="005779EF"/>
    <w:rsid w:val="005B19F3"/>
    <w:rsid w:val="00652849"/>
    <w:rsid w:val="00654570"/>
    <w:rsid w:val="00666A1F"/>
    <w:rsid w:val="007D64D4"/>
    <w:rsid w:val="008C7484"/>
    <w:rsid w:val="008F38D7"/>
    <w:rsid w:val="00954CCF"/>
    <w:rsid w:val="00993B9E"/>
    <w:rsid w:val="00997542"/>
    <w:rsid w:val="009B28BD"/>
    <w:rsid w:val="00A33E8A"/>
    <w:rsid w:val="00A45603"/>
    <w:rsid w:val="00A67B2F"/>
    <w:rsid w:val="00B41634"/>
    <w:rsid w:val="00B70A32"/>
    <w:rsid w:val="00B97500"/>
    <w:rsid w:val="00BE1474"/>
    <w:rsid w:val="00C25B07"/>
    <w:rsid w:val="00C57B63"/>
    <w:rsid w:val="00C62A57"/>
    <w:rsid w:val="00CD08BD"/>
    <w:rsid w:val="00CE61ED"/>
    <w:rsid w:val="00CF2266"/>
    <w:rsid w:val="00D10914"/>
    <w:rsid w:val="00D608BD"/>
    <w:rsid w:val="00D66BB8"/>
    <w:rsid w:val="00DD34CC"/>
    <w:rsid w:val="00E874F7"/>
    <w:rsid w:val="00EA24F3"/>
    <w:rsid w:val="00F310B9"/>
    <w:rsid w:val="00F53913"/>
    <w:rsid w:val="00F962EB"/>
    <w:rsid w:val="00FA0127"/>
    <w:rsid w:val="00FB1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1C70"/>
  <w15:chartTrackingRefBased/>
  <w15:docId w15:val="{D6EB0D41-D602-4839-9A38-AF9DAE37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0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50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0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50E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450E1"/>
    <w:pPr>
      <w:ind w:left="720"/>
      <w:contextualSpacing/>
    </w:pPr>
  </w:style>
  <w:style w:type="table" w:styleId="TableGrid">
    <w:name w:val="Table Grid"/>
    <w:basedOn w:val="TableNormal"/>
    <w:uiPriority w:val="39"/>
    <w:rsid w:val="00545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C62A57"/>
    <w:pPr>
      <w:suppressLineNumbers/>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WW8Num1z2">
    <w:name w:val="WW8Num1z2"/>
    <w:rsid w:val="00E874F7"/>
  </w:style>
  <w:style w:type="paragraph" w:styleId="TOCHeading">
    <w:name w:val="TOC Heading"/>
    <w:basedOn w:val="Heading1"/>
    <w:next w:val="Normal"/>
    <w:uiPriority w:val="39"/>
    <w:unhideWhenUsed/>
    <w:qFormat/>
    <w:rsid w:val="003E099E"/>
    <w:pPr>
      <w:outlineLvl w:val="9"/>
    </w:pPr>
  </w:style>
  <w:style w:type="paragraph" w:styleId="TOC1">
    <w:name w:val="toc 1"/>
    <w:basedOn w:val="Normal"/>
    <w:next w:val="Normal"/>
    <w:autoRedefine/>
    <w:uiPriority w:val="39"/>
    <w:unhideWhenUsed/>
    <w:rsid w:val="003E099E"/>
    <w:pPr>
      <w:spacing w:after="100"/>
    </w:pPr>
  </w:style>
  <w:style w:type="paragraph" w:styleId="TOC2">
    <w:name w:val="toc 2"/>
    <w:basedOn w:val="Normal"/>
    <w:next w:val="Normal"/>
    <w:autoRedefine/>
    <w:uiPriority w:val="39"/>
    <w:unhideWhenUsed/>
    <w:rsid w:val="003E099E"/>
    <w:pPr>
      <w:spacing w:after="100"/>
      <w:ind w:left="220"/>
    </w:pPr>
  </w:style>
  <w:style w:type="character" w:styleId="Hyperlink">
    <w:name w:val="Hyperlink"/>
    <w:basedOn w:val="DefaultParagraphFont"/>
    <w:uiPriority w:val="99"/>
    <w:unhideWhenUsed/>
    <w:rsid w:val="003E099E"/>
    <w:rPr>
      <w:color w:val="0563C1" w:themeColor="hyperlink"/>
      <w:u w:val="single"/>
    </w:rPr>
  </w:style>
  <w:style w:type="paragraph" w:styleId="NoSpacing">
    <w:name w:val="No Spacing"/>
    <w:uiPriority w:val="1"/>
    <w:qFormat/>
    <w:rsid w:val="009975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12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10.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c:f>
              <c:strCache>
                <c:ptCount val="1"/>
                <c:pt idx="0">
                  <c:v>Return on capital employed</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Sheet1!$C$1:$D$1</c:f>
              <c:numCache>
                <c:formatCode>General</c:formatCode>
                <c:ptCount val="2"/>
                <c:pt idx="0">
                  <c:v>2018</c:v>
                </c:pt>
                <c:pt idx="1">
                  <c:v>2019</c:v>
                </c:pt>
              </c:numCache>
            </c:numRef>
          </c:cat>
          <c:val>
            <c:numRef>
              <c:f>Sheet1!$C$2:$D$2</c:f>
              <c:numCache>
                <c:formatCode>General</c:formatCode>
                <c:ptCount val="2"/>
                <c:pt idx="0">
                  <c:v>0.2</c:v>
                </c:pt>
                <c:pt idx="1">
                  <c:v>0.17</c:v>
                </c:pt>
              </c:numCache>
            </c:numRef>
          </c:val>
          <c:extLst>
            <c:ext xmlns:c16="http://schemas.microsoft.com/office/drawing/2014/chart" uri="{C3380CC4-5D6E-409C-BE32-E72D297353CC}">
              <c16:uniqueId val="{00000000-20D0-4552-8DF8-7ABE2822D940}"/>
            </c:ext>
          </c:extLst>
        </c:ser>
        <c:dLbls>
          <c:showLegendKey val="0"/>
          <c:showVal val="0"/>
          <c:showCatName val="0"/>
          <c:showSerName val="0"/>
          <c:showPercent val="0"/>
          <c:showBubbleSize val="0"/>
        </c:dLbls>
        <c:gapWidth val="160"/>
        <c:gapDepth val="0"/>
        <c:shape val="box"/>
        <c:axId val="2053770335"/>
        <c:axId val="2053772831"/>
        <c:axId val="0"/>
      </c:bar3DChart>
      <c:catAx>
        <c:axId val="20537703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772831"/>
        <c:crosses val="autoZero"/>
        <c:auto val="1"/>
        <c:lblAlgn val="ctr"/>
        <c:lblOffset val="100"/>
        <c:noMultiLvlLbl val="0"/>
      </c:catAx>
      <c:valAx>
        <c:axId val="205377283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7703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Sheet2!$B$2</c:f>
              <c:strCache>
                <c:ptCount val="1"/>
                <c:pt idx="0">
                  <c:v>Return on equity</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Sheet2!$C$1:$D$1</c:f>
              <c:numCache>
                <c:formatCode>General</c:formatCode>
                <c:ptCount val="2"/>
                <c:pt idx="0">
                  <c:v>2018</c:v>
                </c:pt>
                <c:pt idx="1">
                  <c:v>2019</c:v>
                </c:pt>
              </c:numCache>
            </c:numRef>
          </c:cat>
          <c:val>
            <c:numRef>
              <c:f>Sheet2!$C$2:$D$2</c:f>
              <c:numCache>
                <c:formatCode>General</c:formatCode>
                <c:ptCount val="2"/>
                <c:pt idx="0">
                  <c:v>0.23</c:v>
                </c:pt>
                <c:pt idx="1">
                  <c:v>0.14000000000000001</c:v>
                </c:pt>
              </c:numCache>
            </c:numRef>
          </c:val>
          <c:extLst>
            <c:ext xmlns:c16="http://schemas.microsoft.com/office/drawing/2014/chart" uri="{C3380CC4-5D6E-409C-BE32-E72D297353CC}">
              <c16:uniqueId val="{00000000-B3D1-4BD8-B5C0-AC1CBB5C8D9E}"/>
            </c:ext>
          </c:extLst>
        </c:ser>
        <c:dLbls>
          <c:showLegendKey val="0"/>
          <c:showVal val="0"/>
          <c:showCatName val="0"/>
          <c:showSerName val="0"/>
          <c:showPercent val="0"/>
          <c:showBubbleSize val="0"/>
        </c:dLbls>
        <c:gapWidth val="160"/>
        <c:gapDepth val="0"/>
        <c:shape val="box"/>
        <c:axId val="25373855"/>
        <c:axId val="25384671"/>
        <c:axId val="0"/>
      </c:bar3DChart>
      <c:catAx>
        <c:axId val="253738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84671"/>
        <c:crosses val="autoZero"/>
        <c:auto val="1"/>
        <c:lblAlgn val="ctr"/>
        <c:lblOffset val="100"/>
        <c:noMultiLvlLbl val="0"/>
      </c:catAx>
      <c:valAx>
        <c:axId val="2538467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38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c:f>
              <c:strCache>
                <c:ptCount val="1"/>
                <c:pt idx="0">
                  <c:v>EPS </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Sheet1!$C$1:$D$1</c:f>
              <c:numCache>
                <c:formatCode>General</c:formatCode>
                <c:ptCount val="2"/>
                <c:pt idx="0">
                  <c:v>2018</c:v>
                </c:pt>
                <c:pt idx="1">
                  <c:v>2019</c:v>
                </c:pt>
              </c:numCache>
            </c:numRef>
          </c:cat>
          <c:val>
            <c:numRef>
              <c:f>Sheet1!$C$2:$D$2</c:f>
              <c:numCache>
                <c:formatCode>General</c:formatCode>
                <c:ptCount val="2"/>
                <c:pt idx="0">
                  <c:v>0.72470000000000001</c:v>
                </c:pt>
                <c:pt idx="1">
                  <c:v>1.0281</c:v>
                </c:pt>
              </c:numCache>
            </c:numRef>
          </c:val>
          <c:extLst>
            <c:ext xmlns:c16="http://schemas.microsoft.com/office/drawing/2014/chart" uri="{C3380CC4-5D6E-409C-BE32-E72D297353CC}">
              <c16:uniqueId val="{00000000-D651-4636-A6BB-91F499718F75}"/>
            </c:ext>
          </c:extLst>
        </c:ser>
        <c:dLbls>
          <c:showLegendKey val="0"/>
          <c:showVal val="0"/>
          <c:showCatName val="0"/>
          <c:showSerName val="0"/>
          <c:showPercent val="0"/>
          <c:showBubbleSize val="0"/>
        </c:dLbls>
        <c:gapWidth val="160"/>
        <c:gapDepth val="0"/>
        <c:shape val="box"/>
        <c:axId val="2085829983"/>
        <c:axId val="2085832063"/>
        <c:axId val="0"/>
      </c:bar3DChart>
      <c:catAx>
        <c:axId val="2085829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832063"/>
        <c:crosses val="autoZero"/>
        <c:auto val="1"/>
        <c:lblAlgn val="ctr"/>
        <c:lblOffset val="100"/>
        <c:noMultiLvlLbl val="0"/>
      </c:catAx>
      <c:valAx>
        <c:axId val="208583206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8299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Sheet3!$B$2</c:f>
              <c:strCache>
                <c:ptCount val="1"/>
                <c:pt idx="0">
                  <c:v>Gross profit margin</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Sheet3!$C$1:$D$1</c:f>
              <c:numCache>
                <c:formatCode>General</c:formatCode>
                <c:ptCount val="2"/>
                <c:pt idx="0">
                  <c:v>2018</c:v>
                </c:pt>
                <c:pt idx="1">
                  <c:v>2019</c:v>
                </c:pt>
              </c:numCache>
            </c:numRef>
          </c:cat>
          <c:val>
            <c:numRef>
              <c:f>Sheet3!$C$2:$D$2</c:f>
              <c:numCache>
                <c:formatCode>0.00%</c:formatCode>
                <c:ptCount val="2"/>
                <c:pt idx="0">
                  <c:v>0.38390000000000002</c:v>
                </c:pt>
                <c:pt idx="1">
                  <c:v>0.3826</c:v>
                </c:pt>
              </c:numCache>
            </c:numRef>
          </c:val>
          <c:extLst>
            <c:ext xmlns:c16="http://schemas.microsoft.com/office/drawing/2014/chart" uri="{C3380CC4-5D6E-409C-BE32-E72D297353CC}">
              <c16:uniqueId val="{00000000-602A-4944-9941-7F778D37DD25}"/>
            </c:ext>
          </c:extLst>
        </c:ser>
        <c:dLbls>
          <c:showLegendKey val="0"/>
          <c:showVal val="0"/>
          <c:showCatName val="0"/>
          <c:showSerName val="0"/>
          <c:showPercent val="0"/>
          <c:showBubbleSize val="0"/>
        </c:dLbls>
        <c:gapWidth val="150"/>
        <c:shape val="box"/>
        <c:axId val="2136156319"/>
        <c:axId val="2136156735"/>
        <c:axId val="0"/>
      </c:bar3DChart>
      <c:catAx>
        <c:axId val="2136156319"/>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156735"/>
        <c:crosses val="autoZero"/>
        <c:auto val="1"/>
        <c:lblAlgn val="ctr"/>
        <c:lblOffset val="100"/>
        <c:noMultiLvlLbl val="0"/>
      </c:catAx>
      <c:valAx>
        <c:axId val="2136156735"/>
        <c:scaling>
          <c:orientation val="minMax"/>
        </c:scaling>
        <c:delete val="0"/>
        <c:axPos val="l"/>
        <c:majorGridlines>
          <c:spPr>
            <a:ln>
              <a:solidFill>
                <a:schemeClr val="tx1">
                  <a:lumMod val="15000"/>
                  <a:lumOff val="85000"/>
                </a:schemeClr>
              </a:solidFill>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1563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Sheet4!$B$2</c:f>
              <c:strCache>
                <c:ptCount val="1"/>
                <c:pt idx="0">
                  <c:v>Assets turnover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Sheet4!$C$1:$D$1</c:f>
              <c:numCache>
                <c:formatCode>General</c:formatCode>
                <c:ptCount val="2"/>
                <c:pt idx="0">
                  <c:v>2018</c:v>
                </c:pt>
                <c:pt idx="1">
                  <c:v>2019</c:v>
                </c:pt>
              </c:numCache>
            </c:numRef>
          </c:cat>
          <c:val>
            <c:numRef>
              <c:f>Sheet4!$C$2:$D$2</c:f>
              <c:numCache>
                <c:formatCode>General</c:formatCode>
                <c:ptCount val="2"/>
                <c:pt idx="0">
                  <c:v>6.06</c:v>
                </c:pt>
                <c:pt idx="1">
                  <c:v>5.36</c:v>
                </c:pt>
              </c:numCache>
            </c:numRef>
          </c:val>
          <c:extLst>
            <c:ext xmlns:c16="http://schemas.microsoft.com/office/drawing/2014/chart" uri="{C3380CC4-5D6E-409C-BE32-E72D297353CC}">
              <c16:uniqueId val="{00000000-33D8-4796-9CFF-F3DD71554F37}"/>
            </c:ext>
          </c:extLst>
        </c:ser>
        <c:dLbls>
          <c:showLegendKey val="0"/>
          <c:showVal val="0"/>
          <c:showCatName val="0"/>
          <c:showSerName val="0"/>
          <c:showPercent val="0"/>
          <c:showBubbleSize val="0"/>
        </c:dLbls>
        <c:gapWidth val="160"/>
        <c:gapDepth val="0"/>
        <c:shape val="box"/>
        <c:axId val="34564207"/>
        <c:axId val="34559215"/>
        <c:axId val="0"/>
      </c:bar3DChart>
      <c:catAx>
        <c:axId val="345642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59215"/>
        <c:crosses val="autoZero"/>
        <c:auto val="1"/>
        <c:lblAlgn val="ctr"/>
        <c:lblOffset val="100"/>
        <c:noMultiLvlLbl val="0"/>
      </c:catAx>
      <c:valAx>
        <c:axId val="3455921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64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Sheet5!$B$2</c:f>
              <c:strCache>
                <c:ptCount val="1"/>
                <c:pt idx="0">
                  <c:v>Stock holding period</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Sheet5!$C$1:$D$1</c:f>
              <c:numCache>
                <c:formatCode>General</c:formatCode>
                <c:ptCount val="2"/>
                <c:pt idx="0">
                  <c:v>2018</c:v>
                </c:pt>
                <c:pt idx="1">
                  <c:v>2019</c:v>
                </c:pt>
              </c:numCache>
            </c:numRef>
          </c:cat>
          <c:val>
            <c:numRef>
              <c:f>Sheet5!$C$2:$D$2</c:f>
              <c:numCache>
                <c:formatCode>General</c:formatCode>
                <c:ptCount val="2"/>
                <c:pt idx="0">
                  <c:v>50</c:v>
                </c:pt>
                <c:pt idx="1">
                  <c:v>46</c:v>
                </c:pt>
              </c:numCache>
            </c:numRef>
          </c:val>
          <c:extLst>
            <c:ext xmlns:c16="http://schemas.microsoft.com/office/drawing/2014/chart" uri="{C3380CC4-5D6E-409C-BE32-E72D297353CC}">
              <c16:uniqueId val="{00000000-8698-4F93-AF68-A0EAE633A416}"/>
            </c:ext>
          </c:extLst>
        </c:ser>
        <c:dLbls>
          <c:showLegendKey val="0"/>
          <c:showVal val="0"/>
          <c:showCatName val="0"/>
          <c:showSerName val="0"/>
          <c:showPercent val="0"/>
          <c:showBubbleSize val="0"/>
        </c:dLbls>
        <c:gapWidth val="160"/>
        <c:gapDepth val="0"/>
        <c:shape val="box"/>
        <c:axId val="25378015"/>
        <c:axId val="25379263"/>
        <c:axId val="0"/>
      </c:bar3DChart>
      <c:catAx>
        <c:axId val="253780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9263"/>
        <c:crosses val="autoZero"/>
        <c:auto val="1"/>
        <c:lblAlgn val="ctr"/>
        <c:lblOffset val="100"/>
        <c:noMultiLvlLbl val="0"/>
      </c:catAx>
      <c:valAx>
        <c:axId val="2537926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8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Sheet6!$B$2</c:f>
              <c:strCache>
                <c:ptCount val="1"/>
                <c:pt idx="0">
                  <c:v>Debtors collection period</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Sheet6!$C$1:$D$1</c:f>
              <c:numCache>
                <c:formatCode>General</c:formatCode>
                <c:ptCount val="2"/>
                <c:pt idx="0">
                  <c:v>2018</c:v>
                </c:pt>
                <c:pt idx="1">
                  <c:v>2019</c:v>
                </c:pt>
              </c:numCache>
            </c:numRef>
          </c:cat>
          <c:val>
            <c:numRef>
              <c:f>Sheet6!$C$2:$D$2</c:f>
              <c:numCache>
                <c:formatCode>General</c:formatCode>
                <c:ptCount val="2"/>
                <c:pt idx="0">
                  <c:v>86</c:v>
                </c:pt>
                <c:pt idx="1">
                  <c:v>84</c:v>
                </c:pt>
              </c:numCache>
            </c:numRef>
          </c:val>
          <c:extLst>
            <c:ext xmlns:c16="http://schemas.microsoft.com/office/drawing/2014/chart" uri="{C3380CC4-5D6E-409C-BE32-E72D297353CC}">
              <c16:uniqueId val="{00000000-C5B9-46E3-88A0-18243E476D16}"/>
            </c:ext>
          </c:extLst>
        </c:ser>
        <c:dLbls>
          <c:showLegendKey val="0"/>
          <c:showVal val="0"/>
          <c:showCatName val="0"/>
          <c:showSerName val="0"/>
          <c:showPercent val="0"/>
          <c:showBubbleSize val="0"/>
        </c:dLbls>
        <c:gapWidth val="160"/>
        <c:gapDepth val="0"/>
        <c:shape val="box"/>
        <c:axId val="2053607071"/>
        <c:axId val="1947859279"/>
        <c:axId val="0"/>
      </c:bar3DChart>
      <c:catAx>
        <c:axId val="20536070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859279"/>
        <c:crosses val="autoZero"/>
        <c:auto val="1"/>
        <c:lblAlgn val="ctr"/>
        <c:lblOffset val="100"/>
        <c:noMultiLvlLbl val="0"/>
      </c:catAx>
      <c:valAx>
        <c:axId val="194785927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6070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Sheet7!$B$2</c:f>
              <c:strCache>
                <c:ptCount val="1"/>
                <c:pt idx="0">
                  <c:v>Current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Sheet7!$C$1:$D$1</c:f>
              <c:numCache>
                <c:formatCode>General</c:formatCode>
                <c:ptCount val="2"/>
                <c:pt idx="0">
                  <c:v>2018</c:v>
                </c:pt>
                <c:pt idx="1">
                  <c:v>2019</c:v>
                </c:pt>
              </c:numCache>
            </c:numRef>
          </c:cat>
          <c:val>
            <c:numRef>
              <c:f>Sheet7!$C$2:$D$2</c:f>
              <c:numCache>
                <c:formatCode>General</c:formatCode>
                <c:ptCount val="2"/>
                <c:pt idx="0">
                  <c:v>1.05</c:v>
                </c:pt>
                <c:pt idx="1">
                  <c:v>1.02</c:v>
                </c:pt>
              </c:numCache>
            </c:numRef>
          </c:val>
          <c:extLst>
            <c:ext xmlns:c16="http://schemas.microsoft.com/office/drawing/2014/chart" uri="{C3380CC4-5D6E-409C-BE32-E72D297353CC}">
              <c16:uniqueId val="{00000000-3E80-4C0C-A462-23FDD3764E78}"/>
            </c:ext>
          </c:extLst>
        </c:ser>
        <c:dLbls>
          <c:showLegendKey val="0"/>
          <c:showVal val="0"/>
          <c:showCatName val="0"/>
          <c:showSerName val="0"/>
          <c:showPercent val="0"/>
          <c:showBubbleSize val="0"/>
        </c:dLbls>
        <c:gapWidth val="160"/>
        <c:gapDepth val="0"/>
        <c:shape val="box"/>
        <c:axId val="25383839"/>
        <c:axId val="2134977423"/>
        <c:axId val="0"/>
      </c:bar3DChart>
      <c:catAx>
        <c:axId val="253838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4977423"/>
        <c:crosses val="autoZero"/>
        <c:auto val="1"/>
        <c:lblAlgn val="ctr"/>
        <c:lblOffset val="100"/>
        <c:noMultiLvlLbl val="0"/>
      </c:catAx>
      <c:valAx>
        <c:axId val="213497742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838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Sheet2!$B$6</c:f>
              <c:strCache>
                <c:ptCount val="1"/>
                <c:pt idx="0">
                  <c:v>Gearing ratio </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Sheet2!$C$5:$D$5</c:f>
              <c:numCache>
                <c:formatCode>General</c:formatCode>
                <c:ptCount val="2"/>
                <c:pt idx="0">
                  <c:v>2019</c:v>
                </c:pt>
                <c:pt idx="1">
                  <c:v>2018</c:v>
                </c:pt>
              </c:numCache>
            </c:numRef>
          </c:cat>
          <c:val>
            <c:numRef>
              <c:f>Sheet2!$C$6:$D$6</c:f>
              <c:numCache>
                <c:formatCode>General</c:formatCode>
                <c:ptCount val="2"/>
                <c:pt idx="0">
                  <c:v>44.96</c:v>
                </c:pt>
                <c:pt idx="1">
                  <c:v>81.069999999999993</c:v>
                </c:pt>
              </c:numCache>
            </c:numRef>
          </c:val>
          <c:extLst>
            <c:ext xmlns:c16="http://schemas.microsoft.com/office/drawing/2014/chart" uri="{C3380CC4-5D6E-409C-BE32-E72D297353CC}">
              <c16:uniqueId val="{00000000-3C70-4C18-871C-D0A4347E0951}"/>
            </c:ext>
          </c:extLst>
        </c:ser>
        <c:dLbls>
          <c:showLegendKey val="0"/>
          <c:showVal val="0"/>
          <c:showCatName val="0"/>
          <c:showSerName val="0"/>
          <c:showPercent val="0"/>
          <c:showBubbleSize val="0"/>
        </c:dLbls>
        <c:gapWidth val="160"/>
        <c:gapDepth val="0"/>
        <c:shape val="box"/>
        <c:axId val="2004339743"/>
        <c:axId val="2004346815"/>
        <c:axId val="0"/>
      </c:bar3DChart>
      <c:catAx>
        <c:axId val="20043397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4346815"/>
        <c:crosses val="autoZero"/>
        <c:auto val="1"/>
        <c:lblAlgn val="ctr"/>
        <c:lblOffset val="100"/>
        <c:noMultiLvlLbl val="0"/>
      </c:catAx>
      <c:valAx>
        <c:axId val="200434681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433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Sheet3!$B$2</c:f>
              <c:strCache>
                <c:ptCount val="1"/>
                <c:pt idx="0">
                  <c:v>Interest Cover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Sheet3!$C$1:$D$1</c:f>
              <c:numCache>
                <c:formatCode>General</c:formatCode>
                <c:ptCount val="2"/>
                <c:pt idx="0">
                  <c:v>2019</c:v>
                </c:pt>
                <c:pt idx="1">
                  <c:v>2018</c:v>
                </c:pt>
              </c:numCache>
            </c:numRef>
          </c:cat>
          <c:val>
            <c:numRef>
              <c:f>Sheet3!$C$2:$D$2</c:f>
              <c:numCache>
                <c:formatCode>General</c:formatCode>
                <c:ptCount val="2"/>
                <c:pt idx="0">
                  <c:v>115</c:v>
                </c:pt>
                <c:pt idx="1">
                  <c:v>8.49</c:v>
                </c:pt>
              </c:numCache>
            </c:numRef>
          </c:val>
          <c:extLst>
            <c:ext xmlns:c16="http://schemas.microsoft.com/office/drawing/2014/chart" uri="{C3380CC4-5D6E-409C-BE32-E72D297353CC}">
              <c16:uniqueId val="{00000000-62D5-422C-8172-711CE66BF5AC}"/>
            </c:ext>
          </c:extLst>
        </c:ser>
        <c:dLbls>
          <c:showLegendKey val="0"/>
          <c:showVal val="0"/>
          <c:showCatName val="0"/>
          <c:showSerName val="0"/>
          <c:showPercent val="0"/>
          <c:showBubbleSize val="0"/>
        </c:dLbls>
        <c:gapWidth val="160"/>
        <c:gapDepth val="0"/>
        <c:shape val="box"/>
        <c:axId val="1902066319"/>
        <c:axId val="2123381295"/>
        <c:axId val="0"/>
      </c:bar3DChart>
      <c:catAx>
        <c:axId val="1902066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381295"/>
        <c:crosses val="autoZero"/>
        <c:auto val="1"/>
        <c:lblAlgn val="ctr"/>
        <c:lblOffset val="100"/>
        <c:noMultiLvlLbl val="0"/>
      </c:catAx>
      <c:valAx>
        <c:axId val="212338129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0663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A2A90-C5CA-4113-B763-A78AF578F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Diana</cp:lastModifiedBy>
  <cp:revision>453</cp:revision>
  <dcterms:created xsi:type="dcterms:W3CDTF">2020-08-08T06:02:00Z</dcterms:created>
  <dcterms:modified xsi:type="dcterms:W3CDTF">2020-08-27T13:27:00Z</dcterms:modified>
</cp:coreProperties>
</file>