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Calibri" w:hAnsi="Calibri" w:asciiTheme="minorHAnsi" w:hAnsiTheme="minorHAnsi"/>
        </w:rPr>
      </w:pPr>
      <w:r>
        <w:rPr>
          <w:rFonts w:ascii="Calibri" w:hAnsi="Calibri" w:asciiTheme="minorHAnsi" w:hAnsiTheme="minorHAnsi"/>
          <w:b/>
          <w:u w:val="single"/>
        </w:rPr>
        <w:t>Pericles’ Cavalry Strategy:  A Reply to J. Hugh Hunter’s paper</w:t>
      </w:r>
    </w:p>
    <w:p>
      <w:pPr>
        <w:pStyle w:val="Normal"/>
        <w:spacing w:lineRule="auto" w:line="276"/>
        <w:rPr>
          <w:rFonts w:ascii="Calibri" w:hAnsi="Calibri" w:asciiTheme="minorHAnsi" w:hAnsiTheme="minorHAnsi"/>
        </w:rPr>
      </w:pPr>
      <w:r>
        <w:rPr>
          <w:rFonts w:asciiTheme="minorHAnsi" w:hAnsiTheme="minorHAnsi" w:ascii="Calibri" w:hAnsi="Calibri"/>
        </w:rPr>
      </w:r>
    </w:p>
    <w:p>
      <w:pPr>
        <w:pStyle w:val="Normal"/>
        <w:spacing w:lineRule="auto" w:line="276"/>
        <w:rPr/>
      </w:pPr>
      <w:r>
        <w:rPr>
          <w:rFonts w:ascii="Calibri" w:hAnsi="Calibri" w:asciiTheme="minorHAnsi" w:hAnsiTheme="minorHAnsi"/>
        </w:rPr>
        <w:t xml:space="preserve">I have read J. Hugh Hunter’s paper </w:t>
      </w:r>
      <w:r>
        <w:rPr>
          <w:rFonts w:ascii="Calibri" w:hAnsi="Calibri" w:asciiTheme="minorHAnsi" w:hAnsiTheme="minorHAnsi"/>
          <w:i/>
          <w:iCs/>
        </w:rPr>
        <w:t>Pericles’ Cavalry Strategy</w:t>
      </w:r>
      <w:r>
        <w:rPr>
          <w:rFonts w:ascii="Calibri" w:hAnsi="Calibri" w:asciiTheme="minorHAnsi" w:hAnsiTheme="minorHAnsi"/>
        </w:rPr>
        <w:t xml:space="preserve"> with considerable interest but found it somewhat impenetrable in many areas. Like him I found Spence’s paper on the same subject highly illuminating, and I fully understand his desire to give Spence much credit for his analysis, but unfortunately, in my opinion, the impenetrability makes it somewhat opaque as to what his own, Hunter’s, position actually is.  Indeed, to an extent, he appears primarily to be supporting a proposition, </w:t>
      </w:r>
      <w:r>
        <w:rPr>
          <w:rFonts w:ascii="Calibri" w:hAnsi="Calibri" w:asciiTheme="minorHAnsi" w:hAnsiTheme="minorHAnsi"/>
          <w:iCs/>
        </w:rPr>
        <w:t>contrary to Spence’s position,</w:t>
      </w:r>
      <w:r>
        <w:rPr>
          <w:rFonts w:ascii="Calibri" w:hAnsi="Calibri" w:asciiTheme="minorHAnsi" w:hAnsiTheme="minorHAnsi"/>
        </w:rPr>
        <w:t xml:space="preserve"> that Pericles was in fact a master military strategist, which is a position that I find myself agreeing with. I also agree that his use of Thucydides writings as a primary source is a robust and stable starting point, as opposed to Spence’s “tactical analysis” of the actions of Pericles. However, in part because of Hunter’s opaque written style but primarily because of the actual military arguments he offers, how he puts them together, and some of the conclusions that he then draws from them, I consider that he falls remarkably short of a persuasive argument that central to Pericles strategy was a cavalry-based defense of wider Attica. </w:t>
      </w:r>
    </w:p>
    <w:p>
      <w:pPr>
        <w:pStyle w:val="Normal"/>
        <w:spacing w:lineRule="auto" w:line="276"/>
        <w:rPr>
          <w:rFonts w:ascii="Calibri" w:hAnsi="Calibri" w:asciiTheme="minorHAnsi" w:hAnsiTheme="minorHAnsi"/>
        </w:rPr>
      </w:pPr>
      <w:r>
        <w:rPr>
          <w:rFonts w:asciiTheme="minorHAnsi" w:hAnsiTheme="minorHAnsi" w:ascii="Calibri" w:hAnsi="Calibri"/>
        </w:rPr>
      </w:r>
    </w:p>
    <w:p>
      <w:pPr>
        <w:pStyle w:val="Normal"/>
        <w:spacing w:lineRule="auto" w:line="276"/>
        <w:rPr>
          <w:rFonts w:ascii="Calibri" w:hAnsi="Calibri" w:asciiTheme="minorHAnsi" w:hAnsiTheme="minorHAnsi"/>
        </w:rPr>
      </w:pPr>
      <w:r>
        <w:rPr>
          <w:rFonts w:ascii="Calibri" w:hAnsi="Calibri" w:asciiTheme="minorHAnsi" w:hAnsiTheme="minorHAnsi"/>
        </w:rPr>
        <w:t xml:space="preserve">In his article </w:t>
      </w:r>
      <w:r>
        <w:rPr>
          <w:rFonts w:ascii="Calibri" w:hAnsi="Calibri" w:asciiTheme="minorHAnsi" w:hAnsiTheme="minorHAnsi"/>
          <w:i/>
          <w:iCs/>
        </w:rPr>
        <w:t>The Peloponnesian Cavalry Strategy</w:t>
      </w:r>
      <w:r>
        <w:rPr>
          <w:rFonts w:ascii="Calibri" w:hAnsi="Calibri" w:asciiTheme="minorHAnsi" w:hAnsiTheme="minorHAnsi"/>
        </w:rPr>
        <w:t>, Hunter attempts to extrapolate from Spence’s previous work on a tactical analysis of the Athenian use of cavalry in the defense of Attica, and goes so far as to suggest that Pericles is a great cavalry strategist to be ranked amongst ancient generals such as Hannibal Barca.</w:t>
      </w:r>
      <w:r>
        <w:rPr>
          <w:rStyle w:val="FootnoteAnchor"/>
          <w:rFonts w:ascii="Calibri" w:hAnsi="Calibri" w:asciiTheme="minorHAnsi" w:hAnsiTheme="minorHAnsi"/>
        </w:rPr>
        <w:footnoteReference w:id="2"/>
      </w:r>
      <w:r>
        <w:rPr>
          <w:rFonts w:ascii="Calibri" w:hAnsi="Calibri" w:asciiTheme="minorHAnsi" w:hAnsiTheme="minorHAnsi"/>
        </w:rPr>
        <w:t xml:space="preserve"> However, in his article, aside from regularly contradicting himself, Hunter makes a number of analytical leaps and conjectures which are not supported by the historical evidence. Furthermore, neither Spence’s nor Hunter’s articles raise or address the basic question that is what a cavalry based strategy for the defense of Attica would usefully achieve for the Athenians, since the entire premise of Pericles’ military strategy, as recorded by Thucydides, was to turn Athens into an island, and avoid any direct confrontation with the Spartans on land.</w:t>
      </w:r>
      <w:r>
        <w:rPr>
          <w:rStyle w:val="FootnoteAnchor"/>
          <w:rFonts w:ascii="Calibri" w:hAnsi="Calibri" w:asciiTheme="minorHAnsi" w:hAnsiTheme="minorHAnsi"/>
        </w:rPr>
        <w:footnoteReference w:id="3"/>
      </w:r>
      <w:r>
        <w:rPr>
          <w:rFonts w:ascii="Calibri" w:hAnsi="Calibri" w:asciiTheme="minorHAnsi" w:hAnsiTheme="minorHAnsi"/>
        </w:rPr>
        <w:t xml:space="preserve"> I shall attempt to show that whilst Pericles clearly did have a strategy, it had little, if anything, to do with utilizing the cavalry to defend the wider Attica, and in fact Pericles had other plans for the Athenian Cavalry.</w:t>
      </w:r>
    </w:p>
    <w:p>
      <w:pPr>
        <w:pStyle w:val="Normal"/>
        <w:spacing w:lineRule="auto" w:line="276"/>
        <w:rPr>
          <w:rFonts w:ascii="Calibri" w:hAnsi="Calibri" w:asciiTheme="minorHAnsi" w:hAnsiTheme="minorHAnsi"/>
        </w:rPr>
      </w:pPr>
      <w:r>
        <w:rPr>
          <w:rFonts w:asciiTheme="minorHAnsi" w:hAnsiTheme="minorHAnsi" w:ascii="Calibri" w:hAnsi="Calibri"/>
        </w:rPr>
      </w:r>
    </w:p>
    <w:p>
      <w:pPr>
        <w:pStyle w:val="Normal"/>
        <w:spacing w:lineRule="auto" w:line="276"/>
        <w:rPr>
          <w:rFonts w:ascii="Calibri" w:hAnsi="Calibri" w:asciiTheme="minorHAnsi" w:hAnsiTheme="minorHAnsi"/>
        </w:rPr>
      </w:pPr>
      <w:r>
        <w:rPr>
          <w:rFonts w:ascii="Calibri" w:hAnsi="Calibri" w:asciiTheme="minorHAnsi" w:hAnsiTheme="minorHAnsi"/>
        </w:rPr>
        <w:t xml:space="preserve">Central to my hypothesis, and my only point of agreement with Hunter, is that Thucydides’ at the very least thought very highly of Pericles and that the critical advice that Athens lacked after Pericles’s death was primarily strategic in nature. </w:t>
      </w:r>
      <w:r>
        <w:rPr>
          <w:rStyle w:val="FootnoteAnchor"/>
          <w:rFonts w:ascii="Calibri" w:hAnsi="Calibri" w:asciiTheme="minorHAnsi" w:hAnsiTheme="minorHAnsi"/>
        </w:rPr>
        <w:footnoteReference w:id="4"/>
      </w:r>
      <w:r>
        <w:rPr>
          <w:rFonts w:ascii="Calibri" w:hAnsi="Calibri" w:asciiTheme="minorHAnsi" w:hAnsiTheme="minorHAnsi"/>
        </w:rPr>
        <w:t xml:space="preserve"> Whilst we must in general take care about the veracity of, and thus how we use, speeches as recorded by Thucydides, the strategy outlined in the Pericles’ speech definitely provides a very effective strategy for the prosecution of the war with Sparta. Given what we know of the reputation of Sparta’s land forces, it takes advantage of Athens’ strengths and effectively neutralizes the Spartan ability to achieve a victory condition over Athens, by avoiding as far as possible engagement with the Spartan strength that is their land army.  By declining to be drawn into a major land confrontation, and instead focusing on utilizing the Athens’ fleet and superior wealth, Pericles sought to nullify Sparta’s military advantage on land by moving instead to conducting marine expeditionary operations across the Peloponnesian coast.</w:t>
      </w:r>
      <w:r>
        <w:rPr>
          <w:rStyle w:val="FootnoteAnchor"/>
          <w:rFonts w:ascii="Calibri" w:hAnsi="Calibri" w:asciiTheme="minorHAnsi" w:hAnsiTheme="minorHAnsi"/>
        </w:rPr>
        <w:footnoteReference w:id="5"/>
      </w:r>
      <w:r>
        <w:rPr>
          <w:rFonts w:ascii="Calibri" w:hAnsi="Calibri" w:asciiTheme="minorHAnsi" w:hAnsiTheme="minorHAnsi"/>
        </w:rPr>
        <w:t xml:space="preserve"> Historian Thomas R. Martin likens the Periclean Athens to an ancient “aircraft carrier”, from which the Athenian fleet could operate safely, ‘swoop down unexpectedly on their enemies’, and retreat before the Spartans had fully appreciated what had happened, let alone had time to react.</w:t>
      </w:r>
      <w:r>
        <w:rPr>
          <w:rStyle w:val="FootnoteAnchor"/>
          <w:rFonts w:ascii="Calibri" w:hAnsi="Calibri" w:asciiTheme="minorHAnsi" w:hAnsiTheme="minorHAnsi"/>
        </w:rPr>
        <w:footnoteReference w:id="6"/>
      </w:r>
      <w:r>
        <w:rPr>
          <w:rFonts w:ascii="Calibri" w:hAnsi="Calibri" w:asciiTheme="minorHAnsi" w:hAnsiTheme="minorHAnsi"/>
        </w:rPr>
        <w:t xml:space="preserve"> In short, Pericles sought to engineer a situation whereby the Spartans could not significantly damage Athens, whilst the superior navy and wealth of Athens would allow him to play the long game and to grind the Spartans down by a war of attrition.</w:t>
      </w:r>
      <w:r>
        <w:rPr>
          <w:rStyle w:val="FootnoteAnchor"/>
          <w:rFonts w:ascii="Calibri" w:hAnsi="Calibri" w:asciiTheme="minorHAnsi" w:hAnsiTheme="minorHAnsi"/>
        </w:rPr>
        <w:footnoteReference w:id="7"/>
      </w:r>
      <w:r>
        <w:rPr>
          <w:rFonts w:ascii="Calibri" w:hAnsi="Calibri" w:asciiTheme="minorHAnsi" w:hAnsiTheme="minorHAnsi"/>
        </w:rPr>
        <w:t xml:space="preserve"> Defending against such tactics  (Combined Operations in modern military terminology) would also mean that Sparta would probably have had to disperse and deploy its own land forces much more widely and defensively, thus reducing the Spartan army’s ability to conduct offensive operations against Athenian targets.</w:t>
      </w:r>
    </w:p>
    <w:p>
      <w:pPr>
        <w:pStyle w:val="Normal"/>
        <w:spacing w:lineRule="auto" w:line="276"/>
        <w:rPr>
          <w:rFonts w:ascii="Calibri" w:hAnsi="Calibri" w:asciiTheme="minorHAnsi" w:hAnsiTheme="minorHAnsi"/>
        </w:rPr>
      </w:pPr>
      <w:r>
        <w:rPr>
          <w:rFonts w:asciiTheme="minorHAnsi" w:hAnsiTheme="minorHAnsi" w:ascii="Calibri" w:hAnsi="Calibri"/>
        </w:rPr>
      </w:r>
    </w:p>
    <w:p>
      <w:pPr>
        <w:pStyle w:val="Normal"/>
        <w:spacing w:lineRule="auto" w:line="276"/>
        <w:rPr>
          <w:rFonts w:ascii="Calibri" w:hAnsi="Calibri" w:asciiTheme="minorHAnsi" w:hAnsiTheme="minorHAnsi"/>
        </w:rPr>
      </w:pPr>
      <w:r>
        <w:rPr>
          <w:rFonts w:ascii="Calibri" w:hAnsi="Calibri" w:asciiTheme="minorHAnsi" w:hAnsiTheme="minorHAnsi"/>
        </w:rPr>
        <w:t>However, in the same speech where Pericles outlines this plan and urges Athens to war with Sparta, crucially, there is no mention of utilizing the Athenian cavalry to defend Attica at all. In fact, within Pericles speech he repeatedly states to the Athenians that his strategy would require the complete, or near complete abandonment of wider Attica to the Spartans, stating that</w:t>
      </w:r>
      <w:r>
        <w:rPr>
          <w:rFonts w:eastAsia="Times New Roman" w:ascii="Calibri" w:hAnsi="Calibri" w:asciiTheme="minorHAnsi" w:hAnsiTheme="minorHAnsi"/>
          <w:b/>
          <w:bCs/>
          <w:i/>
          <w:iCs/>
          <w:spacing w:val="0"/>
        </w:rPr>
        <w:t xml:space="preserve"> ‘We must cry not over the loss of houses and land but of men's lives; since houses and land do not gain men, but men them.’</w:t>
      </w:r>
      <w:r>
        <w:rPr>
          <w:rStyle w:val="FootnoteAnchor"/>
          <w:rFonts w:eastAsia="Times New Roman" w:ascii="Calibri" w:hAnsi="Calibri" w:asciiTheme="minorHAnsi" w:hAnsiTheme="minorHAnsi"/>
          <w:b/>
          <w:bCs/>
          <w:i/>
          <w:iCs/>
          <w:spacing w:val="0"/>
        </w:rPr>
        <w:footnoteReference w:id="8"/>
      </w:r>
    </w:p>
    <w:p>
      <w:pPr>
        <w:pStyle w:val="Normal"/>
        <w:spacing w:lineRule="auto" w:line="276"/>
        <w:rPr>
          <w:rFonts w:ascii="Calibri" w:hAnsi="Calibri" w:eastAsia="Times New Roman" w:asciiTheme="minorHAnsi" w:hAnsiTheme="minorHAnsi"/>
          <w:spacing w:val="0"/>
        </w:rPr>
      </w:pPr>
      <w:r>
        <w:rPr>
          <w:rFonts w:eastAsia="Times New Roman" w:ascii="Calibri" w:hAnsi="Calibri"/>
          <w:spacing w:val="0"/>
        </w:rPr>
      </w:r>
    </w:p>
    <w:p>
      <w:pPr>
        <w:pStyle w:val="Normal"/>
        <w:spacing w:lineRule="auto" w:line="276"/>
        <w:rPr>
          <w:rFonts w:ascii="Calibri" w:hAnsi="Calibri" w:asciiTheme="minorHAnsi" w:hAnsiTheme="minorHAnsi"/>
        </w:rPr>
      </w:pPr>
      <w:r>
        <w:rPr>
          <w:rFonts w:ascii="Calibri" w:hAnsi="Calibri" w:asciiTheme="minorHAnsi" w:hAnsiTheme="minorHAnsi"/>
        </w:rPr>
        <w:t>Furthermore, it is also clear that the Athenians out in the wider Attica did indeed heed his call in great numbers and did abandon their land, though as Thucydides records, many were reluctant to do so.</w:t>
      </w:r>
      <w:r>
        <w:rPr>
          <w:rStyle w:val="FootnoteAnchor"/>
          <w:rFonts w:ascii="Calibri" w:hAnsi="Calibri" w:asciiTheme="minorHAnsi" w:hAnsiTheme="minorHAnsi"/>
        </w:rPr>
        <w:footnoteReference w:id="9"/>
      </w:r>
      <w:r>
        <w:rPr>
          <w:rFonts w:ascii="Calibri" w:hAnsi="Calibri" w:asciiTheme="minorHAnsi" w:hAnsiTheme="minorHAnsi"/>
        </w:rPr>
        <w:t xml:space="preserve"> The fact that these people left in large number, significantly undermines a point made by Ober, who features heavily within Hunter’s work: specifically it shows clearly that even if Pericles had promised to use the cavalry to defend wider Attica, (a position that is not supported by Thucydides testimony) the vast majority of the people did not believe that it would be effective in deterring the Spartans from ravaging the land.</w:t>
      </w:r>
      <w:r>
        <w:rPr>
          <w:rStyle w:val="FootnoteAnchor"/>
          <w:rFonts w:ascii="Calibri" w:hAnsi="Calibri" w:asciiTheme="minorHAnsi" w:hAnsiTheme="minorHAnsi"/>
        </w:rPr>
        <w:footnoteReference w:id="10"/>
      </w:r>
    </w:p>
    <w:p>
      <w:pPr>
        <w:pStyle w:val="Normal"/>
        <w:spacing w:lineRule="auto" w:line="276"/>
        <w:rPr>
          <w:rFonts w:ascii="Calibri" w:hAnsi="Calibri" w:asciiTheme="minorHAnsi" w:hAnsiTheme="minorHAnsi"/>
        </w:rPr>
      </w:pPr>
      <w:r>
        <w:rPr>
          <w:rFonts w:asciiTheme="minorHAnsi" w:hAnsiTheme="minorHAnsi" w:ascii="Calibri" w:hAnsi="Calibri"/>
        </w:rPr>
      </w:r>
    </w:p>
    <w:p>
      <w:pPr>
        <w:pStyle w:val="Normal"/>
        <w:spacing w:lineRule="auto" w:line="276"/>
        <w:rPr>
          <w:rFonts w:ascii="Calibri" w:hAnsi="Calibri" w:asciiTheme="minorHAnsi" w:hAnsiTheme="minorHAnsi"/>
        </w:rPr>
      </w:pPr>
      <w:r>
        <w:rPr>
          <w:rFonts w:ascii="Calibri" w:hAnsi="Calibri" w:asciiTheme="minorHAnsi" w:hAnsiTheme="minorHAnsi"/>
        </w:rPr>
        <w:t>In fact, the only mention of the Athenian cavalry in nearly the whole of the early part of Thucydides is either merely detailing its size immediately after Pericles’s speech, or acknowledgement of its defeat by the Peloponnesians at the engagement of Rheiti. This latter example is used by Hunter as evidence for the existence of a Periclean Cavalry strategy: he argues that the engagement with the cavalry had a profound effect upon the morale of the Spartan troops, since he interprets the Spartan’s advance ‘</w:t>
      </w:r>
      <w:r>
        <w:rPr>
          <w:rFonts w:ascii="Calibri" w:hAnsi="Calibri" w:asciiTheme="minorHAnsi" w:hAnsiTheme="minorHAnsi"/>
          <w:i/>
          <w:iCs/>
        </w:rPr>
        <w:t>with Mount Aegaleus on their right, so as to defend their weaker flank</w:t>
      </w:r>
      <w:r>
        <w:rPr>
          <w:rFonts w:ascii="Calibri" w:hAnsi="Calibri" w:asciiTheme="minorHAnsi" w:hAnsiTheme="minorHAnsi"/>
        </w:rPr>
        <w:t>’ as conceding a psychological victory to the Athenian horsemen.</w:t>
      </w:r>
      <w:r>
        <w:rPr>
          <w:rStyle w:val="FootnoteAnchor"/>
          <w:rFonts w:ascii="Calibri" w:hAnsi="Calibri" w:asciiTheme="minorHAnsi" w:hAnsiTheme="minorHAnsi"/>
        </w:rPr>
        <w:footnoteReference w:id="11"/>
      </w:r>
      <w:r>
        <w:rPr>
          <w:rFonts w:ascii="Calibri" w:hAnsi="Calibri" w:asciiTheme="minorHAnsi" w:hAnsiTheme="minorHAnsi"/>
        </w:rPr>
        <w:t xml:space="preserve"> To me, it seems far more likely that this was simply a display of basic military common sense by the Spartans, rather than being an indication of the ‘sapping of their morale’. </w:t>
      </w:r>
    </w:p>
    <w:p>
      <w:pPr>
        <w:pStyle w:val="Normal"/>
        <w:spacing w:lineRule="auto" w:line="276"/>
        <w:rPr>
          <w:rFonts w:ascii="Calibri" w:hAnsi="Calibri" w:asciiTheme="minorHAnsi" w:hAnsiTheme="minorHAnsi"/>
        </w:rPr>
      </w:pPr>
      <w:r>
        <w:rPr>
          <w:rFonts w:asciiTheme="minorHAnsi" w:hAnsiTheme="minorHAnsi" w:ascii="Calibri" w:hAnsi="Calibri"/>
        </w:rPr>
      </w:r>
    </w:p>
    <w:p>
      <w:pPr>
        <w:pStyle w:val="Normal"/>
        <w:spacing w:lineRule="auto" w:line="276"/>
        <w:rPr>
          <w:rFonts w:ascii="Calibri" w:hAnsi="Calibri" w:asciiTheme="minorHAnsi" w:hAnsiTheme="minorHAnsi"/>
        </w:rPr>
      </w:pPr>
      <w:r>
        <w:rPr>
          <w:rFonts w:ascii="Calibri" w:hAnsi="Calibri" w:asciiTheme="minorHAnsi" w:hAnsiTheme="minorHAnsi"/>
        </w:rPr>
        <w:t xml:space="preserve">Hunter does not really explain his thought process here and he appears to contradict himself about whether he thinks this is new thinking because they have been weakened by the Athenian cavalry, or whether he agrees with Thucydides, who seems to me to indicate that this is standard military practice by this stage. </w:t>
      </w:r>
      <w:r>
        <w:rPr>
          <w:rStyle w:val="FootnoteAnchor"/>
          <w:rFonts w:ascii="Calibri" w:hAnsi="Calibri" w:asciiTheme="minorHAnsi" w:hAnsiTheme="minorHAnsi"/>
        </w:rPr>
        <w:footnoteReference w:id="12"/>
      </w:r>
      <w:r>
        <w:rPr>
          <w:rFonts w:ascii="Calibri" w:hAnsi="Calibri" w:asciiTheme="minorHAnsi" w:hAnsiTheme="minorHAnsi"/>
        </w:rPr>
        <w:t xml:space="preserve"> </w:t>
      </w:r>
    </w:p>
    <w:p>
      <w:pPr>
        <w:pStyle w:val="Normal"/>
        <w:spacing w:lineRule="auto" w:line="276"/>
        <w:rPr>
          <w:rFonts w:ascii="Calibri" w:hAnsi="Calibri" w:asciiTheme="minorHAnsi" w:hAnsiTheme="minorHAnsi"/>
        </w:rPr>
      </w:pPr>
      <w:r>
        <w:rPr>
          <w:rFonts w:asciiTheme="minorHAnsi" w:hAnsiTheme="minorHAnsi" w:ascii="Calibri" w:hAnsi="Calibri"/>
        </w:rPr>
      </w:r>
    </w:p>
    <w:p>
      <w:pPr>
        <w:pStyle w:val="Normal"/>
        <w:spacing w:lineRule="auto" w:line="276"/>
        <w:rPr>
          <w:rFonts w:ascii="Calibri" w:hAnsi="Calibri" w:asciiTheme="minorHAnsi" w:hAnsiTheme="minorHAnsi"/>
        </w:rPr>
      </w:pPr>
      <w:r>
        <w:rPr>
          <w:rFonts w:ascii="Calibri" w:hAnsi="Calibri" w:asciiTheme="minorHAnsi" w:hAnsiTheme="minorHAnsi"/>
        </w:rPr>
        <w:t xml:space="preserve">The primary evidence we see from Thucydides work is that the cavalry was used primarily as a defensive force to harass and deny an opposing force’s freedom of movement in order, and more importantly, to deny them access to forage. Thucydides does provide an excellent example of this where he tells us that the Athenian army was denied manoeuverability and forage in Thessaly by an opposing cavalry force: this is used by Hunter to explain where Pericles’ inspiration for his supposed defensive cavalry strategy came from. </w:t>
      </w:r>
      <w:r>
        <w:rPr>
          <w:rStyle w:val="FootnoteAnchor"/>
          <w:rFonts w:ascii="Calibri" w:hAnsi="Calibri" w:asciiTheme="minorHAnsi" w:hAnsiTheme="minorHAnsi"/>
        </w:rPr>
        <w:footnoteReference w:id="13"/>
      </w:r>
    </w:p>
    <w:p>
      <w:pPr>
        <w:pStyle w:val="Normal"/>
        <w:spacing w:lineRule="auto" w:line="276"/>
        <w:rPr>
          <w:rFonts w:ascii="Calibri" w:hAnsi="Calibri" w:asciiTheme="minorHAnsi" w:hAnsiTheme="minorHAnsi"/>
        </w:rPr>
      </w:pPr>
      <w:r>
        <w:rPr>
          <w:rFonts w:asciiTheme="minorHAnsi" w:hAnsiTheme="minorHAnsi" w:ascii="Calibri" w:hAnsi="Calibri"/>
        </w:rPr>
      </w:r>
    </w:p>
    <w:p>
      <w:pPr>
        <w:pStyle w:val="Normal"/>
        <w:spacing w:lineRule="auto" w:line="276"/>
        <w:rPr>
          <w:rFonts w:ascii="Calibri" w:hAnsi="Calibri" w:asciiTheme="minorHAnsi" w:hAnsiTheme="minorHAnsi"/>
        </w:rPr>
      </w:pPr>
      <w:r>
        <w:rPr>
          <w:rFonts w:ascii="Calibri" w:hAnsi="Calibri" w:asciiTheme="minorHAnsi" w:hAnsiTheme="minorHAnsi"/>
        </w:rPr>
        <w:t>However, Hunter has not, I feel, fully recognised the significant difference between the Athenian cavalry and the Thessalian cavalry; crucially that the Thessalians had far more effective cavalry than the Athenians, with greater quality and probably quantity of mounts available to them. Furthermore, the terrain of Thessaly is far better suited to the effective use of cavalry than Attica.</w:t>
      </w:r>
      <w:r>
        <w:rPr>
          <w:rStyle w:val="FootnoteAnchor"/>
          <w:rFonts w:ascii="Calibri" w:hAnsi="Calibri" w:asciiTheme="minorHAnsi" w:hAnsiTheme="minorHAnsi"/>
        </w:rPr>
        <w:footnoteReference w:id="14"/>
      </w:r>
    </w:p>
    <w:p>
      <w:pPr>
        <w:pStyle w:val="Normal"/>
        <w:spacing w:lineRule="auto" w:line="276"/>
        <w:rPr>
          <w:rFonts w:ascii="Calibri" w:hAnsi="Calibri" w:asciiTheme="minorHAnsi" w:hAnsiTheme="minorHAnsi"/>
        </w:rPr>
      </w:pPr>
      <w:r>
        <w:rPr>
          <w:rFonts w:asciiTheme="minorHAnsi" w:hAnsiTheme="minorHAnsi" w:ascii="Calibri" w:hAnsi="Calibri"/>
        </w:rPr>
      </w:r>
    </w:p>
    <w:p>
      <w:pPr>
        <w:pStyle w:val="Normal"/>
        <w:spacing w:lineRule="auto" w:line="276"/>
        <w:rPr>
          <w:rFonts w:ascii="Calibri" w:hAnsi="Calibri" w:asciiTheme="minorHAnsi" w:hAnsiTheme="minorHAnsi"/>
        </w:rPr>
      </w:pPr>
      <w:r>
        <w:rPr>
          <w:rFonts w:ascii="Calibri" w:hAnsi="Calibri" w:asciiTheme="minorHAnsi" w:hAnsiTheme="minorHAnsi"/>
        </w:rPr>
        <w:t>Going further, we know from Thucydides that even after the expansion of the cavalry forces available to the Athenians, they could still only muster a total force of slightly over 1000 men.</w:t>
      </w:r>
      <w:r>
        <w:rPr>
          <w:rStyle w:val="FootnoteAnchor"/>
          <w:rFonts w:ascii="Calibri" w:hAnsi="Calibri" w:asciiTheme="minorHAnsi" w:hAnsiTheme="minorHAnsi"/>
        </w:rPr>
        <w:footnoteReference w:id="15"/>
      </w:r>
      <w:r>
        <w:rPr>
          <w:rFonts w:ascii="Calibri" w:hAnsi="Calibri" w:asciiTheme="minorHAnsi" w:hAnsiTheme="minorHAnsi"/>
        </w:rPr>
        <w:t xml:space="preserve"> Given that this force would be operating within Attica, that is; on terrain which is distinctly unfavourable for cavalry operations, and given the sheer size of the Spartan army (Victor David Hanson, in </w:t>
      </w:r>
      <w:r>
        <w:rPr>
          <w:rFonts w:ascii="Calibri" w:hAnsi="Calibri" w:asciiTheme="minorHAnsi" w:hAnsiTheme="minorHAnsi"/>
          <w:i/>
        </w:rPr>
        <w:t>The Wars of The Ancient</w:t>
      </w:r>
      <w:r>
        <w:rPr>
          <w:rFonts w:ascii="Calibri" w:hAnsi="Calibri" w:asciiTheme="minorHAnsi" w:hAnsiTheme="minorHAnsi"/>
        </w:rPr>
        <w:t xml:space="preserve"> Greeks estimates it between 30,000-60,000 men),it would have been clear that an Athenian cavalry force of such a limited size could not conceivably have defended Attica, and indeed, according to Thucydides, in almost every engagement which is conducted on land by the cavalry within Attica itself, the Athenians are forced to retreat.</w:t>
      </w:r>
      <w:r>
        <w:rPr>
          <w:rStyle w:val="FootnoteAnchor"/>
          <w:rFonts w:ascii="Calibri" w:hAnsi="Calibri" w:asciiTheme="minorHAnsi" w:hAnsiTheme="minorHAnsi"/>
        </w:rPr>
        <w:footnoteReference w:id="16"/>
      </w:r>
    </w:p>
    <w:p>
      <w:pPr>
        <w:pStyle w:val="Normal"/>
        <w:spacing w:lineRule="auto" w:line="276"/>
        <w:rPr>
          <w:rFonts w:ascii="Calibri" w:hAnsi="Calibri" w:asciiTheme="minorHAnsi" w:hAnsiTheme="minorHAnsi"/>
        </w:rPr>
      </w:pPr>
      <w:r>
        <w:rPr>
          <w:rFonts w:asciiTheme="minorHAnsi" w:hAnsiTheme="minorHAnsi" w:ascii="Calibri" w:hAnsi="Calibri"/>
        </w:rPr>
      </w:r>
    </w:p>
    <w:p>
      <w:pPr>
        <w:pStyle w:val="Normal"/>
        <w:spacing w:lineRule="auto" w:line="276"/>
        <w:rPr>
          <w:rFonts w:ascii="Calibri" w:hAnsi="Calibri" w:asciiTheme="minorHAnsi" w:hAnsiTheme="minorHAnsi"/>
        </w:rPr>
      </w:pPr>
      <w:r>
        <w:rPr>
          <w:rFonts w:ascii="Calibri" w:hAnsi="Calibri" w:asciiTheme="minorHAnsi" w:hAnsiTheme="minorHAnsi"/>
        </w:rPr>
        <w:t xml:space="preserve">Furthermore Hanson, in his work </w:t>
      </w:r>
      <w:r>
        <w:rPr>
          <w:rFonts w:ascii="Calibri" w:hAnsi="Calibri" w:asciiTheme="minorHAnsi" w:hAnsiTheme="minorHAnsi"/>
          <w:i/>
          <w:iCs/>
        </w:rPr>
        <w:t xml:space="preserve">A War Like no Other </w:t>
      </w:r>
      <w:r>
        <w:rPr>
          <w:rFonts w:ascii="Calibri" w:hAnsi="Calibri" w:asciiTheme="minorHAnsi" w:hAnsiTheme="minorHAnsi"/>
        </w:rPr>
        <w:t xml:space="preserve">gives a convincing argument that from a military point of view, the devastation that had been conducted by the Spartans in Attica had a limited effect on Athens. In it, he points out that most of the crops cultivated in Attica were vines and olives, cash crops which are remarkably hard to destroy, and not vital foodstuffs for the Athenians in any event, and that the forage was not sufficient for the Spartan army to maintain operations within Attica. </w:t>
      </w:r>
      <w:r>
        <w:rPr>
          <w:rStyle w:val="FootnoteAnchor"/>
          <w:rFonts w:ascii="Calibri" w:hAnsi="Calibri" w:asciiTheme="minorHAnsi" w:hAnsiTheme="minorHAnsi"/>
        </w:rPr>
        <w:footnoteReference w:id="17"/>
      </w:r>
      <w:r>
        <w:rPr>
          <w:rFonts w:ascii="Calibri" w:hAnsi="Calibri" w:asciiTheme="minorHAnsi" w:hAnsiTheme="minorHAnsi"/>
        </w:rPr>
        <w:t xml:space="preserve"> Hanson does however make the unproven extrapolation from this that devastation of the countryside conducted in Greek warfare in general was ineffective, (except in the short term) and its purpose was predominantly psychological in nature, since it would often result in forcing a battle, as it nearly did during the second Spartan invasion of Attica.</w:t>
      </w:r>
      <w:r>
        <w:rPr>
          <w:rStyle w:val="FootnoteAnchor"/>
          <w:rFonts w:ascii="Calibri" w:hAnsi="Calibri" w:asciiTheme="minorHAnsi" w:hAnsiTheme="minorHAnsi"/>
        </w:rPr>
        <w:footnoteReference w:id="18"/>
      </w:r>
    </w:p>
    <w:p>
      <w:pPr>
        <w:pStyle w:val="Normal"/>
        <w:bidi w:val="0"/>
        <w:spacing w:lineRule="auto" w:line="276"/>
        <w:rPr>
          <w:rFonts w:ascii="Calibri" w:hAnsi="Calibri" w:asciiTheme="minorHAnsi" w:hAnsiTheme="minorHAnsi"/>
        </w:rPr>
      </w:pPr>
      <w:r>
        <w:rPr>
          <w:rFonts w:asciiTheme="minorHAnsi" w:hAnsiTheme="minorHAnsi" w:ascii="Calibri" w:hAnsi="Calibri"/>
        </w:rPr>
      </w:r>
    </w:p>
    <w:p>
      <w:pPr>
        <w:pStyle w:val="Normal"/>
        <w:bidi w:val="0"/>
        <w:spacing w:lineRule="auto" w:line="276"/>
        <w:rPr>
          <w:rFonts w:ascii="Calibri" w:hAnsi="Calibri" w:asciiTheme="minorHAnsi" w:hAnsiTheme="minorHAnsi"/>
        </w:rPr>
      </w:pPr>
      <w:r>
        <w:rPr>
          <w:rFonts w:ascii="Calibri" w:hAnsi="Calibri" w:asciiTheme="minorHAnsi" w:hAnsiTheme="minorHAnsi"/>
        </w:rPr>
        <w:t>More recently, scholars like James A. Thorne have noted that to any normal polies that relied on its own grain growth for food, the effects even of limited devastation to land crops could be quite severe, if only short term. I am inclined to agree with Thorne’s view here, since otherwise the Periclean strategy of conducting naval raids against Lacedaemon and the wider Peloponnese, both predominantly agricultural areas would be almost completely pointless.</w:t>
      </w:r>
      <w:r>
        <w:rPr>
          <w:rStyle w:val="FootnoteAnchor"/>
          <w:rFonts w:ascii="Calibri" w:hAnsi="Calibri" w:asciiTheme="minorHAnsi" w:hAnsiTheme="minorHAnsi"/>
        </w:rPr>
        <w:footnoteReference w:id="19"/>
      </w:r>
      <w:r>
        <w:rPr>
          <w:rFonts w:ascii="Calibri" w:hAnsi="Calibri" w:asciiTheme="minorHAnsi" w:hAnsiTheme="minorHAnsi"/>
        </w:rPr>
        <w:t xml:space="preserve"> However, it is important to remember that Athens itself is not  a normal </w:t>
      </w:r>
      <w:r>
        <w:rPr>
          <w:rFonts w:ascii="Calibri" w:hAnsi="Calibri" w:asciiTheme="minorHAnsi" w:hAnsiTheme="minorHAnsi"/>
          <w:bCs/>
          <w:color w:val="000000" w:themeColor="text1"/>
        </w:rPr>
        <w:t>polies</w:t>
      </w:r>
      <w:r>
        <w:rPr>
          <w:rFonts w:ascii="Calibri" w:hAnsi="Calibri" w:asciiTheme="minorHAnsi" w:hAnsiTheme="minorHAnsi"/>
        </w:rPr>
        <w:t xml:space="preserve">:  through its naval dominance it seems to have been more than capable of surviving primarily off imported foods stuffs from the Black Sea region, for the majority of the Peloponnesian war. </w:t>
      </w:r>
    </w:p>
    <w:p>
      <w:pPr>
        <w:pStyle w:val="Normal"/>
        <w:bidi w:val="0"/>
        <w:spacing w:lineRule="auto" w:line="276"/>
        <w:rPr>
          <w:rFonts w:ascii="Calibri" w:hAnsi="Calibri" w:asciiTheme="minorHAnsi" w:hAnsiTheme="minorHAnsi"/>
          <w:color w:val="CE181E"/>
        </w:rPr>
      </w:pPr>
      <w:r>
        <w:rPr>
          <w:rFonts w:asciiTheme="minorHAnsi" w:hAnsiTheme="minorHAnsi" w:ascii="Calibri" w:hAnsi="Calibri"/>
          <w:color w:val="CE181E"/>
        </w:rPr>
      </w:r>
    </w:p>
    <w:p>
      <w:pPr>
        <w:pStyle w:val="Normal"/>
        <w:bidi w:val="0"/>
        <w:spacing w:lineRule="auto" w:line="276"/>
        <w:rPr>
          <w:rFonts w:ascii="Calibri" w:hAnsi="Calibri" w:eastAsia="Times New Roman" w:asciiTheme="minorHAnsi" w:hAnsiTheme="minorHAnsi"/>
          <w:color w:val="00000A"/>
          <w:spacing w:val="0"/>
        </w:rPr>
      </w:pPr>
      <w:r>
        <w:rPr>
          <w:rFonts w:ascii="Calibri" w:hAnsi="Calibri" w:asciiTheme="minorHAnsi" w:hAnsiTheme="minorHAnsi"/>
        </w:rPr>
        <w:t xml:space="preserve">Importantly, in Thorne’s article </w:t>
      </w:r>
      <w:r>
        <w:rPr>
          <w:rFonts w:eastAsia="Times New Roman" w:ascii="Calibri Light" w:hAnsi="Calibri Light" w:asciiTheme="majorHAnsi" w:hAnsiTheme="majorHAnsi"/>
          <w:i/>
          <w:color w:val="00000A"/>
          <w:spacing w:val="0"/>
        </w:rPr>
        <w:t>Warfare and Agriculture: The Economic Impact of Devastation in Classical Greece</w:t>
      </w:r>
      <w:r>
        <w:rPr>
          <w:rFonts w:eastAsia="Times New Roman" w:ascii="Calibri" w:hAnsi="Calibri" w:asciiTheme="minorHAnsi" w:hAnsiTheme="minorHAnsi"/>
          <w:i/>
          <w:color w:val="00000A"/>
          <w:spacing w:val="0"/>
        </w:rPr>
        <w:t>,</w:t>
      </w:r>
      <w:r>
        <w:rPr>
          <w:rStyle w:val="FootnoteAnchor"/>
          <w:rFonts w:eastAsia="Times New Roman" w:ascii="Calibri" w:hAnsi="Calibri" w:asciiTheme="minorHAnsi" w:hAnsiTheme="minorHAnsi"/>
          <w:i/>
          <w:color w:val="00000A"/>
          <w:spacing w:val="0"/>
        </w:rPr>
        <w:footnoteReference w:id="20"/>
      </w:r>
      <w:r>
        <w:rPr>
          <w:rFonts w:ascii="Calibri" w:hAnsi="Calibri" w:asciiTheme="minorHAnsi" w:hAnsiTheme="minorHAnsi"/>
        </w:rPr>
        <w:t xml:space="preserve"> he makes several reasonable estimates about the monetary worth in talents that the Spartan army would have needed in order to function while operating in Attica during their invasion campaigns. By his estimates that Spartans would have been able to consume </w:t>
      </w:r>
      <w:r>
        <w:rPr>
          <w:rFonts w:ascii="Calibri" w:hAnsi="Calibri" w:asciiTheme="minorHAnsi" w:hAnsiTheme="minorHAnsi"/>
          <w:bCs/>
          <w:color w:val="000000" w:themeColor="text1"/>
        </w:rPr>
        <w:t>40 to 50 talents</w:t>
      </w:r>
      <w:r>
        <w:rPr>
          <w:rFonts w:ascii="Calibri" w:hAnsi="Calibri" w:asciiTheme="minorHAnsi" w:hAnsiTheme="minorHAnsi"/>
          <w:color w:val="000000" w:themeColor="text1"/>
        </w:rPr>
        <w:t xml:space="preserve"> </w:t>
      </w:r>
      <w:r>
        <w:rPr>
          <w:rFonts w:ascii="Calibri" w:hAnsi="Calibri" w:asciiTheme="minorHAnsi" w:hAnsiTheme="minorHAnsi"/>
        </w:rPr>
        <w:t>Crucially, since the Spartans had nearly complete access to the crops of Athens, and no invasion of Attica lasted longer than 40 or so days, we can extrapolate from this that there was in fact nowhere near enough edible forage within wider Attica to sustain a Spartan army, especially since huge amounts of food would have been carried into the city with the refugees, and their cattle had been moved to Euboa.</w:t>
      </w:r>
      <w:r>
        <w:rPr>
          <w:rStyle w:val="FootnoteAnchor"/>
          <w:rFonts w:ascii="Calibri" w:hAnsi="Calibri" w:asciiTheme="minorHAnsi" w:hAnsiTheme="minorHAnsi"/>
        </w:rPr>
        <w:footnoteReference w:id="21"/>
      </w:r>
      <w:r>
        <w:rPr>
          <w:rFonts w:ascii="Calibri" w:hAnsi="Calibri" w:asciiTheme="minorHAnsi" w:hAnsiTheme="minorHAnsi"/>
        </w:rPr>
        <w:t xml:space="preserve"> This is hugely significant, as if there was not enough crops remaining to sustain a Spartan army, and Pericles’s strategy involved essentially abandoning Attica to the Spartans, then the question becomes, why would he attempt to use the cavalry to defend Attica at all?</w:t>
      </w:r>
    </w:p>
    <w:p>
      <w:pPr>
        <w:pStyle w:val="Normal"/>
        <w:bidi w:val="0"/>
        <w:spacing w:lineRule="auto" w:line="276"/>
        <w:rPr>
          <w:rFonts w:ascii="Calibri" w:hAnsi="Calibri" w:asciiTheme="minorHAnsi" w:hAnsiTheme="minorHAnsi"/>
          <w:color w:val="CE181E"/>
        </w:rPr>
      </w:pPr>
      <w:r>
        <w:rPr>
          <w:rFonts w:asciiTheme="minorHAnsi" w:hAnsiTheme="minorHAnsi" w:ascii="Calibri" w:hAnsi="Calibri"/>
          <w:color w:val="CE181E"/>
        </w:rPr>
      </w:r>
    </w:p>
    <w:p>
      <w:pPr>
        <w:pStyle w:val="Normal"/>
        <w:spacing w:lineRule="auto" w:line="276"/>
        <w:rPr>
          <w:rFonts w:ascii="Calibri" w:hAnsi="Calibri" w:asciiTheme="minorHAnsi" w:hAnsiTheme="minorHAnsi"/>
        </w:rPr>
      </w:pPr>
      <w:r>
        <w:rPr>
          <w:rFonts w:ascii="Calibri" w:hAnsi="Calibri" w:asciiTheme="minorHAnsi" w:hAnsiTheme="minorHAnsi"/>
        </w:rPr>
        <w:t>Indeed, it is at the point that the Athenian fleet loses at Agospotamoi and Lysander gains control of the Bosporus and the Sea of Mamara, that Athens is forced to accept its defeat, since it can no longer feed itself.</w:t>
      </w:r>
      <w:r>
        <w:rPr>
          <w:rStyle w:val="FootnoteAnchor"/>
          <w:rFonts w:ascii="Calibri" w:hAnsi="Calibri" w:asciiTheme="minorHAnsi" w:hAnsiTheme="minorHAnsi"/>
        </w:rPr>
        <w:footnoteReference w:id="22"/>
      </w:r>
      <w:r>
        <w:rPr>
          <w:rFonts w:ascii="Calibri" w:hAnsi="Calibri" w:asciiTheme="minorHAnsi" w:hAnsiTheme="minorHAnsi"/>
        </w:rPr>
        <w:t xml:space="preserve"> Up to the defeat at Agospotamoi, Athens was able to sustain its itself and prosecute a reasonably effective war against Sparta, even enduring to some extent the plague and the disastrous Sicilian expedition, as well as the five invasions of Attica during the Archidamian war and the construction of the fort at Deleclea. </w:t>
      </w:r>
      <w:r>
        <w:rPr>
          <w:rStyle w:val="FootnoteAnchor"/>
          <w:rFonts w:ascii="Calibri" w:hAnsi="Calibri" w:asciiTheme="minorHAnsi" w:hAnsiTheme="minorHAnsi"/>
        </w:rPr>
        <w:footnoteReference w:id="23"/>
      </w:r>
      <w:r>
        <w:rPr>
          <w:rFonts w:ascii="Calibri" w:hAnsi="Calibri" w:asciiTheme="minorHAnsi" w:hAnsiTheme="minorHAnsi"/>
        </w:rPr>
        <w:t xml:space="preserve"> The simple fact that this is what triggered the final defeat of Athens is compelling evidence that the defense of wider Attica was largely secondary military concern, even though wider Attica was repeatedly devastated. </w:t>
      </w:r>
    </w:p>
    <w:p>
      <w:pPr>
        <w:pStyle w:val="Normal"/>
        <w:spacing w:lineRule="auto" w:line="276"/>
        <w:rPr>
          <w:rFonts w:ascii="Calibri" w:hAnsi="Calibri" w:asciiTheme="minorHAnsi" w:hAnsiTheme="minorHAnsi"/>
        </w:rPr>
      </w:pPr>
      <w:r>
        <w:rPr>
          <w:rFonts w:asciiTheme="minorHAnsi" w:hAnsiTheme="minorHAnsi" w:ascii="Calibri" w:hAnsi="Calibri"/>
        </w:rPr>
      </w:r>
    </w:p>
    <w:p>
      <w:pPr>
        <w:pStyle w:val="Normal"/>
        <w:spacing w:lineRule="auto" w:line="276"/>
        <w:rPr>
          <w:rFonts w:ascii="Calibri" w:hAnsi="Calibri" w:asciiTheme="minorHAnsi" w:hAnsiTheme="minorHAnsi"/>
        </w:rPr>
      </w:pPr>
      <w:r>
        <w:rPr>
          <w:rFonts w:ascii="Calibri" w:hAnsi="Calibri" w:asciiTheme="minorHAnsi" w:hAnsiTheme="minorHAnsi"/>
        </w:rPr>
        <w:t>Of course, the reality is that, according to Thucydides, the Athenian cavalry during the Peloponnesian war does seem to make sorties against the Spartans: it does appear to be being used in an attempt to defend Attica.</w:t>
      </w:r>
      <w:r>
        <w:rPr>
          <w:rStyle w:val="FootnoteAnchor"/>
          <w:rFonts w:ascii="Calibri" w:hAnsi="Calibri" w:asciiTheme="minorHAnsi" w:hAnsiTheme="minorHAnsi"/>
        </w:rPr>
        <w:footnoteReference w:id="24"/>
      </w:r>
    </w:p>
    <w:p>
      <w:pPr>
        <w:pStyle w:val="Normal"/>
        <w:spacing w:lineRule="auto" w:line="276"/>
        <w:rPr>
          <w:rFonts w:ascii="Calibri" w:hAnsi="Calibri" w:asciiTheme="minorHAnsi" w:hAnsiTheme="minorHAnsi"/>
        </w:rPr>
      </w:pPr>
      <w:r>
        <w:rPr>
          <w:rFonts w:ascii="Calibri" w:hAnsi="Calibri" w:asciiTheme="minorHAnsi" w:hAnsiTheme="minorHAnsi"/>
        </w:rPr>
        <w:t xml:space="preserve">Or are they? Close examination of Thucydides in fact shows us that after the first invasion, the cavalry seems to be far more interested in defending the area which is closest to the city of Athens itself rather than wider Attica. </w:t>
      </w:r>
      <w:r>
        <w:rPr>
          <w:rStyle w:val="FootnoteAnchor"/>
          <w:rFonts w:ascii="Calibri" w:hAnsi="Calibri" w:asciiTheme="minorHAnsi" w:hAnsiTheme="minorHAnsi"/>
        </w:rPr>
        <w:footnoteReference w:id="25"/>
      </w:r>
    </w:p>
    <w:p>
      <w:pPr>
        <w:pStyle w:val="Normal"/>
        <w:spacing w:lineRule="auto" w:line="276"/>
        <w:rPr>
          <w:rFonts w:ascii="Calibri" w:hAnsi="Calibri" w:asciiTheme="minorHAnsi" w:hAnsiTheme="minorHAnsi"/>
          <w:color w:val="CE181E"/>
        </w:rPr>
      </w:pPr>
      <w:r>
        <w:rPr>
          <w:rFonts w:asciiTheme="minorHAnsi" w:hAnsiTheme="minorHAnsi" w:ascii="Calibri" w:hAnsi="Calibri"/>
          <w:color w:val="CE181E"/>
        </w:rPr>
      </w:r>
    </w:p>
    <w:p>
      <w:pPr>
        <w:pStyle w:val="Normal"/>
        <w:spacing w:lineRule="auto" w:line="276"/>
        <w:rPr>
          <w:rFonts w:ascii="Calibri" w:hAnsi="Calibri" w:asciiTheme="minorHAnsi" w:hAnsiTheme="minorHAnsi"/>
        </w:rPr>
      </w:pPr>
      <w:r>
        <w:rPr>
          <w:rFonts w:ascii="Calibri" w:hAnsi="Calibri" w:asciiTheme="minorHAnsi" w:hAnsiTheme="minorHAnsi"/>
        </w:rPr>
        <w:t>Of more interest still, when we are examining the Hunter article, is his interpretation of Thucydides description of horse transport ships being constructed by the Athenians in 430 B.C. for the first time.</w:t>
      </w:r>
      <w:r>
        <w:rPr>
          <w:rStyle w:val="FootnoteAnchor"/>
          <w:rFonts w:ascii="Calibri" w:hAnsi="Calibri" w:asciiTheme="minorHAnsi" w:hAnsiTheme="minorHAnsi"/>
        </w:rPr>
        <w:footnoteReference w:id="26"/>
      </w:r>
      <w:r>
        <w:rPr>
          <w:rFonts w:ascii="Calibri" w:hAnsi="Calibri" w:asciiTheme="minorHAnsi" w:hAnsiTheme="minorHAnsi"/>
        </w:rPr>
        <w:t xml:space="preserve"> Hunter I feel misses a key point that weakens his argument considerably: Simply, if those horses and horsemen are to be transported elsewhere by ship, they are clearly not being used for the defence of Attica. </w:t>
      </w:r>
    </w:p>
    <w:p>
      <w:pPr>
        <w:pStyle w:val="Normal"/>
        <w:tabs>
          <w:tab w:val="left" w:pos="7140" w:leader="none"/>
        </w:tabs>
        <w:spacing w:lineRule="auto" w:line="276"/>
        <w:rPr>
          <w:rFonts w:ascii="Calibri" w:hAnsi="Calibri" w:asciiTheme="minorHAnsi" w:hAnsiTheme="minorHAnsi"/>
        </w:rPr>
      </w:pPr>
      <w:r>
        <w:rPr>
          <w:rFonts w:ascii="Calibri" w:hAnsi="Calibri" w:asciiTheme="minorHAnsi" w:hAnsiTheme="minorHAnsi"/>
          <w:color w:val="CE181E"/>
        </w:rPr>
        <w:tab/>
      </w:r>
    </w:p>
    <w:p>
      <w:pPr>
        <w:pStyle w:val="Normal"/>
        <w:spacing w:lineRule="auto" w:line="276"/>
        <w:rPr/>
      </w:pPr>
      <w:r>
        <w:rPr>
          <w:rFonts w:ascii="Calibri" w:hAnsi="Calibri" w:asciiTheme="minorHAnsi" w:hAnsiTheme="minorHAnsi"/>
        </w:rPr>
        <w:t xml:space="preserve">It is also apparent from reading Thucydides book 2, that the Spartans were indeed unable to effectively engage the Athenians in a land battle when the Athenians were conducting their initial seaborne raids at the onset of the war. It seems reasonable to assume that this is, for the most part, accurate: In most cases it appears that the Athenians managed to go to shore, sack the land, and leave before the Spartans could mobilize an effective response. </w:t>
      </w:r>
      <w:r>
        <w:rPr>
          <w:rStyle w:val="FootnoteAnchor"/>
          <w:rFonts w:ascii="Calibri" w:hAnsi="Calibri" w:asciiTheme="minorHAnsi" w:hAnsiTheme="minorHAnsi"/>
        </w:rPr>
        <w:footnoteReference w:id="27"/>
      </w:r>
    </w:p>
    <w:p>
      <w:pPr>
        <w:pStyle w:val="Normal"/>
        <w:spacing w:lineRule="auto" w:line="276"/>
        <w:rPr>
          <w:rFonts w:ascii="Calibri" w:hAnsi="Calibri" w:asciiTheme="minorHAnsi" w:hAnsiTheme="minorHAnsi"/>
        </w:rPr>
      </w:pPr>
      <w:r>
        <w:rPr>
          <w:rFonts w:asciiTheme="minorHAnsi" w:hAnsiTheme="minorHAnsi" w:ascii="Calibri" w:hAnsi="Calibri"/>
        </w:rPr>
      </w:r>
    </w:p>
    <w:p>
      <w:pPr>
        <w:pStyle w:val="Normal"/>
        <w:spacing w:lineRule="auto" w:line="276"/>
        <w:rPr>
          <w:rFonts w:ascii="Calibri" w:hAnsi="Calibri" w:asciiTheme="minorHAnsi" w:hAnsiTheme="minorHAnsi"/>
        </w:rPr>
      </w:pPr>
      <w:r>
        <w:rPr>
          <w:rFonts w:ascii="Calibri" w:hAnsi="Calibri" w:asciiTheme="minorHAnsi" w:hAnsiTheme="minorHAnsi"/>
        </w:rPr>
        <w:t>If we assume that Pericles’ strategy was, as he stated, to turn Athens into an island, then the construction of those horse transports starts to make more sense: they were necessary to support with cavalry the Athenian raids on the Peloponnese and other hostile areas, both in order to prevent the cavalry of the Peloponnesians being able to counter Pericles’ own strategy of devastation</w:t>
      </w:r>
      <w:r>
        <w:rPr>
          <w:rStyle w:val="FootnoteAnchor"/>
          <w:rFonts w:ascii="Calibri" w:hAnsi="Calibri" w:asciiTheme="minorHAnsi" w:hAnsiTheme="minorHAnsi"/>
        </w:rPr>
        <w:footnoteReference w:id="28"/>
      </w:r>
      <w:r>
        <w:rPr>
          <w:rFonts w:ascii="Calibri" w:hAnsi="Calibri" w:asciiTheme="minorHAnsi" w:hAnsiTheme="minorHAnsi"/>
        </w:rPr>
        <w:t>, and additionally, they provided Pericles with a highly mobile raiding capability, with greater range and speed than his infantry forces.</w:t>
      </w:r>
    </w:p>
    <w:p>
      <w:pPr>
        <w:pStyle w:val="Normal"/>
        <w:spacing w:lineRule="auto" w:line="276"/>
        <w:rPr>
          <w:rFonts w:ascii="Calibri" w:hAnsi="Calibri" w:asciiTheme="minorHAnsi" w:hAnsiTheme="minorHAnsi"/>
          <w:color w:val="CE181E"/>
        </w:rPr>
      </w:pPr>
      <w:r>
        <w:rPr>
          <w:rFonts w:asciiTheme="minorHAnsi" w:hAnsiTheme="minorHAnsi" w:ascii="Calibri" w:hAnsi="Calibri"/>
          <w:color w:val="CE181E"/>
        </w:rPr>
      </w:r>
    </w:p>
    <w:p>
      <w:pPr>
        <w:pStyle w:val="Normal"/>
        <w:spacing w:lineRule="auto" w:line="276"/>
        <w:rPr>
          <w:rFonts w:ascii="Calibri" w:hAnsi="Calibri" w:asciiTheme="minorHAnsi" w:hAnsiTheme="minorHAnsi"/>
        </w:rPr>
      </w:pPr>
      <w:r>
        <w:rPr>
          <w:rFonts w:ascii="Calibri" w:hAnsi="Calibri" w:asciiTheme="minorHAnsi" w:hAnsiTheme="minorHAnsi"/>
        </w:rPr>
        <w:t>I would note that without these horse transports, the Athenian cavalry would be almost completely peripheral and unhelpful to a strategy that relied on utilizing its armed forces in naval raids. So, in fact I would argue that this evidence is far more useful in showing that a specific cavalry-based strategy for the defence of Attica itself, did not exist, but rather supports the view that Pericles’ saw the cavalry as an integral part of his offensive raiding strategy.</w:t>
      </w:r>
    </w:p>
    <w:p>
      <w:pPr>
        <w:pStyle w:val="Normal"/>
        <w:spacing w:lineRule="auto" w:line="276"/>
        <w:rPr>
          <w:rFonts w:ascii="Calibri" w:hAnsi="Calibri" w:asciiTheme="minorHAnsi" w:hAnsiTheme="minorHAnsi"/>
          <w:color w:val="CE181E"/>
        </w:rPr>
      </w:pPr>
      <w:r>
        <w:rPr>
          <w:rFonts w:asciiTheme="minorHAnsi" w:hAnsiTheme="minorHAnsi" w:ascii="Calibri" w:hAnsi="Calibri"/>
          <w:color w:val="CE181E"/>
        </w:rPr>
      </w:r>
    </w:p>
    <w:p>
      <w:pPr>
        <w:pStyle w:val="Normal"/>
        <w:spacing w:lineRule="auto" w:line="276"/>
        <w:rPr>
          <w:rFonts w:ascii="Calibri" w:hAnsi="Calibri" w:asciiTheme="minorHAnsi" w:hAnsiTheme="minorHAnsi"/>
        </w:rPr>
      </w:pPr>
      <w:r>
        <w:rPr>
          <w:rFonts w:ascii="Calibri" w:hAnsi="Calibri" w:asciiTheme="minorHAnsi" w:hAnsiTheme="minorHAnsi"/>
        </w:rPr>
        <w:t>Hunter does make the argument that Pericles could have used the cavalry to defend Attica in order to placate those who were sceptical</w:t>
      </w:r>
      <w:bookmarkStart w:id="0" w:name="_GoBack"/>
      <w:bookmarkEnd w:id="0"/>
      <w:r>
        <w:rPr>
          <w:rFonts w:ascii="Calibri" w:hAnsi="Calibri" w:asciiTheme="minorHAnsi" w:hAnsiTheme="minorHAnsi"/>
        </w:rPr>
        <w:t xml:space="preserve"> of his strategy, but in that case, it cannot really be viewed as a central part of the strategy. Rather, in my view, it should be seen as part of a grand strategy, aimed predominantly at keeping the Athenians compliant with the overall plan of turning Athens into an island; only using the cavalry to defend Attica if and in so far as they were not engaged elsewhere. It is also important to realize that testing such a suggestion within the context of the current sources does not seem feasible.</w:t>
      </w:r>
    </w:p>
    <w:p>
      <w:pPr>
        <w:pStyle w:val="Normal"/>
        <w:spacing w:lineRule="auto" w:line="276"/>
        <w:rPr>
          <w:rFonts w:ascii="Calibri" w:hAnsi="Calibri" w:asciiTheme="minorHAnsi" w:hAnsiTheme="minorHAnsi"/>
          <w:color w:val="CE181E"/>
        </w:rPr>
      </w:pPr>
      <w:r>
        <w:rPr>
          <w:rFonts w:asciiTheme="minorHAnsi" w:hAnsiTheme="minorHAnsi" w:ascii="Calibri" w:hAnsi="Calibri"/>
          <w:color w:val="CE181E"/>
        </w:rPr>
      </w:r>
    </w:p>
    <w:p>
      <w:pPr>
        <w:pStyle w:val="Normal"/>
        <w:spacing w:lineRule="auto" w:line="276"/>
        <w:rPr/>
      </w:pPr>
      <w:r>
        <w:rPr>
          <w:rFonts w:ascii="Calibri" w:hAnsi="Calibri" w:asciiTheme="minorHAnsi" w:hAnsiTheme="minorHAnsi"/>
        </w:rPr>
        <w:t xml:space="preserve">In conclusion, therefore, while I find Hunter’s assessment that Pericles should be considered as great a </w:t>
      </w:r>
      <w:bookmarkStart w:id="1" w:name="_GoBack1"/>
      <w:r>
        <w:rPr>
          <w:rFonts w:ascii="Calibri" w:hAnsi="Calibri" w:asciiTheme="minorHAnsi" w:hAnsiTheme="minorHAnsi"/>
          <w:i/>
        </w:rPr>
        <w:t>cavalry</w:t>
      </w:r>
      <w:r>
        <w:rPr>
          <w:rFonts w:ascii="Calibri" w:hAnsi="Calibri" w:asciiTheme="minorHAnsi" w:hAnsiTheme="minorHAnsi"/>
        </w:rPr>
        <w:t xml:space="preserve"> </w:t>
      </w:r>
      <w:bookmarkEnd w:id="1"/>
      <w:r>
        <w:rPr>
          <w:rFonts w:ascii="Calibri" w:hAnsi="Calibri" w:asciiTheme="minorHAnsi" w:hAnsiTheme="minorHAnsi"/>
        </w:rPr>
        <w:t>strategist as Hannibal Barca is, in my view, not convincing from the perspective of the content of Thucydides’ writing, I fully support the view that Pericles could and indeed should be considered as a very able and innovative military strategist. Indeed, I believe the evidence tends to support the view that Pericles should be recognised as one of the earliest military strategists to understand and exploit combined operations amphibious expeditionary warfare, not just cavalry.</w:t>
      </w:r>
    </w:p>
    <w:p>
      <w:pPr>
        <w:pStyle w:val="Normal"/>
        <w:spacing w:lineRule="auto" w:line="276"/>
        <w:rPr>
          <w:rFonts w:ascii="Calibri" w:hAnsi="Calibri" w:asciiTheme="minorHAnsi" w:hAnsiTheme="minorHAnsi"/>
        </w:rPr>
      </w:pPr>
      <w:r>
        <w:rPr>
          <w:rFonts w:asciiTheme="minorHAnsi" w:hAnsiTheme="minorHAnsi" w:ascii="Calibri" w:hAnsi="Calibri"/>
        </w:rPr>
      </w:r>
    </w:p>
    <w:p>
      <w:pPr>
        <w:pStyle w:val="Normal"/>
        <w:spacing w:lineRule="auto" w:line="276"/>
        <w:rPr>
          <w:rFonts w:ascii="Calibri" w:hAnsi="Calibri" w:asciiTheme="minorHAnsi" w:hAnsiTheme="minorHAnsi"/>
        </w:rPr>
      </w:pPr>
      <w:r>
        <w:rPr>
          <w:rFonts w:ascii="Calibri" w:hAnsi="Calibri" w:asciiTheme="minorHAnsi" w:hAnsiTheme="minorHAnsi"/>
        </w:rPr>
        <w:t>Bibliography.</w:t>
      </w:r>
    </w:p>
    <w:p>
      <w:pPr>
        <w:pStyle w:val="Normal"/>
        <w:spacing w:lineRule="auto" w:line="276"/>
        <w:rPr>
          <w:rFonts w:ascii="Calibri" w:hAnsi="Calibri" w:asciiTheme="minorHAnsi" w:hAnsiTheme="minorHAnsi"/>
        </w:rPr>
      </w:pPr>
      <w:r>
        <w:rPr>
          <w:rFonts w:asciiTheme="minorHAnsi" w:hAnsiTheme="minorHAnsi" w:ascii="Calibri" w:hAnsi="Calibri"/>
        </w:rPr>
      </w:r>
    </w:p>
    <w:p>
      <w:pPr>
        <w:pStyle w:val="Normal"/>
        <w:spacing w:lineRule="auto" w:line="276"/>
        <w:rPr>
          <w:rFonts w:ascii="Calibri" w:hAnsi="Calibri" w:asciiTheme="minorHAnsi" w:hAnsiTheme="minorHAnsi"/>
          <w:u w:val="single"/>
        </w:rPr>
      </w:pPr>
      <w:r>
        <w:rPr>
          <w:rFonts w:ascii="Calibri" w:hAnsi="Calibri" w:asciiTheme="minorHAnsi" w:hAnsiTheme="minorHAnsi"/>
          <w:u w:val="single"/>
        </w:rPr>
        <w:t>Ancient sources:</w:t>
      </w:r>
    </w:p>
    <w:p>
      <w:pPr>
        <w:pStyle w:val="Normal"/>
        <w:numPr>
          <w:ilvl w:val="0"/>
          <w:numId w:val="0"/>
        </w:numPr>
        <w:spacing w:lineRule="auto" w:line="240" w:beforeAutospacing="1" w:afterAutospacing="1"/>
        <w:outlineLvl w:val="0"/>
        <w:rPr>
          <w:rFonts w:ascii="Calibri" w:hAnsi="Calibri" w:eastAsia="Times New Roman" w:asciiTheme="minorHAnsi" w:hAnsiTheme="minorHAnsi"/>
          <w:bCs/>
          <w:color w:val="00000A"/>
          <w:spacing w:val="0"/>
          <w:kern w:val="2"/>
        </w:rPr>
      </w:pPr>
      <w:r>
        <w:rPr>
          <w:rFonts w:eastAsia="Times New Roman" w:ascii="Calibri" w:hAnsi="Calibri" w:asciiTheme="minorHAnsi" w:hAnsiTheme="minorHAnsi"/>
          <w:bCs/>
          <w:color w:val="00000A"/>
          <w:spacing w:val="0"/>
          <w:kern w:val="2"/>
        </w:rPr>
        <w:t>Thucydides</w:t>
      </w:r>
    </w:p>
    <w:p>
      <w:pPr>
        <w:pStyle w:val="Normal"/>
        <w:tabs>
          <w:tab w:val="left" w:pos="2020" w:leader="none"/>
        </w:tabs>
        <w:spacing w:lineRule="auto" w:line="276"/>
        <w:rPr/>
      </w:pPr>
      <w:r>
        <w:rPr>
          <w:rFonts w:ascii="Calibri" w:hAnsi="Calibri" w:asciiTheme="minorHAnsi" w:hAnsiTheme="minorHAnsi"/>
        </w:rPr>
        <w:t xml:space="preserve">Xenophon, </w:t>
      </w:r>
      <w:r>
        <w:rPr>
          <w:rFonts w:ascii="Calibri" w:hAnsi="Calibri" w:asciiTheme="minorHAnsi" w:hAnsiTheme="minorHAnsi"/>
        </w:rPr>
        <w:t>Hellenica</w:t>
      </w:r>
      <w:r>
        <w:rPr>
          <w:rFonts w:ascii="Calibri" w:hAnsi="Calibri" w:asciiTheme="minorHAnsi" w:hAnsiTheme="minorHAnsi"/>
        </w:rPr>
        <w:tab/>
      </w:r>
    </w:p>
    <w:p>
      <w:pPr>
        <w:pStyle w:val="Normal"/>
        <w:tabs>
          <w:tab w:val="left" w:pos="2020" w:leader="none"/>
        </w:tabs>
        <w:spacing w:lineRule="auto" w:line="276"/>
        <w:rPr>
          <w:rFonts w:ascii="Calibri" w:hAnsi="Calibri" w:asciiTheme="minorHAnsi" w:hAnsiTheme="minorHAnsi"/>
        </w:rPr>
      </w:pPr>
      <w:r>
        <w:rPr>
          <w:rFonts w:asciiTheme="minorHAnsi" w:hAnsiTheme="minorHAnsi" w:ascii="Calibri" w:hAnsi="Calibri"/>
        </w:rPr>
      </w:r>
    </w:p>
    <w:p>
      <w:pPr>
        <w:pStyle w:val="Normal"/>
        <w:tabs>
          <w:tab w:val="left" w:pos="2020" w:leader="none"/>
        </w:tabs>
        <w:spacing w:lineRule="auto" w:line="276"/>
        <w:rPr/>
      </w:pPr>
      <w:r>
        <w:rPr>
          <w:rFonts w:ascii="Calibri" w:hAnsi="Calibri" w:asciiTheme="minorHAnsi" w:hAnsiTheme="minorHAnsi"/>
        </w:rPr>
        <w:t>All translations acquired via Perseus Website; Available at:</w:t>
      </w:r>
    </w:p>
    <w:p>
      <w:pPr>
        <w:pStyle w:val="Normal"/>
        <w:spacing w:lineRule="auto" w:line="276"/>
        <w:rPr>
          <w:rFonts w:ascii="Calibri" w:hAnsi="Calibri" w:asciiTheme="minorHAnsi" w:hAnsiTheme="minorHAnsi"/>
        </w:rPr>
      </w:pPr>
      <w:r>
        <w:rPr>
          <w:rFonts w:ascii="Calibri" w:hAnsi="Calibri" w:asciiTheme="minorHAnsi" w:hAnsiTheme="minorHAnsi"/>
        </w:rPr>
        <w:t>http://www.perseus.tufts.edu.</w:t>
      </w:r>
    </w:p>
    <w:p>
      <w:pPr>
        <w:pStyle w:val="Normal"/>
        <w:spacing w:lineRule="auto" w:line="276"/>
        <w:rPr>
          <w:rFonts w:ascii="Calibri" w:hAnsi="Calibri" w:asciiTheme="minorHAnsi" w:hAnsiTheme="minorHAnsi"/>
          <w:u w:val="single"/>
        </w:rPr>
      </w:pPr>
      <w:r>
        <w:rPr>
          <w:rFonts w:asciiTheme="minorHAnsi" w:hAnsiTheme="minorHAnsi" w:ascii="Calibri" w:hAnsi="Calibri"/>
          <w:u w:val="single"/>
        </w:rPr>
      </w:r>
    </w:p>
    <w:p>
      <w:pPr>
        <w:pStyle w:val="Normal"/>
        <w:spacing w:lineRule="auto" w:line="276"/>
        <w:rPr>
          <w:rFonts w:ascii="Calibri" w:hAnsi="Calibri" w:asciiTheme="minorHAnsi" w:hAnsiTheme="minorHAnsi"/>
          <w:u w:val="single"/>
        </w:rPr>
      </w:pPr>
      <w:r>
        <w:rPr>
          <w:rFonts w:ascii="Calibri" w:hAnsi="Calibri" w:asciiTheme="minorHAnsi" w:hAnsiTheme="minorHAnsi"/>
          <w:u w:val="single"/>
        </w:rPr>
        <w:t>Modern Sources</w:t>
      </w:r>
    </w:p>
    <w:p>
      <w:pPr>
        <w:pStyle w:val="Normal"/>
        <w:spacing w:lineRule="auto" w:line="276"/>
        <w:rPr>
          <w:rFonts w:ascii="Calibri" w:hAnsi="Calibri" w:asciiTheme="minorHAnsi" w:hAnsiTheme="minorHAnsi"/>
        </w:rPr>
      </w:pPr>
      <w:r>
        <w:rPr>
          <w:rFonts w:asciiTheme="minorHAnsi" w:hAnsiTheme="minorHAnsi" w:ascii="Calibri" w:hAnsi="Calibri"/>
        </w:rPr>
      </w:r>
    </w:p>
    <w:p>
      <w:pPr>
        <w:pStyle w:val="Normal"/>
        <w:bidi w:val="0"/>
        <w:spacing w:lineRule="auto" w:line="240"/>
        <w:rPr/>
      </w:pPr>
      <w:r>
        <w:rPr>
          <w:rFonts w:eastAsia="Times New Roman" w:ascii="Calibri" w:hAnsi="Calibri" w:asciiTheme="minorHAnsi" w:hAnsiTheme="minorHAnsi"/>
          <w:color w:val="00000A"/>
          <w:spacing w:val="0"/>
        </w:rPr>
        <w:t>Hanson, V. D., (20</w:t>
      </w:r>
      <w:r>
        <w:rPr>
          <w:rFonts w:eastAsia="Times New Roman" w:ascii="Calibri" w:hAnsi="Calibri" w:asciiTheme="minorHAnsi" w:hAnsiTheme="minorHAnsi"/>
          <w:color w:val="00000A"/>
          <w:spacing w:val="0"/>
        </w:rPr>
        <w:t xml:space="preserve">05), </w:t>
      </w:r>
      <w:r>
        <w:rPr>
          <w:rFonts w:eastAsia="Times New Roman" w:ascii="Calibri" w:hAnsi="Calibri" w:asciiTheme="minorHAnsi" w:hAnsiTheme="minorHAnsi"/>
          <w:i/>
          <w:color w:val="00000A"/>
          <w:spacing w:val="0"/>
        </w:rPr>
        <w:t>A War Like No Other</w:t>
      </w:r>
      <w:r>
        <w:rPr>
          <w:rFonts w:eastAsia="Times New Roman" w:ascii="Calibri" w:hAnsi="Calibri" w:asciiTheme="minorHAnsi" w:hAnsiTheme="minorHAnsi"/>
          <w:color w:val="00000A"/>
          <w:spacing w:val="0"/>
        </w:rPr>
        <w:t>,, Bury St Edmunds, Suffolk, UK</w:t>
      </w:r>
    </w:p>
    <w:p>
      <w:pPr>
        <w:pStyle w:val="Normal"/>
        <w:bidi w:val="0"/>
        <w:spacing w:lineRule="auto" w:line="240"/>
        <w:rPr>
          <w:rFonts w:ascii="Calibri" w:hAnsi="Calibri" w:eastAsia="Times New Roman" w:asciiTheme="minorHAnsi" w:hAnsiTheme="minorHAnsi"/>
          <w:color w:val="00000A"/>
          <w:spacing w:val="0"/>
        </w:rPr>
      </w:pPr>
      <w:r>
        <w:rPr>
          <w:rFonts w:eastAsia="Times New Roman" w:ascii="Calibri" w:hAnsi="Calibri" w:asciiTheme="minorHAnsi" w:hAnsiTheme="minorHAnsi"/>
          <w:color w:val="00000A"/>
          <w:spacing w:val="0"/>
        </w:rPr>
        <w:t xml:space="preserve">Hanson, V. D., (1999), </w:t>
      </w:r>
      <w:r>
        <w:rPr>
          <w:rFonts w:eastAsia="Times New Roman" w:ascii="Calibri" w:hAnsi="Calibri" w:asciiTheme="minorHAnsi" w:hAnsiTheme="minorHAnsi"/>
          <w:i/>
          <w:color w:val="00000A"/>
          <w:spacing w:val="0"/>
        </w:rPr>
        <w:t>The Wars of the Ancient Greeks</w:t>
      </w:r>
      <w:r>
        <w:rPr>
          <w:rFonts w:eastAsia="Times New Roman" w:ascii="Calibri" w:hAnsi="Calibri" w:asciiTheme="minorHAnsi" w:hAnsiTheme="minorHAnsi"/>
          <w:color w:val="00000A"/>
          <w:spacing w:val="0"/>
        </w:rPr>
        <w:t>, 1999, London, UK</w:t>
      </w:r>
    </w:p>
    <w:p>
      <w:pPr>
        <w:pStyle w:val="Normal"/>
        <w:bidi w:val="0"/>
        <w:spacing w:lineRule="auto" w:line="240"/>
        <w:rPr/>
      </w:pPr>
      <w:r>
        <w:rPr>
          <w:rFonts w:ascii="Calibri" w:hAnsi="Calibri" w:asciiTheme="minorHAnsi" w:hAnsiTheme="minorHAnsi"/>
          <w:b w:val="false"/>
          <w:sz w:val="24"/>
          <w:szCs w:val="24"/>
        </w:rPr>
        <w:t>Hunter, H. (2005),</w:t>
      </w:r>
      <w:r>
        <w:rPr>
          <w:rFonts w:ascii="Calibri" w:hAnsi="Calibri" w:asciiTheme="minorHAnsi" w:hAnsiTheme="minorHAnsi"/>
          <w:b w:val="false"/>
          <w:i/>
          <w:sz w:val="24"/>
          <w:szCs w:val="24"/>
        </w:rPr>
        <w:t>The Periclean Cavalry Strategy</w:t>
      </w:r>
      <w:r>
        <w:rPr>
          <w:rFonts w:ascii="Calibri" w:hAnsi="Calibri" w:asciiTheme="minorHAnsi" w:hAnsiTheme="minorHAnsi"/>
          <w:b w:val="false"/>
          <w:sz w:val="24"/>
          <w:szCs w:val="24"/>
        </w:rPr>
        <w:t xml:space="preserve">, , </w:t>
      </w:r>
      <w:r>
        <w:rPr>
          <w:rFonts w:eastAsia="Times New Roman" w:ascii="Calibri" w:hAnsi="Calibri" w:asciiTheme="minorHAnsi" w:hAnsiTheme="minorHAnsi"/>
          <w:b w:val="false"/>
          <w:i/>
          <w:iCs/>
          <w:color w:val="00000A"/>
          <w:spacing w:val="0"/>
          <w:sz w:val="24"/>
          <w:szCs w:val="24"/>
        </w:rPr>
        <w:t>Quaderni Urbinati di Cultura Classica</w:t>
      </w:r>
      <w:r>
        <w:rPr>
          <w:rFonts w:eastAsia="Times New Roman" w:ascii="Calibri" w:hAnsi="Calibri" w:asciiTheme="minorHAnsi" w:hAnsiTheme="minorHAnsi"/>
          <w:b w:val="false"/>
          <w:color w:val="00000A"/>
          <w:spacing w:val="0"/>
          <w:sz w:val="24"/>
          <w:szCs w:val="24"/>
        </w:rPr>
        <w:t xml:space="preserve"> New Series, Vol. 81, No. 3 (2005), pp. 101-108. </w:t>
      </w:r>
      <w:r>
        <w:rPr>
          <w:rFonts w:ascii="Calibri" w:hAnsi="Calibri" w:asciiTheme="minorHAnsi" w:hAnsiTheme="minorHAnsi"/>
          <w:b w:val="false"/>
          <w:sz w:val="24"/>
          <w:szCs w:val="24"/>
        </w:rPr>
        <w:t>Martin, Thomas R.,</w:t>
      </w:r>
      <w:r>
        <w:rPr>
          <w:rFonts w:eastAsia="Times New Roman" w:ascii="Calibri" w:hAnsi="Calibri" w:asciiTheme="minorHAnsi" w:hAnsiTheme="minorHAnsi"/>
          <w:b w:val="false"/>
          <w:sz w:val="24"/>
          <w:szCs w:val="24"/>
        </w:rPr>
        <w:t xml:space="preserve"> (1947), </w:t>
      </w:r>
      <w:r>
        <w:rPr>
          <w:rStyle w:val="Title1"/>
          <w:rFonts w:eastAsia="Times New Roman" w:ascii="Calibri" w:hAnsi="Calibri" w:asciiTheme="minorHAnsi" w:hAnsiTheme="minorHAnsi"/>
          <w:b w:val="false"/>
          <w:sz w:val="24"/>
          <w:szCs w:val="24"/>
        </w:rPr>
        <w:t>An Overview of Classical Greek History from Mycenae to Alexander,</w:t>
      </w:r>
      <w:r>
        <w:rPr>
          <w:rFonts w:ascii="Calibri" w:hAnsi="Calibri" w:asciiTheme="minorHAnsi" w:hAnsiTheme="minorHAnsi"/>
          <w:b w:val="false"/>
          <w:sz w:val="24"/>
          <w:szCs w:val="24"/>
        </w:rPr>
        <w:t xml:space="preserve"> retrieved From Perseus March 15</w:t>
      </w:r>
      <w:r>
        <w:rPr>
          <w:rFonts w:ascii="Calibri" w:hAnsi="Calibri" w:asciiTheme="minorHAnsi" w:hAnsiTheme="minorHAnsi"/>
          <w:b w:val="false"/>
          <w:sz w:val="24"/>
          <w:szCs w:val="24"/>
          <w:vertAlign w:val="superscript"/>
        </w:rPr>
        <w:t>th</w:t>
      </w:r>
      <w:r>
        <w:rPr>
          <w:rFonts w:ascii="Calibri" w:hAnsi="Calibri" w:asciiTheme="minorHAnsi" w:hAnsiTheme="minorHAnsi"/>
          <w:b w:val="false"/>
          <w:sz w:val="24"/>
          <w:szCs w:val="24"/>
        </w:rPr>
        <w:t xml:space="preserve">, 2018  </w:t>
      </w:r>
    </w:p>
    <w:p>
      <w:pPr>
        <w:pStyle w:val="Normal"/>
        <w:bidi w:val="0"/>
        <w:spacing w:lineRule="auto" w:line="276"/>
        <w:rPr>
          <w:rFonts w:ascii="Calibri" w:hAnsi="Calibri" w:asciiTheme="minorHAnsi" w:hAnsiTheme="minorHAnsi"/>
          <w:b w:val="false"/>
          <w:b w:val="false"/>
          <w:sz w:val="24"/>
          <w:szCs w:val="24"/>
        </w:rPr>
      </w:pPr>
      <w:r>
        <w:rPr>
          <w:rFonts w:eastAsia="Times New Roman" w:ascii="Calibri" w:hAnsi="Calibri" w:asciiTheme="minorHAnsi" w:hAnsiTheme="minorHAnsi"/>
          <w:b w:val="false"/>
          <w:color w:val="00000A"/>
          <w:spacing w:val="0"/>
          <w:sz w:val="24"/>
          <w:szCs w:val="24"/>
        </w:rPr>
        <w:t>Thorne, James A., (2002)</w:t>
      </w:r>
      <w:r>
        <w:rPr>
          <w:rFonts w:eastAsia="Times New Roman" w:ascii="Calibri" w:hAnsi="Calibri" w:asciiTheme="minorHAnsi" w:hAnsiTheme="minorHAnsi"/>
          <w:b w:val="false"/>
          <w:i/>
          <w:color w:val="00000A"/>
          <w:spacing w:val="0"/>
          <w:sz w:val="24"/>
          <w:szCs w:val="24"/>
        </w:rPr>
        <w:t xml:space="preserve"> Warfare and Agriculture: The Economic Impact of Devastation in Classical Greece</w:t>
      </w:r>
      <w:r>
        <w:rPr>
          <w:rFonts w:eastAsia="Times New Roman" w:ascii="Calibri" w:hAnsi="Calibri" w:asciiTheme="minorHAnsi" w:hAnsiTheme="minorHAnsi"/>
          <w:b w:val="false"/>
          <w:color w:val="00000A"/>
          <w:spacing w:val="0"/>
          <w:sz w:val="24"/>
          <w:szCs w:val="24"/>
        </w:rPr>
        <w:t xml:space="preserve">, </w:t>
      </w:r>
      <w:r>
        <w:rPr>
          <w:rFonts w:eastAsia="Times New Roman" w:ascii="Times New Roman" w:hAnsi="Times New Roman"/>
          <w:b w:val="false"/>
          <w:i/>
          <w:iCs/>
          <w:color w:val="00000A"/>
          <w:spacing w:val="0"/>
          <w:sz w:val="24"/>
          <w:szCs w:val="24"/>
        </w:rPr>
        <w:t>grbs.library.duke.edu/article/viewFile/1861/3491</w:t>
      </w:r>
    </w:p>
    <w:p>
      <w:pPr>
        <w:pStyle w:val="Heading1"/>
        <w:spacing w:before="280" w:after="280"/>
        <w:rPr/>
      </w:pPr>
      <w:r>
        <w:rPr/>
      </w:r>
    </w:p>
    <w:sectPr>
      <w:headerReference w:type="default" r:id="rId2"/>
      <w:footerReference w:type="default" r:id="rId3"/>
      <w:footnotePr>
        <w:numFmt w:val="decimal"/>
      </w:footnotePr>
      <w:type w:val="nextPage"/>
      <w:pgSz w:w="11906" w:h="16838"/>
      <w:pgMar w:left="1440" w:right="1440" w:header="708" w:top="1440" w:footer="1440" w:bottom="2016"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mic Sans MS">
    <w:charset w:val="00"/>
    <w:family w:val="roman"/>
    <w:pitch w:val="variable"/>
  </w:font>
  <w:font w:name="Liberation Sans">
    <w:altName w:val="Arial"/>
    <w:charset w:val="00"/>
    <w:family w:val="roman"/>
    <w:pitch w:val="variable"/>
  </w:font>
  <w:font w:name="Calibri">
    <w:charset w:val="00"/>
    <w:family w:val="roman"/>
    <w:pitch w:val="variable"/>
  </w:font>
  <w:font w:name="Calibri Light">
    <w:charset w:val="00"/>
    <w:family w:val="roman"/>
    <w:pitch w:val="variable"/>
  </w:font>
  <w:font w:name="Calibri">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pPr>
    <w:r>
      <w:rPr>
        <w:rFonts w:ascii="Calibri" w:hAnsi="Calibri" w:asciiTheme="minorHAnsi" w:hAnsiTheme="minorHAnsi"/>
      </w:rPr>
      <w:t xml:space="preserve">Page </w:t>
    </w:r>
    <w:r>
      <w:rPr>
        <w:rFonts w:ascii="Calibri" w:hAnsi="Calibri" w:asciiTheme="minorHAnsi" w:hAnsiTheme="minorHAnsi"/>
      </w:rPr>
      <w:fldChar w:fldCharType="begin"/>
    </w:r>
    <w:r>
      <w:instrText> PAGE </w:instrText>
    </w:r>
    <w:r>
      <w:fldChar w:fldCharType="separate"/>
    </w:r>
    <w:r>
      <w:t>8</w:t>
    </w:r>
    <w:r>
      <w:fldChar w:fldCharType="end"/>
    </w:r>
    <w:r>
      <w:rPr>
        <w:rFonts w:ascii="Calibri" w:hAnsi="Calibri" w:asciiTheme="minorHAnsi" w:hAnsiTheme="minorHAnsi"/>
      </w:rPr>
      <w:t xml:space="preserve"> of 8</w:t>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rPr/>
      </w:pPr>
      <w:r>
        <w:rPr>
          <w:rStyle w:val="Footnotereference"/>
        </w:rPr>
        <w:footnoteRef/>
        <w:tab/>
      </w:r>
      <w:r>
        <w:rPr>
          <w:rStyle w:val="Footnotereference"/>
        </w:rPr>
        <w:tab/>
      </w:r>
      <w:r>
        <w:rPr/>
        <w:t xml:space="preserve"> </w:t>
      </w:r>
      <w:r>
        <w:rPr>
          <w:rFonts w:ascii="Calibri Light" w:hAnsi="Calibri Light" w:asciiTheme="majorHAnsi" w:hAnsiTheme="majorHAnsi"/>
        </w:rPr>
        <w:t>Hunter. (2005) p106</w:t>
      </w:r>
      <w:r>
        <w:rPr>
          <w:rStyle w:val="Footnotereference"/>
          <w:rFonts w:ascii="Calibri Light" w:hAnsi="Calibri Light" w:asciiTheme="majorHAnsi" w:hAnsiTheme="majorHAnsi"/>
        </w:rPr>
        <w:tab/>
      </w:r>
      <w:r>
        <w:rPr>
          <w:rStyle w:val="Footnotereference"/>
        </w:rPr>
        <w:tab/>
        <w:tab/>
      </w:r>
      <w:r>
        <w:rPr/>
        <w:t xml:space="preserve"> </w:t>
      </w:r>
    </w:p>
  </w:footnote>
  <w:footnote w:id="3">
    <w:p>
      <w:pPr>
        <w:pStyle w:val="Footnotetext"/>
        <w:rPr/>
      </w:pPr>
      <w:r>
        <w:rPr>
          <w:rStyle w:val="Footnotereference"/>
        </w:rPr>
        <w:footnoteRef/>
        <w:tab/>
      </w:r>
      <w:r>
        <w:rPr>
          <w:rStyle w:val="Footnotereference"/>
        </w:rPr>
        <w:tab/>
        <w:t xml:space="preserve"> </w:t>
      </w:r>
      <w:r>
        <w:rPr>
          <w:rFonts w:ascii="Calibri" w:hAnsi="Calibri" w:asciiTheme="minorHAnsi" w:hAnsiTheme="minorHAnsi"/>
        </w:rPr>
        <w:t>Thucydides. 1.143.5</w:t>
      </w:r>
      <w:r>
        <w:rPr>
          <w:rStyle w:val="Footnotereference"/>
          <w:rFonts w:ascii="Calibri" w:hAnsi="Calibri" w:asciiTheme="minorHAnsi" w:hAnsiTheme="minorHAnsi"/>
          <w:sz w:val="28"/>
          <w:szCs w:val="28"/>
        </w:rPr>
        <w:tab/>
      </w:r>
      <w:r>
        <w:rPr>
          <w:sz w:val="28"/>
          <w:szCs w:val="28"/>
        </w:rPr>
        <w:t xml:space="preserve"> </w:t>
      </w:r>
    </w:p>
  </w:footnote>
  <w:footnote w:id="4">
    <w:p>
      <w:pPr>
        <w:pStyle w:val="Footnotetext"/>
        <w:rPr/>
      </w:pPr>
      <w:r>
        <w:rPr>
          <w:rStyle w:val="Footnotereference"/>
        </w:rPr>
        <w:footnoteRef/>
        <w:tab/>
      </w:r>
      <w:r>
        <w:rPr>
          <w:rStyle w:val="Footnotereference"/>
        </w:rPr>
        <w:tab/>
      </w:r>
      <w:r>
        <w:rPr/>
        <w:t xml:space="preserve"> </w:t>
      </w:r>
      <w:r>
        <w:rPr>
          <w:rFonts w:ascii="Calibri" w:hAnsi="Calibri"/>
        </w:rPr>
        <w:t>Hunter, (2005). P.108</w:t>
      </w:r>
      <w:r>
        <w:rPr>
          <w:rStyle w:val="Footnotereference"/>
        </w:rPr>
        <w:tab/>
        <w:tab/>
        <w:tab/>
      </w:r>
      <w:r>
        <w:rPr/>
        <w:t xml:space="preserve"> </w:t>
      </w:r>
    </w:p>
  </w:footnote>
  <w:footnote w:id="5">
    <w:p>
      <w:pPr>
        <w:pStyle w:val="Footnotetext"/>
        <w:rPr/>
      </w:pPr>
      <w:r>
        <w:rPr>
          <w:rStyle w:val="Footnotereference"/>
        </w:rPr>
        <w:footnoteRef/>
        <w:tab/>
      </w:r>
      <w:r>
        <w:rPr>
          <w:rStyle w:val="Footnotereference"/>
        </w:rPr>
        <w:tab/>
        <w:t xml:space="preserve"> </w:t>
      </w:r>
      <w:r>
        <w:rPr>
          <w:rFonts w:ascii="Calibri" w:hAnsi="Calibri"/>
        </w:rPr>
        <w:t>Thucydides, 1.140-146</w:t>
      </w:r>
    </w:p>
  </w:footnote>
  <w:footnote w:id="6">
    <w:p>
      <w:pPr>
        <w:pStyle w:val="Footnotetext"/>
        <w:rPr/>
      </w:pPr>
      <w:r>
        <w:rPr>
          <w:rStyle w:val="Footnotereference"/>
        </w:rPr>
        <w:footnoteRef/>
        <w:tab/>
      </w:r>
      <w:r>
        <w:rPr>
          <w:rStyle w:val="Footnotereference"/>
        </w:rPr>
        <w:tab/>
        <w:t xml:space="preserve"> </w:t>
      </w:r>
      <w:r>
        <w:rPr>
          <w:rFonts w:ascii="Calibri" w:hAnsi="Calibri"/>
        </w:rPr>
        <w:t>Martin (1947), retrieved From Perseus, March 15</w:t>
      </w:r>
      <w:r>
        <w:rPr>
          <w:rFonts w:ascii="Calibri" w:hAnsi="Calibri"/>
          <w:vertAlign w:val="superscript"/>
        </w:rPr>
        <w:t>th</w:t>
      </w:r>
      <w:r>
        <w:rPr>
          <w:rFonts w:ascii="Calibri" w:hAnsi="Calibri"/>
        </w:rPr>
        <w:t xml:space="preserve">, 2018  </w:t>
      </w:r>
    </w:p>
  </w:footnote>
  <w:footnote w:id="7">
    <w:p>
      <w:pPr>
        <w:pStyle w:val="Footnotetext"/>
        <w:rPr/>
      </w:pPr>
      <w:r>
        <w:rPr>
          <w:rStyle w:val="Footnotereference"/>
        </w:rPr>
        <w:footnoteRef/>
        <w:tab/>
      </w:r>
      <w:r>
        <w:rPr>
          <w:rStyle w:val="Footnotereference"/>
        </w:rPr>
        <w:tab/>
        <w:t xml:space="preserve"> </w:t>
      </w:r>
      <w:r>
        <w:rPr>
          <w:rStyle w:val="Footnotereference"/>
          <w:rFonts w:ascii="Calibri" w:hAnsi="Calibri"/>
          <w:position w:val="0"/>
          <w:sz w:val="24"/>
          <w:vertAlign w:val="baseline"/>
        </w:rPr>
        <w:t>ibid</w:t>
      </w:r>
    </w:p>
  </w:footnote>
  <w:footnote w:id="8">
    <w:p>
      <w:pPr>
        <w:pStyle w:val="Footnotetext"/>
        <w:rPr/>
      </w:pPr>
      <w:r>
        <w:rPr>
          <w:rStyle w:val="Footnotereference"/>
        </w:rPr>
        <w:footnoteRef/>
        <w:tab/>
      </w:r>
      <w:r>
        <w:rPr>
          <w:rStyle w:val="Footnotereference"/>
        </w:rPr>
        <w:tab/>
        <w:t xml:space="preserve"> </w:t>
      </w:r>
      <w:r>
        <w:rPr>
          <w:rFonts w:ascii="Calibri" w:hAnsi="Calibri"/>
        </w:rPr>
        <w:t>Thucydides, 1.143.5</w:t>
      </w:r>
    </w:p>
  </w:footnote>
  <w:footnote w:id="9">
    <w:p>
      <w:pPr>
        <w:pStyle w:val="Footnotetext"/>
        <w:tabs>
          <w:tab w:val="left" w:pos="720" w:leader="none"/>
          <w:tab w:val="left" w:pos="1440" w:leader="none"/>
          <w:tab w:val="left" w:pos="2160" w:leader="none"/>
          <w:tab w:val="left" w:pos="2880" w:leader="none"/>
          <w:tab w:val="left" w:pos="3600" w:leader="none"/>
          <w:tab w:val="left" w:pos="5480" w:leader="none"/>
        </w:tabs>
        <w:rPr/>
      </w:pPr>
      <w:r>
        <w:rPr>
          <w:rStyle w:val="Footnotereference"/>
        </w:rPr>
        <w:footnoteRef/>
        <w:tab/>
      </w:r>
      <w:r>
        <w:rPr>
          <w:rStyle w:val="Footnotereference"/>
        </w:rPr>
        <w:tab/>
      </w:r>
      <w:r>
        <w:rPr/>
        <w:t xml:space="preserve"> </w:t>
      </w:r>
      <w:r>
        <w:rPr>
          <w:rFonts w:ascii="Calibri" w:hAnsi="Calibri"/>
        </w:rPr>
        <w:t>Thucydides, 2.14</w:t>
      </w:r>
      <w:r>
        <w:rPr>
          <w:rStyle w:val="Footnotereference"/>
          <w:rFonts w:ascii="Calibri" w:hAnsi="Calibri"/>
        </w:rPr>
        <w:tab/>
      </w:r>
      <w:r>
        <w:rPr>
          <w:rStyle w:val="Footnotereference"/>
        </w:rPr>
        <w:tab/>
        <w:tab/>
      </w:r>
      <w:r>
        <w:rPr/>
        <w:t xml:space="preserve"> </w:t>
        <w:tab/>
      </w:r>
    </w:p>
  </w:footnote>
  <w:footnote w:id="10">
    <w:p>
      <w:pPr>
        <w:pStyle w:val="Footnotetext"/>
        <w:rPr/>
      </w:pPr>
      <w:r>
        <w:rPr>
          <w:rStyle w:val="Footnotereference"/>
        </w:rPr>
        <w:footnoteRef/>
        <w:tab/>
      </w:r>
      <w:r>
        <w:rPr>
          <w:rStyle w:val="Footnotereference"/>
        </w:rPr>
        <w:tab/>
        <w:t xml:space="preserve"> </w:t>
      </w:r>
      <w:r>
        <w:rPr>
          <w:rStyle w:val="Footnotereference"/>
          <w:rFonts w:ascii="Calibri" w:hAnsi="Calibri"/>
        </w:rPr>
        <w:t xml:space="preserve"> </w:t>
      </w:r>
      <w:r>
        <w:rPr>
          <w:rFonts w:ascii="Calibri" w:hAnsi="Calibri"/>
        </w:rPr>
        <w:t>Hunter (2005), p.104-105</w:t>
      </w:r>
    </w:p>
  </w:footnote>
  <w:footnote w:id="11">
    <w:p>
      <w:pPr>
        <w:pStyle w:val="Footnotetext"/>
        <w:rPr/>
      </w:pPr>
      <w:r>
        <w:rPr>
          <w:rStyle w:val="Footnotereference"/>
        </w:rPr>
        <w:footnoteRef/>
        <w:tab/>
      </w:r>
      <w:r>
        <w:rPr>
          <w:rStyle w:val="Footnotereference"/>
        </w:rPr>
        <w:tab/>
        <w:t xml:space="preserve"> </w:t>
      </w:r>
      <w:r>
        <w:rPr>
          <w:rFonts w:ascii="Calibri" w:hAnsi="Calibri"/>
        </w:rPr>
        <w:t>Ibid</w:t>
      </w:r>
      <w:r>
        <w:rPr>
          <w:rStyle w:val="Footnotereference"/>
          <w:rFonts w:ascii="Calibri" w:hAnsi="Calibri"/>
        </w:rPr>
        <w:tab/>
      </w:r>
      <w:r>
        <w:rPr>
          <w:rStyle w:val="Footnotereference"/>
        </w:rPr>
        <w:tab/>
      </w:r>
      <w:r>
        <w:rPr/>
        <w:t xml:space="preserve"> </w:t>
      </w:r>
    </w:p>
  </w:footnote>
  <w:footnote w:id="12">
    <w:p>
      <w:pPr>
        <w:pStyle w:val="Footnotetext"/>
        <w:rPr/>
      </w:pPr>
      <w:r>
        <w:rPr>
          <w:rStyle w:val="Footnotereference"/>
        </w:rPr>
        <w:footnoteRef/>
        <w:tab/>
      </w:r>
      <w:r>
        <w:rPr>
          <w:rStyle w:val="Footnotereference"/>
        </w:rPr>
        <w:tab/>
        <w:t xml:space="preserve"> </w:t>
      </w:r>
      <w:r>
        <w:rPr>
          <w:rFonts w:ascii="Calibri" w:hAnsi="Calibri"/>
        </w:rPr>
        <w:t>Ibid, Thucydides, 5.10.4.6</w:t>
      </w:r>
      <w:r>
        <w:rPr>
          <w:rStyle w:val="Footnotereference"/>
        </w:rPr>
        <w:tab/>
      </w:r>
      <w:r>
        <w:rPr/>
        <w:t xml:space="preserve"> </w:t>
      </w:r>
    </w:p>
  </w:footnote>
  <w:footnote w:id="13">
    <w:p>
      <w:pPr>
        <w:pStyle w:val="Footnotetext"/>
        <w:rPr/>
      </w:pPr>
      <w:r>
        <w:rPr>
          <w:rStyle w:val="Footnotereference"/>
        </w:rPr>
        <w:footnoteRef/>
        <w:tab/>
      </w:r>
      <w:r>
        <w:rPr>
          <w:rStyle w:val="Footnotereference"/>
        </w:rPr>
        <w:tab/>
        <w:t xml:space="preserve"> </w:t>
      </w:r>
      <w:bookmarkStart w:id="2" w:name="__DdeLink__699_4283335818"/>
      <w:r>
        <w:rPr>
          <w:rFonts w:ascii="Calibri" w:hAnsi="Calibri"/>
        </w:rPr>
        <w:t>Thucydides</w:t>
      </w:r>
      <w:bookmarkEnd w:id="2"/>
      <w:r>
        <w:rPr>
          <w:rFonts w:ascii="Calibri" w:hAnsi="Calibri"/>
        </w:rPr>
        <w:t>, 1.111.1</w:t>
      </w:r>
      <w:r>
        <w:rPr>
          <w:rStyle w:val="Footnotereference"/>
          <w:rFonts w:ascii="Calibri" w:hAnsi="Calibri"/>
        </w:rPr>
        <w:tab/>
      </w:r>
      <w:r>
        <w:rPr>
          <w:rStyle w:val="Footnotereference"/>
        </w:rPr>
        <w:tab/>
      </w:r>
      <w:r>
        <w:rPr/>
        <w:t xml:space="preserve"> </w:t>
      </w:r>
    </w:p>
  </w:footnote>
  <w:footnote w:id="14">
    <w:p>
      <w:pPr>
        <w:pStyle w:val="Footnotetext"/>
        <w:rPr/>
      </w:pPr>
      <w:r>
        <w:rPr>
          <w:rStyle w:val="Footnotereference"/>
          <w:rFonts w:ascii="Calibri" w:hAnsi="Calibri"/>
        </w:rPr>
        <w:footnoteRef/>
        <w:tab/>
      </w:r>
      <w:r>
        <w:rPr>
          <w:rStyle w:val="Footnotereference"/>
          <w:rFonts w:ascii="Calibri" w:hAnsi="Calibri"/>
        </w:rPr>
        <w:tab/>
        <w:t xml:space="preserve"> </w:t>
      </w:r>
      <w:r>
        <w:rPr>
          <w:rStyle w:val="Footnotereference"/>
          <w:rFonts w:ascii="Calibri" w:hAnsi="Calibri"/>
          <w:position w:val="0"/>
          <w:sz w:val="24"/>
          <w:vertAlign w:val="baseline"/>
        </w:rPr>
        <w:t>Thucydides</w:t>
      </w:r>
      <w:r>
        <w:rPr>
          <w:rStyle w:val="Footnotereference"/>
          <w:rFonts w:ascii="Calibri" w:hAnsi="Calibri"/>
        </w:rPr>
        <w:t xml:space="preserve">, </w:t>
      </w:r>
      <w:r>
        <w:rPr>
          <w:rStyle w:val="Footnotereference"/>
          <w:rFonts w:ascii="Calibri" w:hAnsi="Calibri"/>
          <w:position w:val="0"/>
          <w:sz w:val="24"/>
          <w:vertAlign w:val="baseline"/>
        </w:rPr>
        <w:t>2.19.2</w:t>
      </w:r>
      <w:r>
        <w:rPr>
          <w:rStyle w:val="Footnotereference"/>
          <w:rFonts w:ascii="Calibri" w:hAnsi="Calibri"/>
        </w:rPr>
        <w:tab/>
      </w:r>
      <w:r>
        <w:rPr>
          <w:rStyle w:val="Footnotereference"/>
        </w:rPr>
        <w:tab/>
      </w:r>
      <w:r>
        <w:rPr/>
        <w:t xml:space="preserve"> </w:t>
      </w:r>
    </w:p>
  </w:footnote>
  <w:footnote w:id="15">
    <w:p>
      <w:pPr>
        <w:pStyle w:val="Footnotetext"/>
        <w:rPr/>
      </w:pPr>
      <w:r>
        <w:rPr>
          <w:rStyle w:val="Footnotereference"/>
          <w:rFonts w:ascii="Calibri" w:hAnsi="Calibri"/>
        </w:rPr>
        <w:footnoteRef/>
        <w:tab/>
      </w:r>
      <w:r>
        <w:rPr>
          <w:rStyle w:val="Footnotereference"/>
          <w:rFonts w:ascii="Calibri" w:hAnsi="Calibri"/>
        </w:rPr>
        <w:tab/>
      </w:r>
      <w:r>
        <w:rPr>
          <w:rStyle w:val="Footnotereference"/>
          <w:rFonts w:ascii="Calibri" w:hAnsi="Calibri"/>
          <w:position w:val="0"/>
          <w:sz w:val="24"/>
          <w:vertAlign w:val="baseline"/>
        </w:rPr>
        <w:t xml:space="preserve">Thucydides </w:t>
      </w:r>
      <w:r>
        <w:rPr>
          <w:rFonts w:ascii="Calibri" w:hAnsi="Calibri"/>
        </w:rPr>
        <w:t>2.13.8</w:t>
      </w:r>
    </w:p>
  </w:footnote>
  <w:footnote w:id="16">
    <w:p>
      <w:pPr>
        <w:pStyle w:val="Footnotetext"/>
        <w:rPr/>
      </w:pPr>
      <w:r>
        <w:rPr>
          <w:rStyle w:val="Footnotereference"/>
        </w:rPr>
        <w:footnoteRef/>
        <w:tab/>
      </w:r>
      <w:r>
        <w:rPr>
          <w:rStyle w:val="Footnotereference"/>
        </w:rPr>
        <w:tab/>
        <w:t xml:space="preserve"> </w:t>
      </w:r>
      <w:r>
        <w:rPr>
          <w:rFonts w:ascii="Calibri" w:hAnsi="Calibri"/>
        </w:rPr>
        <w:t>Hanson (1999) p109</w:t>
      </w:r>
      <w:r>
        <w:rPr>
          <w:rStyle w:val="Footnotereference"/>
        </w:rPr>
        <w:tab/>
        <w:tab/>
      </w:r>
      <w:r>
        <w:rPr/>
        <w:t xml:space="preserve"> </w:t>
      </w:r>
    </w:p>
  </w:footnote>
  <w:footnote w:id="17">
    <w:p>
      <w:pPr>
        <w:pStyle w:val="Footnotetext"/>
        <w:rPr/>
      </w:pPr>
      <w:r>
        <w:rPr>
          <w:rStyle w:val="Footnotereference"/>
        </w:rPr>
        <w:footnoteRef/>
        <w:tab/>
      </w:r>
      <w:r>
        <w:rPr>
          <w:rStyle w:val="Footnotereference"/>
        </w:rPr>
        <w:tab/>
        <w:t xml:space="preserve"> </w:t>
      </w:r>
      <w:r>
        <w:rPr>
          <w:rFonts w:ascii="Calibri" w:hAnsi="Calibri"/>
        </w:rPr>
        <w:t>Hanson (2005),</w:t>
      </w:r>
      <w:r>
        <w:rPr>
          <w:rStyle w:val="Footnotereference"/>
          <w:rFonts w:ascii="Calibri" w:hAnsi="Calibri"/>
        </w:rPr>
        <w:t xml:space="preserve"> </w:t>
      </w:r>
      <w:r>
        <w:rPr>
          <w:rStyle w:val="Footnotereference"/>
          <w:rFonts w:ascii="Calibri" w:hAnsi="Calibri"/>
          <w:position w:val="0"/>
          <w:sz w:val="24"/>
          <w:vertAlign w:val="baseline"/>
        </w:rPr>
        <w:t>p.35</w:t>
        <w:tab/>
      </w:r>
      <w:r>
        <w:rPr/>
        <w:t xml:space="preserve"> </w:t>
      </w:r>
    </w:p>
  </w:footnote>
  <w:footnote w:id="18">
    <w:p>
      <w:pPr>
        <w:pStyle w:val="Footnotetext"/>
        <w:rPr/>
      </w:pPr>
      <w:r>
        <w:rPr>
          <w:rStyle w:val="Footnotereference"/>
        </w:rPr>
        <w:footnoteRef/>
        <w:tab/>
      </w:r>
      <w:r>
        <w:rPr>
          <w:rStyle w:val="Footnotereference"/>
        </w:rPr>
        <w:tab/>
        <w:t xml:space="preserve"> </w:t>
      </w:r>
      <w:r>
        <w:rPr>
          <w:rStyle w:val="Footnotereference"/>
          <w:rFonts w:ascii="Calibri" w:hAnsi="Calibri"/>
          <w:position w:val="0"/>
          <w:sz w:val="24"/>
          <w:vertAlign w:val="baseline"/>
        </w:rPr>
        <w:t>Thucydides,</w:t>
      </w:r>
      <w:r>
        <w:rPr>
          <w:rFonts w:ascii="Calibri" w:hAnsi="Calibri"/>
        </w:rPr>
        <w:t xml:space="preserve"> </w:t>
      </w:r>
      <w:r>
        <w:rPr>
          <w:rStyle w:val="Footnotereference"/>
          <w:rFonts w:ascii="Calibri" w:hAnsi="Calibri"/>
          <w:position w:val="0"/>
          <w:sz w:val="24"/>
          <w:vertAlign w:val="baseline"/>
        </w:rPr>
        <w:t>2.39</w:t>
      </w:r>
      <w:r>
        <w:rPr>
          <w:rStyle w:val="Footnotereference"/>
        </w:rPr>
        <w:tab/>
      </w:r>
      <w:r>
        <w:rPr/>
        <w:t xml:space="preserve"> </w:t>
      </w:r>
    </w:p>
  </w:footnote>
  <w:footnote w:id="19">
    <w:p>
      <w:pPr>
        <w:pStyle w:val="Footnotetext"/>
        <w:rPr/>
      </w:pPr>
      <w:r>
        <w:rPr>
          <w:rStyle w:val="Footnotereference"/>
        </w:rPr>
        <w:footnoteRef/>
        <w:tab/>
      </w:r>
      <w:r>
        <w:rPr>
          <w:rStyle w:val="Footnotereference"/>
        </w:rPr>
        <w:tab/>
        <w:t xml:space="preserve"> </w:t>
      </w:r>
      <w:r>
        <w:rPr>
          <w:rFonts w:ascii="Calibri" w:hAnsi="Calibri"/>
        </w:rPr>
        <w:t>Thucydides, 1.113.5</w:t>
      </w:r>
      <w:r>
        <w:rPr>
          <w:rStyle w:val="Footnotereference"/>
        </w:rPr>
        <w:tab/>
        <w:tab/>
      </w:r>
      <w:r>
        <w:rPr/>
        <w:t xml:space="preserve"> </w:t>
      </w:r>
    </w:p>
  </w:footnote>
  <w:footnote w:id="20">
    <w:p>
      <w:pPr>
        <w:pStyle w:val="Footnotetext"/>
        <w:rPr/>
      </w:pPr>
      <w:r>
        <w:rPr>
          <w:rStyle w:val="Footnotereference"/>
        </w:rPr>
        <w:footnoteRef/>
        <w:tab/>
      </w:r>
      <w:r>
        <w:rPr>
          <w:rStyle w:val="Footnotereference"/>
        </w:rPr>
        <w:tab/>
        <w:t xml:space="preserve"> </w:t>
      </w:r>
      <w:r>
        <w:rPr>
          <w:rStyle w:val="Footnotereference"/>
          <w:rFonts w:ascii="Calibri" w:hAnsi="Calibri"/>
          <w:position w:val="0"/>
          <w:sz w:val="24"/>
          <w:vertAlign w:val="baseline"/>
        </w:rPr>
        <w:t>Thorne (2002), pp</w:t>
      </w:r>
      <w:r>
        <w:rPr>
          <w:rFonts w:ascii="Calibri" w:hAnsi="Calibri"/>
        </w:rPr>
        <w:t>250-253</w:t>
      </w:r>
    </w:p>
  </w:footnote>
  <w:footnote w:id="21">
    <w:p>
      <w:pPr>
        <w:pStyle w:val="Footnotetext"/>
        <w:rPr/>
      </w:pPr>
      <w:r>
        <w:rPr>
          <w:rStyle w:val="Footnotereference"/>
        </w:rPr>
        <w:footnoteRef/>
        <w:tab/>
      </w:r>
      <w:r>
        <w:rPr>
          <w:rStyle w:val="Footnotereference"/>
        </w:rPr>
        <w:tab/>
        <w:t xml:space="preserve"> </w:t>
      </w:r>
      <w:r>
        <w:rPr>
          <w:rStyle w:val="Footnotereference"/>
          <w:rFonts w:ascii="Calibri" w:hAnsi="Calibri"/>
          <w:position w:val="0"/>
          <w:sz w:val="24"/>
          <w:vertAlign w:val="baseline"/>
        </w:rPr>
        <w:t>Ibid,</w:t>
      </w:r>
      <w:r>
        <w:rPr>
          <w:rFonts w:ascii="Calibri" w:hAnsi="Calibri"/>
        </w:rPr>
        <w:t xml:space="preserve"> Thucydides, 2.14.1</w:t>
      </w:r>
    </w:p>
  </w:footnote>
  <w:footnote w:id="22">
    <w:p>
      <w:pPr>
        <w:pStyle w:val="Footnotetext"/>
        <w:rPr/>
      </w:pPr>
      <w:r>
        <w:rPr>
          <w:rStyle w:val="Footnotereference"/>
        </w:rPr>
        <w:footnoteRef/>
        <w:tab/>
      </w:r>
      <w:r>
        <w:rPr>
          <w:rStyle w:val="Footnotereference"/>
        </w:rPr>
        <w:tab/>
        <w:t xml:space="preserve"> </w:t>
      </w:r>
      <w:r>
        <w:rPr>
          <w:rFonts w:ascii="Calibri" w:hAnsi="Calibri"/>
        </w:rPr>
        <w:t>Xenophon, Hellenica,2.2.11</w:t>
      </w:r>
    </w:p>
  </w:footnote>
  <w:footnote w:id="23">
    <w:p>
      <w:pPr>
        <w:pStyle w:val="Footnotetext"/>
        <w:rPr/>
      </w:pPr>
      <w:r>
        <w:rPr>
          <w:rStyle w:val="Footnotereference"/>
        </w:rPr>
        <w:footnoteRef/>
        <w:tab/>
      </w:r>
      <w:r>
        <w:rPr>
          <w:rStyle w:val="Footnotereference"/>
        </w:rPr>
        <w:tab/>
        <w:t xml:space="preserve"> </w:t>
      </w:r>
      <w:r>
        <w:rPr>
          <w:rFonts w:ascii="Calibri" w:hAnsi="Calibri"/>
        </w:rPr>
        <w:t>Xenophon, Hellenica,1.1</w:t>
      </w:r>
    </w:p>
  </w:footnote>
  <w:footnote w:id="24">
    <w:p>
      <w:pPr>
        <w:pStyle w:val="Footnotetext"/>
        <w:rPr/>
      </w:pPr>
      <w:r>
        <w:rPr>
          <w:rStyle w:val="Footnotereference"/>
        </w:rPr>
        <w:footnoteRef/>
        <w:tab/>
      </w:r>
      <w:r>
        <w:rPr>
          <w:rStyle w:val="Footnotereference"/>
        </w:rPr>
        <w:tab/>
      </w:r>
      <w:r>
        <w:rPr/>
        <w:t xml:space="preserve"> </w:t>
      </w:r>
      <w:r>
        <w:rPr>
          <w:rFonts w:ascii="Calibri" w:hAnsi="Calibri"/>
        </w:rPr>
        <w:t xml:space="preserve">Thucydides, 3.1 </w:t>
      </w:r>
      <w:r>
        <w:rPr>
          <w:rStyle w:val="Footnotereference"/>
          <w:rFonts w:ascii="Calibri" w:hAnsi="Calibri"/>
        </w:rPr>
        <w:tab/>
      </w:r>
      <w:r>
        <w:rPr>
          <w:rFonts w:ascii="Calibri" w:hAnsi="Calibri"/>
        </w:rPr>
        <w:t xml:space="preserve"> </w:t>
      </w:r>
    </w:p>
  </w:footnote>
  <w:footnote w:id="25">
    <w:p>
      <w:pPr>
        <w:pStyle w:val="Footnotetext"/>
        <w:rPr/>
      </w:pPr>
      <w:r>
        <w:rPr>
          <w:rStyle w:val="Footnotereference"/>
        </w:rPr>
        <w:footnoteRef/>
        <w:tab/>
      </w:r>
      <w:r>
        <w:rPr>
          <w:rStyle w:val="Footnotereference"/>
        </w:rPr>
        <w:tab/>
        <w:t xml:space="preserve"> </w:t>
      </w:r>
      <w:r>
        <w:rPr>
          <w:rStyle w:val="Footnotereference"/>
          <w:rFonts w:ascii="Calibri" w:hAnsi="Calibri"/>
          <w:position w:val="0"/>
          <w:sz w:val="24"/>
          <w:vertAlign w:val="baseline"/>
        </w:rPr>
        <w:t>Ibid.</w:t>
      </w:r>
      <w:r>
        <w:rPr>
          <w:rStyle w:val="Footnotereference"/>
        </w:rPr>
        <w:tab/>
        <w:tab/>
        <w:tab/>
      </w:r>
      <w:r>
        <w:rPr/>
        <w:t xml:space="preserve"> </w:t>
      </w:r>
    </w:p>
  </w:footnote>
  <w:footnote w:id="26">
    <w:p>
      <w:pPr>
        <w:pStyle w:val="Footnotetext"/>
        <w:rPr/>
      </w:pPr>
      <w:r>
        <w:rPr>
          <w:rStyle w:val="Footnotereference"/>
        </w:rPr>
        <w:footnoteRef/>
        <w:tab/>
      </w:r>
      <w:r>
        <w:rPr>
          <w:rStyle w:val="Footnotereference"/>
        </w:rPr>
        <w:tab/>
        <w:t xml:space="preserve"> </w:t>
      </w:r>
      <w:r>
        <w:rPr>
          <w:rStyle w:val="Footnotereference"/>
          <w:rFonts w:ascii="Calibri" w:hAnsi="Calibri"/>
          <w:position w:val="0"/>
          <w:sz w:val="24"/>
          <w:vertAlign w:val="baseline"/>
        </w:rPr>
        <w:t>Hunter (2005),  Thucydides 2.5.6.2</w:t>
      </w:r>
      <w:r>
        <w:rPr>
          <w:rStyle w:val="Footnotereference"/>
        </w:rPr>
        <w:tab/>
        <w:tab/>
      </w:r>
      <w:r>
        <w:rPr/>
        <w:t xml:space="preserve"> </w:t>
      </w:r>
    </w:p>
  </w:footnote>
  <w:footnote w:id="27">
    <w:p>
      <w:pPr>
        <w:pStyle w:val="Footnotetext"/>
        <w:rPr/>
      </w:pPr>
      <w:r>
        <w:rPr>
          <w:rStyle w:val="Footnotereference"/>
        </w:rPr>
        <w:footnoteRef/>
        <w:tab/>
      </w:r>
      <w:r>
        <w:rPr>
          <w:rStyle w:val="Footnotereference"/>
        </w:rPr>
        <w:tab/>
        <w:t xml:space="preserve"> </w:t>
      </w:r>
      <w:r>
        <w:rPr>
          <w:rFonts w:ascii="Calibri" w:hAnsi="Calibri"/>
        </w:rPr>
        <w:t>Thucydides, 2.25</w:t>
      </w:r>
    </w:p>
  </w:footnote>
  <w:footnote w:id="28">
    <w:p>
      <w:pPr>
        <w:pStyle w:val="Footnotetext"/>
        <w:rPr/>
      </w:pPr>
      <w:r>
        <w:rPr>
          <w:rStyle w:val="Footnotereference"/>
        </w:rPr>
        <w:footnoteRef/>
        <w:tab/>
      </w:r>
      <w:r>
        <w:rPr>
          <w:rStyle w:val="Footnotereference"/>
        </w:rPr>
        <w:tab/>
        <w:t xml:space="preserve"> </w:t>
      </w:r>
      <w:r>
        <w:rPr>
          <w:rStyle w:val="Footnotereference"/>
          <w:rFonts w:ascii="Calibri" w:hAnsi="Calibri"/>
          <w:position w:val="0"/>
          <w:sz w:val="24"/>
          <w:vertAlign w:val="baseline"/>
        </w:rPr>
        <w:t>Thucydides, 1.134.4</w:t>
      </w:r>
      <w:r>
        <w:rPr>
          <w:rStyle w:val="Footnotereference"/>
          <w:rFonts w:ascii="Calibri" w:hAnsi="Calibri"/>
        </w:rPr>
        <w:tab/>
      </w:r>
      <w:r>
        <w:rPr>
          <w:rFonts w:ascii="Calibri" w:hAnsi="Calibri"/>
        </w:rPr>
        <w:t xml:space="preserve"> </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rFonts w:ascii="Calibri" w:hAnsi="Calibri" w:asciiTheme="minorHAnsi" w:hAnsiTheme="minorHAnsi"/>
      </w:rPr>
    </w:pPr>
    <w:r>
      <w:rPr>
        <w:rFonts w:ascii="Calibri" w:hAnsi="Calibri" w:asciiTheme="minorHAnsi" w:hAnsiTheme="minorHAnsi"/>
      </w:rPr>
      <w:t xml:space="preserve">Ted Kimber </w:t>
      <w:tab/>
      <w:tab/>
      <w:t>15/03/18</w:t>
    </w:r>
  </w:p>
</w:hdr>
</file>

<file path=word/settings.xml><?xml version="1.0" encoding="utf-8"?>
<w:settings xmlns:w="http://schemas.openxmlformats.org/wordprocessingml/2006/main">
  <w:zoom w:percent="100"/>
  <w:defaultTabStop w:val="720"/>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omic Sans MS" w:hAnsi="Comic Sans MS" w:eastAsia="Calibri" w:cs="Times New Roman" w:eastAsiaTheme="minorHAnsi"/>
        <w:color w:val="000000"/>
        <w:spacing w:val="20"/>
        <w:szCs w:val="24"/>
        <w:lang w:val="en-US"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styleId="Normal" w:default="1">
    <w:name w:val="Normal"/>
    <w:qFormat/>
    <w:rsid w:val="00c505f0"/>
    <w:pPr>
      <w:widowControl/>
      <w:bidi w:val="0"/>
      <w:spacing w:lineRule="auto" w:line="360"/>
      <w:jc w:val="left"/>
    </w:pPr>
    <w:rPr>
      <w:rFonts w:ascii="Comic Sans MS" w:hAnsi="Comic Sans MS" w:eastAsia="Calibri" w:cs="Times New Roman" w:eastAsiaTheme="minorHAnsi"/>
      <w:color w:val="000000"/>
      <w:spacing w:val="20"/>
      <w:kern w:val="0"/>
      <w:sz w:val="24"/>
      <w:szCs w:val="24"/>
      <w:lang w:val="en-GB" w:eastAsia="en-US" w:bidi="ar-SA"/>
    </w:rPr>
  </w:style>
  <w:style w:type="paragraph" w:styleId="Heading1">
    <w:name w:val="Heading 1"/>
    <w:basedOn w:val="Normal"/>
    <w:link w:val="Heading1Char"/>
    <w:uiPriority w:val="9"/>
    <w:qFormat/>
    <w:rsid w:val="001d120a"/>
    <w:pPr>
      <w:spacing w:lineRule="auto" w:line="240" w:beforeAutospacing="1" w:afterAutospacing="1"/>
      <w:outlineLvl w:val="0"/>
    </w:pPr>
    <w:rPr>
      <w:rFonts w:ascii="Times New Roman" w:hAnsi="Times New Roman"/>
      <w:b/>
      <w:bCs/>
      <w:color w:val="00000A"/>
      <w:spacing w:val="0"/>
      <w:kern w:val="2"/>
      <w:sz w:val="48"/>
      <w:szCs w:val="48"/>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7b137e"/>
    <w:rPr/>
  </w:style>
  <w:style w:type="character" w:styleId="FooterChar" w:customStyle="1">
    <w:name w:val="Footer Char"/>
    <w:basedOn w:val="DefaultParagraphFont"/>
    <w:link w:val="Footer"/>
    <w:uiPriority w:val="99"/>
    <w:qFormat/>
    <w:rsid w:val="007b137e"/>
    <w:rPr/>
  </w:style>
  <w:style w:type="character" w:styleId="FootnoteTextChar" w:customStyle="1">
    <w:name w:val="Footnote Text Char"/>
    <w:basedOn w:val="DefaultParagraphFont"/>
    <w:uiPriority w:val="99"/>
    <w:qFormat/>
    <w:rsid w:val="00f347df"/>
    <w:rPr/>
  </w:style>
  <w:style w:type="character" w:styleId="Footnotereference">
    <w:name w:val="footnote reference"/>
    <w:basedOn w:val="DefaultParagraphFont"/>
    <w:uiPriority w:val="99"/>
    <w:unhideWhenUsed/>
    <w:qFormat/>
    <w:rsid w:val="00f347df"/>
    <w:rPr>
      <w:vertAlign w:val="superscript"/>
    </w:rPr>
  </w:style>
  <w:style w:type="character" w:styleId="FootnoteCharacters" w:customStyle="1">
    <w:name w:val="Footnote Characters"/>
    <w:qFormat/>
    <w:rPr/>
  </w:style>
  <w:style w:type="character" w:styleId="FootnoteAnchor" w:customStyle="1">
    <w:name w:val="Footnote Anchor"/>
    <w:rPr>
      <w:vertAlign w:val="superscript"/>
    </w:rPr>
  </w:style>
  <w:style w:type="character" w:styleId="EndnoteAnchor" w:customStyle="1">
    <w:name w:val="Endnote Anchor"/>
    <w:rPr>
      <w:vertAlign w:val="superscript"/>
    </w:rPr>
  </w:style>
  <w:style w:type="character" w:styleId="EndnoteCharacters" w:customStyle="1">
    <w:name w:val="Endnote Characters"/>
    <w:qFormat/>
    <w:rPr/>
  </w:style>
  <w:style w:type="character" w:styleId="Heading1Char" w:customStyle="1">
    <w:name w:val="Heading 1 Char"/>
    <w:basedOn w:val="DefaultParagraphFont"/>
    <w:link w:val="Heading1"/>
    <w:uiPriority w:val="9"/>
    <w:qFormat/>
    <w:rsid w:val="001d120a"/>
    <w:rPr>
      <w:rFonts w:ascii="Times New Roman" w:hAnsi="Times New Roman"/>
      <w:b/>
      <w:bCs/>
      <w:color w:val="00000A"/>
      <w:spacing w:val="0"/>
      <w:kern w:val="2"/>
      <w:sz w:val="48"/>
      <w:szCs w:val="48"/>
    </w:rPr>
  </w:style>
  <w:style w:type="character" w:styleId="HTMLCite">
    <w:name w:val="HTML Cite"/>
    <w:basedOn w:val="DefaultParagraphFont"/>
    <w:uiPriority w:val="99"/>
    <w:semiHidden/>
    <w:unhideWhenUsed/>
    <w:qFormat/>
    <w:rsid w:val="00890e8e"/>
    <w:rPr>
      <w:i/>
      <w:iCs/>
    </w:rPr>
  </w:style>
  <w:style w:type="character" w:styleId="Title1" w:customStyle="1">
    <w:name w:val="title1"/>
    <w:basedOn w:val="DefaultParagraphFont"/>
    <w:qFormat/>
    <w:rsid w:val="00db2db4"/>
    <w:rPr/>
  </w:style>
  <w:style w:type="paragraph" w:styleId="Heading" w:customStyle="1">
    <w:name w:val="Heading"/>
    <w:basedOn w:val="Normal"/>
    <w:next w:val="TextBody"/>
    <w:qFormat/>
    <w:pPr>
      <w:keepNext w:val="true"/>
      <w:spacing w:before="240" w:after="120"/>
    </w:pPr>
    <w:rPr>
      <w:rFonts w:ascii="Liberation Sans" w:hAnsi="Liberation Sans" w:eastAsia="Microsoft YaHei" w:cs="Mang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 w:customStyle="1">
    <w:name w:val="Index"/>
    <w:basedOn w:val="Normal"/>
    <w:qFormat/>
    <w:pPr>
      <w:suppressLineNumbers/>
    </w:pPr>
    <w:rPr>
      <w:rFonts w:cs="Mangal"/>
    </w:rPr>
  </w:style>
  <w:style w:type="paragraph" w:styleId="Caption1">
    <w:name w:val="caption"/>
    <w:basedOn w:val="Normal"/>
    <w:qFormat/>
    <w:pPr>
      <w:suppressLineNumbers/>
      <w:spacing w:before="120" w:after="120"/>
    </w:pPr>
    <w:rPr>
      <w:rFonts w:cs="Mangal"/>
      <w:i/>
      <w:iCs/>
    </w:rPr>
  </w:style>
  <w:style w:type="paragraph" w:styleId="Header">
    <w:name w:val="Header"/>
    <w:basedOn w:val="Normal"/>
    <w:link w:val="HeaderChar"/>
    <w:uiPriority w:val="99"/>
    <w:unhideWhenUsed/>
    <w:rsid w:val="007b137e"/>
    <w:pPr>
      <w:tabs>
        <w:tab w:val="center" w:pos="4513" w:leader="none"/>
        <w:tab w:val="right" w:pos="9026" w:leader="none"/>
      </w:tabs>
      <w:spacing w:lineRule="auto" w:line="240"/>
    </w:pPr>
    <w:rPr/>
  </w:style>
  <w:style w:type="paragraph" w:styleId="Footer">
    <w:name w:val="Footer"/>
    <w:basedOn w:val="Normal"/>
    <w:link w:val="FooterChar"/>
    <w:uiPriority w:val="99"/>
    <w:unhideWhenUsed/>
    <w:rsid w:val="007b137e"/>
    <w:pPr>
      <w:tabs>
        <w:tab w:val="center" w:pos="4513" w:leader="none"/>
        <w:tab w:val="right" w:pos="9026" w:leader="none"/>
      </w:tabs>
      <w:spacing w:lineRule="auto" w:line="240"/>
    </w:pPr>
    <w:rPr/>
  </w:style>
  <w:style w:type="paragraph" w:styleId="Footnotetext">
    <w:name w:val="footnote text"/>
    <w:basedOn w:val="Normal"/>
    <w:qFormat/>
    <w:pPr/>
    <w:rPr/>
  </w:style>
  <w:style w:type="paragraph" w:styleId="Endnotetext">
    <w:name w:val="endnote text"/>
    <w:basedOn w:val="Normal"/>
    <w:qFormat/>
    <w:pPr>
      <w:suppressLineNumbers/>
      <w:ind w:left="339" w:hanging="339"/>
    </w:pPr>
    <w:rPr>
      <w:sz w:val="20"/>
      <w:szCs w:val="20"/>
    </w:rPr>
  </w:style>
  <w:style w:type="paragraph" w:styleId="Footnote">
    <w:name w:val="Footnote Text"/>
    <w:basedOn w:val="Normal"/>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otnotes" Target="footnot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9ECD258-2B5D-4AC2-94D4-9A7395F35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Application>LibreOffice/5.4.5.1$Windows_X86_64 LibreOffice_project/79c9829dd5d8054ec39a82dc51cd9eff340dbee8</Application>
  <Pages>8</Pages>
  <Words>2701</Words>
  <Characters>13904</Characters>
  <CharactersWithSpaces>16638</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2018-03-15T17:53:00Z</dcterms:created>
  <dc:creator>Paul Kimber</dc:creator>
  <dc:description/>
  <dc:language>en-GB</dc:language>
  <cp:lastModifiedBy/>
  <dcterms:modified xsi:type="dcterms:W3CDTF">2018-03-15T21:46:07Z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