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both"/>
        <w:rPr>
          <w:rFonts w:ascii="Times New Roman" w:hAnsi="Times New Roman" w:cs="Times New Roman" w:eastAsia="Times New Roman"/>
          <w:color w:val="auto"/>
          <w:spacing w:val="0"/>
          <w:position w:val="0"/>
          <w:sz w:val="40"/>
          <w:shd w:fill="auto" w:val="clear"/>
        </w:rPr>
      </w:pPr>
      <w:r>
        <w:rPr>
          <w:rFonts w:ascii="Times New Roman" w:hAnsi="Times New Roman" w:cs="Times New Roman" w:eastAsia="Times New Roman"/>
          <w:color w:val="auto"/>
          <w:spacing w:val="0"/>
          <w:position w:val="0"/>
          <w:sz w:val="40"/>
          <w:shd w:fill="auto" w:val="clear"/>
        </w:rPr>
        <w:t xml:space="preserve">       </w:t>
      </w:r>
      <w:r>
        <w:rPr>
          <w:rFonts w:ascii="Times New Roman" w:hAnsi="Times New Roman" w:cs="Times New Roman" w:eastAsia="Times New Roman"/>
          <w:color w:val="auto"/>
          <w:spacing w:val="0"/>
          <w:position w:val="0"/>
          <w:sz w:val="40"/>
          <w:shd w:fill="auto" w:val="clear"/>
        </w:rPr>
        <w:t xml:space="preserve">Digital Skills and Research Method</w:t>
      </w:r>
    </w:p>
    <w:p>
      <w:pPr>
        <w:spacing w:before="0" w:after="160" w:line="360"/>
        <w:ind w:right="0" w:left="0" w:firstLine="0"/>
        <w:jc w:val="both"/>
        <w:rPr>
          <w:rFonts w:ascii="Times New Roman" w:hAnsi="Times New Roman" w:cs="Times New Roman" w:eastAsia="Times New Roman"/>
          <w:color w:val="auto"/>
          <w:spacing w:val="0"/>
          <w:position w:val="0"/>
          <w:sz w:val="40"/>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Student ID</w:t>
      </w:r>
      <w:r>
        <w:rPr>
          <w:rFonts w:ascii="Times New Roman" w:hAnsi="Times New Roman" w:cs="Times New Roman" w:eastAsia="Times New Roman"/>
          <w:color w:val="auto"/>
          <w:spacing w:val="0"/>
          <w:position w:val="0"/>
          <w:sz w:val="28"/>
          <w:shd w:fill="auto" w:val="clear"/>
        </w:rPr>
        <w:t xml:space="preserve"> </w:t>
      </w:r>
      <w:r>
        <w:rPr>
          <w:rFonts w:ascii="Times New Roman" w:hAnsi="Times New Roman" w:cs="Times New Roman" w:eastAsia="Times New Roman"/>
          <w:color w:val="auto"/>
          <w:spacing w:val="0"/>
          <w:position w:val="0"/>
          <w:sz w:val="28"/>
          <w:shd w:fill="auto" w:val="clear"/>
        </w:rPr>
        <w:t xml:space="preserve">:1817741</w:t>
      </w:r>
    </w:p>
    <w:p>
      <w:pPr>
        <w:spacing w:before="0" w:after="160" w:line="360"/>
        <w:ind w:right="0" w:left="0" w:firstLine="0"/>
        <w:jc w:val="both"/>
        <w:rPr>
          <w:rFonts w:ascii="Arial" w:hAnsi="Arial" w:cs="Arial" w:eastAsia="Arial"/>
          <w:color w:val="auto"/>
          <w:spacing w:val="0"/>
          <w:position w:val="0"/>
          <w:sz w:val="22"/>
          <w:shd w:fill="auto" w:val="clear"/>
        </w:rPr>
      </w:pPr>
      <w:r>
        <w:rPr>
          <w:rFonts w:ascii="Times New Roman" w:hAnsi="Times New Roman" w:cs="Times New Roman" w:eastAsia="Times New Roman"/>
          <w:color w:val="auto"/>
          <w:spacing w:val="0"/>
          <w:position w:val="0"/>
          <w:sz w:val="28"/>
          <w:shd w:fill="auto" w:val="clear"/>
        </w:rPr>
        <w:t xml:space="preserve">Lector Name : Renuga Jayakumar</w:t>
      </w:r>
    </w:p>
    <w:p>
      <w:pPr>
        <w:spacing w:before="0" w:after="16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160" w:line="360"/>
        <w:ind w:right="0" w:left="0" w:firstLine="0"/>
        <w:jc w:val="left"/>
        <w:rPr>
          <w:rFonts w:ascii="Arial" w:hAnsi="Arial" w:cs="Arial" w:eastAsia="Arial"/>
          <w:color w:val="auto"/>
          <w:spacing w:val="0"/>
          <w:position w:val="0"/>
          <w:sz w:val="22"/>
          <w:shd w:fill="auto" w:val="clear"/>
        </w:rPr>
      </w:pPr>
    </w:p>
    <w:p>
      <w:pPr>
        <w:spacing w:before="0" w:after="16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160" w:line="360"/>
        <w:ind w:right="0" w:left="0" w:firstLine="0"/>
        <w:jc w:val="left"/>
        <w:rPr>
          <w:rFonts w:ascii="Arial" w:hAnsi="Arial" w:cs="Arial" w:eastAsia="Arial"/>
          <w:color w:val="auto"/>
          <w:spacing w:val="0"/>
          <w:position w:val="0"/>
          <w:sz w:val="22"/>
          <w:shd w:fill="auto" w:val="clear"/>
        </w:rPr>
      </w:pPr>
    </w:p>
    <w:p>
      <w:pPr>
        <w:keepNext w:val="true"/>
        <w:keepLines w:val="true"/>
        <w:spacing w:before="240" w:after="0" w:line="360"/>
        <w:ind w:right="0" w:left="0" w:firstLine="0"/>
        <w:jc w:val="both"/>
        <w:rPr>
          <w:rFonts w:ascii="Calibri Light" w:hAnsi="Calibri Light" w:cs="Calibri Light" w:eastAsia="Calibri Light"/>
          <w:color w:val="2E74B5"/>
          <w:spacing w:val="0"/>
          <w:position w:val="0"/>
          <w:sz w:val="32"/>
          <w:shd w:fill="auto" w:val="clear"/>
        </w:rPr>
      </w:pPr>
      <w:r>
        <w:rPr>
          <w:rFonts w:ascii="Calibri Light" w:hAnsi="Calibri Light" w:cs="Calibri Light" w:eastAsia="Calibri Light"/>
          <w:color w:val="2E74B5"/>
          <w:spacing w:val="0"/>
          <w:position w:val="0"/>
          <w:sz w:val="32"/>
          <w:shd w:fill="auto" w:val="clear"/>
        </w:rPr>
        <w:t xml:space="preserve">Title: </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Impact of Virtual Learning Environment- Moodle on student’s learning experience at the University of Wales Trinity Saint David London Campus</w:t>
      </w:r>
    </w:p>
    <w:p>
      <w:pPr>
        <w:keepNext w:val="true"/>
        <w:keepLines w:val="true"/>
        <w:spacing w:before="240" w:after="0" w:line="360"/>
        <w:ind w:right="0" w:left="0" w:firstLine="0"/>
        <w:jc w:val="both"/>
        <w:rPr>
          <w:rFonts w:ascii="Calibri Light" w:hAnsi="Calibri Light" w:cs="Calibri Light" w:eastAsia="Calibri Light"/>
          <w:color w:val="2E74B5"/>
          <w:spacing w:val="0"/>
          <w:position w:val="0"/>
          <w:sz w:val="32"/>
          <w:shd w:fill="auto" w:val="clear"/>
        </w:rPr>
      </w:pPr>
      <w:r>
        <w:rPr>
          <w:rFonts w:ascii="Calibri Light" w:hAnsi="Calibri Light" w:cs="Calibri Light" w:eastAsia="Calibri Light"/>
          <w:color w:val="2E74B5"/>
          <w:spacing w:val="0"/>
          <w:position w:val="0"/>
          <w:sz w:val="32"/>
          <w:shd w:fill="auto" w:val="clear"/>
        </w:rPr>
        <w:t xml:space="preserve">Rationale</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Almost 75% of the universities in the UK are establishing a virtual learning environment to assure effective distant learning systems to conduct educational courses and regarded as the future classroom. Virtual Learning Environment refers to the online classroom in a digital space where the teacher delivers their lectures and students attend the class with their smartphone of network connection (Huang, et al. 2019). The UK based universities are establishing virtual learning to provide the student to plan their learning schedule as per their comfort. This flexibility facilitates them to acquire complex topics watching them as much as they until they have understood it well watching the videos of the lectures uploaded (Suwais. and Alshahrani 2018). It aims at involving students in learning making them active learners promoting the critical thinking skill required for the transfer of classroom acquired knowledge into the clinical setting (Bos, et al. 2019). The teacher can deliver all the lectures and other instruction together to provide the students even in the remote area the opportunity to start learning from where they want to. Zhu, et al. (2019) studied that the virtual learning environment contributes to the flexibility of the teachers also as they don’t need to manage the classroom. The increasing use of handheld devices or computers has accelerated the scope of the virtual learning environment (Larmuseau, et al. 2018). However, the shortage of digital skills of the teachers, as well as the students, hinders the effectiveness in most cases; as there is hardly any interaction between the teachers and the students, the teachers cannot identify the learning gap of the students (Chaim, et al. 2018). The students often remain callous to their learning process and skip the lectures while life and the lesson remain unlearned to them for the lack of information. Alotebu, et al. (2018) opined that the organization arranges all the learning materials together in a platform in the VLE system to facilitate the students to find a compact package with all the necessary things. All the materials can be imported at once minimizing the time cost required to upload separately; the assessment, tracking, and communication tools in the VLE system contribute to organize, assess, and arrange the resources as per the choice of the teachers and the students integrating textbook and related words and visual items. Blackboard, Moodle 2.1, and SCORM are the mostly used VLE software of which Moodle is used in University of Wales Trinity Saint David in its London campus to facilitate the students in the remote area as well as who have already attended the classroom in order to maintain uninterrupted educational program without getting influenced by the personal issues of the teachers and the students (Xiaoyun and Siki, 2018). To eradicate the controversy regarding the effectiveness of VLE in accelerating the progress of the students and the experience in the course, comprehensive research requires to be conducted as an academician. The following section is going to illustrate the effectiveness of the VLE system considering the student’s experience in this university conducting both primary and secondary research. </w:t>
      </w:r>
    </w:p>
    <w:p>
      <w:pPr>
        <w:keepNext w:val="true"/>
        <w:keepLines w:val="true"/>
        <w:spacing w:before="40" w:after="0" w:line="360"/>
        <w:ind w:right="0" w:left="0" w:firstLine="0"/>
        <w:jc w:val="both"/>
        <w:rPr>
          <w:rFonts w:ascii="Calibri Light" w:hAnsi="Calibri Light" w:cs="Calibri Light" w:eastAsia="Calibri Light"/>
          <w:color w:val="2E74B5"/>
          <w:spacing w:val="0"/>
          <w:position w:val="0"/>
          <w:sz w:val="26"/>
          <w:shd w:fill="auto" w:val="clear"/>
        </w:rPr>
      </w:pPr>
      <w:r>
        <w:rPr>
          <w:rFonts w:ascii="Calibri Light" w:hAnsi="Calibri Light" w:cs="Calibri Light" w:eastAsia="Calibri Light"/>
          <w:color w:val="2E74B5"/>
          <w:spacing w:val="0"/>
          <w:position w:val="0"/>
          <w:sz w:val="26"/>
          <w:shd w:fill="auto" w:val="clear"/>
        </w:rPr>
        <w:t xml:space="preserve">Objectives: </w:t>
      </w:r>
    </w:p>
    <w:tbl>
      <w:tblPr/>
      <w:tblGrid>
        <w:gridCol w:w="9350"/>
      </w:tblGrid>
      <w:tr>
        <w:trPr>
          <w:trHeight w:val="1" w:hRule="atLeast"/>
          <w:jc w:val="left"/>
        </w:trPr>
        <w:tc>
          <w:tcPr>
            <w:tcW w:w="935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To understand the concept of Virtual Learning Environment and its contribution to the productivity of the institutional resources</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To assess the benefits of the VLE for the teachers in delivering and assessing the students in Moodle</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To evaluate the benefits enjoyed by the students in distant learning using Moodle</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To understand the constraints in the application of the VLE system with Moodle to maintain technology-fit with the students' and teacher’s capacity. </w:t>
            </w:r>
          </w:p>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To suggest a range of tasks  to avoid the hassles and formalities’ to collect the </w:t>
            </w:r>
          </w:p>
        </w:tc>
      </w:tr>
    </w:tbl>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160" w:line="360"/>
        <w:ind w:right="0" w:left="0" w:firstLine="0"/>
        <w:jc w:val="left"/>
        <w:rPr>
          <w:rFonts w:ascii="Arial" w:hAnsi="Arial" w:cs="Arial" w:eastAsia="Arial"/>
          <w:color w:val="auto"/>
          <w:spacing w:val="0"/>
          <w:position w:val="0"/>
          <w:sz w:val="22"/>
          <w:shd w:fill="auto" w:val="clear"/>
        </w:rPr>
      </w:pPr>
    </w:p>
    <w:p>
      <w:pPr>
        <w:keepNext w:val="true"/>
        <w:keepLines w:val="true"/>
        <w:spacing w:before="240" w:after="0" w:line="360"/>
        <w:ind w:right="0" w:left="0" w:firstLine="0"/>
        <w:jc w:val="both"/>
        <w:rPr>
          <w:rFonts w:ascii="Calibri Light" w:hAnsi="Calibri Light" w:cs="Calibri Light" w:eastAsia="Calibri Light"/>
          <w:color w:val="2E74B5"/>
          <w:spacing w:val="0"/>
          <w:position w:val="0"/>
          <w:sz w:val="32"/>
          <w:shd w:fill="auto" w:val="clear"/>
        </w:rPr>
      </w:pPr>
      <w:r>
        <w:rPr>
          <w:rFonts w:ascii="Calibri Light" w:hAnsi="Calibri Light" w:cs="Calibri Light" w:eastAsia="Calibri Light"/>
          <w:color w:val="2E74B5"/>
          <w:spacing w:val="0"/>
          <w:position w:val="0"/>
          <w:sz w:val="32"/>
          <w:shd w:fill="auto" w:val="clear"/>
        </w:rPr>
        <w:t xml:space="preserve">Methodology </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Methodology refers to the blueprint of conducting the research within the timeframe that included selecting the appropriate tools and techniques to conduct the research (Kumar, 2019). The following section is going to show the methodology of conducting research on the assessment of the impact of VLE (Moodle) on student’s experience in the London campus of the University of Wales Trinity Saint David. </w:t>
      </w:r>
    </w:p>
    <w:p>
      <w:pPr>
        <w:keepNext w:val="true"/>
        <w:keepLines w:val="true"/>
        <w:spacing w:before="40" w:after="0" w:line="360"/>
        <w:ind w:right="0" w:left="0" w:firstLine="0"/>
        <w:jc w:val="both"/>
        <w:rPr>
          <w:rFonts w:ascii="Calibri Light" w:hAnsi="Calibri Light" w:cs="Calibri Light" w:eastAsia="Calibri Light"/>
          <w:color w:val="2E74B5"/>
          <w:spacing w:val="0"/>
          <w:position w:val="0"/>
          <w:sz w:val="26"/>
          <w:shd w:fill="auto" w:val="clear"/>
        </w:rPr>
      </w:pPr>
      <w:r>
        <w:rPr>
          <w:rFonts w:ascii="Calibri Light" w:hAnsi="Calibri Light" w:cs="Calibri Light" w:eastAsia="Calibri Light"/>
          <w:color w:val="2E74B5"/>
          <w:spacing w:val="0"/>
          <w:position w:val="0"/>
          <w:sz w:val="26"/>
          <w:shd w:fill="auto" w:val="clear"/>
        </w:rPr>
        <w:t xml:space="preserve">Research design</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Descriptive research has been conducted to get an insight into the student’s experience on the application of in University of Wales Trinity Saint David as here only the opinion of the students will be illustrated to find the conclusion whether they find it favorable or not. Exploratory research could not be conducted as no new concept has been developed; on the other hand, causal research has been avoided as the research is not concerned about the cause and effect relationship of these variables. </w:t>
      </w:r>
    </w:p>
    <w:p>
      <w:pPr>
        <w:keepNext w:val="true"/>
        <w:keepLines w:val="true"/>
        <w:spacing w:before="40" w:after="0" w:line="360"/>
        <w:ind w:right="0" w:left="0" w:firstLine="0"/>
        <w:jc w:val="both"/>
        <w:rPr>
          <w:rFonts w:ascii="Calibri Light" w:hAnsi="Calibri Light" w:cs="Calibri Light" w:eastAsia="Calibri Light"/>
          <w:color w:val="2E74B5"/>
          <w:spacing w:val="0"/>
          <w:position w:val="0"/>
          <w:sz w:val="26"/>
          <w:shd w:fill="auto" w:val="clear"/>
        </w:rPr>
      </w:pPr>
      <w:r>
        <w:rPr>
          <w:rFonts w:ascii="Calibri Light" w:hAnsi="Calibri Light" w:cs="Calibri Light" w:eastAsia="Calibri Light"/>
          <w:color w:val="2E74B5"/>
          <w:spacing w:val="0"/>
          <w:position w:val="0"/>
          <w:sz w:val="26"/>
          <w:shd w:fill="auto" w:val="clear"/>
        </w:rPr>
        <w:t xml:space="preserve">Research philosophy</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Research philosophy shows the research is going to be conducted to obtain the research objectives. Among pragmatism, positivism, and interpretivism, this research used positivism. Positivism philosophy explains that the research must have a strong theoretical background and with quantitative research, the research problem will be solved (Ledford and Gast, 2018). However, as this research problem is well-structured and objective, the positivist philosophy was followed here in this research instead of using pragmatism or interpretivism. Interpretivism philosophy is used to solve the subjective problem with qualitative research whereas pragmatism is used when the research problem cannot be solved with the quantitative research only. </w:t>
      </w:r>
    </w:p>
    <w:p>
      <w:pPr>
        <w:keepNext w:val="true"/>
        <w:keepLines w:val="true"/>
        <w:spacing w:before="40" w:after="0" w:line="360"/>
        <w:ind w:right="0" w:left="0" w:firstLine="0"/>
        <w:jc w:val="both"/>
        <w:rPr>
          <w:rFonts w:ascii="Calibri Light" w:hAnsi="Calibri Light" w:cs="Calibri Light" w:eastAsia="Calibri Light"/>
          <w:color w:val="2E74B5"/>
          <w:spacing w:val="0"/>
          <w:position w:val="0"/>
          <w:sz w:val="26"/>
          <w:shd w:fill="auto" w:val="clear"/>
        </w:rPr>
      </w:pPr>
      <w:r>
        <w:rPr>
          <w:rFonts w:ascii="Calibri Light" w:hAnsi="Calibri Light" w:cs="Calibri Light" w:eastAsia="Calibri Light"/>
          <w:color w:val="2E74B5"/>
          <w:spacing w:val="0"/>
          <w:position w:val="0"/>
          <w:sz w:val="26"/>
          <w:shd w:fill="auto" w:val="clear"/>
        </w:rPr>
        <w:t xml:space="preserve">Research approach </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Using the deductive and inductive approach, research can be conducted. This research followed the deductive approach. The deductive approach suggests to build a hypothesis based on the theoretical background, collect primary or secondary data, test it to prove the hypothesis. On the contrary, the inductive research approach is used to build theory using an exploratory research method (Quinlan, et al. 2019). Therefore, this research avoided an inductive research method to solve the research problem. </w:t>
      </w:r>
    </w:p>
    <w:p>
      <w:pPr>
        <w:keepNext w:val="true"/>
        <w:keepLines w:val="true"/>
        <w:spacing w:before="40" w:after="0" w:line="360"/>
        <w:ind w:right="0" w:left="0" w:firstLine="0"/>
        <w:jc w:val="both"/>
        <w:rPr>
          <w:rFonts w:ascii="Calibri Light" w:hAnsi="Calibri Light" w:cs="Calibri Light" w:eastAsia="Calibri Light"/>
          <w:color w:val="2E74B5"/>
          <w:spacing w:val="0"/>
          <w:position w:val="0"/>
          <w:sz w:val="26"/>
          <w:shd w:fill="auto" w:val="clear"/>
        </w:rPr>
      </w:pPr>
      <w:r>
        <w:rPr>
          <w:rFonts w:ascii="Calibri Light" w:hAnsi="Calibri Light" w:cs="Calibri Light" w:eastAsia="Calibri Light"/>
          <w:color w:val="2E74B5"/>
          <w:spacing w:val="0"/>
          <w:position w:val="0"/>
          <w:sz w:val="26"/>
          <w:shd w:fill="auto" w:val="clear"/>
        </w:rPr>
        <w:t xml:space="preserve">Research choice: </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Qualitative and quantitative research could be conducted to resolve this research problem (Rosskam, 2018). The quantitative research is used in case of objective research problem presenting data in a numerical way using graphs and charts whereas qualitative research is conducted to solve the subjective research issues defining the reasons for such effect. However, this research was quantitative research as the research problem is well-defined and backed by theories and concept building a hypothesis. </w:t>
      </w:r>
    </w:p>
    <w:p>
      <w:pPr>
        <w:keepNext w:val="true"/>
        <w:keepLines w:val="true"/>
        <w:spacing w:before="40" w:after="0" w:line="360"/>
        <w:ind w:right="0" w:left="0" w:firstLine="0"/>
        <w:jc w:val="both"/>
        <w:rPr>
          <w:rFonts w:ascii="Calibri Light" w:hAnsi="Calibri Light" w:cs="Calibri Light" w:eastAsia="Calibri Light"/>
          <w:color w:val="2E74B5"/>
          <w:spacing w:val="0"/>
          <w:position w:val="0"/>
          <w:sz w:val="26"/>
          <w:shd w:fill="auto" w:val="clear"/>
        </w:rPr>
      </w:pPr>
      <w:r>
        <w:rPr>
          <w:rFonts w:ascii="Calibri Light" w:hAnsi="Calibri Light" w:cs="Calibri Light" w:eastAsia="Calibri Light"/>
          <w:color w:val="2E74B5"/>
          <w:spacing w:val="0"/>
          <w:position w:val="0"/>
          <w:sz w:val="26"/>
          <w:shd w:fill="auto" w:val="clear"/>
        </w:rPr>
        <w:t xml:space="preserve">Research strategy: </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There are seven research strategies to collect data from the population, such as archival research (using the published data), action research case study, grounded theory, experiment, survey, and ethnography (Mohajan, 2018). This research followed the survey method to collect primary data from the population or respondents and the secondary data has been collected using archival research methods to gather the relevant data from published sources. </w:t>
      </w:r>
    </w:p>
    <w:p>
      <w:pPr>
        <w:keepNext w:val="true"/>
        <w:keepLines w:val="true"/>
        <w:spacing w:before="40" w:after="0" w:line="360"/>
        <w:ind w:right="0" w:left="0" w:firstLine="0"/>
        <w:jc w:val="both"/>
        <w:rPr>
          <w:rFonts w:ascii="Calibri Light" w:hAnsi="Calibri Light" w:cs="Calibri Light" w:eastAsia="Calibri Light"/>
          <w:color w:val="2E74B5"/>
          <w:spacing w:val="0"/>
          <w:position w:val="0"/>
          <w:sz w:val="26"/>
          <w:shd w:fill="auto" w:val="clear"/>
        </w:rPr>
      </w:pPr>
      <w:r>
        <w:rPr>
          <w:rFonts w:ascii="Calibri Light" w:hAnsi="Calibri Light" w:cs="Calibri Light" w:eastAsia="Calibri Light"/>
          <w:color w:val="2E74B5"/>
          <w:spacing w:val="0"/>
          <w:position w:val="0"/>
          <w:sz w:val="26"/>
          <w:shd w:fill="auto" w:val="clear"/>
        </w:rPr>
        <w:t xml:space="preserve">Data collection method: </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Primary and secondary research is conducted to collect data from the relevant sources and explain the research problem. Primary data was collected from the respondents directly conducting research in the presence of the researcher with a survey strategy. Secondary research was collected from the desk research collecting data from published resources, such as newspaper, authentic online statistics cites, and previously conducted research papers. </w:t>
      </w:r>
    </w:p>
    <w:p>
      <w:pPr>
        <w:keepNext w:val="true"/>
        <w:keepLines w:val="true"/>
        <w:spacing w:before="40" w:after="0" w:line="360"/>
        <w:ind w:right="0" w:left="0" w:firstLine="0"/>
        <w:jc w:val="both"/>
        <w:rPr>
          <w:rFonts w:ascii="Calibri Light" w:hAnsi="Calibri Light" w:cs="Calibri Light" w:eastAsia="Calibri Light"/>
          <w:color w:val="2E74B5"/>
          <w:spacing w:val="0"/>
          <w:position w:val="0"/>
          <w:sz w:val="26"/>
          <w:shd w:fill="auto" w:val="clear"/>
        </w:rPr>
      </w:pPr>
      <w:r>
        <w:rPr>
          <w:rFonts w:ascii="Calibri Light" w:hAnsi="Calibri Light" w:cs="Calibri Light" w:eastAsia="Calibri Light"/>
          <w:color w:val="2E74B5"/>
          <w:spacing w:val="0"/>
          <w:position w:val="0"/>
          <w:sz w:val="26"/>
          <w:shd w:fill="auto" w:val="clear"/>
        </w:rPr>
        <w:t xml:space="preserve">Data analysis and sampling technique: </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To assess the primary data collected from the respondents, graphs, charts, and statistical tools like mean, mode, and standard deviation were used in the research and to assess the secondary data, trend analysis was followed. The population of this research was the students of the University of Wales Trinity Saint David and using simple random sampling from the probability sampling method was used to select respondents. However, the response has been collected from 50 students to conduct the primary research using a seven-point Likert scale.</w:t>
      </w:r>
    </w:p>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160" w:line="360"/>
        <w:ind w:right="0" w:left="0" w:firstLine="0"/>
        <w:jc w:val="left"/>
        <w:rPr>
          <w:rFonts w:ascii="Arial" w:hAnsi="Arial" w:cs="Arial" w:eastAsia="Arial"/>
          <w:color w:val="auto"/>
          <w:spacing w:val="0"/>
          <w:position w:val="0"/>
          <w:sz w:val="22"/>
          <w:shd w:fill="auto" w:val="clear"/>
        </w:rPr>
      </w:pPr>
    </w:p>
    <w:p>
      <w:pPr>
        <w:keepNext w:val="true"/>
        <w:keepLines w:val="true"/>
        <w:spacing w:before="240" w:after="0" w:line="360"/>
        <w:ind w:right="0" w:left="0" w:firstLine="0"/>
        <w:jc w:val="both"/>
        <w:rPr>
          <w:rFonts w:ascii="Calibri Light" w:hAnsi="Calibri Light" w:cs="Calibri Light" w:eastAsia="Calibri Light"/>
          <w:color w:val="2E74B5"/>
          <w:spacing w:val="0"/>
          <w:position w:val="0"/>
          <w:sz w:val="32"/>
          <w:shd w:fill="auto" w:val="clear"/>
        </w:rPr>
      </w:pPr>
      <w:r>
        <w:rPr>
          <w:rFonts w:ascii="Calibri Light" w:hAnsi="Calibri Light" w:cs="Calibri Light" w:eastAsia="Calibri Light"/>
          <w:color w:val="2E74B5"/>
          <w:spacing w:val="0"/>
          <w:position w:val="0"/>
          <w:sz w:val="32"/>
          <w:shd w:fill="auto" w:val="clear"/>
        </w:rPr>
        <w:t xml:space="preserve">Data analysis and interpretation </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Both the primary and secondary data has been collected to understand the students’ response and previously journals and other publishing. The following result has been found after conducting the survey. </w:t>
      </w:r>
    </w:p>
    <w:p>
      <w:pPr>
        <w:keepNext w:val="true"/>
        <w:keepLines w:val="true"/>
        <w:spacing w:before="40" w:after="0" w:line="360"/>
        <w:ind w:right="0" w:left="0" w:firstLine="0"/>
        <w:jc w:val="both"/>
        <w:rPr>
          <w:rFonts w:ascii="Calibri Light" w:hAnsi="Calibri Light" w:cs="Calibri Light" w:eastAsia="Calibri Light"/>
          <w:color w:val="2E74B5"/>
          <w:spacing w:val="0"/>
          <w:position w:val="0"/>
          <w:sz w:val="26"/>
          <w:shd w:fill="auto" w:val="clear"/>
        </w:rPr>
      </w:pPr>
      <w:r>
        <w:rPr>
          <w:rFonts w:ascii="Calibri Light" w:hAnsi="Calibri Light" w:cs="Calibri Light" w:eastAsia="Calibri Light"/>
          <w:color w:val="2E74B5"/>
          <w:spacing w:val="0"/>
          <w:position w:val="0"/>
          <w:sz w:val="26"/>
          <w:shd w:fill="auto" w:val="clear"/>
        </w:rPr>
        <w:t xml:space="preserve">Primary Data Analysis </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Focusing on the benefits and constraints of VLE, the research question has been designed and the decision has been taken on how it is improving the students’ experience at the University of Wales Trinity Saint David. </w:t>
      </w:r>
    </w:p>
    <w:p>
      <w:pPr>
        <w:keepNext w:val="true"/>
        <w:keepLines w:val="true"/>
        <w:spacing w:before="40" w:after="0" w:line="360"/>
        <w:ind w:right="0" w:left="0" w:firstLine="0"/>
        <w:jc w:val="both"/>
        <w:rPr>
          <w:rFonts w:ascii="Calibri Light" w:hAnsi="Calibri Light" w:cs="Calibri Light" w:eastAsia="Calibri Light"/>
          <w:color w:val="1F4D78"/>
          <w:spacing w:val="0"/>
          <w:position w:val="0"/>
          <w:sz w:val="24"/>
          <w:shd w:fill="auto" w:val="clear"/>
        </w:rPr>
      </w:pPr>
      <w:r>
        <w:rPr>
          <w:rFonts w:ascii="Calibri Light" w:hAnsi="Calibri Light" w:cs="Calibri Light" w:eastAsia="Calibri Light"/>
          <w:color w:val="1F4D78"/>
          <w:spacing w:val="0"/>
          <w:position w:val="0"/>
          <w:sz w:val="24"/>
          <w:shd w:fill="auto" w:val="clear"/>
        </w:rPr>
        <w:t xml:space="preserve">Flexibility at learning: </w:t>
      </w:r>
    </w:p>
    <w:tbl>
      <w:tblPr/>
      <w:tblGrid>
        <w:gridCol w:w="636"/>
        <w:gridCol w:w="8714"/>
      </w:tblGrid>
      <w:tr>
        <w:trPr>
          <w:trHeight w:val="323" w:hRule="auto"/>
          <w:jc w:val="left"/>
        </w:trPr>
        <w:tc>
          <w:tcPr>
            <w:tcW w:w="63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FL</w:t>
            </w:r>
          </w:p>
        </w:tc>
        <w:tc>
          <w:tcPr>
            <w:tcW w:w="871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rFonts w:ascii="Calibri" w:hAnsi="Calibri" w:cs="Calibri" w:eastAsia="Calibri"/>
                <w:spacing w:val="0"/>
                <w:position w:val="0"/>
                <w:sz w:val="22"/>
                <w:shd w:fill="auto" w:val="clear"/>
              </w:rPr>
            </w:pPr>
            <w:r>
              <w:rPr>
                <w:rFonts w:ascii="Calibri" w:hAnsi="Calibri" w:cs="Calibri" w:eastAsia="Calibri"/>
                <w:b/>
                <w:color w:val="000000"/>
                <w:spacing w:val="0"/>
                <w:position w:val="0"/>
                <w:sz w:val="22"/>
                <w:shd w:fill="auto" w:val="clear"/>
              </w:rPr>
              <w:t xml:space="preserve">Flexibility at learning </w:t>
            </w:r>
          </w:p>
        </w:tc>
      </w:tr>
      <w:tr>
        <w:trPr>
          <w:trHeight w:val="330" w:hRule="auto"/>
          <w:jc w:val="left"/>
        </w:trPr>
        <w:tc>
          <w:tcPr>
            <w:tcW w:w="63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FL1</w:t>
            </w:r>
          </w:p>
        </w:tc>
        <w:tc>
          <w:tcPr>
            <w:tcW w:w="871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I think it is effective as the students can repeatedly watch the lecture and acquire the topic</w:t>
            </w:r>
          </w:p>
        </w:tc>
      </w:tr>
      <w:tr>
        <w:trPr>
          <w:trHeight w:val="330" w:hRule="auto"/>
          <w:jc w:val="left"/>
        </w:trPr>
        <w:tc>
          <w:tcPr>
            <w:tcW w:w="63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FL2</w:t>
            </w:r>
          </w:p>
        </w:tc>
        <w:tc>
          <w:tcPr>
            <w:tcW w:w="871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I believe the teacher can enjoy a flexible schedule and free from classroom management</w:t>
            </w:r>
          </w:p>
        </w:tc>
      </w:tr>
      <w:tr>
        <w:trPr>
          <w:trHeight w:val="330" w:hRule="auto"/>
          <w:jc w:val="left"/>
        </w:trPr>
        <w:tc>
          <w:tcPr>
            <w:tcW w:w="63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FL3</w:t>
            </w:r>
          </w:p>
        </w:tc>
        <w:tc>
          <w:tcPr>
            <w:tcW w:w="871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The integrated textbooks and other electronic paper contributes to reducing searching cost </w:t>
            </w:r>
          </w:p>
        </w:tc>
      </w:tr>
      <w:tr>
        <w:trPr>
          <w:trHeight w:val="330" w:hRule="auto"/>
          <w:jc w:val="left"/>
        </w:trPr>
        <w:tc>
          <w:tcPr>
            <w:tcW w:w="63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FL4</w:t>
            </w:r>
          </w:p>
        </w:tc>
        <w:tc>
          <w:tcPr>
            <w:tcW w:w="871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The teachers can track the progress of the students through their activities in Moodle</w:t>
            </w:r>
          </w:p>
        </w:tc>
      </w:tr>
    </w:tbl>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84% of respondents have opined that it is effective for them as they can repeatedly watch the lecture until they have acquired it. 94% of them declared that the teachers are also facilitated with the program as they don’t have to control the classroom environment. 88% of the participants opined that the integration of the prescribed textbooks and other materials together reduces their search cost and enrich the experience. 96% of them have described that their progress can be tracked with the VLE system that improves the course planning accordingly. </w:t>
      </w:r>
    </w:p>
    <w:tbl>
      <w:tblPr/>
      <w:tblGrid>
        <w:gridCol w:w="3820"/>
        <w:gridCol w:w="1600"/>
        <w:gridCol w:w="1320"/>
        <w:gridCol w:w="1320"/>
        <w:gridCol w:w="1320"/>
      </w:tblGrid>
      <w:tr>
        <w:trPr>
          <w:trHeight w:val="315" w:hRule="auto"/>
          <w:jc w:val="left"/>
        </w:trPr>
        <w:tc>
          <w:tcPr>
            <w:tcW w:w="3820" w:type="dxa"/>
            <w:tcBorders>
              <w:top w:val="single" w:color="000000" w:sz="4"/>
              <w:left w:val="single" w:color="000000" w:sz="4"/>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Flexibility at learning </w:t>
            </w:r>
          </w:p>
        </w:tc>
        <w:tc>
          <w:tcPr>
            <w:tcW w:w="1600" w:type="dxa"/>
            <w:tcBorders>
              <w:top w:val="single" w:color="000000" w:sz="4"/>
              <w:left w:val="single" w:color="000000" w:sz="0"/>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FL1</w:t>
            </w:r>
          </w:p>
        </w:tc>
        <w:tc>
          <w:tcPr>
            <w:tcW w:w="1320" w:type="dxa"/>
            <w:tcBorders>
              <w:top w:val="single" w:color="000000" w:sz="4"/>
              <w:left w:val="single" w:color="000000" w:sz="0"/>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FL2</w:t>
            </w:r>
          </w:p>
        </w:tc>
        <w:tc>
          <w:tcPr>
            <w:tcW w:w="1320" w:type="dxa"/>
            <w:tcBorders>
              <w:top w:val="single" w:color="000000" w:sz="4"/>
              <w:left w:val="single" w:color="000000" w:sz="0"/>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FL3</w:t>
            </w:r>
          </w:p>
        </w:tc>
        <w:tc>
          <w:tcPr>
            <w:tcW w:w="1320" w:type="dxa"/>
            <w:tcBorders>
              <w:top w:val="single" w:color="000000" w:sz="4"/>
              <w:left w:val="single" w:color="000000" w:sz="0"/>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FL4</w:t>
            </w:r>
          </w:p>
        </w:tc>
      </w:tr>
      <w:tr>
        <w:trPr>
          <w:trHeight w:val="315" w:hRule="auto"/>
          <w:jc w:val="left"/>
        </w:trPr>
        <w:tc>
          <w:tcPr>
            <w:tcW w:w="3820" w:type="dxa"/>
            <w:tcBorders>
              <w:top w:val="single" w:color="000000" w:sz="0"/>
              <w:left w:val="single" w:color="000000" w:sz="4"/>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Mean</w:t>
            </w:r>
          </w:p>
        </w:tc>
        <w:tc>
          <w:tcPr>
            <w:tcW w:w="160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righ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6.06</w:t>
            </w:r>
          </w:p>
        </w:tc>
        <w:tc>
          <w:tcPr>
            <w:tcW w:w="132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righ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6.08</w:t>
            </w:r>
          </w:p>
        </w:tc>
        <w:tc>
          <w:tcPr>
            <w:tcW w:w="132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righ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6.08</w:t>
            </w:r>
          </w:p>
        </w:tc>
        <w:tc>
          <w:tcPr>
            <w:tcW w:w="132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righ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6.10</w:t>
            </w:r>
          </w:p>
        </w:tc>
      </w:tr>
      <w:tr>
        <w:trPr>
          <w:trHeight w:val="315" w:hRule="auto"/>
          <w:jc w:val="left"/>
        </w:trPr>
        <w:tc>
          <w:tcPr>
            <w:tcW w:w="3820" w:type="dxa"/>
            <w:tcBorders>
              <w:top w:val="single" w:color="000000" w:sz="0"/>
              <w:left w:val="single" w:color="000000" w:sz="4"/>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Mode</w:t>
            </w:r>
          </w:p>
        </w:tc>
        <w:tc>
          <w:tcPr>
            <w:tcW w:w="160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righ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6</w:t>
            </w:r>
          </w:p>
        </w:tc>
        <w:tc>
          <w:tcPr>
            <w:tcW w:w="132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righ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6</w:t>
            </w:r>
          </w:p>
        </w:tc>
        <w:tc>
          <w:tcPr>
            <w:tcW w:w="132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righ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6</w:t>
            </w:r>
          </w:p>
        </w:tc>
        <w:tc>
          <w:tcPr>
            <w:tcW w:w="132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righ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6</w:t>
            </w:r>
          </w:p>
        </w:tc>
      </w:tr>
      <w:tr>
        <w:trPr>
          <w:trHeight w:val="315" w:hRule="auto"/>
          <w:jc w:val="left"/>
        </w:trPr>
        <w:tc>
          <w:tcPr>
            <w:tcW w:w="3820" w:type="dxa"/>
            <w:tcBorders>
              <w:top w:val="single" w:color="000000" w:sz="0"/>
              <w:left w:val="single" w:color="000000" w:sz="4"/>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SD</w:t>
            </w:r>
          </w:p>
        </w:tc>
        <w:tc>
          <w:tcPr>
            <w:tcW w:w="160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righ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0.68</w:t>
            </w:r>
          </w:p>
        </w:tc>
        <w:tc>
          <w:tcPr>
            <w:tcW w:w="132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righ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0.44</w:t>
            </w:r>
          </w:p>
        </w:tc>
        <w:tc>
          <w:tcPr>
            <w:tcW w:w="132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righ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0.57</w:t>
            </w:r>
          </w:p>
        </w:tc>
        <w:tc>
          <w:tcPr>
            <w:tcW w:w="132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righ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0.42</w:t>
            </w:r>
          </w:p>
        </w:tc>
      </w:tr>
    </w:tbl>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mean and mode have explained that most of the respondents are agreeing with the researcher in all questions and the standard deviation less than 1 validates the claim that the benefits of the VLE system improve the experience of teachers as well as the students. </w:t>
      </w:r>
    </w:p>
    <w:p>
      <w:pPr>
        <w:keepNext w:val="true"/>
        <w:keepLines w:val="true"/>
        <w:spacing w:before="40" w:after="0" w:line="360"/>
        <w:ind w:right="0" w:left="0" w:firstLine="0"/>
        <w:jc w:val="both"/>
        <w:rPr>
          <w:rFonts w:ascii="Calibri Light" w:hAnsi="Calibri Light" w:cs="Calibri Light" w:eastAsia="Calibri Light"/>
          <w:color w:val="1F4D78"/>
          <w:spacing w:val="0"/>
          <w:position w:val="0"/>
          <w:sz w:val="24"/>
          <w:shd w:fill="auto" w:val="clear"/>
        </w:rPr>
      </w:pPr>
      <w:r>
        <w:rPr>
          <w:rFonts w:ascii="Calibri Light" w:hAnsi="Calibri Light" w:cs="Calibri Light" w:eastAsia="Calibri Light"/>
          <w:color w:val="1F4D78"/>
          <w:spacing w:val="0"/>
          <w:position w:val="0"/>
          <w:sz w:val="24"/>
          <w:shd w:fill="auto" w:val="clear"/>
        </w:rPr>
        <w:t xml:space="preserve">Constraints to effectiveness: </w:t>
      </w:r>
    </w:p>
    <w:tbl>
      <w:tblPr/>
      <w:tblGrid>
        <w:gridCol w:w="1129"/>
        <w:gridCol w:w="8221"/>
      </w:tblGrid>
      <w:tr>
        <w:trPr>
          <w:trHeight w:val="323" w:hRule="auto"/>
          <w:jc w:val="left"/>
        </w:trPr>
        <w:tc>
          <w:tcPr>
            <w:tcW w:w="112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CE</w:t>
            </w:r>
          </w:p>
        </w:tc>
        <w:tc>
          <w:tcPr>
            <w:tcW w:w="82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Constraints to the effectiveness</w:t>
            </w:r>
          </w:p>
        </w:tc>
      </w:tr>
      <w:tr>
        <w:trPr>
          <w:trHeight w:val="330" w:hRule="auto"/>
          <w:jc w:val="left"/>
        </w:trPr>
        <w:tc>
          <w:tcPr>
            <w:tcW w:w="112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CE1</w:t>
            </w:r>
          </w:p>
        </w:tc>
        <w:tc>
          <w:tcPr>
            <w:tcW w:w="82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I think the teacher loses control over the learning of the students</w:t>
            </w:r>
          </w:p>
        </w:tc>
      </w:tr>
      <w:tr>
        <w:trPr>
          <w:trHeight w:val="330" w:hRule="auto"/>
          <w:jc w:val="left"/>
        </w:trPr>
        <w:tc>
          <w:tcPr>
            <w:tcW w:w="112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CE2</w:t>
            </w:r>
          </w:p>
        </w:tc>
        <w:tc>
          <w:tcPr>
            <w:tcW w:w="82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students hardly concentrate on the video lecture without interactive communication</w:t>
            </w:r>
          </w:p>
        </w:tc>
      </w:tr>
      <w:tr>
        <w:trPr>
          <w:trHeight w:val="330" w:hRule="auto"/>
          <w:jc w:val="left"/>
        </w:trPr>
        <w:tc>
          <w:tcPr>
            <w:tcW w:w="112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CE3</w:t>
            </w:r>
          </w:p>
        </w:tc>
        <w:tc>
          <w:tcPr>
            <w:tcW w:w="82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the process will be declined because of interruption in the software</w:t>
            </w:r>
          </w:p>
        </w:tc>
      </w:tr>
      <w:tr>
        <w:trPr>
          <w:trHeight w:val="330" w:hRule="auto"/>
          <w:jc w:val="left"/>
        </w:trPr>
        <w:tc>
          <w:tcPr>
            <w:tcW w:w="112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CE4</w:t>
            </w:r>
          </w:p>
        </w:tc>
        <w:tc>
          <w:tcPr>
            <w:tcW w:w="82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The limitation of digital knowledge affects its effective usage</w:t>
            </w:r>
          </w:p>
        </w:tc>
      </w:tr>
    </w:tbl>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96% of respondents thought that the teacher loses control over the students because of the minimum interaction. 84% of them have agreed that students in the remote area hardly concentrate on the study while distant learning. 90% of them opined that the process is highly dependent on the efficiency of the software and any interruption there would decline its effectiveness. 90% of participants agreed that the limitation of knowledge hinders the effectiveness. </w:t>
      </w:r>
    </w:p>
    <w:tbl>
      <w:tblPr/>
      <w:tblGrid>
        <w:gridCol w:w="6488"/>
        <w:gridCol w:w="716"/>
        <w:gridCol w:w="716"/>
        <w:gridCol w:w="716"/>
        <w:gridCol w:w="714"/>
      </w:tblGrid>
      <w:tr>
        <w:trPr>
          <w:trHeight w:val="315" w:hRule="auto"/>
          <w:jc w:val="left"/>
        </w:trPr>
        <w:tc>
          <w:tcPr>
            <w:tcW w:w="6488" w:type="dxa"/>
            <w:tcBorders>
              <w:top w:val="single" w:color="000000" w:sz="4"/>
              <w:left w:val="single" w:color="000000" w:sz="4"/>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Constraints to the effectiveness</w:t>
            </w:r>
          </w:p>
        </w:tc>
        <w:tc>
          <w:tcPr>
            <w:tcW w:w="716" w:type="dxa"/>
            <w:tcBorders>
              <w:top w:val="single" w:color="000000" w:sz="4"/>
              <w:left w:val="single" w:color="000000" w:sz="0"/>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CE1</w:t>
            </w:r>
          </w:p>
        </w:tc>
        <w:tc>
          <w:tcPr>
            <w:tcW w:w="716" w:type="dxa"/>
            <w:tcBorders>
              <w:top w:val="single" w:color="000000" w:sz="4"/>
              <w:left w:val="single" w:color="000000" w:sz="0"/>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CE2</w:t>
            </w:r>
          </w:p>
        </w:tc>
        <w:tc>
          <w:tcPr>
            <w:tcW w:w="716" w:type="dxa"/>
            <w:tcBorders>
              <w:top w:val="single" w:color="000000" w:sz="4"/>
              <w:left w:val="single" w:color="000000" w:sz="0"/>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CE3</w:t>
            </w:r>
          </w:p>
        </w:tc>
        <w:tc>
          <w:tcPr>
            <w:tcW w:w="714" w:type="dxa"/>
            <w:tcBorders>
              <w:top w:val="single" w:color="000000" w:sz="4"/>
              <w:left w:val="single" w:color="000000" w:sz="0"/>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CE4</w:t>
            </w:r>
          </w:p>
        </w:tc>
      </w:tr>
      <w:tr>
        <w:trPr>
          <w:trHeight w:val="315" w:hRule="auto"/>
          <w:jc w:val="left"/>
        </w:trPr>
        <w:tc>
          <w:tcPr>
            <w:tcW w:w="6488" w:type="dxa"/>
            <w:tcBorders>
              <w:top w:val="single" w:color="000000" w:sz="0"/>
              <w:left w:val="single" w:color="000000" w:sz="4"/>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Mean</w:t>
            </w:r>
          </w:p>
        </w:tc>
        <w:tc>
          <w:tcPr>
            <w:tcW w:w="716" w:type="dxa"/>
            <w:tcBorders>
              <w:top w:val="single" w:color="000000" w:sz="0"/>
              <w:left w:val="single" w:color="000000" w:sz="0"/>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righ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6.28</w:t>
            </w:r>
          </w:p>
        </w:tc>
        <w:tc>
          <w:tcPr>
            <w:tcW w:w="716" w:type="dxa"/>
            <w:tcBorders>
              <w:top w:val="single" w:color="000000" w:sz="0"/>
              <w:left w:val="single" w:color="000000" w:sz="0"/>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righ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6.00</w:t>
            </w:r>
          </w:p>
        </w:tc>
        <w:tc>
          <w:tcPr>
            <w:tcW w:w="716" w:type="dxa"/>
            <w:tcBorders>
              <w:top w:val="single" w:color="000000" w:sz="0"/>
              <w:left w:val="single" w:color="000000" w:sz="0"/>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righ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6.06</w:t>
            </w:r>
          </w:p>
        </w:tc>
        <w:tc>
          <w:tcPr>
            <w:tcW w:w="714" w:type="dxa"/>
            <w:tcBorders>
              <w:top w:val="single" w:color="000000" w:sz="0"/>
              <w:left w:val="single" w:color="000000" w:sz="0"/>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righ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6.10</w:t>
            </w:r>
          </w:p>
        </w:tc>
      </w:tr>
      <w:tr>
        <w:trPr>
          <w:trHeight w:val="315" w:hRule="auto"/>
          <w:jc w:val="left"/>
        </w:trPr>
        <w:tc>
          <w:tcPr>
            <w:tcW w:w="6488" w:type="dxa"/>
            <w:tcBorders>
              <w:top w:val="single" w:color="000000" w:sz="0"/>
              <w:left w:val="single" w:color="000000" w:sz="4"/>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Mode</w:t>
            </w:r>
          </w:p>
        </w:tc>
        <w:tc>
          <w:tcPr>
            <w:tcW w:w="716" w:type="dxa"/>
            <w:tcBorders>
              <w:top w:val="single" w:color="000000" w:sz="0"/>
              <w:left w:val="single" w:color="000000" w:sz="0"/>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righ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6</w:t>
            </w:r>
          </w:p>
        </w:tc>
        <w:tc>
          <w:tcPr>
            <w:tcW w:w="716" w:type="dxa"/>
            <w:tcBorders>
              <w:top w:val="single" w:color="000000" w:sz="0"/>
              <w:left w:val="single" w:color="000000" w:sz="0"/>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righ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6</w:t>
            </w:r>
          </w:p>
        </w:tc>
        <w:tc>
          <w:tcPr>
            <w:tcW w:w="716" w:type="dxa"/>
            <w:tcBorders>
              <w:top w:val="single" w:color="000000" w:sz="0"/>
              <w:left w:val="single" w:color="000000" w:sz="0"/>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righ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6</w:t>
            </w:r>
          </w:p>
        </w:tc>
        <w:tc>
          <w:tcPr>
            <w:tcW w:w="714" w:type="dxa"/>
            <w:tcBorders>
              <w:top w:val="single" w:color="000000" w:sz="0"/>
              <w:left w:val="single" w:color="000000" w:sz="0"/>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righ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6</w:t>
            </w:r>
          </w:p>
        </w:tc>
      </w:tr>
      <w:tr>
        <w:trPr>
          <w:trHeight w:val="315" w:hRule="auto"/>
          <w:jc w:val="left"/>
        </w:trPr>
        <w:tc>
          <w:tcPr>
            <w:tcW w:w="6488" w:type="dxa"/>
            <w:tcBorders>
              <w:top w:val="single" w:color="000000" w:sz="0"/>
              <w:left w:val="single" w:color="000000" w:sz="4"/>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SD</w:t>
            </w:r>
          </w:p>
        </w:tc>
        <w:tc>
          <w:tcPr>
            <w:tcW w:w="716" w:type="dxa"/>
            <w:tcBorders>
              <w:top w:val="single" w:color="000000" w:sz="0"/>
              <w:left w:val="single" w:color="000000" w:sz="0"/>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righ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0.54</w:t>
            </w:r>
          </w:p>
        </w:tc>
        <w:tc>
          <w:tcPr>
            <w:tcW w:w="716" w:type="dxa"/>
            <w:tcBorders>
              <w:top w:val="single" w:color="000000" w:sz="0"/>
              <w:left w:val="single" w:color="000000" w:sz="0"/>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righ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0.57</w:t>
            </w:r>
          </w:p>
        </w:tc>
        <w:tc>
          <w:tcPr>
            <w:tcW w:w="716" w:type="dxa"/>
            <w:tcBorders>
              <w:top w:val="single" w:color="000000" w:sz="0"/>
              <w:left w:val="single" w:color="000000" w:sz="0"/>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righ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0.51</w:t>
            </w:r>
          </w:p>
        </w:tc>
        <w:tc>
          <w:tcPr>
            <w:tcW w:w="714" w:type="dxa"/>
            <w:tcBorders>
              <w:top w:val="single" w:color="000000" w:sz="0"/>
              <w:left w:val="single" w:color="000000" w:sz="0"/>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righ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0.54</w:t>
            </w:r>
          </w:p>
        </w:tc>
      </w:tr>
    </w:tbl>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Mean and mode have supported the frequency analysis reflecting that most of the students are agreeing with the researcher in all questions and the minimum value of the standard deviation assures the validity of eth result. </w:t>
      </w:r>
    </w:p>
    <w:p>
      <w:pPr>
        <w:keepNext w:val="true"/>
        <w:keepLines w:val="true"/>
        <w:spacing w:before="40" w:after="0" w:line="360"/>
        <w:ind w:right="0" w:left="0" w:firstLine="0"/>
        <w:jc w:val="both"/>
        <w:rPr>
          <w:rFonts w:ascii="Calibri Light" w:hAnsi="Calibri Light" w:cs="Calibri Light" w:eastAsia="Calibri Light"/>
          <w:color w:val="1F4D78"/>
          <w:spacing w:val="0"/>
          <w:position w:val="0"/>
          <w:sz w:val="24"/>
          <w:shd w:fill="auto" w:val="clear"/>
        </w:rPr>
      </w:pPr>
      <w:r>
        <w:rPr>
          <w:rFonts w:ascii="Calibri Light" w:hAnsi="Calibri Light" w:cs="Calibri Light" w:eastAsia="Calibri Light"/>
          <w:color w:val="1F4D78"/>
          <w:spacing w:val="0"/>
          <w:position w:val="0"/>
          <w:sz w:val="24"/>
          <w:shd w:fill="auto" w:val="clear"/>
        </w:rPr>
        <w:t xml:space="preserve">Impact of VLE on Student’s learning experience</w:t>
      </w:r>
    </w:p>
    <w:tbl>
      <w:tblPr/>
      <w:tblGrid>
        <w:gridCol w:w="1404"/>
        <w:gridCol w:w="7946"/>
      </w:tblGrid>
      <w:tr>
        <w:trPr>
          <w:trHeight w:val="323" w:hRule="auto"/>
          <w:jc w:val="left"/>
        </w:trPr>
        <w:tc>
          <w:tcPr>
            <w:tcW w:w="140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SE</w:t>
            </w:r>
          </w:p>
        </w:tc>
        <w:tc>
          <w:tcPr>
            <w:tcW w:w="79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Impact of VLE on the student experience</w:t>
            </w:r>
          </w:p>
        </w:tc>
      </w:tr>
      <w:tr>
        <w:trPr>
          <w:trHeight w:val="330" w:hRule="auto"/>
          <w:jc w:val="left"/>
        </w:trPr>
        <w:tc>
          <w:tcPr>
            <w:tcW w:w="140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SE1</w:t>
            </w:r>
          </w:p>
        </w:tc>
        <w:tc>
          <w:tcPr>
            <w:tcW w:w="79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I think it I effective for the remote learning</w:t>
            </w:r>
          </w:p>
        </w:tc>
      </w:tr>
      <w:tr>
        <w:trPr>
          <w:trHeight w:val="330" w:hRule="auto"/>
          <w:jc w:val="left"/>
        </w:trPr>
        <w:tc>
          <w:tcPr>
            <w:tcW w:w="140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SE2</w:t>
            </w:r>
          </w:p>
        </w:tc>
        <w:tc>
          <w:tcPr>
            <w:tcW w:w="79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I believe, this process improves the learning experience of the students </w:t>
            </w:r>
          </w:p>
        </w:tc>
      </w:tr>
      <w:tr>
        <w:trPr>
          <w:trHeight w:val="330" w:hRule="auto"/>
          <w:jc w:val="left"/>
        </w:trPr>
        <w:tc>
          <w:tcPr>
            <w:tcW w:w="140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SE3</w:t>
            </w:r>
          </w:p>
        </w:tc>
        <w:tc>
          <w:tcPr>
            <w:tcW w:w="79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I agree, Moodle helps to monitor our learning history</w:t>
            </w:r>
          </w:p>
        </w:tc>
      </w:tr>
      <w:tr>
        <w:trPr>
          <w:trHeight w:val="330" w:hRule="auto"/>
          <w:jc w:val="left"/>
        </w:trPr>
        <w:tc>
          <w:tcPr>
            <w:tcW w:w="140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SE4</w:t>
            </w:r>
          </w:p>
        </w:tc>
        <w:tc>
          <w:tcPr>
            <w:tcW w:w="79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I prefer VLE to continue my study in an interrupted way</w:t>
            </w:r>
          </w:p>
        </w:tc>
      </w:tr>
    </w:tbl>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above chart shows that 96% of the participants thought it is effective for them. 92% of them opined that it improves their learning experience whereas 90% of the respondents believe that Moodle helps them to monitor their own progress with learning history. 94% of them preferred VLE for uninterrupted study remotely. </w:t>
      </w:r>
    </w:p>
    <w:tbl>
      <w:tblPr/>
      <w:tblGrid>
        <w:gridCol w:w="4502"/>
        <w:gridCol w:w="1212"/>
        <w:gridCol w:w="1212"/>
        <w:gridCol w:w="1212"/>
        <w:gridCol w:w="1212"/>
      </w:tblGrid>
      <w:tr>
        <w:trPr>
          <w:trHeight w:val="315" w:hRule="auto"/>
          <w:jc w:val="left"/>
        </w:trPr>
        <w:tc>
          <w:tcPr>
            <w:tcW w:w="4502" w:type="dxa"/>
            <w:tcBorders>
              <w:top w:val="single" w:color="000000" w:sz="4"/>
              <w:left w:val="single" w:color="000000" w:sz="4"/>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Impact of VLE on student experience</w:t>
            </w:r>
          </w:p>
        </w:tc>
        <w:tc>
          <w:tcPr>
            <w:tcW w:w="1212" w:type="dxa"/>
            <w:tcBorders>
              <w:top w:val="single" w:color="000000" w:sz="4"/>
              <w:left w:val="single" w:color="000000" w:sz="0"/>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SE1</w:t>
            </w:r>
          </w:p>
        </w:tc>
        <w:tc>
          <w:tcPr>
            <w:tcW w:w="1212" w:type="dxa"/>
            <w:tcBorders>
              <w:top w:val="single" w:color="000000" w:sz="4"/>
              <w:left w:val="single" w:color="000000" w:sz="0"/>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SE2</w:t>
            </w:r>
          </w:p>
        </w:tc>
        <w:tc>
          <w:tcPr>
            <w:tcW w:w="1212" w:type="dxa"/>
            <w:tcBorders>
              <w:top w:val="single" w:color="000000" w:sz="4"/>
              <w:left w:val="single" w:color="000000" w:sz="0"/>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SE3</w:t>
            </w:r>
          </w:p>
        </w:tc>
        <w:tc>
          <w:tcPr>
            <w:tcW w:w="1212" w:type="dxa"/>
            <w:tcBorders>
              <w:top w:val="single" w:color="000000" w:sz="4"/>
              <w:left w:val="single" w:color="000000" w:sz="0"/>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SE4</w:t>
            </w:r>
          </w:p>
        </w:tc>
      </w:tr>
      <w:tr>
        <w:trPr>
          <w:trHeight w:val="315" w:hRule="auto"/>
          <w:jc w:val="left"/>
        </w:trPr>
        <w:tc>
          <w:tcPr>
            <w:tcW w:w="4502" w:type="dxa"/>
            <w:tcBorders>
              <w:top w:val="single" w:color="000000" w:sz="0"/>
              <w:left w:val="single" w:color="000000" w:sz="4"/>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Mean</w:t>
            </w:r>
          </w:p>
        </w:tc>
        <w:tc>
          <w:tcPr>
            <w:tcW w:w="1212" w:type="dxa"/>
            <w:tcBorders>
              <w:top w:val="single" w:color="000000" w:sz="0"/>
              <w:left w:val="single" w:color="000000" w:sz="0"/>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righ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6.20</w:t>
            </w:r>
          </w:p>
        </w:tc>
        <w:tc>
          <w:tcPr>
            <w:tcW w:w="1212" w:type="dxa"/>
            <w:tcBorders>
              <w:top w:val="single" w:color="000000" w:sz="0"/>
              <w:left w:val="single" w:color="000000" w:sz="0"/>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righ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6.10</w:t>
            </w:r>
          </w:p>
        </w:tc>
        <w:tc>
          <w:tcPr>
            <w:tcW w:w="1212" w:type="dxa"/>
            <w:tcBorders>
              <w:top w:val="single" w:color="000000" w:sz="0"/>
              <w:left w:val="single" w:color="000000" w:sz="0"/>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righ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6.14</w:t>
            </w:r>
          </w:p>
        </w:tc>
        <w:tc>
          <w:tcPr>
            <w:tcW w:w="1212" w:type="dxa"/>
            <w:tcBorders>
              <w:top w:val="single" w:color="000000" w:sz="0"/>
              <w:left w:val="single" w:color="000000" w:sz="0"/>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righ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6.08</w:t>
            </w:r>
          </w:p>
        </w:tc>
      </w:tr>
      <w:tr>
        <w:trPr>
          <w:trHeight w:val="315" w:hRule="auto"/>
          <w:jc w:val="left"/>
        </w:trPr>
        <w:tc>
          <w:tcPr>
            <w:tcW w:w="4502" w:type="dxa"/>
            <w:tcBorders>
              <w:top w:val="single" w:color="000000" w:sz="0"/>
              <w:left w:val="single" w:color="000000" w:sz="4"/>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Mode</w:t>
            </w:r>
          </w:p>
        </w:tc>
        <w:tc>
          <w:tcPr>
            <w:tcW w:w="1212" w:type="dxa"/>
            <w:tcBorders>
              <w:top w:val="single" w:color="000000" w:sz="0"/>
              <w:left w:val="single" w:color="000000" w:sz="0"/>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righ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6</w:t>
            </w:r>
          </w:p>
        </w:tc>
        <w:tc>
          <w:tcPr>
            <w:tcW w:w="1212" w:type="dxa"/>
            <w:tcBorders>
              <w:top w:val="single" w:color="000000" w:sz="0"/>
              <w:left w:val="single" w:color="000000" w:sz="0"/>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righ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6</w:t>
            </w:r>
          </w:p>
        </w:tc>
        <w:tc>
          <w:tcPr>
            <w:tcW w:w="1212" w:type="dxa"/>
            <w:tcBorders>
              <w:top w:val="single" w:color="000000" w:sz="0"/>
              <w:left w:val="single" w:color="000000" w:sz="0"/>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righ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6</w:t>
            </w:r>
          </w:p>
        </w:tc>
        <w:tc>
          <w:tcPr>
            <w:tcW w:w="1212" w:type="dxa"/>
            <w:tcBorders>
              <w:top w:val="single" w:color="000000" w:sz="0"/>
              <w:left w:val="single" w:color="000000" w:sz="0"/>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righ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6</w:t>
            </w:r>
          </w:p>
        </w:tc>
      </w:tr>
      <w:tr>
        <w:trPr>
          <w:trHeight w:val="315" w:hRule="auto"/>
          <w:jc w:val="left"/>
        </w:trPr>
        <w:tc>
          <w:tcPr>
            <w:tcW w:w="4502" w:type="dxa"/>
            <w:tcBorders>
              <w:top w:val="single" w:color="000000" w:sz="0"/>
              <w:left w:val="single" w:color="000000" w:sz="4"/>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SD</w:t>
            </w:r>
          </w:p>
        </w:tc>
        <w:tc>
          <w:tcPr>
            <w:tcW w:w="1212" w:type="dxa"/>
            <w:tcBorders>
              <w:top w:val="single" w:color="000000" w:sz="0"/>
              <w:left w:val="single" w:color="000000" w:sz="0"/>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righ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0.57</w:t>
            </w:r>
          </w:p>
        </w:tc>
        <w:tc>
          <w:tcPr>
            <w:tcW w:w="1212" w:type="dxa"/>
            <w:tcBorders>
              <w:top w:val="single" w:color="000000" w:sz="0"/>
              <w:left w:val="single" w:color="000000" w:sz="0"/>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righ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0.58</w:t>
            </w:r>
          </w:p>
        </w:tc>
        <w:tc>
          <w:tcPr>
            <w:tcW w:w="1212" w:type="dxa"/>
            <w:tcBorders>
              <w:top w:val="single" w:color="000000" w:sz="0"/>
              <w:left w:val="single" w:color="000000" w:sz="0"/>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righ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0.57</w:t>
            </w:r>
          </w:p>
        </w:tc>
        <w:tc>
          <w:tcPr>
            <w:tcW w:w="1212" w:type="dxa"/>
            <w:tcBorders>
              <w:top w:val="single" w:color="000000" w:sz="0"/>
              <w:left w:val="single" w:color="000000" w:sz="0"/>
              <w:bottom w:val="single" w:color="000000" w:sz="4"/>
              <w:right w:val="single" w:color="000000" w:sz="4"/>
            </w:tcBorders>
            <w:shd w:color="auto" w:fill="auto" w:val="clear"/>
            <w:tcMar>
              <w:left w:w="108" w:type="dxa"/>
              <w:right w:w="108" w:type="dxa"/>
            </w:tcMar>
            <w:vAlign w:val="bottom"/>
          </w:tcPr>
          <w:p>
            <w:pPr>
              <w:spacing w:before="0" w:after="0" w:line="360"/>
              <w:ind w:right="0" w:left="0" w:firstLine="0"/>
              <w:jc w:val="righ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0.44</w:t>
            </w:r>
          </w:p>
        </w:tc>
      </w:tr>
    </w:tbl>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mean and the median of the study supported the result reflected in frequency analysis that more than 90% of the respondents on an average agreed with the researcher in all aspects and the standard deviation is less than 1 in all cases validating the result. </w:t>
      </w:r>
    </w:p>
    <w:p>
      <w:pPr>
        <w:keepNext w:val="true"/>
        <w:keepLines w:val="true"/>
        <w:spacing w:before="40" w:after="0" w:line="360"/>
        <w:ind w:right="0" w:left="0" w:firstLine="0"/>
        <w:jc w:val="both"/>
        <w:rPr>
          <w:rFonts w:ascii="Calibri Light" w:hAnsi="Calibri Light" w:cs="Calibri Light" w:eastAsia="Calibri Light"/>
          <w:color w:val="2E74B5"/>
          <w:spacing w:val="0"/>
          <w:position w:val="0"/>
          <w:sz w:val="26"/>
          <w:shd w:fill="auto" w:val="clear"/>
        </w:rPr>
      </w:pPr>
      <w:r>
        <w:rPr>
          <w:rFonts w:ascii="Calibri Light" w:hAnsi="Calibri Light" w:cs="Calibri Light" w:eastAsia="Calibri Light"/>
          <w:color w:val="2E74B5"/>
          <w:spacing w:val="0"/>
          <w:position w:val="0"/>
          <w:sz w:val="26"/>
          <w:shd w:fill="auto" w:val="clear"/>
        </w:rPr>
        <w:t xml:space="preserve">Secondary Data Analysis: </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secondary analysis is going to highlight the overall usage of VLE and different software of VLE in universities of the UK to improve the learning experience of the students. </w:t>
      </w:r>
    </w:p>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rate of the usage of VLE in the universities of the UK</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source: (Meadow, et al. 2018)</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95% of the educational institutions in the UK are using virtual learning environment to enrich the experience of the students in the UK whereas only 5% of them think the physical classroom is adequate to teach the students (Zhu, et al. 2019). </w:t>
      </w:r>
    </w:p>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Usage of different VLE software in the UK</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source: (Chaim, et al. 2018)</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50% of the institution in the country is using Moodle as they think it is easier to learn and use for both the teachers as well as the students. 25% of them use Blackboard as it is compatible with their program and the rest of the institutions are using SCORM (Alotebi, et al. 2018). </w:t>
      </w: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160" w:line="259"/>
        <w:ind w:right="0" w:left="0" w:firstLine="0"/>
        <w:jc w:val="left"/>
        <w:rPr>
          <w:rFonts w:ascii="Calibri Light" w:hAnsi="Calibri Light" w:cs="Calibri Light" w:eastAsia="Calibri Light"/>
          <w:color w:val="2E74B5"/>
          <w:spacing w:val="0"/>
          <w:position w:val="0"/>
          <w:sz w:val="32"/>
          <w:shd w:fill="auto" w:val="clear"/>
        </w:rPr>
      </w:pPr>
    </w:p>
    <w:p>
      <w:pPr>
        <w:keepNext w:val="true"/>
        <w:keepLines w:val="true"/>
        <w:spacing w:before="240" w:after="0" w:line="360"/>
        <w:ind w:right="0" w:left="0" w:firstLine="0"/>
        <w:jc w:val="both"/>
        <w:rPr>
          <w:rFonts w:ascii="Calibri Light" w:hAnsi="Calibri Light" w:cs="Calibri Light" w:eastAsia="Calibri Light"/>
          <w:color w:val="2E74B5"/>
          <w:spacing w:val="0"/>
          <w:position w:val="0"/>
          <w:sz w:val="32"/>
          <w:shd w:fill="auto" w:val="clear"/>
        </w:rPr>
      </w:pPr>
      <w:r>
        <w:rPr>
          <w:rFonts w:ascii="Calibri Light" w:hAnsi="Calibri Light" w:cs="Calibri Light" w:eastAsia="Calibri Light"/>
          <w:color w:val="2E74B5"/>
          <w:spacing w:val="0"/>
          <w:position w:val="0"/>
          <w:sz w:val="32"/>
          <w:shd w:fill="auto" w:val="clear"/>
        </w:rPr>
        <w:t xml:space="preserve">Conclusion</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above discussion has reflected the students' experience regarding the virtual learning environment at the University of Wale Trinity Saint David that is using Moodle as the VLE software. The rationale has shown an in-depth concept of the idea in brief. The methodology has shown the tools and techniques have been used to conduct this research effectively. Using frequency analysis, the primary data has been assessed. However, the respondents concluded that it is effective for them in case of distant learning enriching their experience with the structured learning program. The following recommendations can contribute to the further enhancement of the students’ experience.</w:t>
      </w:r>
    </w:p>
    <w:p>
      <w:pPr>
        <w:keepNext w:val="true"/>
        <w:keepLines w:val="true"/>
        <w:spacing w:before="40" w:after="0" w:line="360"/>
        <w:ind w:right="0" w:left="0" w:firstLine="0"/>
        <w:jc w:val="both"/>
        <w:rPr>
          <w:rFonts w:ascii="Calibri Light" w:hAnsi="Calibri Light" w:cs="Calibri Light" w:eastAsia="Calibri Light"/>
          <w:color w:val="2E74B5"/>
          <w:spacing w:val="0"/>
          <w:position w:val="0"/>
          <w:sz w:val="26"/>
          <w:shd w:fill="auto" w:val="clear"/>
        </w:rPr>
      </w:pPr>
      <w:r>
        <w:rPr>
          <w:rFonts w:ascii="Calibri Light" w:hAnsi="Calibri Light" w:cs="Calibri Light" w:eastAsia="Calibri Light"/>
          <w:color w:val="2E74B5"/>
          <w:spacing w:val="0"/>
          <w:position w:val="0"/>
          <w:sz w:val="26"/>
          <w:shd w:fill="auto" w:val="clear"/>
        </w:rPr>
        <w:t xml:space="preserve">Recommendations</w:t>
      </w:r>
    </w:p>
    <w:tbl>
      <w:tblPr/>
      <w:tblGrid>
        <w:gridCol w:w="9350"/>
      </w:tblGrid>
      <w:tr>
        <w:trPr>
          <w:trHeight w:val="1" w:hRule="atLeast"/>
          <w:jc w:val="left"/>
        </w:trPr>
        <w:tc>
          <w:tcPr>
            <w:tcW w:w="935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institution should avail of an initial training and development program for both the teachers and the students to teach them how to use Moodle.</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hard and fast rule for attendance in the interactive lecture session will help to improve control over the students. </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organization has to assure a strong backup program to assure the interrupted program in order to increase the experience of the students learning through the network.</w:t>
            </w:r>
          </w:p>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The regular monitoring program should be introduced to increase the urge for the students to concentrate on the video lecture </w:t>
            </w:r>
          </w:p>
        </w:tc>
      </w:tr>
    </w:tbl>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160" w:line="360"/>
        <w:ind w:right="0" w:left="0" w:firstLine="0"/>
        <w:jc w:val="left"/>
        <w:rPr>
          <w:rFonts w:ascii="Arial" w:hAnsi="Arial" w:cs="Arial" w:eastAsia="Arial"/>
          <w:color w:val="auto"/>
          <w:spacing w:val="0"/>
          <w:position w:val="0"/>
          <w:sz w:val="22"/>
          <w:shd w:fill="auto" w:val="clear"/>
        </w:rPr>
      </w:pPr>
    </w:p>
    <w:p>
      <w:pPr>
        <w:keepNext w:val="true"/>
        <w:keepLines w:val="true"/>
        <w:spacing w:before="240" w:after="0" w:line="360"/>
        <w:ind w:right="0" w:left="0" w:firstLine="0"/>
        <w:jc w:val="both"/>
        <w:rPr>
          <w:rFonts w:ascii="Calibri Light" w:hAnsi="Calibri Light" w:cs="Calibri Light" w:eastAsia="Calibri Light"/>
          <w:color w:val="2E74B5"/>
          <w:spacing w:val="0"/>
          <w:position w:val="0"/>
          <w:sz w:val="32"/>
          <w:shd w:fill="auto" w:val="clear"/>
        </w:rPr>
      </w:pPr>
      <w:r>
        <w:rPr>
          <w:rFonts w:ascii="Calibri Light" w:hAnsi="Calibri Light" w:cs="Calibri Light" w:eastAsia="Calibri Light"/>
          <w:color w:val="2E74B5"/>
          <w:spacing w:val="0"/>
          <w:position w:val="0"/>
          <w:sz w:val="32"/>
          <w:shd w:fill="auto" w:val="clear"/>
        </w:rPr>
        <w:t xml:space="preserve">References</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Alotebi, H., Alharbi, O. and Masmali, A., 2018. Effective Leadership in Virtual Learning Environments. </w:t>
      </w:r>
      <w:r>
        <w:rPr>
          <w:rFonts w:ascii="Arial" w:hAnsi="Arial" w:cs="Arial" w:eastAsia="Arial"/>
          <w:i/>
          <w:color w:val="auto"/>
          <w:spacing w:val="0"/>
          <w:position w:val="0"/>
          <w:sz w:val="22"/>
          <w:shd w:fill="auto" w:val="clear"/>
        </w:rPr>
        <w:t xml:space="preserve">International Journal of Information and Education Technology</w:t>
      </w:r>
      <w:r>
        <w:rPr>
          <w:rFonts w:ascii="Arial" w:hAnsi="Arial" w:cs="Arial" w:eastAsia="Arial"/>
          <w:color w:val="auto"/>
          <w:spacing w:val="0"/>
          <w:position w:val="0"/>
          <w:sz w:val="22"/>
          <w:shd w:fill="auto" w:val="clear"/>
        </w:rPr>
        <w:t xml:space="preserve">, </w:t>
      </w:r>
      <w:r>
        <w:rPr>
          <w:rFonts w:ascii="Arial" w:hAnsi="Arial" w:cs="Arial" w:eastAsia="Arial"/>
          <w:i/>
          <w:color w:val="auto"/>
          <w:spacing w:val="0"/>
          <w:position w:val="0"/>
          <w:sz w:val="22"/>
          <w:shd w:fill="auto" w:val="clear"/>
        </w:rPr>
        <w:t xml:space="preserve">8</w:t>
      </w:r>
      <w:r>
        <w:rPr>
          <w:rFonts w:ascii="Arial" w:hAnsi="Arial" w:cs="Arial" w:eastAsia="Arial"/>
          <w:color w:val="auto"/>
          <w:spacing w:val="0"/>
          <w:position w:val="0"/>
          <w:sz w:val="22"/>
          <w:shd w:fill="auto" w:val="clear"/>
        </w:rPr>
        <w:t xml:space="preserve">(2), pp.156-160.</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Bos, A.S., Pizzato, M., Ferreira, V.A., Schein, M., Zaro, M.A. and Tarouco, L., 2019. The Impact of Effective Communication between Users in 3D Collaborative Virtual Environments: the conversational agent use case. </w:t>
      </w:r>
      <w:r>
        <w:rPr>
          <w:rFonts w:ascii="Arial" w:hAnsi="Arial" w:cs="Arial" w:eastAsia="Arial"/>
          <w:i/>
          <w:color w:val="auto"/>
          <w:spacing w:val="0"/>
          <w:position w:val="0"/>
          <w:sz w:val="22"/>
          <w:shd w:fill="auto" w:val="clear"/>
        </w:rPr>
        <w:t xml:space="preserve">International Journal of Advanced Engineering Research and Science</w:t>
      </w:r>
      <w:r>
        <w:rPr>
          <w:rFonts w:ascii="Arial" w:hAnsi="Arial" w:cs="Arial" w:eastAsia="Arial"/>
          <w:color w:val="auto"/>
          <w:spacing w:val="0"/>
          <w:position w:val="0"/>
          <w:sz w:val="22"/>
          <w:shd w:fill="auto" w:val="clear"/>
        </w:rPr>
        <w:t xml:space="preserve">, </w:t>
      </w:r>
      <w:r>
        <w:rPr>
          <w:rFonts w:ascii="Arial" w:hAnsi="Arial" w:cs="Arial" w:eastAsia="Arial"/>
          <w:i/>
          <w:color w:val="auto"/>
          <w:spacing w:val="0"/>
          <w:position w:val="0"/>
          <w:sz w:val="22"/>
          <w:shd w:fill="auto" w:val="clear"/>
        </w:rPr>
        <w:t xml:space="preserve">6</w:t>
      </w:r>
      <w:r>
        <w:rPr>
          <w:rFonts w:ascii="Arial" w:hAnsi="Arial" w:cs="Arial" w:eastAsia="Arial"/>
          <w:color w:val="auto"/>
          <w:spacing w:val="0"/>
          <w:position w:val="0"/>
          <w:sz w:val="22"/>
          <w:shd w:fill="auto" w:val="clear"/>
        </w:rPr>
        <w:t xml:space="preserve">(8).</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Chaim, O., Muschard, B., Cazarini, E. and Rozenfeld, H., 2018. Insertion of sustainability performance indicators in an industry 4.0 virtual learning environment. </w:t>
      </w:r>
      <w:r>
        <w:rPr>
          <w:rFonts w:ascii="Arial" w:hAnsi="Arial" w:cs="Arial" w:eastAsia="Arial"/>
          <w:i/>
          <w:color w:val="auto"/>
          <w:spacing w:val="0"/>
          <w:position w:val="0"/>
          <w:sz w:val="22"/>
          <w:shd w:fill="auto" w:val="clear"/>
        </w:rPr>
        <w:t xml:space="preserve">Procedia Manufacturing</w:t>
      </w:r>
      <w:r>
        <w:rPr>
          <w:rFonts w:ascii="Arial" w:hAnsi="Arial" w:cs="Arial" w:eastAsia="Arial"/>
          <w:color w:val="auto"/>
          <w:spacing w:val="0"/>
          <w:position w:val="0"/>
          <w:sz w:val="22"/>
          <w:shd w:fill="auto" w:val="clear"/>
        </w:rPr>
        <w:t xml:space="preserve">, </w:t>
      </w:r>
      <w:r>
        <w:rPr>
          <w:rFonts w:ascii="Arial" w:hAnsi="Arial" w:cs="Arial" w:eastAsia="Arial"/>
          <w:i/>
          <w:color w:val="auto"/>
          <w:spacing w:val="0"/>
          <w:position w:val="0"/>
          <w:sz w:val="22"/>
          <w:shd w:fill="auto" w:val="clear"/>
        </w:rPr>
        <w:t xml:space="preserve">21</w:t>
      </w:r>
      <w:r>
        <w:rPr>
          <w:rFonts w:ascii="Arial" w:hAnsi="Arial" w:cs="Arial" w:eastAsia="Arial"/>
          <w:color w:val="auto"/>
          <w:spacing w:val="0"/>
          <w:position w:val="0"/>
          <w:sz w:val="22"/>
          <w:shd w:fill="auto" w:val="clear"/>
        </w:rPr>
        <w:t xml:space="preserve">, pp.446-453.</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Huang, Y.C., Backman, S.J., Backman, K.F., McGuire, F.A. and Moore, D., 2019. An investigation of motivation and experience in virtual learning environments: a self-determination theory. </w:t>
      </w:r>
      <w:r>
        <w:rPr>
          <w:rFonts w:ascii="Arial" w:hAnsi="Arial" w:cs="Arial" w:eastAsia="Arial"/>
          <w:i/>
          <w:color w:val="auto"/>
          <w:spacing w:val="0"/>
          <w:position w:val="0"/>
          <w:sz w:val="22"/>
          <w:shd w:fill="auto" w:val="clear"/>
        </w:rPr>
        <w:t xml:space="preserve">Education and Information Technologies</w:t>
      </w:r>
      <w:r>
        <w:rPr>
          <w:rFonts w:ascii="Arial" w:hAnsi="Arial" w:cs="Arial" w:eastAsia="Arial"/>
          <w:color w:val="auto"/>
          <w:spacing w:val="0"/>
          <w:position w:val="0"/>
          <w:sz w:val="22"/>
          <w:shd w:fill="auto" w:val="clear"/>
        </w:rPr>
        <w:t xml:space="preserve">, </w:t>
      </w:r>
      <w:r>
        <w:rPr>
          <w:rFonts w:ascii="Arial" w:hAnsi="Arial" w:cs="Arial" w:eastAsia="Arial"/>
          <w:i/>
          <w:color w:val="auto"/>
          <w:spacing w:val="0"/>
          <w:position w:val="0"/>
          <w:sz w:val="22"/>
          <w:shd w:fill="auto" w:val="clear"/>
        </w:rPr>
        <w:t xml:space="preserve">24</w:t>
      </w:r>
      <w:r>
        <w:rPr>
          <w:rFonts w:ascii="Arial" w:hAnsi="Arial" w:cs="Arial" w:eastAsia="Arial"/>
          <w:color w:val="auto"/>
          <w:spacing w:val="0"/>
          <w:position w:val="0"/>
          <w:sz w:val="22"/>
          <w:shd w:fill="auto" w:val="clear"/>
        </w:rPr>
        <w:t xml:space="preserve">(1), pp.591-611.</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Kumar, R., 2019. </w:t>
      </w:r>
      <w:r>
        <w:rPr>
          <w:rFonts w:ascii="Arial" w:hAnsi="Arial" w:cs="Arial" w:eastAsia="Arial"/>
          <w:i/>
          <w:color w:val="auto"/>
          <w:spacing w:val="0"/>
          <w:position w:val="0"/>
          <w:sz w:val="22"/>
          <w:shd w:fill="auto" w:val="clear"/>
        </w:rPr>
        <w:t xml:space="preserve">Research methodology: A step-by-step guide for beginners</w:t>
      </w:r>
      <w:r>
        <w:rPr>
          <w:rFonts w:ascii="Arial" w:hAnsi="Arial" w:cs="Arial" w:eastAsia="Arial"/>
          <w:color w:val="auto"/>
          <w:spacing w:val="0"/>
          <w:position w:val="0"/>
          <w:sz w:val="22"/>
          <w:shd w:fill="auto" w:val="clear"/>
        </w:rPr>
        <w:t xml:space="preserve">. Sage Publications Limited.</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Larmuseau, C., Evens, M., Elen, J., Van Den Noortgate, W., Desmet, P. and Depaepe, F., 2018. The relationship between acceptance, actual Use of a virtual learning environment and performance: An ecological approach. </w:t>
      </w:r>
      <w:r>
        <w:rPr>
          <w:rFonts w:ascii="Arial" w:hAnsi="Arial" w:cs="Arial" w:eastAsia="Arial"/>
          <w:i/>
          <w:color w:val="auto"/>
          <w:spacing w:val="0"/>
          <w:position w:val="0"/>
          <w:sz w:val="22"/>
          <w:shd w:fill="auto" w:val="clear"/>
        </w:rPr>
        <w:t xml:space="preserve">Journal of Computers in Education</w:t>
      </w:r>
      <w:r>
        <w:rPr>
          <w:rFonts w:ascii="Arial" w:hAnsi="Arial" w:cs="Arial" w:eastAsia="Arial"/>
          <w:color w:val="auto"/>
          <w:spacing w:val="0"/>
          <w:position w:val="0"/>
          <w:sz w:val="22"/>
          <w:shd w:fill="auto" w:val="clear"/>
        </w:rPr>
        <w:t xml:space="preserve">, </w:t>
      </w:r>
      <w:r>
        <w:rPr>
          <w:rFonts w:ascii="Arial" w:hAnsi="Arial" w:cs="Arial" w:eastAsia="Arial"/>
          <w:i/>
          <w:color w:val="auto"/>
          <w:spacing w:val="0"/>
          <w:position w:val="0"/>
          <w:sz w:val="22"/>
          <w:shd w:fill="auto" w:val="clear"/>
        </w:rPr>
        <w:t xml:space="preserve">5</w:t>
      </w:r>
      <w:r>
        <w:rPr>
          <w:rFonts w:ascii="Arial" w:hAnsi="Arial" w:cs="Arial" w:eastAsia="Arial"/>
          <w:color w:val="auto"/>
          <w:spacing w:val="0"/>
          <w:position w:val="0"/>
          <w:sz w:val="22"/>
          <w:shd w:fill="auto" w:val="clear"/>
        </w:rPr>
        <w:t xml:space="preserve">(1), pp.95-111.</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Ledford, J.R. and Gast, D.L., 2018. </w:t>
      </w:r>
      <w:r>
        <w:rPr>
          <w:rFonts w:ascii="Arial" w:hAnsi="Arial" w:cs="Arial" w:eastAsia="Arial"/>
          <w:i/>
          <w:color w:val="auto"/>
          <w:spacing w:val="0"/>
          <w:position w:val="0"/>
          <w:sz w:val="22"/>
          <w:shd w:fill="auto" w:val="clear"/>
        </w:rPr>
        <w:t xml:space="preserve">Single case research methodology: Applications in special education and behavioral sciences</w:t>
      </w:r>
      <w:r>
        <w:rPr>
          <w:rFonts w:ascii="Arial" w:hAnsi="Arial" w:cs="Arial" w:eastAsia="Arial"/>
          <w:color w:val="auto"/>
          <w:spacing w:val="0"/>
          <w:position w:val="0"/>
          <w:sz w:val="22"/>
          <w:shd w:fill="auto" w:val="clear"/>
        </w:rPr>
        <w:t xml:space="preserve">. Routledge.</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Meadow, G., Arrigoni, L., Cross, J., Govender, L., Tsang, J. and Barlow, C., 2018. Thinking inside the box:: WAVE 2.0-Working in Augmented and Virtual Environments.</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Mohajan, H.K., 2018. Qualitative research methodology in social sciences and related subjects. </w:t>
      </w:r>
      <w:r>
        <w:rPr>
          <w:rFonts w:ascii="Arial" w:hAnsi="Arial" w:cs="Arial" w:eastAsia="Arial"/>
          <w:i/>
          <w:color w:val="auto"/>
          <w:spacing w:val="0"/>
          <w:position w:val="0"/>
          <w:sz w:val="22"/>
          <w:shd w:fill="auto" w:val="clear"/>
        </w:rPr>
        <w:t xml:space="preserve">Journal of Economic Development, Environment and People</w:t>
      </w:r>
      <w:r>
        <w:rPr>
          <w:rFonts w:ascii="Arial" w:hAnsi="Arial" w:cs="Arial" w:eastAsia="Arial"/>
          <w:color w:val="auto"/>
          <w:spacing w:val="0"/>
          <w:position w:val="0"/>
          <w:sz w:val="22"/>
          <w:shd w:fill="auto" w:val="clear"/>
        </w:rPr>
        <w:t xml:space="preserve">, </w:t>
      </w:r>
      <w:r>
        <w:rPr>
          <w:rFonts w:ascii="Arial" w:hAnsi="Arial" w:cs="Arial" w:eastAsia="Arial"/>
          <w:i/>
          <w:color w:val="auto"/>
          <w:spacing w:val="0"/>
          <w:position w:val="0"/>
          <w:sz w:val="22"/>
          <w:shd w:fill="auto" w:val="clear"/>
        </w:rPr>
        <w:t xml:space="preserve">7</w:t>
      </w:r>
      <w:r>
        <w:rPr>
          <w:rFonts w:ascii="Arial" w:hAnsi="Arial" w:cs="Arial" w:eastAsia="Arial"/>
          <w:color w:val="auto"/>
          <w:spacing w:val="0"/>
          <w:position w:val="0"/>
          <w:sz w:val="22"/>
          <w:shd w:fill="auto" w:val="clear"/>
        </w:rPr>
        <w:t xml:space="preserve">(1), pp.23-48.</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Quinlan, C., Babin, B., Carr, J. and Griffin, M., 2019. </w:t>
      </w:r>
      <w:r>
        <w:rPr>
          <w:rFonts w:ascii="Arial" w:hAnsi="Arial" w:cs="Arial" w:eastAsia="Arial"/>
          <w:i/>
          <w:color w:val="auto"/>
          <w:spacing w:val="0"/>
          <w:position w:val="0"/>
          <w:sz w:val="22"/>
          <w:shd w:fill="auto" w:val="clear"/>
        </w:rPr>
        <w:t xml:space="preserve">Business research methods</w:t>
      </w:r>
      <w:r>
        <w:rPr>
          <w:rFonts w:ascii="Arial" w:hAnsi="Arial" w:cs="Arial" w:eastAsia="Arial"/>
          <w:color w:val="auto"/>
          <w:spacing w:val="0"/>
          <w:position w:val="0"/>
          <w:sz w:val="22"/>
          <w:shd w:fill="auto" w:val="clear"/>
        </w:rPr>
        <w:t xml:space="preserve">. South Western Cengage.</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Rosskam, E., 2018. Using participatory action research methodology to improve worker health. In </w:t>
      </w:r>
      <w:r>
        <w:rPr>
          <w:rFonts w:ascii="Arial" w:hAnsi="Arial" w:cs="Arial" w:eastAsia="Arial"/>
          <w:i/>
          <w:color w:val="auto"/>
          <w:spacing w:val="0"/>
          <w:position w:val="0"/>
          <w:sz w:val="22"/>
          <w:shd w:fill="auto" w:val="clear"/>
        </w:rPr>
        <w:t xml:space="preserve">Unhealthy Work</w:t>
      </w:r>
      <w:r>
        <w:rPr>
          <w:rFonts w:ascii="Arial" w:hAnsi="Arial" w:cs="Arial" w:eastAsia="Arial"/>
          <w:color w:val="auto"/>
          <w:spacing w:val="0"/>
          <w:position w:val="0"/>
          <w:sz w:val="22"/>
          <w:shd w:fill="auto" w:val="clear"/>
        </w:rPr>
        <w:t xml:space="preserve"> (pp. 211-228). Routledge.</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Suwais, K. and Alshahrani, A., 2018. The Impact of Virtual Classes on Students' Performance in Open Learning Environments: The Case of Arab Open University, Saudi Arabia. </w:t>
      </w:r>
      <w:r>
        <w:rPr>
          <w:rFonts w:ascii="Arial" w:hAnsi="Arial" w:cs="Arial" w:eastAsia="Arial"/>
          <w:i/>
          <w:color w:val="auto"/>
          <w:spacing w:val="0"/>
          <w:position w:val="0"/>
          <w:sz w:val="22"/>
          <w:shd w:fill="auto" w:val="clear"/>
        </w:rPr>
        <w:t xml:space="preserve">JCS</w:t>
      </w:r>
      <w:r>
        <w:rPr>
          <w:rFonts w:ascii="Arial" w:hAnsi="Arial" w:cs="Arial" w:eastAsia="Arial"/>
          <w:color w:val="auto"/>
          <w:spacing w:val="0"/>
          <w:position w:val="0"/>
          <w:sz w:val="22"/>
          <w:shd w:fill="auto" w:val="clear"/>
        </w:rPr>
        <w:t xml:space="preserve">, </w:t>
      </w:r>
      <w:r>
        <w:rPr>
          <w:rFonts w:ascii="Arial" w:hAnsi="Arial" w:cs="Arial" w:eastAsia="Arial"/>
          <w:i/>
          <w:color w:val="auto"/>
          <w:spacing w:val="0"/>
          <w:position w:val="0"/>
          <w:sz w:val="22"/>
          <w:shd w:fill="auto" w:val="clear"/>
        </w:rPr>
        <w:t xml:space="preserve">14</w:t>
      </w:r>
      <w:r>
        <w:rPr>
          <w:rFonts w:ascii="Arial" w:hAnsi="Arial" w:cs="Arial" w:eastAsia="Arial"/>
          <w:color w:val="auto"/>
          <w:spacing w:val="0"/>
          <w:position w:val="0"/>
          <w:sz w:val="22"/>
          <w:shd w:fill="auto" w:val="clear"/>
        </w:rPr>
        <w:t xml:space="preserve">(1), pp.14-22.</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Xiaoyun, P. and Siqi, M., 2018. The number of virtual learning environment and their effective using impact on students’ information literacy. </w:t>
      </w:r>
      <w:r>
        <w:rPr>
          <w:rFonts w:ascii="Arial" w:hAnsi="Arial" w:cs="Arial" w:eastAsia="Arial"/>
          <w:i/>
          <w:color w:val="auto"/>
          <w:spacing w:val="0"/>
          <w:position w:val="0"/>
          <w:sz w:val="22"/>
          <w:shd w:fill="auto" w:val="clear"/>
        </w:rPr>
        <w:t xml:space="preserve">Journal of Advances in Humanities and Social Sciences</w:t>
      </w:r>
      <w:r>
        <w:rPr>
          <w:rFonts w:ascii="Arial" w:hAnsi="Arial" w:cs="Arial" w:eastAsia="Arial"/>
          <w:color w:val="auto"/>
          <w:spacing w:val="0"/>
          <w:position w:val="0"/>
          <w:sz w:val="22"/>
          <w:shd w:fill="auto" w:val="clear"/>
        </w:rPr>
        <w:t xml:space="preserve">, </w:t>
      </w:r>
      <w:r>
        <w:rPr>
          <w:rFonts w:ascii="Arial" w:hAnsi="Arial" w:cs="Arial" w:eastAsia="Arial"/>
          <w:i/>
          <w:color w:val="auto"/>
          <w:spacing w:val="0"/>
          <w:position w:val="0"/>
          <w:sz w:val="22"/>
          <w:shd w:fill="auto" w:val="clear"/>
        </w:rPr>
        <w:t xml:space="preserve">4</w:t>
      </w:r>
      <w:r>
        <w:rPr>
          <w:rFonts w:ascii="Arial" w:hAnsi="Arial" w:cs="Arial" w:eastAsia="Arial"/>
          <w:color w:val="auto"/>
          <w:spacing w:val="0"/>
          <w:position w:val="0"/>
          <w:sz w:val="22"/>
          <w:shd w:fill="auto" w:val="clear"/>
        </w:rPr>
        <w:t xml:space="preserve">(2), pp.93-103.</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Zhu, Y., Lynette Wang, V., Leach, E., Cruthirds, K. and Wang, Y., 2019. The impact of intragroup relationship conflict on intention to re-enroll: Implications for virtual learning. </w:t>
      </w:r>
      <w:r>
        <w:rPr>
          <w:rFonts w:ascii="Arial" w:hAnsi="Arial" w:cs="Arial" w:eastAsia="Arial"/>
          <w:i/>
          <w:color w:val="auto"/>
          <w:spacing w:val="0"/>
          <w:position w:val="0"/>
          <w:sz w:val="22"/>
          <w:shd w:fill="auto" w:val="clear"/>
        </w:rPr>
        <w:t xml:space="preserve">Internet Research</w:t>
      </w:r>
      <w:r>
        <w:rPr>
          <w:rFonts w:ascii="Arial" w:hAnsi="Arial" w:cs="Arial" w:eastAsia="Arial"/>
          <w:color w:val="auto"/>
          <w:spacing w:val="0"/>
          <w:position w:val="0"/>
          <w:sz w:val="22"/>
          <w:shd w:fill="auto" w:val="clear"/>
        </w:rPr>
        <w:t xml:space="preserve">.</w:t>
      </w:r>
    </w:p>
    <w:p>
      <w:pPr>
        <w:spacing w:before="0" w:after="160" w:line="360"/>
        <w:ind w:right="0" w:left="0" w:firstLine="0"/>
        <w:jc w:val="both"/>
        <w:rPr>
          <w:rFonts w:ascii="Arial" w:hAnsi="Arial" w:cs="Arial" w:eastAsia="Arial"/>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