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3"/>
        <w:spacing w:before="200" w:after="200" w:line="360" w:lineRule="auto"/>
        <w:jc w:val="center"/>
        <w:rPr>
          <w:rFonts w:ascii="Times New Roman" w:hAnsi="Times New Roman" w:eastAsia="Times New Roman" w:cs="Times New Roman"/>
          <w:b/>
          <w:color w:val="000000" w:themeColor="text1"/>
          <w:sz w:val="36"/>
          <w:szCs w:val="36"/>
          <w:lang w:val="en-GB"/>
          <w14:textFill>
            <w14:solidFill>
              <w14:schemeClr w14:val="tx1"/>
            </w14:solidFill>
          </w14:textFill>
        </w:rPr>
      </w:pPr>
    </w:p>
    <w:p>
      <w:pPr>
        <w:pStyle w:val="3"/>
        <w:spacing w:before="200" w:after="200" w:line="360" w:lineRule="auto"/>
        <w:jc w:val="center"/>
        <w:rPr>
          <w:rFonts w:ascii="Times New Roman" w:hAnsi="Times New Roman" w:eastAsia="Times New Roman" w:cs="Times New Roman"/>
          <w:b/>
          <w:color w:val="000000" w:themeColor="text1"/>
          <w:sz w:val="36"/>
          <w:szCs w:val="36"/>
          <w:lang w:val="en-GB"/>
          <w14:textFill>
            <w14:solidFill>
              <w14:schemeClr w14:val="tx1"/>
            </w14:solidFill>
          </w14:textFill>
        </w:rPr>
      </w:pPr>
    </w:p>
    <w:p>
      <w:pPr>
        <w:pStyle w:val="3"/>
        <w:spacing w:before="200" w:after="200" w:line="360" w:lineRule="auto"/>
        <w:jc w:val="center"/>
        <w:rPr>
          <w:rFonts w:ascii="Times New Roman" w:hAnsi="Times New Roman" w:eastAsia="Times New Roman" w:cs="Times New Roman"/>
          <w:b/>
          <w:color w:val="000000" w:themeColor="text1"/>
          <w:sz w:val="36"/>
          <w:szCs w:val="36"/>
          <w:lang w:val="en-GB"/>
          <w14:textFill>
            <w14:solidFill>
              <w14:schemeClr w14:val="tx1"/>
            </w14:solidFill>
          </w14:textFill>
        </w:rPr>
      </w:pPr>
    </w:p>
    <w:p>
      <w:pPr>
        <w:pStyle w:val="3"/>
        <w:spacing w:before="200" w:after="200" w:line="360" w:lineRule="auto"/>
        <w:jc w:val="center"/>
        <w:rPr>
          <w:rFonts w:ascii="Times New Roman" w:hAnsi="Times New Roman" w:eastAsia="Times New Roman" w:cs="Times New Roman"/>
          <w:b/>
          <w:color w:val="000000" w:themeColor="text1"/>
          <w:sz w:val="36"/>
          <w:szCs w:val="36"/>
          <w:lang w:val="en-GB"/>
          <w14:textFill>
            <w14:solidFill>
              <w14:schemeClr w14:val="tx1"/>
            </w14:solidFill>
          </w14:textFill>
        </w:rPr>
      </w:pPr>
    </w:p>
    <w:p>
      <w:pPr>
        <w:pStyle w:val="3"/>
        <w:spacing w:before="200" w:after="200" w:line="360" w:lineRule="auto"/>
        <w:jc w:val="center"/>
        <w:rPr>
          <w:rFonts w:ascii="Times New Roman" w:hAnsi="Times New Roman" w:eastAsia="Times New Roman" w:cs="Times New Roman"/>
          <w:b/>
          <w:color w:val="000000" w:themeColor="text1"/>
          <w:sz w:val="36"/>
          <w:szCs w:val="36"/>
          <w:lang w:val="en-GB"/>
          <w14:textFill>
            <w14:solidFill>
              <w14:schemeClr w14:val="tx1"/>
            </w14:solidFill>
          </w14:textFill>
        </w:rPr>
      </w:pPr>
    </w:p>
    <w:p>
      <w:pPr>
        <w:pStyle w:val="3"/>
        <w:spacing w:before="200" w:after="200" w:line="360" w:lineRule="auto"/>
        <w:jc w:val="center"/>
        <w:rPr>
          <w:rFonts w:ascii="Times New Roman" w:hAnsi="Times New Roman" w:eastAsia="Times New Roman" w:cs="Times New Roman"/>
          <w:b/>
          <w:color w:val="000000" w:themeColor="text1"/>
          <w:sz w:val="36"/>
          <w:szCs w:val="36"/>
          <w:lang w:val="en-GB"/>
          <w14:textFill>
            <w14:solidFill>
              <w14:schemeClr w14:val="tx1"/>
            </w14:solidFill>
          </w14:textFill>
        </w:rPr>
      </w:pPr>
      <w:r>
        <w:rPr>
          <w:rFonts w:ascii="Times New Roman" w:hAnsi="Times New Roman" w:eastAsia="Times New Roman" w:cs="Times New Roman"/>
          <w:b/>
          <w:color w:val="000000" w:themeColor="text1"/>
          <w:sz w:val="36"/>
          <w:szCs w:val="36"/>
          <w:lang w:val="en-GB"/>
          <w14:textFill>
            <w14:solidFill>
              <w14:schemeClr w14:val="tx1"/>
            </w14:solidFill>
          </w14:textFill>
        </w:rPr>
        <w:t>BMIH5003: Foreign Languages &amp; Cultural Awareness</w:t>
      </w:r>
    </w:p>
    <w:p>
      <w:pPr>
        <w:pStyle w:val="3"/>
        <w:spacing w:before="200" w:after="200" w:line="360" w:lineRule="auto"/>
        <w:jc w:val="center"/>
        <w:rPr>
          <w:rFonts w:hint="default" w:ascii="Times New Roman" w:hAnsi="Times New Roman" w:eastAsia="Times New Roman" w:cs="Times New Roman"/>
          <w:b/>
          <w:color w:val="000000" w:themeColor="text1"/>
          <w:sz w:val="36"/>
          <w:szCs w:val="36"/>
          <w:lang w:val="en-GB"/>
          <w14:textFill>
            <w14:solidFill>
              <w14:schemeClr w14:val="tx1"/>
            </w14:solidFill>
          </w14:textFill>
        </w:rPr>
      </w:pPr>
      <w:r>
        <w:rPr>
          <w:rFonts w:ascii="Times New Roman" w:hAnsi="Times New Roman" w:eastAsia="Times New Roman" w:cs="Times New Roman"/>
          <w:b/>
          <w:color w:val="000000" w:themeColor="text1"/>
          <w:sz w:val="36"/>
          <w:szCs w:val="36"/>
          <w:lang w:val="en-GB"/>
          <w14:textFill>
            <w14:solidFill>
              <w14:schemeClr w14:val="tx1"/>
            </w14:solidFill>
          </w14:textFill>
        </w:rPr>
        <w:t>Intercultural Competence Report</w:t>
      </w:r>
      <w:r>
        <w:rPr>
          <w:rFonts w:hint="default" w:ascii="Times New Roman" w:hAnsi="Times New Roman" w:eastAsia="Times New Roman" w:cs="Times New Roman"/>
          <w:b/>
          <w:color w:val="000000" w:themeColor="text1"/>
          <w:sz w:val="36"/>
          <w:szCs w:val="36"/>
          <w:lang w:val="en-GB"/>
          <w14:textFill>
            <w14:solidFill>
              <w14:schemeClr w14:val="tx1"/>
            </w14:solidFill>
          </w14:textFill>
        </w:rPr>
        <w:t xml:space="preserve"> assessment 2 </w:t>
      </w:r>
      <w:bookmarkStart w:id="8" w:name="_GoBack"/>
      <w:bookmarkEnd w:id="8"/>
    </w:p>
    <w:p>
      <w:pPr>
        <w:spacing w:line="360" w:lineRule="auto"/>
        <w:jc w:val="center"/>
        <w:rPr>
          <w:rFonts w:hint="default"/>
          <w:b/>
          <w:i/>
          <w:lang w:val="en-GB"/>
        </w:rPr>
      </w:pPr>
      <w:r>
        <w:rPr>
          <w:b/>
          <w:i/>
          <w:lang w:val="en-GB"/>
        </w:rPr>
        <w:t xml:space="preserve">Module Code: </w:t>
      </w:r>
      <w:r>
        <w:rPr>
          <w:rFonts w:hint="default"/>
          <w:b/>
          <w:i/>
          <w:lang w:val="en-GB"/>
        </w:rPr>
        <w:t>BMIH5003</w:t>
      </w:r>
    </w:p>
    <w:p>
      <w:pPr>
        <w:spacing w:line="360" w:lineRule="auto"/>
        <w:jc w:val="center"/>
        <w:rPr>
          <w:b/>
          <w:i/>
          <w:lang w:val="en-GB"/>
        </w:rPr>
      </w:pPr>
      <w:r>
        <w:rPr>
          <w:rFonts w:hint="default"/>
          <w:b/>
          <w:i/>
          <w:lang w:val="en-GB"/>
        </w:rPr>
        <w:t>Foreign Languages and Cultural Awareness</w:t>
      </w:r>
    </w:p>
    <w:p>
      <w:pPr>
        <w:spacing w:line="360" w:lineRule="auto"/>
        <w:jc w:val="center"/>
        <w:rPr>
          <w:rFonts w:hint="default"/>
          <w:b/>
          <w:i/>
          <w:lang w:val="en-GB"/>
        </w:rPr>
      </w:pPr>
      <w:r>
        <w:rPr>
          <w:b/>
          <w:i/>
          <w:lang w:val="en-GB"/>
        </w:rPr>
        <w:t>Student Name:</w:t>
      </w:r>
      <w:r>
        <w:rPr>
          <w:rFonts w:hint="default"/>
          <w:b/>
          <w:i/>
          <w:lang w:val="en-GB"/>
        </w:rPr>
        <w:t xml:space="preserve"> Lidia Leva </w:t>
      </w:r>
    </w:p>
    <w:p>
      <w:pPr>
        <w:spacing w:line="360" w:lineRule="auto"/>
        <w:jc w:val="center"/>
        <w:rPr>
          <w:rFonts w:hint="default"/>
          <w:b/>
          <w:i/>
          <w:lang w:val="en-GB"/>
        </w:rPr>
      </w:pPr>
      <w:r>
        <w:rPr>
          <w:b/>
          <w:i/>
          <w:lang w:val="en-GB"/>
        </w:rPr>
        <w:t>Student ID:</w:t>
      </w:r>
      <w:r>
        <w:rPr>
          <w:rFonts w:hint="default"/>
          <w:b/>
          <w:i/>
          <w:lang w:val="en-GB"/>
        </w:rPr>
        <w:t xml:space="preserve"> 2242891</w:t>
      </w:r>
    </w:p>
    <w:p>
      <w:pPr>
        <w:spacing w:line="360" w:lineRule="auto"/>
        <w:jc w:val="center"/>
        <w:rPr>
          <w:rFonts w:hint="default"/>
          <w:b/>
          <w:i/>
          <w:lang w:val="en-GB"/>
        </w:rPr>
      </w:pPr>
      <w:r>
        <w:rPr>
          <w:rFonts w:hint="default"/>
          <w:b/>
          <w:i/>
          <w:lang w:val="en-GB"/>
        </w:rPr>
        <w:t>Module leader : Giulia Chifari</w:t>
      </w:r>
    </w:p>
    <w:p>
      <w:pPr>
        <w:jc w:val="both"/>
        <w:rPr>
          <w:rFonts w:ascii="Times New Roman" w:hAnsi="Times New Roman" w:eastAsia="Times New Roman" w:cs="Times New Roman"/>
          <w:b/>
          <w:color w:val="000000" w:themeColor="text1"/>
          <w:sz w:val="36"/>
          <w:szCs w:val="36"/>
          <w:lang w:val="en-GB"/>
          <w14:textFill>
            <w14:solidFill>
              <w14:schemeClr w14:val="tx1"/>
            </w14:solidFill>
          </w14:textFill>
        </w:rPr>
      </w:pPr>
      <w:r>
        <w:rPr>
          <w:color w:val="000000" w:themeColor="text1"/>
          <w:lang w:val="en-GB"/>
          <w14:textFill>
            <w14:solidFill>
              <w14:schemeClr w14:val="tx1"/>
            </w14:solidFill>
          </w14:textFill>
        </w:rPr>
        <w:br w:type="page"/>
      </w:r>
    </w:p>
    <w:p>
      <w:pPr>
        <w:pStyle w:val="3"/>
        <w:spacing w:before="200" w:after="200" w:line="360" w:lineRule="auto"/>
        <w:jc w:val="center"/>
        <w:rPr>
          <w:rFonts w:ascii="Times New Roman" w:hAnsi="Times New Roman" w:eastAsia="Times New Roman" w:cs="Times New Roman"/>
          <w:b/>
          <w:color w:val="000000" w:themeColor="text1"/>
          <w:sz w:val="24"/>
          <w:szCs w:val="24"/>
          <w:lang w:val="en-GB"/>
          <w14:textFill>
            <w14:solidFill>
              <w14:schemeClr w14:val="tx1"/>
            </w14:solidFill>
          </w14:textFill>
        </w:rPr>
      </w:pPr>
      <w:r>
        <w:rPr>
          <w:rFonts w:ascii="Times New Roman" w:hAnsi="Times New Roman" w:eastAsia="Times New Roman" w:cs="Times New Roman"/>
          <w:b/>
          <w:color w:val="000000" w:themeColor="text1"/>
          <w:sz w:val="24"/>
          <w:szCs w:val="24"/>
          <w:lang w:val="en-GB"/>
          <w14:textFill>
            <w14:solidFill>
              <w14:schemeClr w14:val="tx1"/>
            </w14:solidFill>
          </w14:textFill>
        </w:rPr>
        <w:t>Executive Summary</w:t>
      </w:r>
    </w:p>
    <w:p>
      <w:pPr>
        <w:pStyle w:val="3"/>
        <w:spacing w:before="200" w:after="200" w:line="360" w:lineRule="auto"/>
        <w:jc w:val="both"/>
        <w:rPr>
          <w:rFonts w:ascii="Times New Roman" w:hAnsi="Times New Roman" w:eastAsia="Times New Roman" w:cs="Times New Roman"/>
          <w:b/>
          <w:color w:val="000000" w:themeColor="text1"/>
          <w:sz w:val="24"/>
          <w:szCs w:val="24"/>
          <w:lang w:val="en-GB"/>
          <w14:textFill>
            <w14:solidFill>
              <w14:schemeClr w14:val="tx1"/>
            </w14:solidFill>
          </w14:textFill>
        </w:rPr>
      </w:pPr>
      <w:r>
        <w:rPr>
          <w:rFonts w:ascii="Times New Roman" w:hAnsi="Times New Roman" w:eastAsia="Times New Roman" w:cs="Times New Roman"/>
          <w:color w:val="000000" w:themeColor="text1"/>
          <w:sz w:val="24"/>
          <w:szCs w:val="24"/>
          <w:lang w:val="en-GB"/>
          <w14:textFill>
            <w14:solidFill>
              <w14:schemeClr w14:val="tx1"/>
            </w14:solidFill>
          </w14:textFill>
        </w:rPr>
        <w:t xml:space="preserve">Anglo Cluster is one of the popular hotels in England, which hires new employees from Germany, as it is the headquarters of this organisation. The cultural and communication style differences between the two countries create a misunderstanding situation and customer dissatisfaction rate. In order to reduce cultural misunderstanding situation and conflict, the General Manager could conduct a cross-cultural training session and adopt ICT approaches. These approaches could improve the performance level of the employees and reduce conflict situations in the workplace. </w:t>
      </w:r>
      <w:r>
        <w:rPr>
          <w:color w:val="000000" w:themeColor="text1"/>
          <w:lang w:val="en-GB"/>
          <w14:textFill>
            <w14:solidFill>
              <w14:schemeClr w14:val="tx1"/>
            </w14:solidFill>
          </w14:textFill>
        </w:rPr>
        <w:br w:type="page"/>
      </w:r>
    </w:p>
    <w:sdt>
      <w:sdtPr>
        <w:id w:val="-1745407398"/>
        <w:docPartObj>
          <w:docPartGallery w:val="Table of Contents"/>
          <w:docPartUnique/>
        </w:docPartObj>
      </w:sdtPr>
      <w:sdtEndPr>
        <w:rPr>
          <w:rFonts w:ascii="Arial" w:hAnsi="Arial" w:eastAsia="Arial" w:cs="Arial"/>
          <w:bCs/>
          <w:color w:val="auto"/>
          <w:sz w:val="22"/>
          <w:szCs w:val="22"/>
          <w:lang w:val="zh-CN"/>
        </w:rPr>
      </w:sdtEndPr>
      <w:sdtContent>
        <w:p>
          <w:pPr>
            <w:pStyle w:val="26"/>
            <w:spacing w:line="360" w:lineRule="auto"/>
            <w:jc w:val="center"/>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Table of Contents</w:t>
          </w:r>
        </w:p>
        <w:p>
          <w:pPr>
            <w:pStyle w:val="19"/>
            <w:tabs>
              <w:tab w:val="right" w:leader="dot" w:pos="9019"/>
            </w:tabs>
            <w:spacing w:line="360" w:lineRule="auto"/>
            <w:jc w:val="both"/>
            <w:rPr>
              <w:rFonts w:ascii="Times New Roman" w:hAnsi="Times New Roman" w:cs="Times New Roman"/>
              <w:sz w:val="24"/>
              <w:szCs w:val="24"/>
            </w:rPr>
          </w:pPr>
          <w:r>
            <w:fldChar w:fldCharType="begin"/>
          </w:r>
          <w:r>
            <w:instrText xml:space="preserve"> TOC \o "1-3" \h \z \u </w:instrText>
          </w:r>
          <w:r>
            <w:fldChar w:fldCharType="separate"/>
          </w:r>
          <w:r>
            <w:fldChar w:fldCharType="begin"/>
          </w:r>
          <w:r>
            <w:instrText xml:space="preserve"> HYPERLINK \l "_Toc165482909" </w:instrText>
          </w:r>
          <w:r>
            <w:fldChar w:fldCharType="separate"/>
          </w:r>
          <w:r>
            <w:rPr>
              <w:rStyle w:val="16"/>
              <w:rFonts w:ascii="Times New Roman" w:hAnsi="Times New Roman" w:cs="Times New Roman"/>
              <w:sz w:val="24"/>
              <w:szCs w:val="24"/>
              <w:lang w:val="en-GB"/>
            </w:rPr>
            <w:t>1. 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_Toc165482909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9"/>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"_Toc165482910" </w:instrText>
          </w:r>
          <w:r>
            <w:fldChar w:fldCharType="separate"/>
          </w:r>
          <w:r>
            <w:rPr>
              <w:rStyle w:val="16"/>
              <w:rFonts w:ascii="Times New Roman" w:hAnsi="Times New Roman" w:cs="Times New Roman"/>
              <w:sz w:val="24"/>
              <w:szCs w:val="24"/>
              <w:lang w:val="en-GB"/>
            </w:rPr>
            <w:t>2. Main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_Toc165482910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20"/>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"_Toc165482911" </w:instrText>
          </w:r>
          <w:r>
            <w:fldChar w:fldCharType="separate"/>
          </w:r>
          <w:r>
            <w:rPr>
              <w:rStyle w:val="16"/>
              <w:rFonts w:ascii="Times New Roman" w:hAnsi="Times New Roman" w:cs="Times New Roman"/>
              <w:sz w:val="24"/>
              <w:szCs w:val="24"/>
              <w:lang w:val="en-GB"/>
            </w:rPr>
            <w:t>2.1 Analyse the key differences between England and Germany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_Toc165482911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20"/>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"_Toc165482912" </w:instrText>
          </w:r>
          <w:r>
            <w:fldChar w:fldCharType="separate"/>
          </w:r>
          <w:r>
            <w:rPr>
              <w:rStyle w:val="16"/>
              <w:rFonts w:ascii="Times New Roman" w:hAnsi="Times New Roman" w:cs="Times New Roman"/>
              <w:sz w:val="24"/>
              <w:szCs w:val="24"/>
              <w:lang w:val="en-GB"/>
            </w:rPr>
            <w:t>2.2 Analyse and compare the two countries using the GLOBE Project’s culture and leadership study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_Toc165482912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20"/>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"_Toc165482913" </w:instrText>
          </w:r>
          <w:r>
            <w:fldChar w:fldCharType="separate"/>
          </w:r>
          <w:r>
            <w:rPr>
              <w:rStyle w:val="16"/>
              <w:rFonts w:ascii="Times New Roman" w:hAnsi="Times New Roman" w:cs="Times New Roman"/>
              <w:sz w:val="24"/>
              <w:szCs w:val="24"/>
              <w:lang w:val="en-GB"/>
            </w:rPr>
            <w:t>2.3 Critically discuss the challenges of intercultural leadership in the hospitality industry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_Toc165482913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9"/>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"_Toc165482914" </w:instrText>
          </w:r>
          <w:r>
            <w:fldChar w:fldCharType="separate"/>
          </w:r>
          <w:r>
            <w:rPr>
              <w:rStyle w:val="16"/>
              <w:rFonts w:ascii="Times New Roman" w:hAnsi="Times New Roman" w:cs="Times New Roman"/>
              <w:sz w:val="24"/>
              <w:szCs w:val="24"/>
              <w:lang w:val="en-GB"/>
            </w:rPr>
            <w:t>3. 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_Toc165482914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9"/>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"_Toc165482915" </w:instrText>
          </w:r>
          <w:r>
            <w:fldChar w:fldCharType="separate"/>
          </w:r>
          <w:r>
            <w:rPr>
              <w:rStyle w:val="16"/>
              <w:rFonts w:ascii="Times New Roman" w:hAnsi="Times New Roman" w:cs="Times New Roman"/>
              <w:sz w:val="24"/>
              <w:szCs w:val="24"/>
              <w:lang w:val="en-GB"/>
            </w:rPr>
            <w:t>4. Recommendations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_Toc165482915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9"/>
            <w:tabs>
              <w:tab w:val="right" w:leader="dot" w:pos="9019"/>
            </w:tabs>
            <w:spacing w:line="360" w:lineRule="auto"/>
            <w:jc w:val="both"/>
          </w:pPr>
          <w:r>
            <w:fldChar w:fldCharType="begin"/>
          </w:r>
          <w:r>
            <w:instrText xml:space="preserve"> HYPERLINK \l "_Toc165482916" </w:instrText>
          </w:r>
          <w:r>
            <w:fldChar w:fldCharType="separate"/>
          </w:r>
          <w:r>
            <w:rPr>
              <w:rStyle w:val="16"/>
              <w:rFonts w:ascii="Times New Roman" w:hAnsi="Times New Roman" w:cs="Times New Roman"/>
              <w:sz w:val="24"/>
              <w:szCs w:val="24"/>
              <w:lang w:val="en-GB"/>
            </w:rPr>
            <w:t>5. Reference List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_Toc165482916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spacing w:line="360" w:lineRule="auto"/>
          </w:pPr>
          <w:r>
            <w:rPr>
              <w:b/>
              <w:bCs/>
            </w:rPr>
            <w:fldChar w:fldCharType="end"/>
          </w:r>
        </w:p>
      </w:sdtContent>
    </w:sdt>
    <w:p>
      <w:pPr>
        <w:spacing w:line="360" w:lineRule="auto"/>
        <w:rPr>
          <w:rFonts w:ascii="Times New Roman" w:hAnsi="Times New Roman"/>
          <w:b/>
          <w:color w:val="000000" w:themeColor="text1"/>
          <w:sz w:val="24"/>
          <w:szCs w:val="40"/>
          <w:lang w:val="en-GB"/>
          <w14:textFill>
            <w14:solidFill>
              <w14:schemeClr w14:val="tx1"/>
            </w14:solidFill>
          </w14:textFill>
        </w:rPr>
      </w:pPr>
      <w:bookmarkStart w:id="0" w:name="_Toc165482909"/>
      <w:r>
        <w:rPr>
          <w:lang w:val="en-GB"/>
        </w:rPr>
        <w:br w:type="page"/>
      </w:r>
    </w:p>
    <w:p>
      <w:pPr>
        <w:pStyle w:val="2"/>
        <w:spacing w:line="360" w:lineRule="auto"/>
        <w:rPr>
          <w:b w:val="0"/>
          <w:lang w:val="en-GB"/>
        </w:rPr>
      </w:pPr>
      <w:r>
        <w:rPr>
          <w:lang w:val="en-GB"/>
        </w:rPr>
        <w:t>1. Introduction</w:t>
      </w:r>
      <w:bookmarkEnd w:id="0"/>
    </w:p>
    <w:p>
      <w:pPr>
        <w:pStyle w:val="3"/>
        <w:spacing w:before="200" w:after="200" w:line="360" w:lineRule="auto"/>
        <w:jc w:val="both"/>
        <w:rPr>
          <w:rFonts w:ascii="Times New Roman" w:hAnsi="Times New Roman" w:eastAsia="Times New Roman" w:cs="Times New Roman"/>
          <w:color w:val="000000" w:themeColor="text1"/>
          <w:sz w:val="24"/>
          <w:szCs w:val="24"/>
          <w:lang w:val="en-GB"/>
          <w14:textFill>
            <w14:solidFill>
              <w14:schemeClr w14:val="tx1"/>
            </w14:solidFill>
          </w14:textFill>
        </w:rPr>
      </w:pPr>
      <w:r>
        <w:rPr>
          <w:rFonts w:ascii="Times New Roman" w:hAnsi="Times New Roman" w:eastAsia="Times New Roman" w:cs="Times New Roman"/>
          <w:color w:val="000000" w:themeColor="text1"/>
          <w:sz w:val="24"/>
          <w:szCs w:val="24"/>
          <w:lang w:val="en-GB"/>
          <w14:textFill>
            <w14:solidFill>
              <w14:schemeClr w14:val="tx1"/>
            </w14:solidFill>
          </w14:textFill>
        </w:rPr>
        <w:t xml:space="preserve">As opined by </w:t>
      </w:r>
      <w:r>
        <w:rPr>
          <w:rFonts w:ascii="Times New Roman" w:hAnsi="Times New Roman" w:eastAsia="Times New Roman" w:cs="Times New Roman"/>
          <w:color w:val="000000" w:themeColor="text1"/>
          <w:sz w:val="24"/>
          <w:szCs w:val="24"/>
          <w:highlight w:val="white"/>
          <w:lang w:val="en-GB"/>
          <w14:textFill>
            <w14:solidFill>
              <w14:schemeClr w14:val="tx1"/>
            </w14:solidFill>
          </w14:textFill>
        </w:rPr>
        <w:t>Dobrovol'skij, and Piirainen</w:t>
      </w:r>
      <w:r>
        <w:rPr>
          <w:rFonts w:ascii="Times New Roman" w:hAnsi="Times New Roman" w:eastAsia="Times New Roman" w:cs="Times New Roman"/>
          <w:color w:val="000000" w:themeColor="text1"/>
          <w:sz w:val="24"/>
          <w:szCs w:val="24"/>
          <w:lang w:val="en-GB"/>
          <w14:textFill>
            <w14:solidFill>
              <w14:schemeClr w14:val="tx1"/>
            </w14:solidFill>
          </w14:textFill>
        </w:rPr>
        <w:t xml:space="preserve"> (2021), cultural competence is vital in the hospitality industry because, without this, it is impossible to communicate effectively with guests. Cultural competence encourages the acknowledgement and acceptance of differences in appearances, behaviour, and culture. The study illustrates the significance of cultural competencies within the hospitality sector. Anglos Cluster is a Multicultural Hotel &amp; Spa in London, England that's headquarters situated in Germany. </w:t>
      </w:r>
    </w:p>
    <w:p>
      <w:pPr>
        <w:pStyle w:val="2"/>
        <w:spacing w:line="360" w:lineRule="auto"/>
        <w:rPr>
          <w:lang w:val="en-GB"/>
        </w:rPr>
      </w:pPr>
      <w:bookmarkStart w:id="1" w:name="_Toc165482910"/>
      <w:r>
        <w:rPr>
          <w:lang w:val="en-GB"/>
        </w:rPr>
        <w:t>2. Main Analysis</w:t>
      </w:r>
      <w:bookmarkEnd w:id="1"/>
    </w:p>
    <w:p>
      <w:pPr>
        <w:pStyle w:val="4"/>
        <w:spacing w:line="360" w:lineRule="auto"/>
        <w:rPr>
          <w:lang w:val="en-GB"/>
        </w:rPr>
      </w:pPr>
      <w:bookmarkStart w:id="2" w:name="_Toc165482911"/>
      <w:r>
        <w:rPr>
          <w:lang w:val="en-GB"/>
        </w:rPr>
        <w:t>2.1 Analyse the key differences between England and Germany</w:t>
      </w:r>
      <w:bookmarkEnd w:id="2"/>
    </w:p>
    <w:p>
      <w:pPr>
        <w:pStyle w:val="3"/>
        <w:spacing w:before="200" w:after="200" w:line="360" w:lineRule="auto"/>
        <w:jc w:val="center"/>
        <w:rPr>
          <w:rFonts w:ascii="Times New Roman" w:hAnsi="Times New Roman" w:eastAsia="Times New Roman" w:cs="Times New Roman"/>
          <w:b/>
          <w:color w:val="000000" w:themeColor="text1"/>
          <w:sz w:val="24"/>
          <w:szCs w:val="24"/>
          <w:lang w:val="en-GB"/>
          <w14:textFill>
            <w14:solidFill>
              <w14:schemeClr w14:val="tx1"/>
            </w14:solidFill>
          </w14:textFill>
        </w:rPr>
      </w:pPr>
      <w:r>
        <w:rPr>
          <w:rFonts w:ascii="Times New Roman" w:hAnsi="Times New Roman" w:eastAsia="Times New Roman" w:cs="Times New Roman"/>
          <w:b/>
          <w:color w:val="000000" w:themeColor="text1"/>
          <w:sz w:val="24"/>
          <w:szCs w:val="24"/>
          <w:lang w:val="en-IN" w:eastAsia="en-IN"/>
          <w14:textFill>
            <w14:solidFill>
              <w14:schemeClr w14:val="tx1"/>
            </w14:solidFill>
          </w14:textFill>
        </w:rPr>
        <w:drawing>
          <wp:inline distT="114300" distB="114300" distL="114300" distR="114300">
            <wp:extent cx="5786120" cy="260477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786438" cy="2604858"/>
                    </a:xfrm>
                    <a:prstGeom prst="rect">
                      <a:avLst/>
                    </a:prstGeom>
                    <a:ln w="12700">
                      <a:solidFill>
                        <a:srgbClr val="000000"/>
                      </a:solidFill>
                      <a:prstDash val="solid"/>
                    </a:ln>
                  </pic:spPr>
                </pic:pic>
              </a:graphicData>
            </a:graphic>
          </wp:inline>
        </w:drawing>
      </w:r>
    </w:p>
    <w:p>
      <w:pPr>
        <w:pStyle w:val="3"/>
        <w:spacing w:before="200" w:after="200" w:line="360" w:lineRule="auto"/>
        <w:jc w:val="center"/>
        <w:rPr>
          <w:rFonts w:ascii="Times New Roman" w:hAnsi="Times New Roman" w:eastAsia="Times New Roman" w:cs="Times New Roman"/>
          <w:b/>
          <w:color w:val="000000" w:themeColor="text1"/>
          <w:sz w:val="24"/>
          <w:szCs w:val="24"/>
          <w:lang w:val="en-GB"/>
          <w14:textFill>
            <w14:solidFill>
              <w14:schemeClr w14:val="tx1"/>
            </w14:solidFill>
          </w14:textFill>
        </w:rPr>
      </w:pPr>
      <w:r>
        <w:rPr>
          <w:rFonts w:ascii="Times New Roman" w:hAnsi="Times New Roman" w:eastAsia="Times New Roman" w:cs="Times New Roman"/>
          <w:b/>
          <w:color w:val="000000" w:themeColor="text1"/>
          <w:sz w:val="24"/>
          <w:szCs w:val="24"/>
          <w:lang w:val="en-GB"/>
          <w14:textFill>
            <w14:solidFill>
              <w14:schemeClr w14:val="tx1"/>
            </w14:solidFill>
          </w14:textFill>
        </w:rPr>
        <w:t xml:space="preserve">Figure 1: Cultural differences between the UK and Germany </w:t>
      </w:r>
    </w:p>
    <w:p>
      <w:pPr>
        <w:pStyle w:val="3"/>
        <w:spacing w:before="200" w:after="200" w:line="360" w:lineRule="auto"/>
        <w:jc w:val="center"/>
        <w:rPr>
          <w:rFonts w:ascii="Times New Roman" w:hAnsi="Times New Roman" w:eastAsia="Times New Roman" w:cs="Times New Roman"/>
          <w:color w:val="000000" w:themeColor="text1"/>
          <w:sz w:val="24"/>
          <w:szCs w:val="24"/>
          <w:lang w:val="en-GB"/>
          <w14:textFill>
            <w14:solidFill>
              <w14:schemeClr w14:val="tx1"/>
            </w14:solidFill>
          </w14:textFill>
        </w:rPr>
      </w:pPr>
      <w:r>
        <w:rPr>
          <w:rFonts w:ascii="Times New Roman" w:hAnsi="Times New Roman" w:eastAsia="Times New Roman" w:cs="Times New Roman"/>
          <w:color w:val="000000" w:themeColor="text1"/>
          <w:sz w:val="24"/>
          <w:szCs w:val="24"/>
          <w:lang w:val="en-GB"/>
          <w14:textFill>
            <w14:solidFill>
              <w14:schemeClr w14:val="tx1"/>
            </w14:solidFill>
          </w14:textFill>
        </w:rPr>
        <w:t xml:space="preserve">(Source: </w:t>
      </w:r>
      <w:r>
        <w:rPr>
          <w:rFonts w:ascii="Times New Roman" w:hAnsi="Times New Roman" w:eastAsia="Times New Roman" w:cs="Times New Roman"/>
          <w:color w:val="000000" w:themeColor="text1"/>
          <w:sz w:val="24"/>
          <w:szCs w:val="24"/>
          <w:highlight w:val="white"/>
          <w:lang w:val="en-GB"/>
          <w14:textFill>
            <w14:solidFill>
              <w14:schemeClr w14:val="tx1"/>
            </w14:solidFill>
          </w14:textFill>
        </w:rPr>
        <w:t>hofstede-insights.com, 2024</w:t>
      </w:r>
      <w:r>
        <w:rPr>
          <w:rFonts w:ascii="Times New Roman" w:hAnsi="Times New Roman" w:eastAsia="Times New Roman" w:cs="Times New Roman"/>
          <w:color w:val="000000" w:themeColor="text1"/>
          <w:sz w:val="24"/>
          <w:szCs w:val="24"/>
          <w:lang w:val="en-GB"/>
          <w14:textFill>
            <w14:solidFill>
              <w14:schemeClr w14:val="tx1"/>
            </w14:solidFill>
          </w14:textFill>
        </w:rPr>
        <w:t>)</w:t>
      </w:r>
    </w:p>
    <w:p>
      <w:pPr>
        <w:pStyle w:val="3"/>
        <w:spacing w:before="200" w:after="200" w:line="360" w:lineRule="auto"/>
        <w:jc w:val="both"/>
        <w:rPr>
          <w:rFonts w:ascii="Times New Roman" w:hAnsi="Times New Roman" w:eastAsia="Times New Roman" w:cs="Times New Roman"/>
          <w:b/>
          <w:i/>
          <w:color w:val="000000" w:themeColor="text1"/>
          <w:sz w:val="24"/>
          <w:szCs w:val="24"/>
          <w:lang w:val="en-GB"/>
          <w14:textFill>
            <w14:solidFill>
              <w14:schemeClr w14:val="tx1"/>
            </w14:solidFill>
          </w14:textFill>
        </w:rPr>
      </w:pPr>
      <w:r>
        <w:rPr>
          <w:rFonts w:ascii="Times New Roman" w:hAnsi="Times New Roman" w:eastAsia="Times New Roman" w:cs="Times New Roman"/>
          <w:b/>
          <w:i/>
          <w:color w:val="000000" w:themeColor="text1"/>
          <w:sz w:val="24"/>
          <w:szCs w:val="24"/>
          <w:lang w:val="en-GB"/>
          <w14:textFill>
            <w14:solidFill>
              <w14:schemeClr w14:val="tx1"/>
            </w14:solidFill>
          </w14:textFill>
        </w:rPr>
        <w:t>Cultures</w:t>
      </w:r>
    </w:p>
    <w:p>
      <w:pPr>
        <w:pStyle w:val="3"/>
        <w:spacing w:before="200" w:after="200" w:line="360" w:lineRule="auto"/>
        <w:jc w:val="both"/>
        <w:rPr>
          <w:rFonts w:ascii="Times New Roman" w:hAnsi="Times New Roman" w:eastAsia="Times New Roman" w:cs="Times New Roman"/>
          <w:color w:val="000000" w:themeColor="text1"/>
          <w:sz w:val="24"/>
          <w:szCs w:val="24"/>
          <w:lang w:val="en-GB"/>
          <w14:textFill>
            <w14:solidFill>
              <w14:schemeClr w14:val="tx1"/>
            </w14:solidFill>
          </w14:textFill>
        </w:rPr>
      </w:pPr>
      <w:r>
        <w:rPr>
          <w:rFonts w:ascii="Times New Roman" w:hAnsi="Times New Roman" w:eastAsia="Times New Roman" w:cs="Times New Roman"/>
          <w:color w:val="000000" w:themeColor="text1"/>
          <w:sz w:val="24"/>
          <w:szCs w:val="24"/>
          <w:lang w:val="en-GB"/>
          <w14:textFill>
            <w14:solidFill>
              <w14:schemeClr w14:val="tx1"/>
            </w14:solidFill>
          </w14:textFill>
        </w:rPr>
        <w:t>From the above chart, it is observed that Germany is highly decentralised as well as supported by a strong middle class. On the other side, at 35, the UK sits in the lower ranking of PDI, i.e. a society that believes that inequalities amongst people should be minimised. Based on the comparison between the cultures of Germany and the United Kingdom, it observes that Germans are popular for their diligence, punctuality, and directness. However, the UK tend to be more polite along less direct in the way that they communicate with others. The UK is making 17% of Europe's new hotels, while Germany follows a share of 15% (</w:t>
      </w:r>
      <w:r>
        <w:rPr>
          <w:rFonts w:ascii="Times New Roman" w:hAnsi="Times New Roman" w:eastAsia="Times New Roman" w:cs="Times New Roman"/>
          <w:color w:val="000000" w:themeColor="text1"/>
          <w:sz w:val="24"/>
          <w:szCs w:val="24"/>
          <w:highlight w:val="white"/>
          <w:lang w:val="en-GB"/>
          <w14:textFill>
            <w14:solidFill>
              <w14:schemeClr w14:val="tx1"/>
            </w14:solidFill>
          </w14:textFill>
        </w:rPr>
        <w:t>statista.com, 2022</w:t>
      </w:r>
      <w:r>
        <w:rPr>
          <w:rFonts w:ascii="Times New Roman" w:hAnsi="Times New Roman" w:eastAsia="Times New Roman" w:cs="Times New Roman"/>
          <w:color w:val="000000" w:themeColor="text1"/>
          <w:sz w:val="24"/>
          <w:szCs w:val="24"/>
          <w:lang w:val="en-GB"/>
          <w14:textFill>
            <w14:solidFill>
              <w14:schemeClr w14:val="tx1"/>
            </w14:solidFill>
          </w14:textFill>
        </w:rPr>
        <w:t xml:space="preserve">).  </w:t>
      </w:r>
    </w:p>
    <w:p>
      <w:pPr>
        <w:pStyle w:val="3"/>
        <w:spacing w:before="200" w:after="200" w:line="360" w:lineRule="auto"/>
        <w:jc w:val="both"/>
        <w:rPr>
          <w:rFonts w:ascii="Times New Roman" w:hAnsi="Times New Roman" w:eastAsia="Times New Roman" w:cs="Times New Roman"/>
          <w:b/>
          <w:i/>
          <w:color w:val="000000" w:themeColor="text1"/>
          <w:sz w:val="24"/>
          <w:szCs w:val="24"/>
          <w:lang w:val="en-GB"/>
          <w14:textFill>
            <w14:solidFill>
              <w14:schemeClr w14:val="tx1"/>
            </w14:solidFill>
          </w14:textFill>
        </w:rPr>
      </w:pPr>
      <w:r>
        <w:rPr>
          <w:rFonts w:ascii="Times New Roman" w:hAnsi="Times New Roman" w:eastAsia="Times New Roman" w:cs="Times New Roman"/>
          <w:b/>
          <w:i/>
          <w:color w:val="000000" w:themeColor="text1"/>
          <w:sz w:val="24"/>
          <w:szCs w:val="24"/>
          <w:lang w:val="en-GB"/>
          <w14:textFill>
            <w14:solidFill>
              <w14:schemeClr w14:val="tx1"/>
            </w14:solidFill>
          </w14:textFill>
        </w:rPr>
        <w:t>Customs</w:t>
      </w:r>
    </w:p>
    <w:p>
      <w:pPr>
        <w:pStyle w:val="3"/>
        <w:spacing w:before="200" w:after="200" w:line="360" w:lineRule="auto"/>
        <w:jc w:val="both"/>
        <w:rPr>
          <w:rFonts w:ascii="Times New Roman" w:hAnsi="Times New Roman" w:eastAsia="Times New Roman" w:cs="Times New Roman"/>
          <w:color w:val="000000" w:themeColor="text1"/>
          <w:sz w:val="24"/>
          <w:szCs w:val="24"/>
          <w:lang w:val="en-GB"/>
          <w14:textFill>
            <w14:solidFill>
              <w14:schemeClr w14:val="tx1"/>
            </w14:solidFill>
          </w14:textFill>
        </w:rPr>
      </w:pPr>
      <w:r>
        <w:rPr>
          <w:rFonts w:ascii="Times New Roman" w:hAnsi="Times New Roman" w:eastAsia="Times New Roman" w:cs="Times New Roman"/>
          <w:color w:val="000000" w:themeColor="text1"/>
          <w:sz w:val="24"/>
          <w:szCs w:val="24"/>
          <w:lang w:val="en-GB"/>
          <w14:textFill>
            <w14:solidFill>
              <w14:schemeClr w14:val="tx1"/>
            </w14:solidFill>
          </w14:textFill>
        </w:rPr>
        <w:t xml:space="preserve">As stated by </w:t>
      </w:r>
      <w:r>
        <w:rPr>
          <w:rFonts w:ascii="Times New Roman" w:hAnsi="Times New Roman" w:eastAsia="Times New Roman" w:cs="Times New Roman"/>
          <w:color w:val="000000" w:themeColor="text1"/>
          <w:sz w:val="24"/>
          <w:szCs w:val="24"/>
          <w:highlight w:val="white"/>
          <w:lang w:val="en-GB"/>
          <w14:textFill>
            <w14:solidFill>
              <w14:schemeClr w14:val="tx1"/>
            </w14:solidFill>
          </w14:textFill>
        </w:rPr>
        <w:t>Klyukanov</w:t>
      </w:r>
      <w:r>
        <w:rPr>
          <w:color w:val="000000" w:themeColor="text1"/>
          <w:lang w:val="en-GB"/>
          <w14:textFill>
            <w14:solidFill>
              <w14:schemeClr w14:val="tx1"/>
            </w14:solidFill>
          </w14:textFill>
        </w:rPr>
        <w:t xml:space="preserve"> </w:t>
      </w:r>
      <w:r>
        <w:rPr>
          <w:rFonts w:ascii="Times New Roman" w:hAnsi="Times New Roman" w:eastAsia="Times New Roman" w:cs="Times New Roman"/>
          <w:color w:val="000000" w:themeColor="text1"/>
          <w:sz w:val="24"/>
          <w:szCs w:val="24"/>
          <w:lang w:val="en-GB"/>
          <w14:textFill>
            <w14:solidFill>
              <w14:schemeClr w14:val="tx1"/>
            </w14:solidFill>
          </w14:textFill>
        </w:rPr>
        <w:t>(2020), different customs between the two countries affect the employee's performance level. Germany has amazing capabilities to know the approximate population of anywhere they have lived. The uncertainty avoidance factor of Germany is lower than the United Kingdom, which states that the people tend to be more open to the unknown (</w:t>
      </w:r>
      <w:r>
        <w:rPr>
          <w:rFonts w:ascii="Times New Roman" w:hAnsi="Times New Roman" w:eastAsia="Times New Roman" w:cs="Times New Roman"/>
          <w:color w:val="000000" w:themeColor="text1"/>
          <w:sz w:val="24"/>
          <w:szCs w:val="24"/>
          <w:highlight w:val="white"/>
          <w:lang w:val="en-GB"/>
          <w14:textFill>
            <w14:solidFill>
              <w14:schemeClr w14:val="tx1"/>
            </w14:solidFill>
          </w14:textFill>
        </w:rPr>
        <w:t>bbc.com, 2020</w:t>
      </w:r>
      <w:r>
        <w:rPr>
          <w:rFonts w:ascii="Times New Roman" w:hAnsi="Times New Roman" w:eastAsia="Times New Roman" w:cs="Times New Roman"/>
          <w:color w:val="000000" w:themeColor="text1"/>
          <w:sz w:val="24"/>
          <w:szCs w:val="24"/>
          <w:lang w:val="en-GB"/>
          <w14:textFill>
            <w14:solidFill>
              <w14:schemeClr w14:val="tx1"/>
            </w14:solidFill>
          </w14:textFill>
        </w:rPr>
        <w:t xml:space="preserve">). The German people focus less on rules and principles and more on concepts and personal feelings that adversely affected Anglo Cluster's workplace. The German people value creativity and innovation and for this reason, the general manager of the Anglo Cluster could implement new technologies such as "face-recognition technology", "virtual reality" and "robots" to increase the employee performance level and customer satisfaction level within the workplace. On the other side, the UK's high Uncertainty Avoidance states that the employees from Anglo Cluster's UK branch follow strict rules and avoid taking risks at the hotel premises, which also results in a customer satisfaction rate. </w:t>
      </w:r>
    </w:p>
    <w:p>
      <w:pPr>
        <w:pStyle w:val="4"/>
        <w:spacing w:line="360" w:lineRule="auto"/>
        <w:rPr>
          <w:lang w:val="en-GB"/>
        </w:rPr>
      </w:pPr>
      <w:bookmarkStart w:id="3" w:name="_Toc165482912"/>
      <w:r>
        <w:rPr>
          <w:lang w:val="en-GB"/>
        </w:rPr>
        <w:t>2.2 Analyse and compare the two countries using the GLOBE Project’s culture and leadership study</w:t>
      </w:r>
      <w:bookmarkEnd w:id="3"/>
    </w:p>
    <w:p>
      <w:pPr>
        <w:pStyle w:val="3"/>
        <w:spacing w:before="200" w:after="200" w:line="360" w:lineRule="auto"/>
        <w:jc w:val="both"/>
        <w:rPr>
          <w:rFonts w:ascii="Times New Roman" w:hAnsi="Times New Roman" w:eastAsia="Times New Roman" w:cs="Times New Roman"/>
          <w:b/>
          <w:i/>
          <w:color w:val="000000" w:themeColor="text1"/>
          <w:sz w:val="24"/>
          <w:szCs w:val="24"/>
          <w:lang w:val="en-GB"/>
          <w14:textFill>
            <w14:solidFill>
              <w14:schemeClr w14:val="tx1"/>
            </w14:solidFill>
          </w14:textFill>
        </w:rPr>
      </w:pPr>
      <w:r>
        <w:rPr>
          <w:rFonts w:ascii="Times New Roman" w:hAnsi="Times New Roman" w:eastAsia="Times New Roman" w:cs="Times New Roman"/>
          <w:b/>
          <w:i/>
          <w:color w:val="000000" w:themeColor="text1"/>
          <w:sz w:val="24"/>
          <w:szCs w:val="24"/>
          <w:lang w:val="en-GB"/>
          <w14:textFill>
            <w14:solidFill>
              <w14:schemeClr w14:val="tx1"/>
            </w14:solidFill>
          </w14:textFill>
        </w:rPr>
        <w:t xml:space="preserve">Cultural dimension </w:t>
      </w:r>
    </w:p>
    <w:p>
      <w:pPr>
        <w:pStyle w:val="3"/>
        <w:spacing w:before="200" w:after="200" w:line="360" w:lineRule="auto"/>
        <w:jc w:val="both"/>
        <w:rPr>
          <w:rFonts w:ascii="Times New Roman" w:hAnsi="Times New Roman" w:eastAsia="Times New Roman" w:cs="Times New Roman"/>
          <w:color w:val="000000" w:themeColor="text1"/>
          <w:sz w:val="24"/>
          <w:szCs w:val="24"/>
          <w:lang w:val="en-GB"/>
          <w14:textFill>
            <w14:solidFill>
              <w14:schemeClr w14:val="tx1"/>
            </w14:solidFill>
          </w14:textFill>
        </w:rPr>
      </w:pPr>
      <w:r>
        <w:rPr>
          <w:rFonts w:ascii="Times New Roman" w:hAnsi="Times New Roman" w:eastAsia="Times New Roman" w:cs="Times New Roman"/>
          <w:color w:val="000000" w:themeColor="text1"/>
          <w:sz w:val="24"/>
          <w:szCs w:val="24"/>
          <w:lang w:val="en-GB"/>
          <w14:textFill>
            <w14:solidFill>
              <w14:schemeClr w14:val="tx1"/>
            </w14:solidFill>
          </w14:textFill>
        </w:rPr>
        <w:t>United Kingdom's low indulgence culture states that people adhere to strict social norms. On the other side, Germany's high indulgence score illustrates that resident from this country focus on enjoying life and having fun. The high indulgence of the UK states that the employees from the hospitality sector offer high-quality services to the guests (</w:t>
      </w:r>
      <w:r>
        <w:rPr>
          <w:rFonts w:ascii="Times New Roman" w:hAnsi="Times New Roman" w:eastAsia="Times New Roman" w:cs="Times New Roman"/>
          <w:color w:val="000000" w:themeColor="text1"/>
          <w:sz w:val="24"/>
          <w:szCs w:val="24"/>
          <w:highlight w:val="white"/>
          <w:lang w:val="en-GB"/>
          <w14:textFill>
            <w14:solidFill>
              <w14:schemeClr w14:val="tx1"/>
            </w14:solidFill>
          </w14:textFill>
        </w:rPr>
        <w:t>bbc.com, 2022</w:t>
      </w:r>
      <w:r>
        <w:rPr>
          <w:rFonts w:ascii="Times New Roman" w:hAnsi="Times New Roman" w:eastAsia="Times New Roman" w:cs="Times New Roman"/>
          <w:color w:val="000000" w:themeColor="text1"/>
          <w:sz w:val="24"/>
          <w:szCs w:val="24"/>
          <w:lang w:val="en-GB"/>
          <w14:textFill>
            <w14:solidFill>
              <w14:schemeClr w14:val="tx1"/>
            </w14:solidFill>
          </w14:textFill>
        </w:rPr>
        <w:t xml:space="preserve">).  </w:t>
      </w:r>
    </w:p>
    <w:p>
      <w:pPr>
        <w:pStyle w:val="3"/>
        <w:spacing w:before="200" w:after="200" w:line="360" w:lineRule="auto"/>
        <w:jc w:val="both"/>
        <w:rPr>
          <w:rFonts w:ascii="Times New Roman" w:hAnsi="Times New Roman" w:eastAsia="Times New Roman" w:cs="Times New Roman"/>
          <w:b/>
          <w:i/>
          <w:color w:val="000000" w:themeColor="text1"/>
          <w:sz w:val="24"/>
          <w:szCs w:val="24"/>
          <w:lang w:val="en-GB"/>
          <w14:textFill>
            <w14:solidFill>
              <w14:schemeClr w14:val="tx1"/>
            </w14:solidFill>
          </w14:textFill>
        </w:rPr>
      </w:pPr>
      <w:r>
        <w:rPr>
          <w:rFonts w:ascii="Times New Roman" w:hAnsi="Times New Roman" w:eastAsia="Times New Roman" w:cs="Times New Roman"/>
          <w:b/>
          <w:i/>
          <w:color w:val="000000" w:themeColor="text1"/>
          <w:sz w:val="24"/>
          <w:szCs w:val="24"/>
          <w:lang w:val="en-GB"/>
          <w14:textFill>
            <w14:solidFill>
              <w14:schemeClr w14:val="tx1"/>
            </w14:solidFill>
          </w14:textFill>
        </w:rPr>
        <w:t>Leadership</w:t>
      </w:r>
    </w:p>
    <w:p>
      <w:pPr>
        <w:pStyle w:val="3"/>
        <w:spacing w:before="200" w:after="200" w:line="360" w:lineRule="auto"/>
        <w:jc w:val="both"/>
        <w:rPr>
          <w:rFonts w:ascii="Times New Roman" w:hAnsi="Times New Roman" w:eastAsia="Times New Roman" w:cs="Times New Roman"/>
          <w:color w:val="000000" w:themeColor="text1"/>
          <w:sz w:val="24"/>
          <w:szCs w:val="24"/>
          <w:lang w:val="en-GB"/>
          <w14:textFill>
            <w14:solidFill>
              <w14:schemeClr w14:val="tx1"/>
            </w14:solidFill>
          </w14:textFill>
        </w:rPr>
      </w:pPr>
      <w:r>
        <w:rPr>
          <w:rFonts w:ascii="Times New Roman" w:hAnsi="Times New Roman" w:eastAsia="Times New Roman" w:cs="Times New Roman"/>
          <w:color w:val="000000" w:themeColor="text1"/>
          <w:sz w:val="24"/>
          <w:szCs w:val="24"/>
          <w:lang w:val="en-GB"/>
          <w14:textFill>
            <w14:solidFill>
              <w14:schemeClr w14:val="tx1"/>
            </w14:solidFill>
          </w14:textFill>
        </w:rPr>
        <w:t>Germany known for its strong economy as well as robust job market. In the workplace, the leaders of Germany-based hotel companies focus on innovation and technology (</w:t>
      </w:r>
      <w:r>
        <w:rPr>
          <w:rFonts w:ascii="Times New Roman" w:hAnsi="Times New Roman" w:eastAsia="Times New Roman" w:cs="Times New Roman"/>
          <w:color w:val="000000" w:themeColor="text1"/>
          <w:sz w:val="24"/>
          <w:szCs w:val="24"/>
          <w:highlight w:val="white"/>
          <w:lang w:val="en-GB"/>
          <w14:textFill>
            <w14:solidFill>
              <w14:schemeClr w14:val="tx1"/>
            </w14:solidFill>
          </w14:textFill>
        </w:rPr>
        <w:t xml:space="preserve">Tucci </w:t>
      </w:r>
      <w:r>
        <w:rPr>
          <w:rFonts w:ascii="Times New Roman" w:hAnsi="Times New Roman" w:eastAsia="Times New Roman" w:cs="Times New Roman"/>
          <w:i/>
          <w:color w:val="000000" w:themeColor="text1"/>
          <w:sz w:val="24"/>
          <w:szCs w:val="24"/>
          <w:highlight w:val="white"/>
          <w:lang w:val="en-GB"/>
          <w14:textFill>
            <w14:solidFill>
              <w14:schemeClr w14:val="tx1"/>
            </w14:solidFill>
          </w14:textFill>
        </w:rPr>
        <w:t>et al.,</w:t>
      </w:r>
      <w:r>
        <w:rPr>
          <w:rFonts w:ascii="Times New Roman" w:hAnsi="Times New Roman" w:eastAsia="Times New Roman" w:cs="Times New Roman"/>
          <w:color w:val="000000" w:themeColor="text1"/>
          <w:sz w:val="24"/>
          <w:szCs w:val="24"/>
          <w:highlight w:val="white"/>
          <w:lang w:val="en-GB"/>
          <w14:textFill>
            <w14:solidFill>
              <w14:schemeClr w14:val="tx1"/>
            </w14:solidFill>
          </w14:textFill>
        </w:rPr>
        <w:t xml:space="preserve"> 2021, p. 14</w:t>
      </w:r>
      <w:r>
        <w:rPr>
          <w:rFonts w:ascii="Times New Roman" w:hAnsi="Times New Roman" w:eastAsia="Times New Roman" w:cs="Times New Roman"/>
          <w:color w:val="000000" w:themeColor="text1"/>
          <w:sz w:val="24"/>
          <w:szCs w:val="24"/>
          <w:lang w:val="en-GB"/>
          <w14:textFill>
            <w14:solidFill>
              <w14:schemeClr w14:val="tx1"/>
            </w14:solidFill>
          </w14:textFill>
        </w:rPr>
        <w:t xml:space="preserve">). This country's low unemployment rate and high demand for skilled workers in the hospitality sector make it an attractive destination for people to enter the hospitality sector. On the other side, with the UK's vibrant cities and diverse hospitality sector, the UK provides a wide range of prospects across the hotel industry. England is a global hub for hospitality business, attracting professionals around the world, as the job market of this country is flexible and competitive. People who come from Germany to England to join the Anglo Cluster will benefit as the UK's culture has high uncertainty avoidance. The UK work culture tends to be more fast-paced as well as demanding, with longer working hours. </w:t>
      </w:r>
    </w:p>
    <w:p>
      <w:pPr>
        <w:pStyle w:val="4"/>
        <w:spacing w:line="360" w:lineRule="auto"/>
        <w:rPr>
          <w:lang w:val="en-GB"/>
        </w:rPr>
      </w:pPr>
      <w:bookmarkStart w:id="4" w:name="_Toc165482913"/>
      <w:r>
        <w:rPr>
          <w:lang w:val="en-GB"/>
        </w:rPr>
        <w:t>2.3 Critically discuss the challenges of intercultural leadership in the hospitality industry</w:t>
      </w:r>
      <w:bookmarkEnd w:id="4"/>
    </w:p>
    <w:p>
      <w:pPr>
        <w:pStyle w:val="3"/>
        <w:spacing w:before="200" w:after="200" w:line="360" w:lineRule="auto"/>
        <w:jc w:val="both"/>
        <w:rPr>
          <w:rFonts w:ascii="Times New Roman" w:hAnsi="Times New Roman" w:eastAsia="Times New Roman" w:cs="Times New Roman"/>
          <w:b/>
          <w:i/>
          <w:color w:val="000000" w:themeColor="text1"/>
          <w:sz w:val="24"/>
          <w:szCs w:val="24"/>
          <w:lang w:val="en-GB"/>
          <w14:textFill>
            <w14:solidFill>
              <w14:schemeClr w14:val="tx1"/>
            </w14:solidFill>
          </w14:textFill>
        </w:rPr>
      </w:pPr>
      <w:r>
        <w:rPr>
          <w:rFonts w:ascii="Times New Roman" w:hAnsi="Times New Roman" w:eastAsia="Times New Roman" w:cs="Times New Roman"/>
          <w:b/>
          <w:i/>
          <w:color w:val="000000" w:themeColor="text1"/>
          <w:sz w:val="24"/>
          <w:szCs w:val="24"/>
          <w:lang w:val="en-GB"/>
          <w14:textFill>
            <w14:solidFill>
              <w14:schemeClr w14:val="tx1"/>
            </w14:solidFill>
          </w14:textFill>
        </w:rPr>
        <w:t>Facing issues in communication</w:t>
      </w:r>
    </w:p>
    <w:p>
      <w:pPr>
        <w:pStyle w:val="3"/>
        <w:spacing w:before="200" w:after="200" w:line="360" w:lineRule="auto"/>
        <w:jc w:val="both"/>
        <w:rPr>
          <w:rFonts w:ascii="Times New Roman" w:hAnsi="Times New Roman" w:eastAsia="Times New Roman" w:cs="Times New Roman"/>
          <w:color w:val="000000" w:themeColor="text1"/>
          <w:sz w:val="24"/>
          <w:szCs w:val="24"/>
          <w:lang w:val="en-GB"/>
          <w14:textFill>
            <w14:solidFill>
              <w14:schemeClr w14:val="tx1"/>
            </w14:solidFill>
          </w14:textFill>
        </w:rPr>
      </w:pPr>
      <w:r>
        <w:rPr>
          <w:rFonts w:ascii="Times New Roman" w:hAnsi="Times New Roman" w:eastAsia="Times New Roman" w:cs="Times New Roman"/>
          <w:color w:val="000000" w:themeColor="text1"/>
          <w:sz w:val="24"/>
          <w:szCs w:val="24"/>
          <w:lang w:val="en-GB"/>
          <w14:textFill>
            <w14:solidFill>
              <w14:schemeClr w14:val="tx1"/>
            </w14:solidFill>
          </w14:textFill>
        </w:rPr>
        <w:t xml:space="preserve">As cited by </w:t>
      </w:r>
      <w:r>
        <w:rPr>
          <w:rFonts w:ascii="Times New Roman" w:hAnsi="Times New Roman" w:eastAsia="Times New Roman" w:cs="Times New Roman"/>
          <w:color w:val="000000" w:themeColor="text1"/>
          <w:sz w:val="24"/>
          <w:szCs w:val="24"/>
          <w:highlight w:val="white"/>
          <w:lang w:val="en-GB"/>
          <w14:textFill>
            <w14:solidFill>
              <w14:schemeClr w14:val="tx1"/>
            </w14:solidFill>
          </w14:textFill>
        </w:rPr>
        <w:t xml:space="preserve">Aririguzoh, </w:t>
      </w:r>
      <w:r>
        <w:rPr>
          <w:rFonts w:ascii="Times New Roman" w:hAnsi="Times New Roman" w:eastAsia="Times New Roman" w:cs="Times New Roman"/>
          <w:color w:val="000000" w:themeColor="text1"/>
          <w:sz w:val="24"/>
          <w:szCs w:val="24"/>
          <w:lang w:val="en-GB"/>
          <w14:textFill>
            <w14:solidFill>
              <w14:schemeClr w14:val="tx1"/>
            </w14:solidFill>
          </w14:textFill>
        </w:rPr>
        <w:t xml:space="preserve">(2022), language differences and varying communication style reduces the performance level. The leaders of Anglo Cluster could not able to guide their team members during the initial times as they faced communication barriers at the workplace. Language differences and communication styles between German and English could hinder effective collaboration  </w:t>
      </w:r>
    </w:p>
    <w:p>
      <w:pPr>
        <w:pStyle w:val="3"/>
        <w:spacing w:before="200" w:after="200" w:line="360" w:lineRule="auto"/>
        <w:jc w:val="both"/>
        <w:rPr>
          <w:rFonts w:ascii="Times New Roman" w:hAnsi="Times New Roman" w:eastAsia="Times New Roman" w:cs="Times New Roman"/>
          <w:b/>
          <w:i/>
          <w:color w:val="000000" w:themeColor="text1"/>
          <w:sz w:val="24"/>
          <w:szCs w:val="24"/>
          <w:lang w:val="en-GB"/>
          <w14:textFill>
            <w14:solidFill>
              <w14:schemeClr w14:val="tx1"/>
            </w14:solidFill>
          </w14:textFill>
        </w:rPr>
      </w:pPr>
      <w:r>
        <w:rPr>
          <w:rFonts w:ascii="Times New Roman" w:hAnsi="Times New Roman" w:eastAsia="Times New Roman" w:cs="Times New Roman"/>
          <w:b/>
          <w:i/>
          <w:color w:val="000000" w:themeColor="text1"/>
          <w:sz w:val="24"/>
          <w:szCs w:val="24"/>
          <w:lang w:val="en-GB"/>
          <w14:textFill>
            <w14:solidFill>
              <w14:schemeClr w14:val="tx1"/>
            </w14:solidFill>
          </w14:textFill>
        </w:rPr>
        <w:t>Cultural misunderstanding</w:t>
      </w:r>
    </w:p>
    <w:p>
      <w:pPr>
        <w:pStyle w:val="3"/>
        <w:spacing w:before="200" w:after="200" w:line="360" w:lineRule="auto"/>
        <w:jc w:val="both"/>
        <w:rPr>
          <w:rFonts w:ascii="Times New Roman" w:hAnsi="Times New Roman" w:eastAsia="Times New Roman" w:cs="Times New Roman"/>
          <w:color w:val="000000" w:themeColor="text1"/>
          <w:sz w:val="24"/>
          <w:szCs w:val="24"/>
          <w:lang w:val="en-GB"/>
          <w14:textFill>
            <w14:solidFill>
              <w14:schemeClr w14:val="tx1"/>
            </w14:solidFill>
          </w14:textFill>
        </w:rPr>
      </w:pPr>
      <w:r>
        <w:rPr>
          <w:rFonts w:ascii="Times New Roman" w:hAnsi="Times New Roman" w:eastAsia="Times New Roman" w:cs="Times New Roman"/>
          <w:color w:val="000000" w:themeColor="text1"/>
          <w:sz w:val="24"/>
          <w:szCs w:val="24"/>
          <w:lang w:val="en-GB"/>
          <w14:textFill>
            <w14:solidFill>
              <w14:schemeClr w14:val="tx1"/>
            </w14:solidFill>
          </w14:textFill>
        </w:rPr>
        <w:t xml:space="preserve">According to </w:t>
      </w:r>
      <w:r>
        <w:rPr>
          <w:rFonts w:ascii="Times New Roman" w:hAnsi="Times New Roman" w:eastAsia="Times New Roman" w:cs="Times New Roman"/>
          <w:color w:val="000000" w:themeColor="text1"/>
          <w:sz w:val="24"/>
          <w:szCs w:val="24"/>
          <w:highlight w:val="white"/>
          <w:lang w:val="en-GB"/>
          <w14:textFill>
            <w14:solidFill>
              <w14:schemeClr w14:val="tx1"/>
            </w14:solidFill>
          </w14:textFill>
        </w:rPr>
        <w:t>Tuleja</w:t>
      </w:r>
      <w:r>
        <w:rPr>
          <w:rFonts w:ascii="Times New Roman" w:hAnsi="Times New Roman" w:eastAsia="Times New Roman" w:cs="Times New Roman"/>
          <w:color w:val="000000" w:themeColor="text1"/>
          <w:sz w:val="24"/>
          <w:szCs w:val="24"/>
          <w:lang w:val="en-GB"/>
          <w14:textFill>
            <w14:solidFill>
              <w14:schemeClr w14:val="tx1"/>
            </w14:solidFill>
          </w14:textFill>
        </w:rPr>
        <w:t xml:space="preserve"> (2021), a lack of cultural awareness could lead to misunderstandings as well as conflict. The Leaders could face issues in workplace conflict and misunderstanding issues when German people come and join Anglo Cluster's London branch. </w:t>
      </w:r>
    </w:p>
    <w:p>
      <w:pPr>
        <w:pStyle w:val="3"/>
        <w:spacing w:before="200" w:after="200" w:line="360" w:lineRule="auto"/>
        <w:jc w:val="both"/>
        <w:rPr>
          <w:rFonts w:ascii="Times New Roman" w:hAnsi="Times New Roman" w:eastAsia="Times New Roman" w:cs="Times New Roman"/>
          <w:b/>
          <w:i/>
          <w:color w:val="000000" w:themeColor="text1"/>
          <w:sz w:val="24"/>
          <w:szCs w:val="24"/>
          <w:lang w:val="en-GB"/>
          <w14:textFill>
            <w14:solidFill>
              <w14:schemeClr w14:val="tx1"/>
            </w14:solidFill>
          </w14:textFill>
        </w:rPr>
      </w:pPr>
      <w:r>
        <w:rPr>
          <w:rFonts w:ascii="Times New Roman" w:hAnsi="Times New Roman" w:eastAsia="Times New Roman" w:cs="Times New Roman"/>
          <w:b/>
          <w:i/>
          <w:color w:val="000000" w:themeColor="text1"/>
          <w:sz w:val="24"/>
          <w:szCs w:val="24"/>
          <w:lang w:val="en-GB"/>
          <w14:textFill>
            <w14:solidFill>
              <w14:schemeClr w14:val="tx1"/>
            </w14:solidFill>
          </w14:textFill>
        </w:rPr>
        <w:t>Team dynamic</w:t>
      </w:r>
    </w:p>
    <w:p>
      <w:pPr>
        <w:pStyle w:val="3"/>
        <w:spacing w:before="200" w:after="200" w:line="360" w:lineRule="auto"/>
        <w:jc w:val="both"/>
        <w:rPr>
          <w:rFonts w:ascii="Times New Roman" w:hAnsi="Times New Roman" w:eastAsia="Times New Roman" w:cs="Times New Roman"/>
          <w:color w:val="000000" w:themeColor="text1"/>
          <w:sz w:val="24"/>
          <w:szCs w:val="24"/>
          <w:lang w:val="en-GB"/>
          <w14:textFill>
            <w14:solidFill>
              <w14:schemeClr w14:val="tx1"/>
            </w14:solidFill>
          </w14:textFill>
        </w:rPr>
      </w:pPr>
      <w:r>
        <w:rPr>
          <w:rFonts w:ascii="Times New Roman" w:hAnsi="Times New Roman" w:eastAsia="Times New Roman" w:cs="Times New Roman"/>
          <w:color w:val="000000" w:themeColor="text1"/>
          <w:sz w:val="24"/>
          <w:szCs w:val="24"/>
          <w:lang w:val="en-GB"/>
          <w14:textFill>
            <w14:solidFill>
              <w14:schemeClr w14:val="tx1"/>
            </w14:solidFill>
          </w14:textFill>
        </w:rPr>
        <w:t xml:space="preserve">It will challenge the leaders of the organisation to balance diverse perspectives and foster a sense of inclusion at the workplace because of the differences in communication approaches between German and UK people. Cultural differences in trust-building practices and relationship dynamics led leaders to invest time and effort into understanding and respecting the nuances in an effective way. On the other side, the guest satisfaction rate of the hotel could be reduced at the initial stage, as these German people would be unable to offer quality services to the guests because of cultural heterogeneity between Germany and the United Kingdom. </w:t>
      </w:r>
    </w:p>
    <w:p>
      <w:pPr>
        <w:pStyle w:val="2"/>
        <w:spacing w:line="360" w:lineRule="auto"/>
        <w:rPr>
          <w:lang w:val="en-GB"/>
        </w:rPr>
      </w:pPr>
      <w:bookmarkStart w:id="5" w:name="_Toc165482914"/>
      <w:r>
        <w:rPr>
          <w:lang w:val="en-GB"/>
        </w:rPr>
        <w:t>3. Conclusion</w:t>
      </w:r>
      <w:bookmarkEnd w:id="5"/>
      <w:r>
        <w:rPr>
          <w:lang w:val="en-GB"/>
        </w:rPr>
        <w:t xml:space="preserve"> </w:t>
      </w:r>
    </w:p>
    <w:p>
      <w:pPr>
        <w:pStyle w:val="3"/>
        <w:spacing w:before="200" w:after="200" w:line="360" w:lineRule="auto"/>
        <w:jc w:val="both"/>
        <w:rPr>
          <w:rFonts w:ascii="Times New Roman" w:hAnsi="Times New Roman" w:eastAsia="Times New Roman" w:cs="Times New Roman"/>
          <w:color w:val="000000" w:themeColor="text1"/>
          <w:sz w:val="24"/>
          <w:szCs w:val="24"/>
          <w:lang w:val="en-GB"/>
          <w14:textFill>
            <w14:solidFill>
              <w14:schemeClr w14:val="tx1"/>
            </w14:solidFill>
          </w14:textFill>
        </w:rPr>
      </w:pPr>
      <w:r>
        <w:rPr>
          <w:rFonts w:ascii="Times New Roman" w:hAnsi="Times New Roman" w:eastAsia="Times New Roman" w:cs="Times New Roman"/>
          <w:color w:val="000000" w:themeColor="text1"/>
          <w:sz w:val="24"/>
          <w:szCs w:val="24"/>
          <w:lang w:val="en-GB"/>
          <w14:textFill>
            <w14:solidFill>
              <w14:schemeClr w14:val="tx1"/>
            </w14:solidFill>
          </w14:textFill>
        </w:rPr>
        <w:t xml:space="preserve">Based on the overall discussion, it analyses that cultural competence is important in the hospitality sector as it helps to interact with customers from different backgrounds. Anglo Cluster recruits employees from Germany and in this aspect; the hotel brand could face cultural misunderstanding issues because of different cultures and communication styles.  </w:t>
      </w:r>
    </w:p>
    <w:p>
      <w:pPr>
        <w:pStyle w:val="2"/>
        <w:spacing w:line="360" w:lineRule="auto"/>
        <w:rPr>
          <w:lang w:val="en-GB"/>
        </w:rPr>
      </w:pPr>
      <w:bookmarkStart w:id="6" w:name="_Toc165482915"/>
      <w:r>
        <w:rPr>
          <w:lang w:val="en-GB"/>
        </w:rPr>
        <w:t>4. Recommendations</w:t>
      </w:r>
      <w:bookmarkEnd w:id="6"/>
    </w:p>
    <w:p>
      <w:pPr>
        <w:pStyle w:val="3"/>
        <w:spacing w:before="200" w:after="200" w:line="360" w:lineRule="auto"/>
        <w:jc w:val="both"/>
        <w:rPr>
          <w:rFonts w:ascii="Times New Roman" w:hAnsi="Times New Roman" w:eastAsia="Times New Roman" w:cs="Times New Roman"/>
          <w:b/>
          <w:i/>
          <w:color w:val="000000" w:themeColor="text1"/>
          <w:sz w:val="24"/>
          <w:szCs w:val="24"/>
          <w:lang w:val="en-GB"/>
          <w14:textFill>
            <w14:solidFill>
              <w14:schemeClr w14:val="tx1"/>
            </w14:solidFill>
          </w14:textFill>
        </w:rPr>
      </w:pPr>
      <w:r>
        <w:rPr>
          <w:rFonts w:ascii="Times New Roman" w:hAnsi="Times New Roman" w:eastAsia="Times New Roman" w:cs="Times New Roman"/>
          <w:b/>
          <w:i/>
          <w:color w:val="000000" w:themeColor="text1"/>
          <w:sz w:val="24"/>
          <w:szCs w:val="24"/>
          <w:lang w:val="en-GB"/>
          <w14:textFill>
            <w14:solidFill>
              <w14:schemeClr w14:val="tx1"/>
            </w14:solidFill>
          </w14:textFill>
        </w:rPr>
        <w:t xml:space="preserve">Conducting a cross-cultural training </w:t>
      </w:r>
    </w:p>
    <w:p>
      <w:pPr>
        <w:pStyle w:val="3"/>
        <w:spacing w:before="200" w:after="200" w:line="360" w:lineRule="auto"/>
        <w:jc w:val="both"/>
        <w:rPr>
          <w:rFonts w:ascii="Times New Roman" w:hAnsi="Times New Roman" w:eastAsia="Times New Roman" w:cs="Times New Roman"/>
          <w:color w:val="000000" w:themeColor="text1"/>
          <w:sz w:val="24"/>
          <w:szCs w:val="24"/>
          <w:lang w:val="en-GB"/>
          <w14:textFill>
            <w14:solidFill>
              <w14:schemeClr w14:val="tx1"/>
            </w14:solidFill>
          </w14:textFill>
        </w:rPr>
      </w:pPr>
      <w:r>
        <w:rPr>
          <w:rFonts w:ascii="Times New Roman" w:hAnsi="Times New Roman" w:eastAsia="Times New Roman" w:cs="Times New Roman"/>
          <w:color w:val="000000" w:themeColor="text1"/>
          <w:sz w:val="24"/>
          <w:szCs w:val="24"/>
          <w:lang w:val="en-GB"/>
          <w14:textFill>
            <w14:solidFill>
              <w14:schemeClr w14:val="tx1"/>
            </w14:solidFill>
          </w14:textFill>
        </w:rPr>
        <w:t>The general manager of Anglo Cluster could conduct a cross-cultural training session for the employees who will come from Germany. Offering training on cross-cultural aspects could help the employees to increase their awareness of the UK's workplace and culture. The cultural awareness and competence of the employees could increase which could help them to understand the requirements of the guests within UK's the hospitality sector in an effective way. Considering Shanon-Weaver Communication, theory's principles allow a person to communicate with others (</w:t>
      </w:r>
      <w:r>
        <w:rPr>
          <w:rFonts w:ascii="Times New Roman" w:hAnsi="Times New Roman" w:eastAsia="Times New Roman" w:cs="Times New Roman"/>
          <w:color w:val="000000" w:themeColor="text1"/>
          <w:sz w:val="24"/>
          <w:szCs w:val="24"/>
          <w:highlight w:val="white"/>
          <w:lang w:val="en-GB"/>
          <w14:textFill>
            <w14:solidFill>
              <w14:schemeClr w14:val="tx1"/>
            </w14:solidFill>
          </w14:textFill>
        </w:rPr>
        <w:t>Ardiansyah, and Andini, 2023</w:t>
      </w:r>
      <w:r>
        <w:rPr>
          <w:rFonts w:ascii="Times New Roman" w:hAnsi="Times New Roman" w:eastAsia="Times New Roman" w:cs="Times New Roman"/>
          <w:color w:val="000000" w:themeColor="text1"/>
          <w:sz w:val="24"/>
          <w:szCs w:val="24"/>
          <w:lang w:val="en-GB"/>
          <w14:textFill>
            <w14:solidFill>
              <w14:schemeClr w14:val="tx1"/>
            </w14:solidFill>
          </w14:textFill>
        </w:rPr>
        <w:t xml:space="preserve">). In this aspect, the leaders of this organisation could maintain the approaches of the Shanon-Weaver communication theory to reduce the communication barrier </w:t>
      </w:r>
    </w:p>
    <w:p>
      <w:pPr>
        <w:pStyle w:val="3"/>
        <w:spacing w:before="200" w:after="200" w:line="360" w:lineRule="auto"/>
        <w:jc w:val="both"/>
        <w:rPr>
          <w:rFonts w:ascii="Times New Roman" w:hAnsi="Times New Roman" w:eastAsia="Times New Roman" w:cs="Times New Roman"/>
          <w:b/>
          <w:i/>
          <w:color w:val="000000" w:themeColor="text1"/>
          <w:sz w:val="24"/>
          <w:szCs w:val="24"/>
          <w:lang w:val="en-GB"/>
          <w14:textFill>
            <w14:solidFill>
              <w14:schemeClr w14:val="tx1"/>
            </w14:solidFill>
          </w14:textFill>
        </w:rPr>
      </w:pPr>
      <w:r>
        <w:rPr>
          <w:rFonts w:ascii="Times New Roman" w:hAnsi="Times New Roman" w:eastAsia="Times New Roman" w:cs="Times New Roman"/>
          <w:b/>
          <w:i/>
          <w:color w:val="000000" w:themeColor="text1"/>
          <w:sz w:val="24"/>
          <w:szCs w:val="24"/>
          <w:lang w:val="en-GB"/>
          <w14:textFill>
            <w14:solidFill>
              <w14:schemeClr w14:val="tx1"/>
            </w14:solidFill>
          </w14:textFill>
        </w:rPr>
        <w:t xml:space="preserve">Adapting advanced ICT technology </w:t>
      </w:r>
    </w:p>
    <w:p>
      <w:pPr>
        <w:pStyle w:val="3"/>
        <w:spacing w:before="200" w:after="200" w:line="360" w:lineRule="auto"/>
        <w:jc w:val="both"/>
        <w:rPr>
          <w:rFonts w:ascii="Times New Roman" w:hAnsi="Times New Roman" w:eastAsia="Times New Roman" w:cs="Times New Roman"/>
          <w:color w:val="000000" w:themeColor="text1"/>
          <w:sz w:val="24"/>
          <w:szCs w:val="24"/>
          <w:lang w:val="en-GB"/>
          <w14:textFill>
            <w14:solidFill>
              <w14:schemeClr w14:val="tx1"/>
            </w14:solidFill>
          </w14:textFill>
        </w:rPr>
      </w:pPr>
      <w:r>
        <w:rPr>
          <w:rFonts w:ascii="Times New Roman" w:hAnsi="Times New Roman" w:eastAsia="Times New Roman" w:cs="Times New Roman"/>
          <w:color w:val="000000" w:themeColor="text1"/>
          <w:sz w:val="24"/>
          <w:szCs w:val="24"/>
          <w:lang w:val="en-GB"/>
          <w14:textFill>
            <w14:solidFill>
              <w14:schemeClr w14:val="tx1"/>
            </w14:solidFill>
          </w14:textFill>
        </w:rPr>
        <w:t xml:space="preserve">The general manager of Anglo Cluster could adopt the advanced ICT technology at the workplace to improve the communication style of the new employees. Advanced technology such as ICT will help employees to interact with guests and identify their needs at the hotel premises. </w:t>
      </w:r>
    </w:p>
    <w:p>
      <w:pPr>
        <w:pStyle w:val="3"/>
        <w:spacing w:before="200" w:after="200" w:line="360" w:lineRule="auto"/>
        <w:jc w:val="both"/>
        <w:rPr>
          <w:rFonts w:ascii="Times New Roman" w:hAnsi="Times New Roman" w:eastAsia="Times New Roman" w:cs="Times New Roman"/>
          <w:b/>
          <w:i/>
          <w:color w:val="000000" w:themeColor="text1"/>
          <w:sz w:val="24"/>
          <w:szCs w:val="24"/>
          <w:lang w:val="en-GB"/>
          <w14:textFill>
            <w14:solidFill>
              <w14:schemeClr w14:val="tx1"/>
            </w14:solidFill>
          </w14:textFill>
        </w:rPr>
      </w:pPr>
      <w:r>
        <w:rPr>
          <w:rFonts w:ascii="Times New Roman" w:hAnsi="Times New Roman" w:eastAsia="Times New Roman" w:cs="Times New Roman"/>
          <w:b/>
          <w:i/>
          <w:color w:val="000000" w:themeColor="text1"/>
          <w:sz w:val="24"/>
          <w:szCs w:val="24"/>
          <w:lang w:val="en-GB"/>
          <w14:textFill>
            <w14:solidFill>
              <w14:schemeClr w14:val="tx1"/>
            </w14:solidFill>
          </w14:textFill>
        </w:rPr>
        <w:t>Providing cross-cultural leadership training</w:t>
      </w:r>
    </w:p>
    <w:p>
      <w:pPr>
        <w:pStyle w:val="3"/>
        <w:spacing w:before="200" w:after="200" w:line="360" w:lineRule="auto"/>
        <w:jc w:val="both"/>
        <w:rPr>
          <w:rFonts w:ascii="Times New Roman" w:hAnsi="Times New Roman" w:eastAsia="Times New Roman" w:cs="Times New Roman"/>
          <w:color w:val="000000" w:themeColor="text1"/>
          <w:sz w:val="24"/>
          <w:szCs w:val="24"/>
          <w:lang w:val="en-GB"/>
          <w14:textFill>
            <w14:solidFill>
              <w14:schemeClr w14:val="tx1"/>
            </w14:solidFill>
          </w14:textFill>
        </w:rPr>
      </w:pPr>
      <w:r>
        <w:rPr>
          <w:rFonts w:ascii="Times New Roman" w:hAnsi="Times New Roman" w:eastAsia="Times New Roman" w:cs="Times New Roman"/>
          <w:color w:val="000000" w:themeColor="text1"/>
          <w:sz w:val="24"/>
          <w:szCs w:val="24"/>
          <w:lang w:val="en-GB"/>
          <w14:textFill>
            <w14:solidFill>
              <w14:schemeClr w14:val="tx1"/>
            </w14:solidFill>
          </w14:textFill>
        </w:rPr>
        <w:t xml:space="preserve">In addition, the general manager of the following hotel company could conduct a "cross-cultural" leadership training session at the workplace. In this aspect, cross-cultural leadership training could allow leaders to adapt and thrive in several cultural settings. The ladders of the Anglo Cluster will be able to reduce workplace conflict and misunderstanding situations after getting training in cross-cultural leadership.  </w:t>
      </w:r>
    </w:p>
    <w:p>
      <w:pPr>
        <w:pStyle w:val="3"/>
        <w:spacing w:before="200" w:after="200" w:line="360" w:lineRule="auto"/>
        <w:jc w:val="both"/>
        <w:rPr>
          <w:rFonts w:ascii="Times New Roman" w:hAnsi="Times New Roman" w:eastAsia="Times New Roman" w:cs="Times New Roman"/>
          <w:b/>
          <w:color w:val="000000" w:themeColor="text1"/>
          <w:sz w:val="24"/>
          <w:szCs w:val="24"/>
          <w:lang w:val="en-GB"/>
          <w14:textFill>
            <w14:solidFill>
              <w14:schemeClr w14:val="tx1"/>
            </w14:solidFill>
          </w14:textFill>
        </w:rPr>
      </w:pPr>
      <w:r>
        <w:rPr>
          <w:color w:val="000000" w:themeColor="text1"/>
          <w:lang w:val="en-GB"/>
          <w14:textFill>
            <w14:solidFill>
              <w14:schemeClr w14:val="tx1"/>
            </w14:solidFill>
          </w14:textFill>
        </w:rPr>
        <w:br w:type="page"/>
      </w:r>
    </w:p>
    <w:p>
      <w:pPr>
        <w:pStyle w:val="2"/>
        <w:spacing w:line="360" w:lineRule="auto"/>
        <w:rPr>
          <w:lang w:val="en-GB"/>
        </w:rPr>
      </w:pPr>
      <w:bookmarkStart w:id="7" w:name="_Toc165482916"/>
      <w:r>
        <w:rPr>
          <w:lang w:val="en-GB"/>
        </w:rPr>
        <w:t>5. Reference List</w:t>
      </w:r>
      <w:bookmarkEnd w:id="7"/>
      <w:r>
        <w:rPr>
          <w:lang w:val="en-GB"/>
        </w:rPr>
        <w:t xml:space="preserve"> </w:t>
      </w:r>
    </w:p>
    <w:p>
      <w:pPr>
        <w:pStyle w:val="3"/>
        <w:spacing w:before="240" w:after="240" w:line="360" w:lineRule="auto"/>
        <w:jc w:val="both"/>
        <w:rPr>
          <w:rFonts w:ascii="Times New Roman" w:hAnsi="Times New Roman" w:eastAsia="Times New Roman" w:cs="Times New Roman"/>
          <w:color w:val="000000" w:themeColor="text1"/>
          <w:sz w:val="24"/>
          <w:szCs w:val="24"/>
          <w:lang w:val="en-GB"/>
          <w14:textFill>
            <w14:solidFill>
              <w14:schemeClr w14:val="tx1"/>
            </w14:solidFill>
          </w14:textFill>
        </w:rPr>
      </w:pPr>
      <w:r>
        <w:rPr>
          <w:rFonts w:ascii="Times New Roman" w:hAnsi="Times New Roman" w:eastAsia="Times New Roman" w:cs="Times New Roman"/>
          <w:color w:val="000000" w:themeColor="text1"/>
          <w:sz w:val="24"/>
          <w:szCs w:val="24"/>
          <w:highlight w:val="white"/>
          <w:lang w:val="en-GB"/>
          <w14:textFill>
            <w14:solidFill>
              <w14:schemeClr w14:val="tx1"/>
            </w14:solidFill>
          </w14:textFill>
        </w:rPr>
        <w:t xml:space="preserve">Ardiansyah, M.R. and Andini, M.M., 2023. Understanding Hadith of Imam Muslim Number 1421 According to Perspective of Informative Communication Theory-Shannon-Weaver's. </w:t>
      </w:r>
      <w:r>
        <w:rPr>
          <w:rFonts w:ascii="Times New Roman" w:hAnsi="Times New Roman" w:eastAsia="Times New Roman" w:cs="Times New Roman"/>
          <w:i/>
          <w:color w:val="000000" w:themeColor="text1"/>
          <w:sz w:val="24"/>
          <w:szCs w:val="24"/>
          <w:lang w:val="en-GB"/>
          <w14:textFill>
            <w14:solidFill>
              <w14:schemeClr w14:val="tx1"/>
            </w14:solidFill>
          </w14:textFill>
        </w:rPr>
        <w:t>Taqaddumi: Journal of Quran and Hadith Studies</w:t>
      </w:r>
      <w:r>
        <w:rPr>
          <w:rFonts w:ascii="Times New Roman" w:hAnsi="Times New Roman" w:eastAsia="Times New Roman" w:cs="Times New Roman"/>
          <w:color w:val="000000" w:themeColor="text1"/>
          <w:sz w:val="24"/>
          <w:szCs w:val="24"/>
          <w:lang w:val="en-GB"/>
          <w14:textFill>
            <w14:solidFill>
              <w14:schemeClr w14:val="tx1"/>
            </w14:solidFill>
          </w14:textFill>
        </w:rPr>
        <w:t xml:space="preserve">, </w:t>
      </w:r>
      <w:r>
        <w:rPr>
          <w:rFonts w:ascii="Times New Roman" w:hAnsi="Times New Roman" w:eastAsia="Times New Roman" w:cs="Times New Roman"/>
          <w:i/>
          <w:color w:val="000000" w:themeColor="text1"/>
          <w:sz w:val="24"/>
          <w:szCs w:val="24"/>
          <w:lang w:val="en-GB"/>
          <w14:textFill>
            <w14:solidFill>
              <w14:schemeClr w14:val="tx1"/>
            </w14:solidFill>
          </w14:textFill>
        </w:rPr>
        <w:t>3</w:t>
      </w:r>
      <w:r>
        <w:rPr>
          <w:rFonts w:ascii="Times New Roman" w:hAnsi="Times New Roman" w:eastAsia="Times New Roman" w:cs="Times New Roman"/>
          <w:color w:val="000000" w:themeColor="text1"/>
          <w:sz w:val="24"/>
          <w:szCs w:val="24"/>
          <w:lang w:val="en-GB"/>
          <w14:textFill>
            <w14:solidFill>
              <w14:schemeClr w14:val="tx1"/>
            </w14:solidFill>
          </w14:textFill>
        </w:rPr>
        <w:t>(2), pp.180-192.</w:t>
      </w:r>
      <w:r>
        <w:fldChar w:fldCharType="begin"/>
      </w:r>
      <w:r>
        <w:instrText xml:space="preserve"> HYPERLINK "http://journal2.uad.ac.id/index.php/taqaddumi/article/view/9439" \h </w:instrText>
      </w:r>
      <w:r>
        <w:fldChar w:fldCharType="separate"/>
      </w:r>
      <w:r>
        <w:rPr>
          <w:rFonts w:ascii="Times New Roman" w:hAnsi="Times New Roman" w:eastAsia="Times New Roman" w:cs="Times New Roman"/>
          <w:color w:val="000000" w:themeColor="text1"/>
          <w:sz w:val="24"/>
          <w:szCs w:val="24"/>
          <w:lang w:val="en-GB"/>
          <w14:textFill>
            <w14:solidFill>
              <w14:schemeClr w14:val="tx1"/>
            </w14:solidFill>
          </w14:textFill>
        </w:rPr>
        <w:t xml:space="preserve"> http://journal2.uad.ac.id/index.php/taqaddumi/article/view/9439</w:t>
      </w:r>
      <w:r>
        <w:rPr>
          <w:rFonts w:ascii="Times New Roman" w:hAnsi="Times New Roman" w:eastAsia="Times New Roman" w:cs="Times New Roman"/>
          <w:color w:val="000000" w:themeColor="text1"/>
          <w:sz w:val="24"/>
          <w:szCs w:val="24"/>
          <w:lang w:val="en-GB"/>
          <w14:textFill>
            <w14:solidFill>
              <w14:schemeClr w14:val="tx1"/>
            </w14:solidFill>
          </w14:textFill>
        </w:rPr>
        <w:fldChar w:fldCharType="end"/>
      </w:r>
    </w:p>
    <w:p>
      <w:pPr>
        <w:pStyle w:val="3"/>
        <w:spacing w:before="240" w:after="240" w:line="360" w:lineRule="auto"/>
        <w:jc w:val="both"/>
        <w:rPr>
          <w:rFonts w:ascii="Times New Roman" w:hAnsi="Times New Roman" w:eastAsia="Times New Roman" w:cs="Times New Roman"/>
          <w:color w:val="000000" w:themeColor="text1"/>
          <w:sz w:val="24"/>
          <w:szCs w:val="24"/>
          <w:lang w:val="en-GB"/>
          <w14:textFill>
            <w14:solidFill>
              <w14:schemeClr w14:val="tx1"/>
            </w14:solidFill>
          </w14:textFill>
        </w:rPr>
      </w:pPr>
      <w:r>
        <w:rPr>
          <w:rFonts w:ascii="Times New Roman" w:hAnsi="Times New Roman" w:eastAsia="Times New Roman" w:cs="Times New Roman"/>
          <w:color w:val="000000" w:themeColor="text1"/>
          <w:sz w:val="24"/>
          <w:szCs w:val="24"/>
          <w:highlight w:val="white"/>
          <w:lang w:val="en-GB"/>
          <w14:textFill>
            <w14:solidFill>
              <w14:schemeClr w14:val="tx1"/>
            </w14:solidFill>
          </w14:textFill>
        </w:rPr>
        <w:t xml:space="preserve">Aririguzoh, S., 2022. Communication competencies, culture and SDGs: effective processes to cross-cultural communication. </w:t>
      </w:r>
      <w:r>
        <w:rPr>
          <w:rFonts w:ascii="Times New Roman" w:hAnsi="Times New Roman" w:eastAsia="Times New Roman" w:cs="Times New Roman"/>
          <w:i/>
          <w:color w:val="000000" w:themeColor="text1"/>
          <w:sz w:val="24"/>
          <w:szCs w:val="24"/>
          <w:lang w:val="en-GB"/>
          <w14:textFill>
            <w14:solidFill>
              <w14:schemeClr w14:val="tx1"/>
            </w14:solidFill>
          </w14:textFill>
        </w:rPr>
        <w:t>Humanities and Social Sciences Communications</w:t>
      </w:r>
      <w:r>
        <w:rPr>
          <w:rFonts w:ascii="Times New Roman" w:hAnsi="Times New Roman" w:eastAsia="Times New Roman" w:cs="Times New Roman"/>
          <w:color w:val="000000" w:themeColor="text1"/>
          <w:sz w:val="24"/>
          <w:szCs w:val="24"/>
          <w:lang w:val="en-GB"/>
          <w14:textFill>
            <w14:solidFill>
              <w14:schemeClr w14:val="tx1"/>
            </w14:solidFill>
          </w14:textFill>
        </w:rPr>
        <w:t xml:space="preserve">, </w:t>
      </w:r>
      <w:r>
        <w:rPr>
          <w:rFonts w:ascii="Times New Roman" w:hAnsi="Times New Roman" w:eastAsia="Times New Roman" w:cs="Times New Roman"/>
          <w:i/>
          <w:color w:val="000000" w:themeColor="text1"/>
          <w:sz w:val="24"/>
          <w:szCs w:val="24"/>
          <w:lang w:val="en-GB"/>
          <w14:textFill>
            <w14:solidFill>
              <w14:schemeClr w14:val="tx1"/>
            </w14:solidFill>
          </w14:textFill>
        </w:rPr>
        <w:t>9</w:t>
      </w:r>
      <w:r>
        <w:rPr>
          <w:rFonts w:ascii="Times New Roman" w:hAnsi="Times New Roman" w:eastAsia="Times New Roman" w:cs="Times New Roman"/>
          <w:color w:val="000000" w:themeColor="text1"/>
          <w:sz w:val="24"/>
          <w:szCs w:val="24"/>
          <w:lang w:val="en-GB"/>
          <w14:textFill>
            <w14:solidFill>
              <w14:schemeClr w14:val="tx1"/>
            </w14:solidFill>
          </w14:textFill>
        </w:rPr>
        <w:t>(1), pp.1-11.</w:t>
      </w:r>
      <w:r>
        <w:fldChar w:fldCharType="begin"/>
      </w:r>
      <w:r>
        <w:instrText xml:space="preserve"> HYPERLINK "https://www.nature.com/articles/s41599-022-01109-4" \h </w:instrText>
      </w:r>
      <w:r>
        <w:fldChar w:fldCharType="separate"/>
      </w:r>
      <w:r>
        <w:rPr>
          <w:rFonts w:ascii="Times New Roman" w:hAnsi="Times New Roman" w:eastAsia="Times New Roman" w:cs="Times New Roman"/>
          <w:color w:val="000000" w:themeColor="text1"/>
          <w:sz w:val="24"/>
          <w:szCs w:val="24"/>
          <w:lang w:val="en-GB"/>
          <w14:textFill>
            <w14:solidFill>
              <w14:schemeClr w14:val="tx1"/>
            </w14:solidFill>
          </w14:textFill>
        </w:rPr>
        <w:t xml:space="preserve"> https://www.nature.com/articles/s41599-022-01109-4</w:t>
      </w:r>
      <w:r>
        <w:rPr>
          <w:rFonts w:ascii="Times New Roman" w:hAnsi="Times New Roman" w:eastAsia="Times New Roman" w:cs="Times New Roman"/>
          <w:color w:val="000000" w:themeColor="text1"/>
          <w:sz w:val="24"/>
          <w:szCs w:val="24"/>
          <w:lang w:val="en-GB"/>
          <w14:textFill>
            <w14:solidFill>
              <w14:schemeClr w14:val="tx1"/>
            </w14:solidFill>
          </w14:textFill>
        </w:rPr>
        <w:fldChar w:fldCharType="end"/>
      </w:r>
    </w:p>
    <w:p>
      <w:pPr>
        <w:pStyle w:val="3"/>
        <w:spacing w:before="240" w:after="240" w:line="360" w:lineRule="auto"/>
        <w:jc w:val="both"/>
        <w:rPr>
          <w:rFonts w:ascii="Times New Roman" w:hAnsi="Times New Roman" w:eastAsia="Times New Roman" w:cs="Times New Roman"/>
          <w:color w:val="000000" w:themeColor="text1"/>
          <w:sz w:val="24"/>
          <w:szCs w:val="24"/>
          <w:lang w:val="en-GB"/>
          <w14:textFill>
            <w14:solidFill>
              <w14:schemeClr w14:val="tx1"/>
            </w14:solidFill>
          </w14:textFill>
        </w:rPr>
      </w:pPr>
      <w:r>
        <w:rPr>
          <w:rFonts w:ascii="Times New Roman" w:hAnsi="Times New Roman" w:eastAsia="Times New Roman" w:cs="Times New Roman"/>
          <w:color w:val="000000" w:themeColor="text1"/>
          <w:sz w:val="24"/>
          <w:szCs w:val="24"/>
          <w:highlight w:val="white"/>
          <w:lang w:val="en-GB"/>
          <w14:textFill>
            <w14:solidFill>
              <w14:schemeClr w14:val="tx1"/>
            </w14:solidFill>
          </w14:textFill>
        </w:rPr>
        <w:t xml:space="preserve">bbc.com, 2020. “How ‘Feierabend’ helps Germans disconnect from the workday,” </w:t>
      </w:r>
      <w:r>
        <w:rPr>
          <w:rFonts w:ascii="Times New Roman" w:hAnsi="Times New Roman" w:eastAsia="Times New Roman" w:cs="Times New Roman"/>
          <w:i/>
          <w:color w:val="000000" w:themeColor="text1"/>
          <w:sz w:val="24"/>
          <w:szCs w:val="24"/>
          <w:lang w:val="en-GB"/>
          <w14:textFill>
            <w14:solidFill>
              <w14:schemeClr w14:val="tx1"/>
            </w14:solidFill>
          </w14:textFill>
        </w:rPr>
        <w:t>BBC</w:t>
      </w:r>
      <w:r>
        <w:rPr>
          <w:rFonts w:ascii="Times New Roman" w:hAnsi="Times New Roman" w:eastAsia="Times New Roman" w:cs="Times New Roman"/>
          <w:color w:val="000000" w:themeColor="text1"/>
          <w:sz w:val="24"/>
          <w:szCs w:val="24"/>
          <w:lang w:val="en-GB"/>
          <w14:textFill>
            <w14:solidFill>
              <w14:schemeClr w14:val="tx1"/>
            </w14:solidFill>
          </w14:textFill>
        </w:rPr>
        <w:t>, 7 October. Available at: https://www.bbc.com/worklife/article/20200929-how-feierabend-helps-germans-disconnect-from-the-workday (Accessed: May 1, 2024).</w:t>
      </w:r>
    </w:p>
    <w:p>
      <w:pPr>
        <w:pStyle w:val="3"/>
        <w:spacing w:before="240" w:after="240" w:line="360" w:lineRule="auto"/>
        <w:jc w:val="both"/>
        <w:rPr>
          <w:rFonts w:ascii="Times New Roman" w:hAnsi="Times New Roman" w:eastAsia="Times New Roman" w:cs="Times New Roman"/>
          <w:color w:val="000000" w:themeColor="text1"/>
          <w:sz w:val="24"/>
          <w:szCs w:val="24"/>
          <w:lang w:val="en-GB"/>
          <w14:textFill>
            <w14:solidFill>
              <w14:schemeClr w14:val="tx1"/>
            </w14:solidFill>
          </w14:textFill>
        </w:rPr>
      </w:pPr>
      <w:r>
        <w:rPr>
          <w:rFonts w:ascii="Times New Roman" w:hAnsi="Times New Roman" w:eastAsia="Times New Roman" w:cs="Times New Roman"/>
          <w:color w:val="000000" w:themeColor="text1"/>
          <w:sz w:val="24"/>
          <w:szCs w:val="24"/>
          <w:highlight w:val="white"/>
          <w:lang w:val="en-GB"/>
          <w14:textFill>
            <w14:solidFill>
              <w14:schemeClr w14:val="tx1"/>
            </w14:solidFill>
          </w14:textFill>
        </w:rPr>
        <w:t xml:space="preserve">bbc.com, 2022.  “Work culture,” </w:t>
      </w:r>
      <w:r>
        <w:rPr>
          <w:rFonts w:ascii="Times New Roman" w:hAnsi="Times New Roman" w:eastAsia="Times New Roman" w:cs="Times New Roman"/>
          <w:i/>
          <w:color w:val="000000" w:themeColor="text1"/>
          <w:sz w:val="24"/>
          <w:szCs w:val="24"/>
          <w:lang w:val="en-GB"/>
          <w14:textFill>
            <w14:solidFill>
              <w14:schemeClr w14:val="tx1"/>
            </w14:solidFill>
          </w14:textFill>
        </w:rPr>
        <w:t>BBC</w:t>
      </w:r>
      <w:r>
        <w:rPr>
          <w:rFonts w:ascii="Times New Roman" w:hAnsi="Times New Roman" w:eastAsia="Times New Roman" w:cs="Times New Roman"/>
          <w:color w:val="000000" w:themeColor="text1"/>
          <w:sz w:val="24"/>
          <w:szCs w:val="24"/>
          <w:lang w:val="en-GB"/>
          <w14:textFill>
            <w14:solidFill>
              <w14:schemeClr w14:val="tx1"/>
            </w14:solidFill>
          </w14:textFill>
        </w:rPr>
        <w:t>. Available at: https://www.bbc.com/worklife/tags/work-culture (Accessed: May 1, 2024).</w:t>
      </w:r>
    </w:p>
    <w:p>
      <w:pPr>
        <w:pStyle w:val="3"/>
        <w:spacing w:before="240" w:after="240" w:line="360" w:lineRule="auto"/>
        <w:jc w:val="both"/>
        <w:rPr>
          <w:rFonts w:ascii="Times New Roman" w:hAnsi="Times New Roman" w:eastAsia="Times New Roman" w:cs="Times New Roman"/>
          <w:color w:val="000000" w:themeColor="text1"/>
          <w:sz w:val="24"/>
          <w:szCs w:val="24"/>
          <w:lang w:val="en-GB"/>
          <w14:textFill>
            <w14:solidFill>
              <w14:schemeClr w14:val="tx1"/>
            </w14:solidFill>
          </w14:textFill>
        </w:rPr>
      </w:pPr>
      <w:r>
        <w:rPr>
          <w:rFonts w:ascii="Times New Roman" w:hAnsi="Times New Roman" w:eastAsia="Times New Roman" w:cs="Times New Roman"/>
          <w:color w:val="000000" w:themeColor="text1"/>
          <w:sz w:val="24"/>
          <w:szCs w:val="24"/>
          <w:highlight w:val="white"/>
          <w:lang w:val="en-GB"/>
          <w14:textFill>
            <w14:solidFill>
              <w14:schemeClr w14:val="tx1"/>
            </w14:solidFill>
          </w14:textFill>
        </w:rPr>
        <w:t xml:space="preserve">Dobrovol'skij, D. and Piirainen, E., 2021. </w:t>
      </w:r>
      <w:r>
        <w:rPr>
          <w:rFonts w:ascii="Times New Roman" w:hAnsi="Times New Roman" w:eastAsia="Times New Roman" w:cs="Times New Roman"/>
          <w:i/>
          <w:color w:val="000000" w:themeColor="text1"/>
          <w:sz w:val="24"/>
          <w:szCs w:val="24"/>
          <w:lang w:val="en-GB"/>
          <w14:textFill>
            <w14:solidFill>
              <w14:schemeClr w14:val="tx1"/>
            </w14:solidFill>
          </w14:textFill>
        </w:rPr>
        <w:t>Figurative language: Cross-cultural and cross-linguistic perspectives</w:t>
      </w:r>
      <w:r>
        <w:rPr>
          <w:rFonts w:ascii="Times New Roman" w:hAnsi="Times New Roman" w:eastAsia="Times New Roman" w:cs="Times New Roman"/>
          <w:color w:val="000000" w:themeColor="text1"/>
          <w:sz w:val="24"/>
          <w:szCs w:val="24"/>
          <w:lang w:val="en-GB"/>
          <w14:textFill>
            <w14:solidFill>
              <w14:schemeClr w14:val="tx1"/>
            </w14:solidFill>
          </w14:textFill>
        </w:rPr>
        <w:t xml:space="preserve"> (Vol. 350). Walter de Gruyter GmbH &amp; Co KG.</w:t>
      </w:r>
    </w:p>
    <w:p>
      <w:pPr>
        <w:pStyle w:val="3"/>
        <w:spacing w:before="240" w:after="240" w:line="360" w:lineRule="auto"/>
        <w:jc w:val="both"/>
        <w:rPr>
          <w:rFonts w:ascii="Times New Roman" w:hAnsi="Times New Roman" w:eastAsia="Times New Roman" w:cs="Times New Roman"/>
          <w:color w:val="000000" w:themeColor="text1"/>
          <w:sz w:val="24"/>
          <w:szCs w:val="24"/>
          <w:highlight w:val="white"/>
          <w:lang w:val="en-GB"/>
          <w14:textFill>
            <w14:solidFill>
              <w14:schemeClr w14:val="tx1"/>
            </w14:solidFill>
          </w14:textFill>
        </w:rPr>
      </w:pPr>
      <w:r>
        <w:rPr>
          <w:rFonts w:ascii="Times New Roman" w:hAnsi="Times New Roman" w:eastAsia="Times New Roman" w:cs="Times New Roman"/>
          <w:color w:val="000000" w:themeColor="text1"/>
          <w:sz w:val="24"/>
          <w:szCs w:val="24"/>
          <w:highlight w:val="white"/>
          <w:lang w:val="en-GB"/>
          <w14:textFill>
            <w14:solidFill>
              <w14:schemeClr w14:val="tx1"/>
            </w14:solidFill>
          </w14:textFill>
        </w:rPr>
        <w:t xml:space="preserve">hofstede-insights.com, 2024. </w:t>
      </w:r>
      <w:r>
        <w:rPr>
          <w:rFonts w:ascii="Times New Roman" w:hAnsi="Times New Roman" w:eastAsia="Times New Roman" w:cs="Times New Roman"/>
          <w:i/>
          <w:color w:val="000000" w:themeColor="text1"/>
          <w:sz w:val="24"/>
          <w:szCs w:val="24"/>
          <w:highlight w:val="white"/>
          <w:lang w:val="en-GB"/>
          <w14:textFill>
            <w14:solidFill>
              <w14:schemeClr w14:val="tx1"/>
            </w14:solidFill>
          </w14:textFill>
        </w:rPr>
        <w:t xml:space="preserve"> Country comparison tool</w:t>
      </w:r>
      <w:r>
        <w:rPr>
          <w:rFonts w:ascii="Times New Roman" w:hAnsi="Times New Roman" w:eastAsia="Times New Roman" w:cs="Times New Roman"/>
          <w:color w:val="000000" w:themeColor="text1"/>
          <w:sz w:val="24"/>
          <w:szCs w:val="24"/>
          <w:highlight w:val="white"/>
          <w:lang w:val="en-GB"/>
          <w14:textFill>
            <w14:solidFill>
              <w14:schemeClr w14:val="tx1"/>
            </w14:solidFill>
          </w14:textFill>
        </w:rPr>
        <w:t xml:space="preserve"> . </w:t>
      </w:r>
      <w:r>
        <w:rPr>
          <w:rFonts w:ascii="Times New Roman" w:hAnsi="Times New Roman" w:eastAsia="Times New Roman" w:cs="Times New Roman"/>
          <w:i/>
          <w:color w:val="000000" w:themeColor="text1"/>
          <w:sz w:val="24"/>
          <w:szCs w:val="24"/>
          <w:highlight w:val="white"/>
          <w:lang w:val="en-GB"/>
          <w14:textFill>
            <w14:solidFill>
              <w14:schemeClr w14:val="tx1"/>
            </w14:solidFill>
          </w14:textFill>
        </w:rPr>
        <w:t>Hofstede-insights.com</w:t>
      </w:r>
      <w:r>
        <w:rPr>
          <w:rFonts w:ascii="Times New Roman" w:hAnsi="Times New Roman" w:eastAsia="Times New Roman" w:cs="Times New Roman"/>
          <w:color w:val="000000" w:themeColor="text1"/>
          <w:sz w:val="24"/>
          <w:szCs w:val="24"/>
          <w:highlight w:val="white"/>
          <w:lang w:val="en-GB"/>
          <w14:textFill>
            <w14:solidFill>
              <w14:schemeClr w14:val="tx1"/>
            </w14:solidFill>
          </w14:textFill>
        </w:rPr>
        <w:t>. Available at: https://www.hofstede-insights.com/country-comparison-tool?countries=germany%2Cunited+kingdom (Accessed: May 1, 2024).</w:t>
      </w:r>
    </w:p>
    <w:p>
      <w:pPr>
        <w:pStyle w:val="3"/>
        <w:spacing w:before="240" w:after="240" w:line="360" w:lineRule="auto"/>
        <w:jc w:val="both"/>
        <w:rPr>
          <w:rFonts w:ascii="Times New Roman" w:hAnsi="Times New Roman" w:eastAsia="Times New Roman" w:cs="Times New Roman"/>
          <w:color w:val="000000" w:themeColor="text1"/>
          <w:sz w:val="24"/>
          <w:szCs w:val="24"/>
          <w:lang w:val="en-GB"/>
          <w14:textFill>
            <w14:solidFill>
              <w14:schemeClr w14:val="tx1"/>
            </w14:solidFill>
          </w14:textFill>
        </w:rPr>
      </w:pPr>
      <w:r>
        <w:rPr>
          <w:rFonts w:ascii="Times New Roman" w:hAnsi="Times New Roman" w:eastAsia="Times New Roman" w:cs="Times New Roman"/>
          <w:color w:val="000000" w:themeColor="text1"/>
          <w:sz w:val="24"/>
          <w:szCs w:val="24"/>
          <w:highlight w:val="white"/>
          <w:lang w:val="en-GB"/>
          <w14:textFill>
            <w14:solidFill>
              <w14:schemeClr w14:val="tx1"/>
            </w14:solidFill>
          </w14:textFill>
        </w:rPr>
        <w:t xml:space="preserve">Klyukanov, I.E., 2020. </w:t>
      </w:r>
      <w:r>
        <w:rPr>
          <w:rFonts w:ascii="Times New Roman" w:hAnsi="Times New Roman" w:eastAsia="Times New Roman" w:cs="Times New Roman"/>
          <w:i/>
          <w:color w:val="000000" w:themeColor="text1"/>
          <w:sz w:val="24"/>
          <w:szCs w:val="24"/>
          <w:lang w:val="en-GB"/>
          <w14:textFill>
            <w14:solidFill>
              <w14:schemeClr w14:val="tx1"/>
            </w14:solidFill>
          </w14:textFill>
        </w:rPr>
        <w:t>Principles of intercultural communication</w:t>
      </w:r>
      <w:r>
        <w:rPr>
          <w:rFonts w:ascii="Times New Roman" w:hAnsi="Times New Roman" w:eastAsia="Times New Roman" w:cs="Times New Roman"/>
          <w:color w:val="000000" w:themeColor="text1"/>
          <w:sz w:val="24"/>
          <w:szCs w:val="24"/>
          <w:lang w:val="en-GB"/>
          <w14:textFill>
            <w14:solidFill>
              <w14:schemeClr w14:val="tx1"/>
            </w14:solidFill>
          </w14:textFill>
        </w:rPr>
        <w:t>. Routledge.</w:t>
      </w:r>
    </w:p>
    <w:p>
      <w:pPr>
        <w:pStyle w:val="3"/>
        <w:spacing w:before="240" w:after="240" w:line="360" w:lineRule="auto"/>
        <w:jc w:val="both"/>
        <w:rPr>
          <w:rFonts w:ascii="Times New Roman" w:hAnsi="Times New Roman" w:eastAsia="Times New Roman" w:cs="Times New Roman"/>
          <w:color w:val="000000" w:themeColor="text1"/>
          <w:sz w:val="24"/>
          <w:szCs w:val="24"/>
          <w:lang w:val="en-GB"/>
          <w14:textFill>
            <w14:solidFill>
              <w14:schemeClr w14:val="tx1"/>
            </w14:solidFill>
          </w14:textFill>
        </w:rPr>
      </w:pPr>
      <w:r>
        <w:rPr>
          <w:rFonts w:ascii="Times New Roman" w:hAnsi="Times New Roman" w:eastAsia="Times New Roman" w:cs="Times New Roman"/>
          <w:color w:val="000000" w:themeColor="text1"/>
          <w:sz w:val="24"/>
          <w:szCs w:val="24"/>
          <w:highlight w:val="white"/>
          <w:lang w:val="en-GB"/>
          <w14:textFill>
            <w14:solidFill>
              <w14:schemeClr w14:val="tx1"/>
            </w14:solidFill>
          </w14:textFill>
        </w:rPr>
        <w:t xml:space="preserve">statista.com, 2022. </w:t>
      </w:r>
      <w:r>
        <w:rPr>
          <w:rFonts w:ascii="Times New Roman" w:hAnsi="Times New Roman" w:eastAsia="Times New Roman" w:cs="Times New Roman"/>
          <w:i/>
          <w:color w:val="000000" w:themeColor="text1"/>
          <w:sz w:val="24"/>
          <w:szCs w:val="24"/>
          <w:lang w:val="en-GB"/>
          <w14:textFill>
            <w14:solidFill>
              <w14:schemeClr w14:val="tx1"/>
            </w14:solidFill>
          </w14:textFill>
        </w:rPr>
        <w:t>UK and Germany are Leading the Race of Hotel Construction in Europe</w:t>
      </w:r>
      <w:r>
        <w:rPr>
          <w:rFonts w:ascii="Times New Roman" w:hAnsi="Times New Roman" w:eastAsia="Times New Roman" w:cs="Times New Roman"/>
          <w:color w:val="000000" w:themeColor="text1"/>
          <w:sz w:val="24"/>
          <w:szCs w:val="24"/>
          <w:lang w:val="en-GB"/>
          <w14:textFill>
            <w14:solidFill>
              <w14:schemeClr w14:val="tx1"/>
            </w14:solidFill>
          </w14:textFill>
        </w:rPr>
        <w:t xml:space="preserve">, </w:t>
      </w:r>
      <w:r>
        <w:rPr>
          <w:rFonts w:ascii="Times New Roman" w:hAnsi="Times New Roman" w:eastAsia="Times New Roman" w:cs="Times New Roman"/>
          <w:i/>
          <w:color w:val="000000" w:themeColor="text1"/>
          <w:sz w:val="24"/>
          <w:szCs w:val="24"/>
          <w:lang w:val="en-GB"/>
          <w14:textFill>
            <w14:solidFill>
              <w14:schemeClr w14:val="tx1"/>
            </w14:solidFill>
          </w14:textFill>
        </w:rPr>
        <w:t>Statista</w:t>
      </w:r>
      <w:r>
        <w:rPr>
          <w:rFonts w:ascii="Times New Roman" w:hAnsi="Times New Roman" w:eastAsia="Times New Roman" w:cs="Times New Roman"/>
          <w:color w:val="000000" w:themeColor="text1"/>
          <w:sz w:val="24"/>
          <w:szCs w:val="24"/>
          <w:lang w:val="en-GB"/>
          <w14:textFill>
            <w14:solidFill>
              <w14:schemeClr w14:val="tx1"/>
            </w14:solidFill>
          </w14:textFill>
        </w:rPr>
        <w:t>. Available at: https://www.statista.com/chart/28704/hotel-construction-in-europe/ (Accessed: May 1, 2024).</w:t>
      </w:r>
    </w:p>
    <w:p>
      <w:pPr>
        <w:pStyle w:val="3"/>
        <w:spacing w:before="240" w:after="240" w:line="360" w:lineRule="auto"/>
        <w:jc w:val="both"/>
        <w:rPr>
          <w:rFonts w:ascii="Times New Roman" w:hAnsi="Times New Roman" w:eastAsia="Times New Roman" w:cs="Times New Roman"/>
          <w:color w:val="000000" w:themeColor="text1"/>
          <w:sz w:val="24"/>
          <w:szCs w:val="24"/>
          <w:lang w:val="en-GB"/>
          <w14:textFill>
            <w14:solidFill>
              <w14:schemeClr w14:val="tx1"/>
            </w14:solidFill>
          </w14:textFill>
        </w:rPr>
      </w:pPr>
      <w:r>
        <w:rPr>
          <w:rFonts w:ascii="Times New Roman" w:hAnsi="Times New Roman" w:eastAsia="Times New Roman" w:cs="Times New Roman"/>
          <w:color w:val="000000" w:themeColor="text1"/>
          <w:sz w:val="24"/>
          <w:szCs w:val="24"/>
          <w:highlight w:val="white"/>
          <w:lang w:val="en-GB"/>
          <w14:textFill>
            <w14:solidFill>
              <w14:schemeClr w14:val="tx1"/>
            </w14:solidFill>
          </w14:textFill>
        </w:rPr>
        <w:t xml:space="preserve">Tucci, I., Fröhlich, J.J. and Stock, I., 2021. Exploring the nexus between migration and social positions using a mixed methods approach. </w:t>
      </w:r>
      <w:r>
        <w:rPr>
          <w:rFonts w:ascii="Times New Roman" w:hAnsi="Times New Roman" w:eastAsia="Times New Roman" w:cs="Times New Roman"/>
          <w:i/>
          <w:color w:val="000000" w:themeColor="text1"/>
          <w:sz w:val="24"/>
          <w:szCs w:val="24"/>
          <w:lang w:val="en-GB"/>
          <w14:textFill>
            <w14:solidFill>
              <w14:schemeClr w14:val="tx1"/>
            </w14:solidFill>
          </w14:textFill>
        </w:rPr>
        <w:t>Social inclusion</w:t>
      </w:r>
      <w:r>
        <w:rPr>
          <w:rFonts w:ascii="Times New Roman" w:hAnsi="Times New Roman" w:eastAsia="Times New Roman" w:cs="Times New Roman"/>
          <w:color w:val="000000" w:themeColor="text1"/>
          <w:sz w:val="24"/>
          <w:szCs w:val="24"/>
          <w:lang w:val="en-GB"/>
          <w14:textFill>
            <w14:solidFill>
              <w14:schemeClr w14:val="tx1"/>
            </w14:solidFill>
          </w14:textFill>
        </w:rPr>
        <w:t xml:space="preserve">, </w:t>
      </w:r>
      <w:r>
        <w:rPr>
          <w:rFonts w:ascii="Times New Roman" w:hAnsi="Times New Roman" w:eastAsia="Times New Roman" w:cs="Times New Roman"/>
          <w:i/>
          <w:color w:val="000000" w:themeColor="text1"/>
          <w:sz w:val="24"/>
          <w:szCs w:val="24"/>
          <w:lang w:val="en-GB"/>
          <w14:textFill>
            <w14:solidFill>
              <w14:schemeClr w14:val="tx1"/>
            </w14:solidFill>
          </w14:textFill>
        </w:rPr>
        <w:t>9</w:t>
      </w:r>
      <w:r>
        <w:rPr>
          <w:rFonts w:ascii="Times New Roman" w:hAnsi="Times New Roman" w:eastAsia="Times New Roman" w:cs="Times New Roman"/>
          <w:color w:val="000000" w:themeColor="text1"/>
          <w:sz w:val="24"/>
          <w:szCs w:val="24"/>
          <w:lang w:val="en-GB"/>
          <w14:textFill>
            <w14:solidFill>
              <w14:schemeClr w14:val="tx1"/>
            </w14:solidFill>
          </w14:textFill>
        </w:rPr>
        <w:t>(1), pp.114-129.</w:t>
      </w:r>
      <w:r>
        <w:fldChar w:fldCharType="begin"/>
      </w:r>
      <w:r>
        <w:instrText xml:space="preserve"> HYPERLINK "https://www.cogitatiopress.com/socialinclusion/article/view/3538" \h </w:instrText>
      </w:r>
      <w:r>
        <w:fldChar w:fldCharType="separate"/>
      </w:r>
      <w:r>
        <w:rPr>
          <w:rFonts w:ascii="Times New Roman" w:hAnsi="Times New Roman" w:eastAsia="Times New Roman" w:cs="Times New Roman"/>
          <w:color w:val="000000" w:themeColor="text1"/>
          <w:sz w:val="24"/>
          <w:szCs w:val="24"/>
          <w:lang w:val="en-GB"/>
          <w14:textFill>
            <w14:solidFill>
              <w14:schemeClr w14:val="tx1"/>
            </w14:solidFill>
          </w14:textFill>
        </w:rPr>
        <w:t xml:space="preserve"> https://www.cogitatiopress.com/socialinclusion/article/view/3538</w:t>
      </w:r>
      <w:r>
        <w:rPr>
          <w:rFonts w:ascii="Times New Roman" w:hAnsi="Times New Roman" w:eastAsia="Times New Roman" w:cs="Times New Roman"/>
          <w:color w:val="000000" w:themeColor="text1"/>
          <w:sz w:val="24"/>
          <w:szCs w:val="24"/>
          <w:lang w:val="en-GB"/>
          <w14:textFill>
            <w14:solidFill>
              <w14:schemeClr w14:val="tx1"/>
            </w14:solidFill>
          </w14:textFill>
        </w:rPr>
        <w:fldChar w:fldCharType="end"/>
      </w:r>
    </w:p>
    <w:p>
      <w:pPr>
        <w:pStyle w:val="3"/>
        <w:spacing w:before="240" w:after="240" w:line="360" w:lineRule="auto"/>
        <w:jc w:val="both"/>
        <w:rPr>
          <w:rFonts w:ascii="Times New Roman" w:hAnsi="Times New Roman" w:eastAsia="Times New Roman" w:cs="Times New Roman"/>
          <w:color w:val="000000" w:themeColor="text1"/>
          <w:sz w:val="24"/>
          <w:szCs w:val="24"/>
          <w:lang w:val="en-GB"/>
          <w14:textFill>
            <w14:solidFill>
              <w14:schemeClr w14:val="tx1"/>
            </w14:solidFill>
          </w14:textFill>
        </w:rPr>
      </w:pPr>
      <w:r>
        <w:rPr>
          <w:rFonts w:ascii="Times New Roman" w:hAnsi="Times New Roman" w:eastAsia="Times New Roman" w:cs="Times New Roman"/>
          <w:color w:val="000000" w:themeColor="text1"/>
          <w:sz w:val="24"/>
          <w:szCs w:val="24"/>
          <w:highlight w:val="white"/>
          <w:lang w:val="en-GB"/>
          <w14:textFill>
            <w14:solidFill>
              <w14:schemeClr w14:val="tx1"/>
            </w14:solidFill>
          </w14:textFill>
        </w:rPr>
        <w:t xml:space="preserve">Tuleja, E.A., 2021. </w:t>
      </w:r>
      <w:r>
        <w:rPr>
          <w:rFonts w:ascii="Times New Roman" w:hAnsi="Times New Roman" w:eastAsia="Times New Roman" w:cs="Times New Roman"/>
          <w:i/>
          <w:color w:val="000000" w:themeColor="text1"/>
          <w:sz w:val="24"/>
          <w:szCs w:val="24"/>
          <w:lang w:val="en-GB"/>
          <w14:textFill>
            <w14:solidFill>
              <w14:schemeClr w14:val="tx1"/>
            </w14:solidFill>
          </w14:textFill>
        </w:rPr>
        <w:t>Intercultural Communication for Global Business: How leaders communicate for success</w:t>
      </w:r>
      <w:r>
        <w:rPr>
          <w:rFonts w:ascii="Times New Roman" w:hAnsi="Times New Roman" w:eastAsia="Times New Roman" w:cs="Times New Roman"/>
          <w:color w:val="000000" w:themeColor="text1"/>
          <w:sz w:val="24"/>
          <w:szCs w:val="24"/>
          <w:lang w:val="en-GB"/>
          <w14:textFill>
            <w14:solidFill>
              <w14:schemeClr w14:val="tx1"/>
            </w14:solidFill>
          </w14:textFill>
        </w:rPr>
        <w:t>. Routledge.</w:t>
      </w:r>
    </w:p>
    <w:sectPr>
      <w:footerReference r:id="rId5" w:type="default"/>
      <w:pgSz w:w="11909" w:h="16834"/>
      <w:pgMar w:top="1440" w:right="1440" w:bottom="1440" w:left="1440" w:header="720" w:footer="720" w:gutter="0"/>
      <w:pgNumType w:start="1"/>
      <w:cols w:space="708" w:num="1"/>
      <w:titlePg/>
      <w:docGrid w:linePitch="299"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86"/>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Segoe UI">
    <w:panose1 w:val="020B0502040204020203"/>
    <w:charset w:val="00"/>
    <w:family w:val="swiss"/>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26516561"/>
      <w:docPartObj>
        <w:docPartGallery w:val="AutoText"/>
      </w:docPartObj>
    </w:sdtPr>
    <w:sdtEndPr>
      <w:rPr>
        <w:rFonts w:ascii="Times New Roman" w:hAnsi="Times New Roman" w:cs="Times New Roman"/>
        <w:sz w:val="24"/>
      </w:rPr>
    </w:sdtEndPr>
    <w:sdtContent>
      <w:p>
        <w:pPr>
          <w:pStyle w:val="14"/>
          <w:jc w:val="right"/>
          <w:rPr>
            <w:rFonts w:ascii="Times New Roman" w:hAnsi="Times New Roman" w:cs="Times New Roman"/>
            <w:sz w:val="24"/>
          </w:rPr>
        </w:pPr>
        <w:r>
          <w:rPr>
            <w:rFonts w:ascii="Times New Roman" w:hAnsi="Times New Roman" w:cs="Times New Roman"/>
            <w:sz w:val="24"/>
          </w:rPr>
          <w:fldChar w:fldCharType="begin"/>
        </w:r>
        <w:r>
          <w:rPr>
            <w:rFonts w:ascii="Times New Roman" w:hAnsi="Times New Roman" w:cs="Times New Roman"/>
            <w:sz w:val="24"/>
          </w:rPr>
          <w:instrText xml:space="preserve"> PAGE   \* MERGEFORMAT </w:instrText>
        </w:r>
        <w:r>
          <w:rPr>
            <w:rFonts w:ascii="Times New Roman" w:hAnsi="Times New Roman" w:cs="Times New Roman"/>
            <w:sz w:val="24"/>
          </w:rPr>
          <w:fldChar w:fldCharType="separate"/>
        </w:r>
        <w:r>
          <w:rPr>
            <w:rFonts w:ascii="Times New Roman" w:hAnsi="Times New Roman" w:cs="Times New Roman"/>
            <w:sz w:val="24"/>
          </w:rPr>
          <w:t>3</w:t>
        </w:r>
        <w:r>
          <w:rPr>
            <w:rFonts w:ascii="Times New Roman" w:hAnsi="Times New Roman" w:cs="Times New Roman"/>
            <w:sz w:val="24"/>
          </w:rPr>
          <w:fldChar w:fldCharType="end"/>
        </w:r>
      </w:p>
    </w:sdtContent>
  </w:sdt>
  <w:p>
    <w:pPr>
      <w:pStyle w:val="1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6708"/>
    <w:rsid w:val="001B553B"/>
    <w:rsid w:val="00255457"/>
    <w:rsid w:val="002A012A"/>
    <w:rsid w:val="00360C2E"/>
    <w:rsid w:val="003C6F52"/>
    <w:rsid w:val="004A6520"/>
    <w:rsid w:val="004B4541"/>
    <w:rsid w:val="00536708"/>
    <w:rsid w:val="005E26E8"/>
    <w:rsid w:val="00761A2B"/>
    <w:rsid w:val="00A92FD6"/>
    <w:rsid w:val="00B838B8"/>
    <w:rsid w:val="00CA216D"/>
    <w:rsid w:val="00D54625"/>
    <w:rsid w:val="00D734DA"/>
    <w:rsid w:val="00DE3548"/>
    <w:rsid w:val="00E77588"/>
    <w:rsid w:val="00F054F7"/>
    <w:rsid w:val="00F77533"/>
    <w:rsid w:val="4EF54EF9"/>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unhideWhenUsed="0" w:uiPriority="0" w:semiHidden="0" w:name="heading 1"/>
    <w:lsdException w:unhideWhenUsed="0" w:uiPriority="0" w:semiHidden="0" w:name="heading 2"/>
    <w:lsdException w:unhideWhenUsed="0" w:uiPriority="0" w:semiHidden="0" w:name="heading 3"/>
    <w:lsdException w:unhideWhenUsed="0" w:uiPriority="0" w:semiHidden="0" w:name="heading 4"/>
    <w:lsdException w:unhideWhenUsed="0" w:uiPriority="0" w:semiHidden="0" w:name="heading 5"/>
    <w:lsdException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unhideWhenUsed="0" w:uiPriority="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zh-CN" w:eastAsia="en-US" w:bidi="ar-SA"/>
    </w:rPr>
  </w:style>
  <w:style w:type="paragraph" w:styleId="2">
    <w:name w:val="heading 1"/>
    <w:basedOn w:val="3"/>
    <w:next w:val="3"/>
    <w:autoRedefine/>
    <w:uiPriority w:val="0"/>
    <w:pPr>
      <w:keepNext/>
      <w:keepLines/>
      <w:spacing w:before="400" w:after="120"/>
      <w:outlineLvl w:val="0"/>
    </w:pPr>
    <w:rPr>
      <w:rFonts w:ascii="Times New Roman" w:hAnsi="Times New Roman"/>
      <w:b/>
      <w:color w:val="000000" w:themeColor="text1"/>
      <w:sz w:val="24"/>
      <w:szCs w:val="40"/>
      <w14:textFill>
        <w14:solidFill>
          <w14:schemeClr w14:val="tx1"/>
        </w14:solidFill>
      </w14:textFill>
    </w:rPr>
  </w:style>
  <w:style w:type="paragraph" w:styleId="4">
    <w:name w:val="heading 2"/>
    <w:basedOn w:val="3"/>
    <w:next w:val="3"/>
    <w:autoRedefine/>
    <w:uiPriority w:val="0"/>
    <w:pPr>
      <w:keepNext/>
      <w:keepLines/>
      <w:spacing w:before="360" w:after="120"/>
      <w:outlineLvl w:val="1"/>
    </w:pPr>
    <w:rPr>
      <w:rFonts w:ascii="Times New Roman" w:hAnsi="Times New Roman"/>
      <w:b/>
      <w:color w:val="000000" w:themeColor="text1"/>
      <w:sz w:val="24"/>
      <w:szCs w:val="32"/>
      <w14:textFill>
        <w14:solidFill>
          <w14:schemeClr w14:val="tx1"/>
        </w14:solidFill>
      </w14:textFill>
    </w:rPr>
  </w:style>
  <w:style w:type="paragraph" w:styleId="5">
    <w:name w:val="heading 3"/>
    <w:basedOn w:val="3"/>
    <w:next w:val="3"/>
    <w:uiPriority w:val="0"/>
    <w:pPr>
      <w:keepNext/>
      <w:keepLines/>
      <w:spacing w:before="320" w:after="80"/>
      <w:outlineLvl w:val="2"/>
    </w:pPr>
    <w:rPr>
      <w:color w:val="434343"/>
      <w:sz w:val="28"/>
      <w:szCs w:val="28"/>
    </w:rPr>
  </w:style>
  <w:style w:type="paragraph" w:styleId="6">
    <w:name w:val="heading 4"/>
    <w:basedOn w:val="3"/>
    <w:next w:val="3"/>
    <w:uiPriority w:val="0"/>
    <w:pPr>
      <w:keepNext/>
      <w:keepLines/>
      <w:spacing w:before="280" w:after="80"/>
      <w:outlineLvl w:val="3"/>
    </w:pPr>
    <w:rPr>
      <w:color w:val="666666"/>
      <w:sz w:val="24"/>
      <w:szCs w:val="24"/>
    </w:rPr>
  </w:style>
  <w:style w:type="paragraph" w:styleId="7">
    <w:name w:val="heading 5"/>
    <w:basedOn w:val="3"/>
    <w:next w:val="3"/>
    <w:uiPriority w:val="0"/>
    <w:pPr>
      <w:keepNext/>
      <w:keepLines/>
      <w:spacing w:before="240" w:after="80"/>
      <w:outlineLvl w:val="4"/>
    </w:pPr>
    <w:rPr>
      <w:color w:val="666666"/>
    </w:rPr>
  </w:style>
  <w:style w:type="paragraph" w:styleId="8">
    <w:name w:val="heading 6"/>
    <w:basedOn w:val="3"/>
    <w:next w:val="3"/>
    <w:uiPriority w:val="0"/>
    <w:pPr>
      <w:keepNext/>
      <w:keepLines/>
      <w:spacing w:before="240" w:after="80"/>
      <w:outlineLvl w:val="5"/>
    </w:pPr>
    <w:rPr>
      <w:i/>
      <w:color w:val="666666"/>
    </w:rPr>
  </w:style>
  <w:style w:type="character" w:default="1" w:styleId="9">
    <w:name w:val="Default Paragraph Font"/>
    <w:semiHidden/>
    <w:unhideWhenUsed/>
    <w:uiPriority w:val="1"/>
  </w:style>
  <w:style w:type="table" w:default="1" w:styleId="10">
    <w:name w:val="Normal Table"/>
    <w:semiHidden/>
    <w:unhideWhenUsed/>
    <w:uiPriority w:val="99"/>
    <w:tblPr>
      <w:tblCellMar>
        <w:top w:w="0" w:type="dxa"/>
        <w:left w:w="108" w:type="dxa"/>
        <w:bottom w:w="0" w:type="dxa"/>
        <w:right w:w="108" w:type="dxa"/>
      </w:tblCellMar>
    </w:tblPr>
  </w:style>
  <w:style w:type="paragraph" w:customStyle="1" w:styleId="3">
    <w:name w:val="Normal1"/>
    <w:uiPriority w:val="0"/>
    <w:pPr>
      <w:spacing w:line="276" w:lineRule="auto"/>
    </w:pPr>
    <w:rPr>
      <w:rFonts w:ascii="Arial" w:hAnsi="Arial" w:eastAsia="Arial" w:cs="Arial"/>
      <w:sz w:val="22"/>
      <w:szCs w:val="22"/>
      <w:lang w:val="zh-CN" w:eastAsia="en-US" w:bidi="ar-SA"/>
    </w:rPr>
  </w:style>
  <w:style w:type="paragraph" w:styleId="11">
    <w:name w:val="Balloon Text"/>
    <w:basedOn w:val="1"/>
    <w:link w:val="23"/>
    <w:semiHidden/>
    <w:unhideWhenUsed/>
    <w:uiPriority w:val="99"/>
    <w:pPr>
      <w:spacing w:line="240" w:lineRule="auto"/>
    </w:pPr>
    <w:rPr>
      <w:rFonts w:ascii="Segoe UI" w:hAnsi="Segoe UI" w:cs="Segoe UI"/>
      <w:sz w:val="18"/>
      <w:szCs w:val="18"/>
    </w:rPr>
  </w:style>
  <w:style w:type="character" w:styleId="12">
    <w:name w:val="annotation reference"/>
    <w:basedOn w:val="9"/>
    <w:semiHidden/>
    <w:unhideWhenUsed/>
    <w:uiPriority w:val="99"/>
    <w:rPr>
      <w:sz w:val="16"/>
      <w:szCs w:val="16"/>
    </w:rPr>
  </w:style>
  <w:style w:type="paragraph" w:styleId="13">
    <w:name w:val="annotation text"/>
    <w:basedOn w:val="1"/>
    <w:link w:val="22"/>
    <w:semiHidden/>
    <w:unhideWhenUsed/>
    <w:uiPriority w:val="99"/>
    <w:pPr>
      <w:spacing w:line="240" w:lineRule="auto"/>
    </w:pPr>
    <w:rPr>
      <w:sz w:val="20"/>
      <w:szCs w:val="20"/>
    </w:rPr>
  </w:style>
  <w:style w:type="paragraph" w:styleId="14">
    <w:name w:val="footer"/>
    <w:basedOn w:val="1"/>
    <w:link w:val="25"/>
    <w:unhideWhenUsed/>
    <w:uiPriority w:val="99"/>
    <w:pPr>
      <w:tabs>
        <w:tab w:val="center" w:pos="4513"/>
        <w:tab w:val="right" w:pos="9026"/>
      </w:tabs>
      <w:spacing w:line="240" w:lineRule="auto"/>
    </w:pPr>
  </w:style>
  <w:style w:type="paragraph" w:styleId="15">
    <w:name w:val="header"/>
    <w:basedOn w:val="1"/>
    <w:link w:val="24"/>
    <w:unhideWhenUsed/>
    <w:uiPriority w:val="99"/>
    <w:pPr>
      <w:tabs>
        <w:tab w:val="center" w:pos="4513"/>
        <w:tab w:val="right" w:pos="9026"/>
      </w:tabs>
      <w:spacing w:line="240" w:lineRule="auto"/>
    </w:pPr>
  </w:style>
  <w:style w:type="character" w:styleId="16">
    <w:name w:val="Hyperlink"/>
    <w:basedOn w:val="9"/>
    <w:unhideWhenUsed/>
    <w:uiPriority w:val="99"/>
    <w:rPr>
      <w:color w:val="0000FF" w:themeColor="hyperlink"/>
      <w:u w:val="single"/>
      <w14:textFill>
        <w14:solidFill>
          <w14:schemeClr w14:val="hlink"/>
        </w14:solidFill>
      </w14:textFill>
    </w:rPr>
  </w:style>
  <w:style w:type="paragraph" w:styleId="17">
    <w:name w:val="Subtitle"/>
    <w:basedOn w:val="3"/>
    <w:next w:val="3"/>
    <w:uiPriority w:val="0"/>
    <w:pPr>
      <w:keepNext/>
      <w:keepLines/>
      <w:spacing w:after="320"/>
    </w:pPr>
    <w:rPr>
      <w:color w:val="666666"/>
      <w:sz w:val="30"/>
      <w:szCs w:val="30"/>
    </w:rPr>
  </w:style>
  <w:style w:type="paragraph" w:styleId="18">
    <w:name w:val="Title"/>
    <w:basedOn w:val="3"/>
    <w:next w:val="3"/>
    <w:uiPriority w:val="0"/>
    <w:pPr>
      <w:keepNext/>
      <w:keepLines/>
      <w:spacing w:after="60"/>
    </w:pPr>
    <w:rPr>
      <w:sz w:val="52"/>
      <w:szCs w:val="52"/>
    </w:rPr>
  </w:style>
  <w:style w:type="paragraph" w:styleId="19">
    <w:name w:val="toc 1"/>
    <w:basedOn w:val="1"/>
    <w:next w:val="1"/>
    <w:autoRedefine/>
    <w:unhideWhenUsed/>
    <w:uiPriority w:val="39"/>
    <w:pPr>
      <w:spacing w:after="100"/>
    </w:pPr>
  </w:style>
  <w:style w:type="paragraph" w:styleId="20">
    <w:name w:val="toc 2"/>
    <w:basedOn w:val="1"/>
    <w:next w:val="1"/>
    <w:autoRedefine/>
    <w:unhideWhenUsed/>
    <w:uiPriority w:val="39"/>
    <w:pPr>
      <w:spacing w:after="100"/>
      <w:ind w:left="220"/>
    </w:pPr>
  </w:style>
  <w:style w:type="table" w:customStyle="1" w:styleId="21">
    <w:name w:val="Table Normal1"/>
    <w:uiPriority w:val="0"/>
    <w:tblPr>
      <w:tblCellMar>
        <w:top w:w="0" w:type="dxa"/>
        <w:left w:w="0" w:type="dxa"/>
        <w:bottom w:w="0" w:type="dxa"/>
        <w:right w:w="0" w:type="dxa"/>
      </w:tblCellMar>
    </w:tblPr>
  </w:style>
  <w:style w:type="character" w:customStyle="1" w:styleId="22">
    <w:name w:val="Comment Text Char"/>
    <w:basedOn w:val="9"/>
    <w:link w:val="13"/>
    <w:semiHidden/>
    <w:uiPriority w:val="99"/>
    <w:rPr>
      <w:sz w:val="20"/>
      <w:szCs w:val="20"/>
    </w:rPr>
  </w:style>
  <w:style w:type="character" w:customStyle="1" w:styleId="23">
    <w:name w:val="Balloon Text Char"/>
    <w:basedOn w:val="9"/>
    <w:link w:val="11"/>
    <w:semiHidden/>
    <w:uiPriority w:val="99"/>
    <w:rPr>
      <w:rFonts w:ascii="Segoe UI" w:hAnsi="Segoe UI" w:cs="Segoe UI"/>
      <w:sz w:val="18"/>
      <w:szCs w:val="18"/>
    </w:rPr>
  </w:style>
  <w:style w:type="character" w:customStyle="1" w:styleId="24">
    <w:name w:val="Header Char"/>
    <w:basedOn w:val="9"/>
    <w:link w:val="15"/>
    <w:uiPriority w:val="99"/>
  </w:style>
  <w:style w:type="character" w:customStyle="1" w:styleId="25">
    <w:name w:val="Footer Char"/>
    <w:basedOn w:val="9"/>
    <w:link w:val="14"/>
    <w:uiPriority w:val="99"/>
  </w:style>
  <w:style w:type="paragraph" w:customStyle="1" w:styleId="26">
    <w:name w:val="TOC Heading"/>
    <w:basedOn w:val="2"/>
    <w:next w:val="1"/>
    <w:unhideWhenUsed/>
    <w:qFormat/>
    <w:uiPriority w:val="39"/>
    <w:pPr>
      <w:spacing w:before="240" w:after="0" w:line="259" w:lineRule="auto"/>
      <w:outlineLvl w:val="9"/>
    </w:pPr>
    <w:rPr>
      <w:rFonts w:asciiTheme="majorHAnsi" w:hAnsiTheme="majorHAnsi" w:eastAsiaTheme="majorEastAsia" w:cstheme="majorBidi"/>
      <w:color w:val="376092" w:themeColor="accent1" w:themeShade="BF"/>
      <w:sz w:val="32"/>
      <w:szCs w:val="32"/>
      <w:lang w:val="en-US"/>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859D68-D7F3-4C01-B39C-3846E8BC1AED}">
  <ds:schemaRefs/>
</ds:datastoreItem>
</file>

<file path=docProps/app.xml><?xml version="1.0" encoding="utf-8"?>
<Properties xmlns="http://schemas.openxmlformats.org/officeDocument/2006/extended-properties" xmlns:vt="http://schemas.openxmlformats.org/officeDocument/2006/docPropsVTypes">
  <Template>Normal</Template>
  <Pages>8</Pages>
  <Words>1647</Words>
  <Characters>9391</Characters>
  <Lines>78</Lines>
  <Paragraphs>22</Paragraphs>
  <TotalTime>0</TotalTime>
  <ScaleCrop>false</ScaleCrop>
  <LinksUpToDate>false</LinksUpToDate>
  <CharactersWithSpaces>11016</CharactersWithSpaces>
  <Application>WPS Office_12.2.0.16731_F1E327BC-269C-435d-A152-05C5408002CA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2024-05-01T13:32:00Z</dcterms:created>
  <dc:creator>user</dc:creator>
  <cp:lastModifiedBy>i study</cp:lastModifiedBy>
  <dcterms:modified xsi:type="dcterms:W3CDTF">2024-05-07T15:06:44Z</dcterms:modified>
  <cp:revision>13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2057-12.2.0.16731</vt:lpwstr>
  </property>
  <property fmtid="{D5CDD505-2E9C-101B-9397-08002B2CF9AE}" pid="3" name="ICV">
    <vt:lpwstr>4E0A4019B2B94F8EA77AAD78AE3B94FD_12</vt:lpwstr>
  </property>
</Properties>
</file>