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64A1A" w14:textId="77777777" w:rsidR="00EF39EA" w:rsidRDefault="00C10691" w:rsidP="00EF39EA">
      <w:r>
        <w:rPr>
          <w:rFonts w:hint="eastAsia"/>
        </w:rPr>
        <w:t xml:space="preserve"> </w:t>
      </w:r>
      <w:r>
        <w:t xml:space="preserve">         </w:t>
      </w:r>
      <w:r w:rsidR="00EF39EA">
        <w:t>The Benefits of Code-switching in the Bilingual Classroom</w:t>
      </w:r>
    </w:p>
    <w:p w14:paraId="7755C386" w14:textId="77777777" w:rsidR="00EF39EA" w:rsidRDefault="00EF39EA" w:rsidP="00EF39EA"/>
    <w:p w14:paraId="303AE417" w14:textId="77777777" w:rsidR="00EF39EA" w:rsidRDefault="00EF39EA" w:rsidP="00EF39EA">
      <w:r>
        <w:t>I.    Introduction and definition</w:t>
      </w:r>
    </w:p>
    <w:p w14:paraId="5E4D1C4C" w14:textId="6E170C03" w:rsidR="00EF39EA" w:rsidRDefault="00EF39EA" w:rsidP="00C248EA">
      <w:pPr>
        <w:ind w:left="525" w:hangingChars="250" w:hanging="525"/>
      </w:pPr>
      <w:r>
        <w:t xml:space="preserve">       </w:t>
      </w:r>
      <w:r w:rsidR="00C248EA">
        <w:t xml:space="preserve">   </w:t>
      </w:r>
      <w:r>
        <w:t>The code-switching defined by sociolinguists is a kind of language or a variety of</w:t>
      </w:r>
      <w:r w:rsidR="00C248EA">
        <w:t xml:space="preserve">. </w:t>
      </w:r>
      <w:r>
        <w:t>language. Different linguists have different definitions of Code-switching. Myers-</w:t>
      </w:r>
      <w:proofErr w:type="spellStart"/>
      <w:r>
        <w:t>Scotton</w:t>
      </w:r>
      <w:proofErr w:type="spellEnd"/>
      <w:r>
        <w:t xml:space="preserve"> (1993) holds that code-switching refers to the use of two or more language variants in the same conversation. The code-switching described by </w:t>
      </w:r>
      <w:proofErr w:type="spellStart"/>
      <w:r>
        <w:t>Poplack</w:t>
      </w:r>
      <w:proofErr w:type="spellEnd"/>
      <w:r>
        <w:t xml:space="preserve"> (1980) refers to the expression of sentences or sentence fragments of different languages in consecutive utterances.  Vivian Cook (2001) believes that code-switching is a bilingual-mode activity in which more than one language, typically speakers' native language and second language (L2), are used </w:t>
      </w:r>
      <w:proofErr w:type="spellStart"/>
      <w:r>
        <w:t>intrasententially</w:t>
      </w:r>
      <w:proofErr w:type="spellEnd"/>
      <w:r>
        <w:t xml:space="preserve"> or </w:t>
      </w:r>
      <w:proofErr w:type="spellStart"/>
      <w:r>
        <w:t>intersententially</w:t>
      </w:r>
      <w:proofErr w:type="spellEnd"/>
      <w:r>
        <w:t>. In a word, code-switching is the actual language exchange, in which one language or dialect is converted to another language or dialect. Sometimes it is even done unconsciously; hence, code-switching is not only a strategy but also a particular speech act. It conveys not only linguistic information but also has a social significance, reflecting the speaker's social background, economic status, cultural literacy, national origin and other aspects of information. With the development of globalization, the world is becoming more and more integrated, and the phenomenon of codeswitching is also emerging in various settings. Code-switching is also a widespread phenomenon under the setting of a bilingual classroom. In the bilingual classroom, teachers will use code-switching consciously or unconsciously. Xin Yang (2019) took five English teachers (three female and two male) from the public English Department of Harbin Normal University and 400 students majoring in mathematics, physics, Chinese, history and fine arts of 2013 as the research objects, observed and recorded 40 class hours of classroom teaching activities in person. Within one week after the end of the recording stage, he interviewed the five teachers to collect their opinions on the use of code-switching. All the five teachers think that the native language can be used in English class, but interestingly, all the five teachers overestimated their use of English in class and thought that their use of code-switching should be less than 5%. Code-switching is an objective reality in the bilingual classroom. How to make use of the code-switching, change the mother tongue into a resource to promote the learning of the target language? How to grasp the complexity of the second language acquisition process through the phenomenon of code-switching in the bilingual classroom? This paper aims to focus on comparing three multilingual phenomena: code-switching, borrowing and translanguaging. Then mainly analyzes the benefits of code-switching in the bilingual classroom from the perspective of teaching, hope to help bilingual teachers design appropriate teaching activities and promote the cultivation of students' thinking ability and overall quality.</w:t>
      </w:r>
    </w:p>
    <w:p w14:paraId="4F43768F" w14:textId="77777777" w:rsidR="00EF39EA" w:rsidRDefault="00EF39EA" w:rsidP="00EF39EA"/>
    <w:p w14:paraId="6A283BD1" w14:textId="77777777" w:rsidR="00EF39EA" w:rsidRDefault="00EF39EA" w:rsidP="00EF39EA">
      <w:r>
        <w:t>II.    Comparing Code-switching, Borrowing and Translanguaging</w:t>
      </w:r>
    </w:p>
    <w:p w14:paraId="248BA209" w14:textId="51F6708D" w:rsidR="00EF39EA" w:rsidRDefault="00EF39EA" w:rsidP="00C248EA">
      <w:pPr>
        <w:ind w:leftChars="250" w:left="525" w:firstLineChars="300" w:firstLine="630"/>
      </w:pPr>
      <w:r>
        <w:t>A large number of studies have shown that code-switching plays an important</w:t>
      </w:r>
      <w:r w:rsidR="00C248EA">
        <w:t xml:space="preserve">. </w:t>
      </w:r>
      <w:r>
        <w:t>role in bilingual classroom teaching. Before analyzing the benefits of codeswitching for bilingual classroom teaching, let us distinguish three confusing multilingual phenomena：codeswitching, borrowing and translanguaging.</w:t>
      </w:r>
    </w:p>
    <w:p w14:paraId="1BD3F655" w14:textId="5BEE80F5" w:rsidR="00EF39EA" w:rsidRDefault="00EF39EA" w:rsidP="00C248EA">
      <w:pPr>
        <w:ind w:leftChars="250" w:left="525" w:firstLineChars="300" w:firstLine="630"/>
      </w:pPr>
      <w:r>
        <w:t>Language borrowing refers to the intentional replication of patterns in the</w:t>
      </w:r>
      <w:r w:rsidR="00C248EA">
        <w:t xml:space="preserve">. </w:t>
      </w:r>
      <w:r>
        <w:lastRenderedPageBreak/>
        <w:t>language in Language B (Haugen 1950). A language is called source language, B language is called the recipient language. The characteristics of copying or absorbing from the source language will change the recipient language to some extent (</w:t>
      </w:r>
      <w:proofErr w:type="spellStart"/>
      <w:r>
        <w:t>Thomasons</w:t>
      </w:r>
      <w:proofErr w:type="spellEnd"/>
      <w:r>
        <w:t xml:space="preserve"> &amp;Kaufman 1988). Undoubtedly, we should admit that both code-switching and borrowing can be regarded as the interaction of lexicons (</w:t>
      </w:r>
      <w:proofErr w:type="spellStart"/>
      <w:r>
        <w:t>Daller</w:t>
      </w:r>
      <w:proofErr w:type="spellEnd"/>
      <w:r>
        <w:t xml:space="preserve"> 1991). however, there are still some differences between the codeswitching and borrowing.  "while code-switching and borrowing are always possible between any two languages, the specific outcomes depend on the existence of 'lexicon-driven congruencies'" (Carol 1992:31-32), borrowing should be distinguished from code-switching. Although we can generally say that borrowing refers to the language change induced by contact and code-switching refers to the synchronic variation induced by contact in the language of mature bilinguals, it is difficult to distinguish them. Code-switching tends to refer to the use of two or more linguistic components by the same speaker in the same conversation. In a code-switching conversation, the speaker and the receiver are often bilingual. There is a continuum between code-switching and borrowing. When a code-switching vocabulary is used more and more frequently, until it becomes a stable component in the receiving system and learned by new learners, it becomes a borrowing component. In terms of the use of a single loanword, there are two standards for distinguishing code-switching from borrowing. One is that if a linguistic item appears regularly in the context of the use of other words or phrases in the target language, and the item is not part of the quoted part or longer source phrase or clause. There is no flag, such as translation or metalanguage comment; the use of the component can be regarded as the borrowing. Second, if a language item is reused in a monolingual (target) context and has stable functions in the language group, especially for children with limited knowledge of the source language, it can be determined that the item is a borrowing item rather than a codeswitching (Andersen 2014). </w:t>
      </w:r>
    </w:p>
    <w:p w14:paraId="2D9DE429" w14:textId="1E4A925D" w:rsidR="00EF39EA" w:rsidRDefault="00EF39EA" w:rsidP="00C248EA">
      <w:pPr>
        <w:ind w:leftChars="250" w:left="525" w:firstLineChars="300" w:firstLine="630"/>
      </w:pPr>
      <w:r>
        <w:t>Translanguaging is a relatively new word related to code-switching. Cummins</w:t>
      </w:r>
      <w:r w:rsidR="00C248EA">
        <w:t xml:space="preserve">. </w:t>
      </w:r>
      <w:r>
        <w:t xml:space="preserve">(2005) believes that it is necessary to clarify bilingual teaching strategies and the need for two-way cross-language transfer in bilingual classroom teaching. The term 'translanguaging' is used to describe multilingual oral interaction and the use of different languages in written texts by many researchers.  (e.g.  García, 2011; Blackledge and </w:t>
      </w:r>
      <w:proofErr w:type="spellStart"/>
      <w:r>
        <w:t>Creese</w:t>
      </w:r>
      <w:proofErr w:type="spellEnd"/>
      <w:r>
        <w:t xml:space="preserve">, 2010; </w:t>
      </w:r>
      <w:proofErr w:type="spellStart"/>
      <w:r>
        <w:t>Canagarajah</w:t>
      </w:r>
      <w:proofErr w:type="spellEnd"/>
      <w:r>
        <w:t xml:space="preserve">, 2011; García and Kano, 2014). The similarity between translanguaging and code-switching lies in that it means that people who speak multiple languages shuttle between languages in a natural way. In the bilingual classroom, translanguaging tries to make use of all the language resources of the learners to improve the understanding and achievement to the greatest extent. </w:t>
      </w:r>
      <w:proofErr w:type="spellStart"/>
      <w:proofErr w:type="gramStart"/>
      <w:r>
        <w:t>Clapham</w:t>
      </w:r>
      <w:proofErr w:type="spellEnd"/>
      <w:r>
        <w:t>(</w:t>
      </w:r>
      <w:proofErr w:type="gramEnd"/>
      <w:r>
        <w:t xml:space="preserve">2016) maintains that in the bilingual classroom, translanguaging and code-switching have ideological even political significance for being increasingly accepted as legitimate ways of removing acceptable practice from language separation. For example, according to a survey of language attitudes of Uyghur and Chinese bilingual teachers in Xinjiang, Gong </w:t>
      </w:r>
      <w:proofErr w:type="spellStart"/>
      <w:proofErr w:type="gramStart"/>
      <w:r>
        <w:t>Tenglong</w:t>
      </w:r>
      <w:proofErr w:type="spellEnd"/>
      <w:r>
        <w:t>(</w:t>
      </w:r>
      <w:proofErr w:type="gramEnd"/>
      <w:r>
        <w:t xml:space="preserve">2017) explicates that the use of ethnic languages in bilingual teaching classes can enhance cultural identity between teachers and students and maintain national unity. Although translanguaging and code-switching </w:t>
      </w:r>
      <w:r>
        <w:lastRenderedPageBreak/>
        <w:t>have many overlaps, there is still some difference. Codeswitching may be related to language separation, while translanguaging extols and recognizes the flexibility of language use and the permeability of learning through two or more languages. "Code-switching is a term from linguistics which analyses the speech of bilinguals, while translanguaging is essentially sociolinguistic, ecological, and situated." (</w:t>
      </w:r>
      <w:proofErr w:type="spellStart"/>
      <w:r>
        <w:t>Clapham</w:t>
      </w:r>
      <w:proofErr w:type="spellEnd"/>
      <w:r>
        <w:t xml:space="preserve"> 2016:27-28) In the bilingual classroom, code-switching used by both students and teachers consciously and unconsciously, while translanguaging is a cross-curricular strategy for 'the planned and systematic use of two languages for teaching and learning inside the same lessons' (Lewis et al., 2012:3).  Garcia (2009) emphasizes that translanguaging "goes beyond what has been termed code-switching". (Garcia 2009:45).</w:t>
      </w:r>
    </w:p>
    <w:p w14:paraId="1D46C519" w14:textId="77777777" w:rsidR="00EF39EA" w:rsidRDefault="00EF39EA" w:rsidP="00EF39EA"/>
    <w:p w14:paraId="3F041F82" w14:textId="77777777" w:rsidR="00EF39EA" w:rsidRDefault="00EF39EA" w:rsidP="00EF39EA">
      <w:r>
        <w:t>III.    Three benefits of codeswitching in the bilingual classroom</w:t>
      </w:r>
    </w:p>
    <w:p w14:paraId="1C398663" w14:textId="77777777" w:rsidR="00EF39EA" w:rsidRDefault="00EF39EA" w:rsidP="00EF39EA">
      <w:r>
        <w:t>1.    Code-switching in the bilingual classroom</w:t>
      </w:r>
    </w:p>
    <w:p w14:paraId="65E5345E" w14:textId="42AE4F9B" w:rsidR="00EF39EA" w:rsidRDefault="00EF39EA" w:rsidP="00C248EA">
      <w:pPr>
        <w:ind w:left="630" w:hangingChars="300" w:hanging="630"/>
      </w:pPr>
      <w:r>
        <w:t xml:space="preserve">    </w:t>
      </w:r>
      <w:r w:rsidR="00C248EA">
        <w:t xml:space="preserve">       </w:t>
      </w:r>
      <w:r>
        <w:t>Codeswitching in the bilingual classroom involves language switching between</w:t>
      </w:r>
      <w:r w:rsidR="00C248EA">
        <w:t xml:space="preserve">. </w:t>
      </w:r>
      <w:r>
        <w:t>teachers and students in the target language and their common mother tongue. It is similar to codeswitching in the bilingual society, that is, it involves the process of systematically using two languages or language variants in the same turn, but it has particularity (</w:t>
      </w:r>
      <w:proofErr w:type="spellStart"/>
      <w:r>
        <w:t>Liebscher</w:t>
      </w:r>
      <w:proofErr w:type="spellEnd"/>
      <w:r>
        <w:t xml:space="preserve"> et al., 2005). First of all, code-switching in the bilingual classroom involves the target language of classroom teaching and the mother tongue shared by teachers and students, which is influenced by a series of factors such as SLA theory, education policy and teachers' cognition. Second, the main components of code-switching in the bilingual classroom are clear, which are teachers and students. They jointly complete classroom teaching through questioning, consultation, feedback and other interactive links, so classroom discourse involves not only teacher discourse, but also teacher-student interactive discourse and student-student interactive discourse. Thirdly, the external setting of the code-switching in the bilingual classroom is the 'classroom'. That is to say; the classroom contains specific activities related to classroom code-switching, which includes the relationship and role between teachers and students, and the role of teachers and students in code-switching psychological or identity identification, and so on.</w:t>
      </w:r>
    </w:p>
    <w:p w14:paraId="2516E107" w14:textId="22D34CB1" w:rsidR="00EF39EA" w:rsidRDefault="00EF39EA" w:rsidP="00EF39EA">
      <w:r>
        <w:t xml:space="preserve">2. </w:t>
      </w:r>
      <w:r w:rsidR="00C248EA">
        <w:t xml:space="preserve">   </w:t>
      </w:r>
      <w:r>
        <w:t>Teachers' beliefs about code-switching</w:t>
      </w:r>
    </w:p>
    <w:p w14:paraId="79C38C13" w14:textId="06B64962" w:rsidR="00EF39EA" w:rsidRDefault="00EF39EA" w:rsidP="00DD4707">
      <w:pPr>
        <w:ind w:leftChars="300" w:left="630" w:firstLineChars="250" w:firstLine="525"/>
      </w:pPr>
      <w:r>
        <w:t xml:space="preserve">Teachers' belief is an important reference for the study of teaching </w:t>
      </w:r>
      <w:r w:rsidR="00DD4707">
        <w:t xml:space="preserve">behavior.  </w:t>
      </w:r>
      <w:r>
        <w:t>and decision-making. It embodies teachers' values, attitudes and assumptions towards students, classroom, teaching materials, educational environment and teaching process. It guides teachers on the ideological level to 'what to do', 'how to be' and 'how to be better'(</w:t>
      </w:r>
      <w:proofErr w:type="spellStart"/>
      <w:r>
        <w:t>Basturkmen</w:t>
      </w:r>
      <w:proofErr w:type="spellEnd"/>
      <w:r>
        <w:t xml:space="preserve"> 2004).</w:t>
      </w:r>
    </w:p>
    <w:p w14:paraId="5DE1C07E" w14:textId="5212B775" w:rsidR="00EF39EA" w:rsidRDefault="00EF39EA" w:rsidP="00DD4707">
      <w:pPr>
        <w:ind w:leftChars="300" w:left="630" w:firstLineChars="300" w:firstLine="630"/>
      </w:pPr>
      <w:r>
        <w:t>Different scholars have different attitudes towards code-switching, Krashen and</w:t>
      </w:r>
      <w:r w:rsidR="00DD4707">
        <w:t xml:space="preserve">. </w:t>
      </w:r>
      <w:r>
        <w:t xml:space="preserve">Terrell (1983) insisted that natural teaching should use the target language in the process of communication rather than resort to the mother tongue. When teaching the target language, the use of the mother tongue will affect the naturalness of classroom communication and damage the effect of classroom teaching. </w:t>
      </w:r>
      <w:proofErr w:type="spellStart"/>
      <w:r>
        <w:t>Cummin</w:t>
      </w:r>
      <w:proofErr w:type="spellEnd"/>
      <w:r>
        <w:t xml:space="preserve"> (2005) also advocates that in immersion bilingual teaching, teachers should use the target language completely, avoid translation, and strictly distinguish the target </w:t>
      </w:r>
      <w:r>
        <w:lastRenderedPageBreak/>
        <w:t xml:space="preserve">language from the mother tongue. While </w:t>
      </w:r>
      <w:proofErr w:type="spellStart"/>
      <w:r>
        <w:t>Macaro</w:t>
      </w:r>
      <w:proofErr w:type="spellEnd"/>
      <w:r>
        <w:t xml:space="preserve"> (2001) thinks that it is not only unrealistic to exclude the use of mother tongue, but also deprive learners of an important learning tool. Cook (2001) also suggests that teachers should use their mother tongue when explaining grammar, assigning tasks, managing students and carrying out tests. He points out that when both teachers and students have the same mother tongue, code-switching is a natural phenomenon and an effective teaching strategy for second language learning.</w:t>
      </w:r>
    </w:p>
    <w:p w14:paraId="38A28AE6" w14:textId="44707423" w:rsidR="00EF39EA" w:rsidRDefault="00EF39EA" w:rsidP="00DD4707">
      <w:pPr>
        <w:ind w:leftChars="300" w:left="630" w:firstLineChars="300" w:firstLine="630"/>
      </w:pPr>
      <w:r>
        <w:t>In the face of different voices of linguists on whether to use mother tongue in</w:t>
      </w:r>
      <w:r w:rsidR="00DD4707">
        <w:t xml:space="preserve">. </w:t>
      </w:r>
      <w:r>
        <w:t xml:space="preserve">second language teaching, teachers' actual use of mother tongue in the classroom is also very different. A survey conducted by Crawford (2014) in Australia on the code selection of second language teachers has found that teachers use learners' mother tongue in a wide range, with a high frequency and many influencing factors. Code-switching may be affected by such attitudes as learners' and teachers' target language abilities, and teachers' attitude towards mother tongue analogy in second language acquisition. Busch (2010) also conducted a longitudinal follow-up study on pre-service teachers in a second language acquisition program in the United States. Using quantitative analysis, he found that in addition to the teacher education curriculum, teaching practice experience, such as language guidance for non-native students also have a positive impact on the development of teachers' beliefs. The problems encountered by teachers in the actual teaching of target language teaching will be promoted and solved in their native language and reflected in the self-evaluation feedback of teachers' beliefs in the later stage. Edstrom (2006) takes himself as a researcher and research object, obtains the first-hand information of code-switching beliefs and </w:t>
      </w:r>
      <w:proofErr w:type="spellStart"/>
      <w:r>
        <w:t>behaviours</w:t>
      </w:r>
      <w:proofErr w:type="spellEnd"/>
      <w:r>
        <w:t xml:space="preserve"> through classroom recording, teaching logs, questionnaires and other ways, reveals the proportion, frequency, function, motivation and other characteristics of teachers' code-switching in bilingual teaching classes. He highlights the impact of Teachers' beliefs on codeswitching. AI-</w:t>
      </w:r>
      <w:proofErr w:type="spellStart"/>
      <w:r>
        <w:t>Kahtany</w:t>
      </w:r>
      <w:proofErr w:type="spellEnd"/>
      <w:r>
        <w:t xml:space="preserve"> &amp;Faruk (2016) conducted a questionnaire survey on science teachers and students of the King's University of </w:t>
      </w:r>
      <w:proofErr w:type="spellStart"/>
      <w:r>
        <w:t>Asir</w:t>
      </w:r>
      <w:proofErr w:type="spellEnd"/>
      <w:r>
        <w:t xml:space="preserve"> Khalid in the southern Arabian Province. They received 702 questionnaires from students; 162 questionnaires from faculty and staff were complete and effective; it shows that teachers and students agree that English courses are inadequate for students.  they have to use Arabic along with English. Their natural proficiency in their mother tongue, along with the religious and emotional responses to it, might have formed a positive attitude towards Arabic as MOI. In China, many domestic scholars also advocate code-switching as an effective teaching strategy in teaching. While teaching English, they should use their mother tongue in a timely and appropriate way, enhance students' interest in learning English and participation in the classroom, encourage English learners to express their ideas, to improve students' English level. Zheng </w:t>
      </w:r>
      <w:proofErr w:type="spellStart"/>
      <w:r>
        <w:t>Shutang</w:t>
      </w:r>
      <w:proofErr w:type="spellEnd"/>
      <w:r>
        <w:t xml:space="preserve"> (1997) investigates the situation of College English Teaching in China and finds that 82.8% of teachers use code-switching in a bilingual classroom. Therefore, it is a common phenomenon. By using semi-structured questionnaires and interviews, Cheng </w:t>
      </w:r>
      <w:proofErr w:type="spellStart"/>
      <w:r>
        <w:t>Xiaoli</w:t>
      </w:r>
      <w:proofErr w:type="spellEnd"/>
      <w:r>
        <w:t xml:space="preserve"> (2013) studied the code-switching beliefs of Chinese College English teachers. It is found that although many teachers still hold a conservative or even negative evaluation on the use of mother tongue in the target </w:t>
      </w:r>
      <w:r>
        <w:lastRenderedPageBreak/>
        <w:t xml:space="preserve">language classroom, most of them also recognize and accept the real status of mother tongue in the target language classroom.  When the level of learners' target language is still low in their bilingual classroom, teachers need to explain the target language grammar and more complex knowledge points. Besides, whether teachers use code-switching in the bilingual classroom sometimes depends on students' attitudes. </w:t>
      </w:r>
      <w:proofErr w:type="spellStart"/>
      <w:r>
        <w:t>Lv</w:t>
      </w:r>
      <w:proofErr w:type="spellEnd"/>
      <w:r>
        <w:t xml:space="preserve"> </w:t>
      </w:r>
      <w:proofErr w:type="spellStart"/>
      <w:r>
        <w:t>Cuicui</w:t>
      </w:r>
      <w:proofErr w:type="spellEnd"/>
      <w:r>
        <w:t xml:space="preserve"> &amp; Song Yingjie (2014) randomly selected 487 undergraduates from three universities in Shandong Province to receive a questionnaire survey and interview. They are 19-21 years old and have more than six years of English learning experience. According to the results of the questionnaire, 48.1% of the students think that the use of code-switching in the classroom is "beneficial" for learning, 45.2% of the students think it is "helpful", most of the students think that the role of codeswitching in the foreign language classroom cannot be ignored. They hold a negative attitude towards the whole of English teaching. In the interview, the students who opposed the whole English teaching thought that the full use of English code could not highlight the key points and could not arouse the students' attention; in addition, the students with low language level were prone to get bored and finally frustrated their enthusiasm for learning.</w:t>
      </w:r>
    </w:p>
    <w:p w14:paraId="4EB76D53" w14:textId="77777777" w:rsidR="00EF39EA" w:rsidRDefault="00EF39EA" w:rsidP="00EF39EA"/>
    <w:p w14:paraId="6DE9E5D6" w14:textId="77777777" w:rsidR="00EF39EA" w:rsidRDefault="00EF39EA" w:rsidP="00EF39EA">
      <w:r>
        <w:t>3.    Three benefits of codeswitching in the bilingual classroom</w:t>
      </w:r>
    </w:p>
    <w:p w14:paraId="41233708" w14:textId="77777777" w:rsidR="00EF39EA" w:rsidRDefault="00EF39EA" w:rsidP="00DD4707">
      <w:pPr>
        <w:ind w:firstLineChars="300" w:firstLine="630"/>
      </w:pPr>
      <w:r>
        <w:t xml:space="preserve">3.1    Help students understand the teaching content   </w:t>
      </w:r>
    </w:p>
    <w:p w14:paraId="7F030425" w14:textId="6FE8D199" w:rsidR="00EF39EA" w:rsidRDefault="00EF39EA" w:rsidP="008831E2">
      <w:pPr>
        <w:ind w:leftChars="350" w:left="735" w:firstLineChars="450" w:firstLine="945"/>
      </w:pPr>
      <w:r>
        <w:t>When explaining new words, unfamiliar concepts or grammar, in order to</w:t>
      </w:r>
      <w:r w:rsidR="00DD4707">
        <w:t xml:space="preserve">. </w:t>
      </w:r>
      <w:r>
        <w:t xml:space="preserve">make students understand the difficulties more clearly, teachers can use their mother tongue to translate, explain and clarify.  Anna and </w:t>
      </w:r>
      <w:proofErr w:type="spellStart"/>
      <w:r>
        <w:t>Niclas</w:t>
      </w:r>
      <w:proofErr w:type="spellEnd"/>
      <w:r>
        <w:t xml:space="preserve"> (1999) analyze the classroom interaction between Swedish students and teachers whose second language </w:t>
      </w:r>
      <w:proofErr w:type="gramStart"/>
      <w:r>
        <w:t>is</w:t>
      </w:r>
      <w:proofErr w:type="gramEnd"/>
      <w:r>
        <w:t xml:space="preserve"> French through a series of video recording. It is found that when teachers turn to more metalanguage discussions (especially grammar), they switch to the first language. In other words, the use of the first language can help students understand and master more complex grammar knowledge, which is a widespread phenomenon in bilingual teaching because different languages have significant differences in the composition of grammar. Compare to other knowledge, and the grammar knowledge is relatively abstract, obscure and difficult to understand.  Most of the grammar-related professional terms are low-frequency words, which are rarely used in daily speech communication, and it is difficult for teachers in the bilingual classroom to use physical or paralinguistic means for auxiliary expression. Hence, for the complicated grammar points in the second language, the bilingual classroom teachers, when it is difficult to explain in L2, who make use of L1 can help students master the learning content more clearly and accurately. Besides, teachers also use code-switching to emphasize keywords repeatedly in order to help students consolidate their memory of words. This kind of code-switching is also a very common phenomenon in bilingual teaching. Students use their native language to understand and remember sophisticated vocabulary.</w:t>
      </w:r>
    </w:p>
    <w:p w14:paraId="31C30244" w14:textId="05887ABD" w:rsidR="00EF39EA" w:rsidRDefault="00EF39EA" w:rsidP="008831E2">
      <w:pPr>
        <w:ind w:leftChars="350" w:left="735" w:firstLineChars="350" w:firstLine="735"/>
      </w:pPr>
      <w:r>
        <w:t>Besides, students who are allowed to transcode in class can better</w:t>
      </w:r>
      <w:r w:rsidR="008831E2">
        <w:t xml:space="preserve">. </w:t>
      </w:r>
      <w:r>
        <w:t xml:space="preserve">communicate with their classmates and teachers. Another study conducted by Susan (2002) shows that in immersion classes where code-switching is not allowed, children </w:t>
      </w:r>
      <w:r>
        <w:lastRenderedPageBreak/>
        <w:t xml:space="preserve">often stop developing in sentences, or children do not know how to answer a question (maybe they know the answer, but they lack L2 vocabulary). For these children, entering a bilingual school not only means that they will have to learn a new language, but also because of the language barrier, their mastery of the subject will be affected. </w:t>
      </w:r>
    </w:p>
    <w:p w14:paraId="213ACA3D" w14:textId="30F45E6E" w:rsidR="00EF39EA" w:rsidRDefault="00EF39EA" w:rsidP="008831E2">
      <w:pPr>
        <w:ind w:leftChars="350" w:left="735" w:firstLineChars="350" w:firstLine="735"/>
      </w:pPr>
      <w:r>
        <w:t>Ernesto (2005) put forward a hypothesis in his study. If teachers, as well as</w:t>
      </w:r>
      <w:r w:rsidR="008831E2">
        <w:t xml:space="preserve">. </w:t>
      </w:r>
      <w:r>
        <w:t xml:space="preserve">students, do not allow using codeswitching in the bilingual classroom, then some discourse control features will play a role, which is entirely manipulated by teachers and may be harmful to students. He mentioned, "avoidance of codeswitching leads to greater use of input modification" (Ernesto 2005: 72). For example,  when analyzing and explaining some new words or complicated sentences, if the teacher only uses L2, and students do not know some professional terms or some complicated grammar of L1, which will increase the burden of their understanding, and make the new words and difficult sentences more difficult to understand. Furthermore, it will take more time for teachers to describe it in L1 and translate it into L2. Therefore, in some cases, code-switching can be used directly to replace L2 with L1, which can save classroom time and improve classroom efficiency, and ultimately it can help students master more knowledge in limited learning time. In addition, if teachers completely avoid using L1 in the bilingual classroom, there is also a big problem: when students' L2 ability is insufficient, they cannot understand the teacher's class content, the classroom effect will collapse, and students will lose interest in learning L1, Finally, "if the same mime is repeated long enough, the students may stop listening to the spoken language altogether and just understand from the mime" (Ernesto 2005: 73-74). </w:t>
      </w:r>
    </w:p>
    <w:p w14:paraId="676D5056" w14:textId="77777777" w:rsidR="00EF39EA" w:rsidRDefault="00EF39EA" w:rsidP="00EF39EA">
      <w:r>
        <w:t xml:space="preserve">3.2    Improve the efficiency of classroom activities </w:t>
      </w:r>
    </w:p>
    <w:p w14:paraId="67AFECB3" w14:textId="49146BE6" w:rsidR="00EF39EA" w:rsidRDefault="00EF39EA" w:rsidP="008831E2">
      <w:pPr>
        <w:ind w:leftChars="300" w:left="630" w:firstLineChars="350" w:firstLine="735"/>
      </w:pPr>
      <w:r>
        <w:t xml:space="preserve">As the name implies, classroom activities refer to a series of </w:t>
      </w:r>
      <w:proofErr w:type="spellStart"/>
      <w:r>
        <w:t>behaviours</w:t>
      </w:r>
      <w:proofErr w:type="spellEnd"/>
      <w:r>
        <w:t xml:space="preserve"> in the</w:t>
      </w:r>
      <w:r w:rsidR="008831E2">
        <w:t xml:space="preserve">. </w:t>
      </w:r>
      <w:r>
        <w:t xml:space="preserve">teaching process, usually referring to the different teaching activities with the teaching class as the unit. It is the basic form of school teaching. The teaching activity is a complete teaching system, which is composed of the links which are connected with each other. Bilingual classroom teaching activities are no exception, which also including review → introduction of new courses → teaching of new courses → interaction between teachers and students → classroom summary → assignment and other teaching links. It is not difficult to accomplish these tasks in the monolinguistic classroom. However, in a bilingual classroom, it is not an easy task to successfully complete all teaching activities in a limited time without using any code-switching. "the effects of not codeswitching are not detrimental to the learning process …it narrows down the total range of classroom activities possible thus reducing learner strategy development in terms of range, combination and self-evaluation of strategy use" (Ernesto 2005: 77). In a variety of classroom activities, bilingual teachers can use L1 to organize classroom activities, which can also improve the classroom effect. For example, when instructing and clarifying classroom tasks, teachers use L1 to avoid students' misunderstanding, especially for those students who are not proficient in L2. If the teachers use L2 entirely in the classroom, the students may not be able to understand what kind of classroom tasks the teacher assigns clearly, so that the </w:t>
      </w:r>
      <w:r>
        <w:lastRenderedPageBreak/>
        <w:t xml:space="preserve">classroom activities cannot be carried out effectively and smoothly. Bilingual classroom teachers can purposefully choose L1 to clarify and explain the requirements and precautions of specific classroom activities, so as to help students complete the classroom tasks. Besides, code-switching can also play a decisive role in maintaining classroom discipline. Gauci &amp; Antoinette (2013) finds that the teacher resorts to Maltese when she needs to make a disciplinary warning. It means when she notices that her students are not concentrating on the classroom task, she switches to use the L1 to remind her students, under this circumstance, codeswitching plays a role in improving the efficiency of classroom activities. </w:t>
      </w:r>
    </w:p>
    <w:p w14:paraId="631879B9" w14:textId="47D86134" w:rsidR="00EF39EA" w:rsidRDefault="00EF39EA" w:rsidP="008831E2">
      <w:pPr>
        <w:ind w:leftChars="300" w:left="630" w:firstLineChars="300" w:firstLine="630"/>
      </w:pPr>
      <w:r>
        <w:t xml:space="preserve">Not only teachers but also students can use L1 to help them to improve </w:t>
      </w:r>
      <w:proofErr w:type="gramStart"/>
      <w:r>
        <w:t>their</w:t>
      </w:r>
      <w:proofErr w:type="gramEnd"/>
      <w:r w:rsidR="008831E2">
        <w:t xml:space="preserve">. </w:t>
      </w:r>
      <w:r>
        <w:t xml:space="preserve">learning efficiency in a bilingual classroom, </w:t>
      </w:r>
      <w:proofErr w:type="gramStart"/>
      <w:r>
        <w:t>Cook</w:t>
      </w:r>
      <w:proofErr w:type="gramEnd"/>
      <w:r>
        <w:t xml:space="preserve"> (2001) emphasizes that If L1 and L2 exist in students' brain, the two languages can be used simultaneously without converting from one language to another. Students are not considered monolingual separately; they learn both languages at the same time. Generally speaking, language cognition develops in parallel. When L1 cognition level is higher than L2 cognition level, students can use L1 help them to improve L2 level. For example, if the knowledge in bilingual class is what the students have mastered in the previous L1 cognition process, even if there are some complex words and sentences in L2, which students have not learned before, but because of the knowledge already mastered in L1, with the help of this knowledge, students can easily grasp the difficulties in L2 and improve the efficiency of classroom activities.</w:t>
      </w:r>
    </w:p>
    <w:p w14:paraId="3D02A139" w14:textId="77777777" w:rsidR="00EF39EA" w:rsidRDefault="00EF39EA" w:rsidP="00EF39EA"/>
    <w:p w14:paraId="28EFDA94" w14:textId="77777777" w:rsidR="00EF39EA" w:rsidRDefault="00EF39EA" w:rsidP="00EF39EA">
      <w:r>
        <w:t xml:space="preserve">3.3    Promote social interaction between teachers and students </w:t>
      </w:r>
    </w:p>
    <w:p w14:paraId="14A13590" w14:textId="092E385C" w:rsidR="00EF39EA" w:rsidRDefault="00EF39EA" w:rsidP="008831E2">
      <w:pPr>
        <w:ind w:leftChars="300" w:left="630" w:firstLineChars="300" w:firstLine="630"/>
      </w:pPr>
      <w:r>
        <w:t>The main participants of code-switching are teachers and students. Teachers</w:t>
      </w:r>
      <w:r w:rsidR="008831E2">
        <w:t xml:space="preserve">. </w:t>
      </w:r>
      <w:r>
        <w:t xml:space="preserve">and students make up the whole classroom teaching activities through questioning, consultation, feedback and other interactive links. </w:t>
      </w:r>
      <w:proofErr w:type="gramStart"/>
      <w:r>
        <w:t>So</w:t>
      </w:r>
      <w:proofErr w:type="gramEnd"/>
      <w:r>
        <w:t xml:space="preserve"> classroom discourse involves not only teacher discourse but also teacher-student interactive discourse and student-student interactive discourse; therefore, teachers need to establish a good relationship with students to create a friendly atmosphere and make the classroom more pleasant. Apart from the relationship between teachers and students, a good relationship between students is also very significant. Sometimes whether students love learning or not is closely related to whether they like school, whether they can get along with teachers and classmates happily. Codeswitching plays a bridge role in the bilingual classroom. In the bilingual classroom, with the help of L1, teachers can understand students' learning state and psychological needs timely. When students encounter learning obstacles, using the unfamiliar L2 language will hinder students' expression. Moreover, if students are allowed only to use L2 in class, students will lose interest in communicating with teachers. In addition to learning, students' psychology also needs teachers' attention. When students are in the abnormal mood, teachers can use L1 to comfort students, let students feel warm, open their hearts, and ultimately, they are more willing to communicate with teachers about their study and daily life. One of the main reason is </w:t>
      </w:r>
      <w:proofErr w:type="gramStart"/>
      <w:r>
        <w:t>that  L</w:t>
      </w:r>
      <w:proofErr w:type="gramEnd"/>
      <w:r>
        <w:t xml:space="preserve">1 is the language both teachers and students familiar with, "the main benefit of the LI for personal contact is naturalness. When using the LI, the teacher is treating the students as their real selves rather than dealing with assumed </w:t>
      </w:r>
      <w:r>
        <w:lastRenderedPageBreak/>
        <w:t xml:space="preserve">L2 personas" (Cook, 2001:416). Teachers can also use code-switching to give feedback to students in the bilingual classroom. For example, </w:t>
      </w:r>
      <w:proofErr w:type="spellStart"/>
      <w:r>
        <w:t>Clapham</w:t>
      </w:r>
      <w:proofErr w:type="spellEnd"/>
      <w:r>
        <w:t xml:space="preserve"> (2016) finds that teachers use code-switching for praising the students' effort; communication with the </w:t>
      </w:r>
      <w:proofErr w:type="gramStart"/>
      <w:r>
        <w:t>students;  develop</w:t>
      </w:r>
      <w:proofErr w:type="gramEnd"/>
      <w:r>
        <w:t xml:space="preserve"> peer learning; pastoral issues and personal and social education, responding to students' need; and so on. </w:t>
      </w:r>
    </w:p>
    <w:p w14:paraId="079087F8" w14:textId="7F70A65E" w:rsidR="00EF39EA" w:rsidRDefault="00EF39EA" w:rsidP="008831E2">
      <w:pPr>
        <w:ind w:leftChars="300" w:left="630" w:firstLineChars="300" w:firstLine="630"/>
      </w:pPr>
      <w:r>
        <w:t>Students use code-switching to "explain the task to each other, negotiate roles</w:t>
      </w:r>
      <w:r w:rsidR="008831E2">
        <w:t xml:space="preserve">. </w:t>
      </w:r>
      <w:r>
        <w:t xml:space="preserve">they are going to take or check their understanding or production of language against their peers" (Cook, 2001:416). Use codeswitching in the bilingual classroom can promote student-student interactive discourse as well. Using L1 can also make students have a sense of identity and be closer to each other. For instance, Ysgol Bro </w:t>
      </w:r>
      <w:proofErr w:type="spellStart"/>
      <w:r>
        <w:t>Pedr</w:t>
      </w:r>
      <w:proofErr w:type="spellEnd"/>
      <w:r>
        <w:t xml:space="preserve"> is a primary school in Lampeter, almost half of the students in this primary school study in English-based classes. Although English is the primary language in the classroom teaching activities, Welsh also occupies an essential position in the classroom. Every day, the children take the initiative to say hello in Welsh while they come and leave the school, children all know that they are Welsh and have a strong sense of identity, which makes it easier and smoother for them to establish a friendship with their classmates.</w:t>
      </w:r>
    </w:p>
    <w:p w14:paraId="4EBCE07A" w14:textId="77777777" w:rsidR="00EF39EA" w:rsidRDefault="00EF39EA" w:rsidP="00EF39EA"/>
    <w:p w14:paraId="3EFC88AE" w14:textId="77777777" w:rsidR="00EF39EA" w:rsidRDefault="00EF39EA" w:rsidP="00EF39EA">
      <w:r>
        <w:t>IV.    Conclusion</w:t>
      </w:r>
    </w:p>
    <w:p w14:paraId="79144550" w14:textId="28E10F40" w:rsidR="00EF39EA" w:rsidRDefault="00EF39EA" w:rsidP="008831E2">
      <w:pPr>
        <w:ind w:firstLineChars="350" w:firstLine="735"/>
      </w:pPr>
      <w:r>
        <w:t>In general, code-switching is an indispensable part of bilingual classroom teaching, "code-switching is a normal feature of L2 use when the participants share two languages. Without the distrust of the LI, there is no reason why students should not code-switch in the classroom." (Cook,2001: 418)</w:t>
      </w:r>
      <w:r w:rsidR="00B83C4A">
        <w:t xml:space="preserve"> teachers in the bilingual classroom setting can make use of code</w:t>
      </w:r>
      <w:r w:rsidR="00920762">
        <w:t>-switching to help their student</w:t>
      </w:r>
      <w:r w:rsidR="008B71BD">
        <w:t xml:space="preserve"> understand the teaching content, improving</w:t>
      </w:r>
      <w:r w:rsidR="004A1223">
        <w:t xml:space="preserve"> the efficiency of classroom acti</w:t>
      </w:r>
      <w:r w:rsidR="004A1223">
        <w:t>vities, as well as p</w:t>
      </w:r>
      <w:r w:rsidR="004A1223">
        <w:t>romote social interaction between teachers and students</w:t>
      </w:r>
      <w:r w:rsidR="004A1223">
        <w:t>. However</w:t>
      </w:r>
      <w:r>
        <w:t xml:space="preserve">, teachers should also pay attention to the appropriate use of code-switching. That is to say; teachers should not only ensure that students get enough language input, but also cannot make language input beyond the scope of students' language ability. When teachers use L2 beyond students' understanding, it may block them to learn some complicated vocabularies or grammars, which is not conducive to the internalization of language knowledge. More seriously, it will affect the communication between teachers and students, and even much frustrate the enthusiasm of students. Teachers need to ensure the quality of language input; stimulate students' learning </w:t>
      </w:r>
      <w:r w:rsidR="009718A5">
        <w:t>motivation; encourage</w:t>
      </w:r>
      <w:r>
        <w:t xml:space="preserve"> students to output L2; promote the smooth progress of classroom teaching activities by improving their self-awareness and self-monitoring of code-switching in the bilingual classroom.</w:t>
      </w:r>
    </w:p>
    <w:p w14:paraId="19B4008E" w14:textId="77777777" w:rsidR="00EF39EA" w:rsidRDefault="00EF39EA" w:rsidP="00EF39EA"/>
    <w:p w14:paraId="63E7B80E" w14:textId="551A3780" w:rsidR="009718A5" w:rsidRDefault="00EF39EA" w:rsidP="00EF39EA">
      <w:pPr>
        <w:rPr>
          <w:rFonts w:hint="eastAsia"/>
        </w:rPr>
      </w:pPr>
      <w:r>
        <w:t>V.    Reference</w:t>
      </w:r>
    </w:p>
    <w:p w14:paraId="534A91EF" w14:textId="36CD2CE3" w:rsidR="00BC2AAF" w:rsidRDefault="00BC2AAF" w:rsidP="00BC2AAF">
      <w:pPr>
        <w:pStyle w:val="a3"/>
        <w:numPr>
          <w:ilvl w:val="0"/>
          <w:numId w:val="3"/>
        </w:numPr>
        <w:spacing w:before="100" w:beforeAutospacing="1" w:after="100" w:afterAutospacing="1"/>
        <w:ind w:firstLineChars="0"/>
        <w:rPr>
          <w:rFonts w:hint="eastAsia"/>
        </w:rPr>
      </w:pPr>
      <w:r w:rsidRPr="00152126">
        <w:t>ANDERSEN G. Pragmatic Borrowing [J</w:t>
      </w:r>
      <w:r w:rsidRPr="00152126">
        <w:t>]. Journal</w:t>
      </w:r>
      <w:r w:rsidRPr="00152126">
        <w:t xml:space="preserve"> of Pragmatics，2014 </w:t>
      </w:r>
    </w:p>
    <w:p w14:paraId="6484DA0E" w14:textId="28E75F25" w:rsidR="00BC1802" w:rsidRPr="00152126" w:rsidRDefault="00BC1802" w:rsidP="00BC1802">
      <w:pPr>
        <w:pStyle w:val="a3"/>
        <w:numPr>
          <w:ilvl w:val="0"/>
          <w:numId w:val="3"/>
        </w:numPr>
        <w:ind w:firstLineChars="0"/>
      </w:pPr>
      <w:r w:rsidRPr="00152126">
        <w:t xml:space="preserve">AL-KAHTANY, A., FARUK, S.M.G. and AL ZUMOR, </w:t>
      </w:r>
      <w:r w:rsidR="00BC2AAF" w:rsidRPr="00152126">
        <w:t>A.W., Q.</w:t>
      </w:r>
      <w:r w:rsidRPr="00152126">
        <w:t>, English as the Medium of Instruction in Saudi Higher Education: Necessity or Hegemony? Journal of Language Teaching and Research, </w:t>
      </w:r>
      <w:r w:rsidR="00F00B4C" w:rsidRPr="00152126">
        <w:t xml:space="preserve">2016. </w:t>
      </w:r>
      <w:r w:rsidRPr="00152126">
        <w:t>7(1), pp. 49-58.</w:t>
      </w:r>
    </w:p>
    <w:p w14:paraId="420E3B3B" w14:textId="161E8391" w:rsidR="00BC1802" w:rsidRPr="00152126" w:rsidRDefault="00BC1802" w:rsidP="00BC1802">
      <w:pPr>
        <w:pStyle w:val="a4"/>
        <w:numPr>
          <w:ilvl w:val="0"/>
          <w:numId w:val="3"/>
        </w:numPr>
        <w:rPr>
          <w:rFonts w:asciiTheme="minorHAnsi" w:eastAsiaTheme="minorEastAsia" w:hAnsiTheme="minorHAnsi" w:cstheme="minorBidi"/>
          <w:kern w:val="2"/>
          <w:sz w:val="21"/>
        </w:rPr>
      </w:pPr>
      <w:r w:rsidRPr="00152126">
        <w:rPr>
          <w:rFonts w:asciiTheme="minorHAnsi" w:eastAsiaTheme="minorEastAsia" w:hAnsiTheme="minorHAnsi" w:cstheme="minorBidi"/>
          <w:kern w:val="2"/>
          <w:sz w:val="21"/>
        </w:rPr>
        <w:t>BASTURKMEN H.</w:t>
      </w:r>
      <w:r w:rsidR="00F00B4C">
        <w:rPr>
          <w:rFonts w:asciiTheme="minorHAnsi" w:eastAsiaTheme="minorEastAsia" w:hAnsiTheme="minorHAnsi" w:cstheme="minorBidi"/>
          <w:kern w:val="2"/>
          <w:sz w:val="21"/>
        </w:rPr>
        <w:t xml:space="preserve">, </w:t>
      </w:r>
      <w:r w:rsidRPr="00152126">
        <w:rPr>
          <w:rFonts w:asciiTheme="minorHAnsi" w:eastAsiaTheme="minorEastAsia" w:hAnsiTheme="minorHAnsi" w:cstheme="minorBidi"/>
          <w:kern w:val="2"/>
          <w:sz w:val="21"/>
        </w:rPr>
        <w:t>Teachers’ stated beliefs about incidental focus on form and their classroom practices[J]. Applied linguistics</w:t>
      </w:r>
      <w:r>
        <w:rPr>
          <w:rFonts w:ascii="Microsoft Yi Baiti" w:eastAsia="Microsoft Yi Baiti" w:hAnsi="Microsoft Yi Baiti" w:cs="Microsoft Yi Baiti" w:hint="eastAsia"/>
          <w:kern w:val="2"/>
          <w:sz w:val="21"/>
        </w:rPr>
        <w:t>,</w:t>
      </w:r>
      <w:r>
        <w:rPr>
          <w:rFonts w:ascii="Microsoft Yi Baiti" w:eastAsia="Microsoft Yi Baiti" w:hAnsi="Microsoft Yi Baiti" w:cs="Microsoft Yi Baiti"/>
          <w:kern w:val="2"/>
          <w:sz w:val="21"/>
        </w:rPr>
        <w:t xml:space="preserve"> </w:t>
      </w:r>
      <w:r w:rsidRPr="00152126">
        <w:rPr>
          <w:rFonts w:asciiTheme="minorHAnsi" w:eastAsiaTheme="minorEastAsia" w:hAnsiTheme="minorHAnsi" w:cstheme="minorBidi"/>
          <w:kern w:val="2"/>
          <w:sz w:val="21"/>
        </w:rPr>
        <w:t>2004</w:t>
      </w:r>
      <w:r>
        <w:rPr>
          <w:rFonts w:ascii="Microsoft Yi Baiti" w:eastAsia="Microsoft Yi Baiti" w:hAnsi="Microsoft Yi Baiti" w:cs="Microsoft Yi Baiti" w:hint="eastAsia"/>
          <w:kern w:val="2"/>
          <w:sz w:val="21"/>
        </w:rPr>
        <w:t>,</w:t>
      </w:r>
      <w:r>
        <w:rPr>
          <w:rFonts w:ascii="Microsoft Yi Baiti" w:eastAsia="Microsoft Yi Baiti" w:hAnsi="Microsoft Yi Baiti" w:cs="Microsoft Yi Baiti"/>
          <w:kern w:val="2"/>
          <w:sz w:val="21"/>
        </w:rPr>
        <w:t xml:space="preserve"> </w:t>
      </w:r>
      <w:r w:rsidRPr="00152126">
        <w:rPr>
          <w:rFonts w:asciiTheme="minorHAnsi" w:eastAsiaTheme="minorEastAsia" w:hAnsiTheme="minorHAnsi" w:cstheme="minorBidi"/>
          <w:kern w:val="2"/>
          <w:sz w:val="21"/>
        </w:rPr>
        <w:t>25(2):243-272.</w:t>
      </w:r>
    </w:p>
    <w:p w14:paraId="0AA7B754" w14:textId="2ECB6318" w:rsidR="00BC1802" w:rsidRDefault="00F00B4C" w:rsidP="00BC1802">
      <w:pPr>
        <w:pStyle w:val="a3"/>
        <w:numPr>
          <w:ilvl w:val="0"/>
          <w:numId w:val="3"/>
        </w:numPr>
        <w:ind w:firstLineChars="0"/>
      </w:pPr>
      <w:r w:rsidRPr="00152126">
        <w:lastRenderedPageBreak/>
        <w:t>Busch D. Pre</w:t>
      </w:r>
      <w:r w:rsidR="00023F52">
        <w:t>-</w:t>
      </w:r>
      <w:r w:rsidRPr="00152126">
        <w:t xml:space="preserve">service teacher beliefs about language </w:t>
      </w:r>
      <w:r w:rsidR="00023F52" w:rsidRPr="00152126">
        <w:t>learning: The</w:t>
      </w:r>
      <w:r w:rsidRPr="00152126">
        <w:t xml:space="preserve"> second language acquisition course as an agent for change [</w:t>
      </w:r>
      <w:r w:rsidR="00BC2AAF" w:rsidRPr="00152126">
        <w:t>J].</w:t>
      </w:r>
      <w:r w:rsidRPr="00152126">
        <w:t xml:space="preserve"> Language Teaching Research</w:t>
      </w:r>
      <w:r w:rsidR="00023F52">
        <w:rPr>
          <w:rFonts w:ascii="Microsoft Yi Baiti" w:eastAsia="Microsoft Yi Baiti" w:hAnsi="Microsoft Yi Baiti" w:cs="Microsoft Yi Baiti" w:hint="eastAsia"/>
        </w:rPr>
        <w:t>,</w:t>
      </w:r>
      <w:r w:rsidRPr="00152126">
        <w:t xml:space="preserve"> 2010</w:t>
      </w:r>
      <w:r w:rsidRPr="00152126">
        <w:rPr>
          <w:rFonts w:ascii="Microsoft Yi Baiti" w:eastAsia="Microsoft Yi Baiti" w:hAnsi="Microsoft Yi Baiti" w:cs="Microsoft Yi Baiti" w:hint="eastAsia"/>
        </w:rPr>
        <w:t>ꎬ</w:t>
      </w:r>
      <w:r w:rsidRPr="00152126">
        <w:t>14(3):318-337.</w:t>
      </w:r>
    </w:p>
    <w:p w14:paraId="30FD0235" w14:textId="77777777" w:rsidR="0043638E" w:rsidRPr="004638A8" w:rsidRDefault="0043638E" w:rsidP="0043638E">
      <w:pPr>
        <w:pStyle w:val="a3"/>
        <w:numPr>
          <w:ilvl w:val="0"/>
          <w:numId w:val="3"/>
        </w:numPr>
        <w:ind w:firstLineChars="0"/>
      </w:pPr>
      <w:proofErr w:type="spellStart"/>
      <w:r w:rsidRPr="00152126">
        <w:t>Canagarajah</w:t>
      </w:r>
      <w:proofErr w:type="spellEnd"/>
      <w:r w:rsidRPr="00152126">
        <w:t>, Suresh. "</w:t>
      </w:r>
      <w:proofErr w:type="spellStart"/>
      <w:r w:rsidRPr="00152126">
        <w:t>Codemeshing</w:t>
      </w:r>
      <w:proofErr w:type="spellEnd"/>
      <w:r w:rsidRPr="00152126">
        <w:t xml:space="preserve"> in Academic Writing: Identifying Teachable Strategies of Translanguaging." Modern Language Journal95.3 (2011): 401-417</w:t>
      </w:r>
    </w:p>
    <w:p w14:paraId="3ECA6C07" w14:textId="37CB3AB8" w:rsidR="0043638E" w:rsidRPr="00152126" w:rsidRDefault="0043638E" w:rsidP="0043638E">
      <w:pPr>
        <w:pStyle w:val="a4"/>
        <w:numPr>
          <w:ilvl w:val="0"/>
          <w:numId w:val="3"/>
        </w:numPr>
        <w:rPr>
          <w:rFonts w:asciiTheme="minorHAnsi" w:eastAsiaTheme="minorEastAsia" w:hAnsiTheme="minorHAnsi" w:cstheme="minorBidi"/>
          <w:kern w:val="2"/>
          <w:sz w:val="21"/>
        </w:rPr>
      </w:pPr>
      <w:r>
        <w:rPr>
          <w:rFonts w:asciiTheme="minorHAnsi" w:eastAsiaTheme="minorEastAsia" w:hAnsiTheme="minorHAnsi" w:cstheme="minorBidi"/>
          <w:kern w:val="2"/>
          <w:sz w:val="21"/>
        </w:rPr>
        <w:t xml:space="preserve">Chen </w:t>
      </w:r>
      <w:proofErr w:type="spellStart"/>
      <w:r>
        <w:rPr>
          <w:rFonts w:asciiTheme="minorHAnsi" w:eastAsiaTheme="minorEastAsia" w:hAnsiTheme="minorHAnsi" w:cstheme="minorBidi"/>
          <w:kern w:val="2"/>
          <w:sz w:val="21"/>
        </w:rPr>
        <w:t>Xiaoli</w:t>
      </w:r>
      <w:proofErr w:type="spellEnd"/>
      <w:r w:rsidRPr="00152126">
        <w:rPr>
          <w:rFonts w:asciiTheme="minorHAnsi" w:eastAsiaTheme="minorEastAsia" w:hAnsiTheme="minorHAnsi" w:cstheme="minorBidi"/>
          <w:kern w:val="2"/>
          <w:sz w:val="21"/>
        </w:rPr>
        <w:t>.</w:t>
      </w:r>
      <w:r>
        <w:rPr>
          <w:rFonts w:asciiTheme="minorHAnsi" w:eastAsiaTheme="minorEastAsia" w:hAnsiTheme="minorHAnsi" w:cstheme="minorBidi"/>
          <w:kern w:val="2"/>
          <w:sz w:val="21"/>
        </w:rPr>
        <w:t xml:space="preserve"> </w:t>
      </w:r>
      <w:r w:rsidRPr="00152126">
        <w:rPr>
          <w:rFonts w:asciiTheme="minorHAnsi" w:eastAsiaTheme="minorEastAsia" w:hAnsiTheme="minorHAnsi" w:cstheme="minorBidi"/>
          <w:kern w:val="2"/>
          <w:sz w:val="21"/>
        </w:rPr>
        <w:t>Research on Chinese college English teachers’ classroom code</w:t>
      </w:r>
      <w:r>
        <w:rPr>
          <w:rFonts w:asciiTheme="minorHAnsi" w:eastAsiaTheme="minorEastAsia" w:hAnsiTheme="minorHAnsi" w:cstheme="minorBidi"/>
          <w:kern w:val="2"/>
          <w:sz w:val="21"/>
        </w:rPr>
        <w:t>-</w:t>
      </w:r>
      <w:r w:rsidRPr="00152126">
        <w:rPr>
          <w:rFonts w:asciiTheme="minorHAnsi" w:eastAsiaTheme="minorEastAsia" w:hAnsiTheme="minorHAnsi" w:cstheme="minorBidi"/>
          <w:kern w:val="2"/>
          <w:sz w:val="21"/>
        </w:rPr>
        <w:t>switching:</w:t>
      </w:r>
      <w:r>
        <w:rPr>
          <w:rFonts w:asciiTheme="minorHAnsi" w:eastAsiaTheme="minorEastAsia" w:hAnsiTheme="minorHAnsi" w:cstheme="minorBidi"/>
          <w:kern w:val="2"/>
          <w:sz w:val="21"/>
        </w:rPr>
        <w:t xml:space="preserve"> </w:t>
      </w:r>
      <w:r w:rsidRPr="00152126">
        <w:rPr>
          <w:rFonts w:asciiTheme="minorHAnsi" w:eastAsiaTheme="minorEastAsia" w:hAnsiTheme="minorHAnsi" w:cstheme="minorBidi"/>
          <w:kern w:val="2"/>
          <w:sz w:val="21"/>
        </w:rPr>
        <w:t>Beliefs and attitudes[J]. Journal of Language Teaching and Research</w:t>
      </w:r>
      <w:r>
        <w:rPr>
          <w:rFonts w:ascii="Microsoft Yi Baiti" w:eastAsia="Microsoft Yi Baiti" w:hAnsi="Microsoft Yi Baiti" w:cs="Microsoft Yi Baiti" w:hint="eastAsia"/>
          <w:kern w:val="2"/>
          <w:sz w:val="21"/>
        </w:rPr>
        <w:t>,</w:t>
      </w:r>
      <w:r>
        <w:rPr>
          <w:rFonts w:ascii="Microsoft Yi Baiti" w:eastAsia="Microsoft Yi Baiti" w:hAnsi="Microsoft Yi Baiti" w:cs="Microsoft Yi Baiti"/>
          <w:kern w:val="2"/>
          <w:sz w:val="21"/>
        </w:rPr>
        <w:t xml:space="preserve"> </w:t>
      </w:r>
      <w:r w:rsidRPr="00152126">
        <w:rPr>
          <w:rFonts w:asciiTheme="minorHAnsi" w:eastAsiaTheme="minorEastAsia" w:hAnsiTheme="minorHAnsi" w:cstheme="minorBidi"/>
          <w:kern w:val="2"/>
          <w:sz w:val="21"/>
        </w:rPr>
        <w:t>2013</w:t>
      </w:r>
      <w:r>
        <w:rPr>
          <w:rFonts w:ascii="Microsoft Yi Baiti" w:eastAsia="Microsoft Yi Baiti" w:hAnsi="Microsoft Yi Baiti" w:cs="Microsoft Yi Baiti" w:hint="eastAsia"/>
          <w:kern w:val="2"/>
          <w:sz w:val="21"/>
        </w:rPr>
        <w:t>.</w:t>
      </w:r>
      <w:r w:rsidRPr="00152126">
        <w:rPr>
          <w:rFonts w:asciiTheme="minorHAnsi" w:eastAsiaTheme="minorEastAsia" w:hAnsiTheme="minorHAnsi" w:cstheme="minorBidi"/>
          <w:kern w:val="2"/>
          <w:sz w:val="21"/>
        </w:rPr>
        <w:t>4</w:t>
      </w:r>
      <w:r w:rsidRPr="00152126">
        <w:rPr>
          <w:rFonts w:asciiTheme="minorHAnsi" w:eastAsiaTheme="minorEastAsia" w:hAnsiTheme="minorHAnsi" w:cstheme="minorBidi" w:hint="eastAsia"/>
          <w:kern w:val="2"/>
          <w:sz w:val="21"/>
        </w:rPr>
        <w:t>（6）：1</w:t>
      </w:r>
      <w:r w:rsidRPr="00152126">
        <w:rPr>
          <w:rFonts w:asciiTheme="minorHAnsi" w:eastAsiaTheme="minorEastAsia" w:hAnsiTheme="minorHAnsi" w:cstheme="minorBidi"/>
          <w:kern w:val="2"/>
          <w:sz w:val="21"/>
        </w:rPr>
        <w:t xml:space="preserve">277-1284 </w:t>
      </w:r>
    </w:p>
    <w:p w14:paraId="0BF559CE" w14:textId="105C3DEF" w:rsidR="0043638E" w:rsidRPr="006F0008" w:rsidRDefault="0043638E" w:rsidP="0043638E">
      <w:pPr>
        <w:pStyle w:val="a3"/>
        <w:numPr>
          <w:ilvl w:val="0"/>
          <w:numId w:val="3"/>
        </w:numPr>
        <w:ind w:firstLineChars="0"/>
      </w:pPr>
      <w:r w:rsidRPr="00152126">
        <w:t>Cook, Vivian. "Using the First Language in the Classroom." Canadian Modern Language Review</w:t>
      </w:r>
      <w:r w:rsidR="00E4201C">
        <w:t>, 2001</w:t>
      </w:r>
      <w:r w:rsidR="007F6F64">
        <w:t>.</w:t>
      </w:r>
      <w:r w:rsidRPr="00152126">
        <w:t> 57.3: 402-24</w:t>
      </w:r>
    </w:p>
    <w:p w14:paraId="16F8DC56" w14:textId="7D7E371A" w:rsidR="007F6F64" w:rsidRPr="00F93D8E" w:rsidRDefault="007F6F64" w:rsidP="007F6F64">
      <w:pPr>
        <w:pStyle w:val="a3"/>
        <w:numPr>
          <w:ilvl w:val="0"/>
          <w:numId w:val="3"/>
        </w:numPr>
        <w:spacing w:before="100" w:beforeAutospacing="1" w:after="100" w:afterAutospacing="1"/>
        <w:ind w:firstLineChars="0"/>
      </w:pPr>
      <w:r w:rsidRPr="00152126">
        <w:t>C</w:t>
      </w:r>
      <w:r w:rsidR="00815D33">
        <w:t>rawford</w:t>
      </w:r>
      <w:r w:rsidRPr="00152126">
        <w:t xml:space="preserve"> J.</w:t>
      </w:r>
      <w:r w:rsidR="00815D33">
        <w:t xml:space="preserve"> </w:t>
      </w:r>
      <w:r w:rsidRPr="00152126">
        <w:t>Language choices in the foreign language classroom:</w:t>
      </w:r>
      <w:r w:rsidR="00815D33">
        <w:t xml:space="preserve"> </w:t>
      </w:r>
      <w:r w:rsidRPr="00152126">
        <w:t>Target language or the learners’ first language? [J</w:t>
      </w:r>
      <w:r w:rsidR="00815D33" w:rsidRPr="00152126">
        <w:t>]. RELC</w:t>
      </w:r>
      <w:r w:rsidRPr="00152126">
        <w:t xml:space="preserve"> Journal</w:t>
      </w:r>
      <w:r w:rsidR="00815D33">
        <w:rPr>
          <w:rFonts w:ascii="Microsoft Yi Baiti" w:eastAsia="Microsoft Yi Baiti" w:hAnsi="Microsoft Yi Baiti" w:cs="Microsoft Yi Baiti" w:hint="eastAsia"/>
        </w:rPr>
        <w:t>,</w:t>
      </w:r>
      <w:r w:rsidR="00815D33">
        <w:rPr>
          <w:rFonts w:ascii="Microsoft Yi Baiti" w:eastAsia="Microsoft Yi Baiti" w:hAnsi="Microsoft Yi Baiti" w:cs="Microsoft Yi Baiti"/>
        </w:rPr>
        <w:t xml:space="preserve"> </w:t>
      </w:r>
      <w:r w:rsidRPr="00152126">
        <w:t>2004</w:t>
      </w:r>
      <w:r w:rsidR="00815D33">
        <w:rPr>
          <w:rFonts w:ascii="Microsoft Yi Baiti" w:eastAsia="Microsoft Yi Baiti" w:hAnsi="Microsoft Yi Baiti" w:cs="Microsoft Yi Baiti" w:hint="eastAsia"/>
        </w:rPr>
        <w:t>.</w:t>
      </w:r>
      <w:r w:rsidRPr="00152126">
        <w:t xml:space="preserve">35(1):5-20. </w:t>
      </w:r>
    </w:p>
    <w:p w14:paraId="128D0B20" w14:textId="33FF2770" w:rsidR="00E4201C" w:rsidRPr="00353AB1" w:rsidRDefault="00E4201C" w:rsidP="00815D33">
      <w:pPr>
        <w:pStyle w:val="a3"/>
        <w:numPr>
          <w:ilvl w:val="0"/>
          <w:numId w:val="3"/>
        </w:numPr>
        <w:ind w:firstLineChars="0"/>
      </w:pPr>
      <w:proofErr w:type="spellStart"/>
      <w:r w:rsidRPr="00152126">
        <w:t>Creese</w:t>
      </w:r>
      <w:proofErr w:type="spellEnd"/>
      <w:r w:rsidRPr="00152126">
        <w:t xml:space="preserve">, Angela, and Adrian Blackledge. "Translanguaging in the bilingual classroom: A pedagogy for learning and </w:t>
      </w:r>
      <w:r w:rsidR="007F6F64" w:rsidRPr="00152126">
        <w:t>teaching?</w:t>
      </w:r>
      <w:proofErr w:type="gramStart"/>
      <w:r w:rsidRPr="00152126">
        <w:t>" </w:t>
      </w:r>
      <w:r w:rsidR="007F6F64">
        <w:t>,</w:t>
      </w:r>
      <w:proofErr w:type="gramEnd"/>
      <w:r w:rsidR="007F6F64">
        <w:t xml:space="preserve"> </w:t>
      </w:r>
      <w:r w:rsidRPr="00152126">
        <w:t>The modern language journal</w:t>
      </w:r>
      <w:r w:rsidR="007F6F64">
        <w:t xml:space="preserve">, 2010. </w:t>
      </w:r>
      <w:r w:rsidRPr="00152126">
        <w:t>94.1: 103-115.</w:t>
      </w:r>
    </w:p>
    <w:p w14:paraId="58451FCC" w14:textId="46AB3425" w:rsidR="00815D33" w:rsidRPr="00D328C4" w:rsidRDefault="00815D33" w:rsidP="00815D33">
      <w:pPr>
        <w:pStyle w:val="a3"/>
        <w:numPr>
          <w:ilvl w:val="0"/>
          <w:numId w:val="3"/>
        </w:numPr>
        <w:spacing w:before="100" w:beforeAutospacing="1" w:after="100" w:afterAutospacing="1"/>
        <w:ind w:firstLineChars="0"/>
      </w:pPr>
      <w:r w:rsidRPr="00152126">
        <w:t xml:space="preserve">Cummins, J. A proposal for action: Strategies for recognizing heritage language competence as a learning resource within the mainstream </w:t>
      </w:r>
      <w:r w:rsidR="00FA3889" w:rsidRPr="00152126">
        <w:t>classroom</w:t>
      </w:r>
      <w:r w:rsidRPr="00152126">
        <w:t xml:space="preserve">. Modern Language Journal, </w:t>
      </w:r>
      <w:r>
        <w:t>2005.</w:t>
      </w:r>
      <w:r w:rsidRPr="00152126">
        <w:t>89: 585-592.</w:t>
      </w:r>
    </w:p>
    <w:p w14:paraId="31195DC2" w14:textId="686E55D9" w:rsidR="00C619A6" w:rsidRPr="00063515" w:rsidRDefault="00C619A6" w:rsidP="00C619A6">
      <w:pPr>
        <w:pStyle w:val="a3"/>
        <w:numPr>
          <w:ilvl w:val="0"/>
          <w:numId w:val="3"/>
        </w:numPr>
        <w:spacing w:before="100" w:beforeAutospacing="1" w:after="100" w:afterAutospacing="1"/>
        <w:ind w:firstLineChars="0"/>
      </w:pPr>
      <w:r w:rsidRPr="00152126">
        <w:t>E</w:t>
      </w:r>
      <w:r w:rsidR="00FA3889">
        <w:t>dstrom</w:t>
      </w:r>
      <w:r w:rsidRPr="00152126">
        <w:t xml:space="preserve"> A. L1 use in the L2 classroom: One teacher’s self</w:t>
      </w:r>
      <w:r w:rsidR="00FA3889">
        <w:t>-</w:t>
      </w:r>
      <w:r w:rsidRPr="00152126">
        <w:t>evaluation[J</w:t>
      </w:r>
      <w:r w:rsidR="00FA3889" w:rsidRPr="00152126">
        <w:t>]. Canadian</w:t>
      </w:r>
      <w:r w:rsidRPr="00152126">
        <w:t xml:space="preserve"> Modern Language Review</w:t>
      </w:r>
      <w:r w:rsidR="00FA3889">
        <w:rPr>
          <w:rFonts w:ascii="Microsoft Yi Baiti" w:eastAsia="Microsoft Yi Baiti" w:hAnsi="Microsoft Yi Baiti" w:cs="Microsoft Yi Baiti" w:hint="eastAsia"/>
        </w:rPr>
        <w:t>,</w:t>
      </w:r>
      <w:r w:rsidR="00FA3889">
        <w:rPr>
          <w:rFonts w:ascii="Microsoft Yi Baiti" w:eastAsia="Microsoft Yi Baiti" w:hAnsi="Microsoft Yi Baiti" w:cs="Microsoft Yi Baiti"/>
        </w:rPr>
        <w:t xml:space="preserve"> </w:t>
      </w:r>
      <w:r w:rsidRPr="00152126">
        <w:t>2006</w:t>
      </w:r>
      <w:r w:rsidR="00FA3889">
        <w:rPr>
          <w:rFonts w:ascii="Microsoft Yi Baiti" w:eastAsia="Microsoft Yi Baiti" w:hAnsi="Microsoft Yi Baiti" w:cs="Microsoft Yi Baiti" w:hint="eastAsia"/>
        </w:rPr>
        <w:t>.</w:t>
      </w:r>
      <w:r w:rsidRPr="00152126">
        <w:t xml:space="preserve">63(2):275-292. </w:t>
      </w:r>
    </w:p>
    <w:p w14:paraId="7D0D2629" w14:textId="3FF16A82" w:rsidR="00FA3889" w:rsidRDefault="00FA3889" w:rsidP="00FA3889">
      <w:pPr>
        <w:pStyle w:val="a3"/>
        <w:numPr>
          <w:ilvl w:val="0"/>
          <w:numId w:val="3"/>
        </w:numPr>
        <w:ind w:firstLineChars="0"/>
      </w:pPr>
      <w:proofErr w:type="spellStart"/>
      <w:r w:rsidRPr="00152126">
        <w:t>Flyman-Mattsson</w:t>
      </w:r>
      <w:proofErr w:type="spellEnd"/>
      <w:r w:rsidRPr="00152126">
        <w:t xml:space="preserve">, Anna, and </w:t>
      </w:r>
      <w:proofErr w:type="spellStart"/>
      <w:r w:rsidRPr="00152126">
        <w:t>Niclas</w:t>
      </w:r>
      <w:proofErr w:type="spellEnd"/>
      <w:r w:rsidRPr="00152126">
        <w:t xml:space="preserve"> </w:t>
      </w:r>
      <w:proofErr w:type="spellStart"/>
      <w:r w:rsidRPr="00152126">
        <w:t>Burenhult</w:t>
      </w:r>
      <w:proofErr w:type="spellEnd"/>
      <w:r w:rsidRPr="00152126">
        <w:t>. "Code-switching in second language teaching of French." Lund Working Papers in Linguistics</w:t>
      </w:r>
      <w:r w:rsidR="006358CC">
        <w:t>, 2009.</w:t>
      </w:r>
      <w:r w:rsidRPr="00152126">
        <w:t> 47: 59-72.</w:t>
      </w:r>
    </w:p>
    <w:p w14:paraId="58567A32" w14:textId="77777777" w:rsidR="006358CC" w:rsidRPr="00F36535" w:rsidRDefault="006358CC" w:rsidP="006358CC">
      <w:pPr>
        <w:pStyle w:val="a3"/>
        <w:numPr>
          <w:ilvl w:val="0"/>
          <w:numId w:val="3"/>
        </w:numPr>
        <w:ind w:firstLineChars="0"/>
      </w:pPr>
      <w:r w:rsidRPr="00152126">
        <w:t>García O. Bilingual education in the 21st century: A global perspective[M]. John Wiley &amp; Sons, 2011.</w:t>
      </w:r>
    </w:p>
    <w:p w14:paraId="636E5826" w14:textId="20B9A33A" w:rsidR="006358CC" w:rsidRPr="007F6CB1" w:rsidRDefault="006358CC" w:rsidP="006358CC">
      <w:pPr>
        <w:pStyle w:val="a3"/>
        <w:numPr>
          <w:ilvl w:val="0"/>
          <w:numId w:val="3"/>
        </w:numPr>
        <w:ind w:firstLineChars="0"/>
      </w:pPr>
      <w:r w:rsidRPr="00152126">
        <w:t>García, Ofelia, and Naomi Kano. "Translanguaging as process and pedagogy: Developing the English writing of Japanese students in the US." The multilingual turn in languages education: Opportunities and challenges</w:t>
      </w:r>
      <w:r w:rsidR="00E06B60">
        <w:t xml:space="preserve">, </w:t>
      </w:r>
      <w:r w:rsidRPr="00152126">
        <w:t>2014: 258-277.</w:t>
      </w:r>
    </w:p>
    <w:p w14:paraId="08F85FC0" w14:textId="49FA8451" w:rsidR="00F9791C" w:rsidRDefault="00F9791C" w:rsidP="00F9791C">
      <w:pPr>
        <w:pStyle w:val="a3"/>
        <w:numPr>
          <w:ilvl w:val="0"/>
          <w:numId w:val="3"/>
        </w:numPr>
        <w:ind w:firstLineChars="0"/>
      </w:pPr>
      <w:r w:rsidRPr="00152126">
        <w:t xml:space="preserve">Gauci, </w:t>
      </w:r>
      <w:proofErr w:type="spellStart"/>
      <w:r w:rsidRPr="00152126">
        <w:t>Hertian</w:t>
      </w:r>
      <w:proofErr w:type="spellEnd"/>
      <w:r w:rsidRPr="00152126">
        <w:t xml:space="preserve">, and Antoinette Camilleri </w:t>
      </w:r>
      <w:proofErr w:type="spellStart"/>
      <w:r w:rsidRPr="00152126">
        <w:t>Grima</w:t>
      </w:r>
      <w:proofErr w:type="spellEnd"/>
      <w:r w:rsidRPr="00152126">
        <w:t>. "Codeswitching as a Tool in Teaching Italian in Malta." International Journal of Bilingual Education and Bilingualism</w:t>
      </w:r>
      <w:r w:rsidR="00E06B60">
        <w:t>,</w:t>
      </w:r>
      <w:r w:rsidRPr="00152126">
        <w:t xml:space="preserve"> 2013</w:t>
      </w:r>
      <w:r w:rsidR="00E06B60">
        <w:t xml:space="preserve">. </w:t>
      </w:r>
      <w:r w:rsidR="00E06B60" w:rsidRPr="00152126">
        <w:t>16.5</w:t>
      </w:r>
      <w:r w:rsidRPr="00152126">
        <w:t>: 615-631.</w:t>
      </w:r>
    </w:p>
    <w:p w14:paraId="4407E1D7" w14:textId="179C9317" w:rsidR="00F9791C" w:rsidRDefault="003017AA" w:rsidP="00F9791C">
      <w:pPr>
        <w:pStyle w:val="a3"/>
        <w:numPr>
          <w:ilvl w:val="0"/>
          <w:numId w:val="3"/>
        </w:numPr>
        <w:ind w:firstLineChars="0"/>
      </w:pPr>
      <w:r>
        <w:rPr>
          <w:rFonts w:hint="eastAsia"/>
        </w:rPr>
        <w:t>G</w:t>
      </w:r>
      <w:r>
        <w:t xml:space="preserve">ong </w:t>
      </w:r>
      <w:proofErr w:type="spellStart"/>
      <w:r>
        <w:t>Tenglong</w:t>
      </w:r>
      <w:proofErr w:type="spellEnd"/>
      <w:r w:rsidR="00F9791C" w:rsidRPr="00152126">
        <w:rPr>
          <w:rFonts w:hint="eastAsia"/>
        </w:rPr>
        <w:t>，</w:t>
      </w:r>
      <w:r w:rsidR="006F1E9D" w:rsidRPr="006F1E9D">
        <w:t>A survey of  Uygur</w:t>
      </w:r>
      <w:r w:rsidR="00D571F2">
        <w:t>-</w:t>
      </w:r>
      <w:r w:rsidR="006F1E9D" w:rsidRPr="006F1E9D">
        <w:t xml:space="preserve">Chinese bilingual </w:t>
      </w:r>
      <w:r w:rsidR="00472BA0" w:rsidRPr="006F1E9D">
        <w:t>teachers</w:t>
      </w:r>
      <w:r w:rsidR="00472BA0">
        <w:t xml:space="preserve">’ briefs </w:t>
      </w:r>
      <w:r w:rsidR="006F1E9D" w:rsidRPr="006F1E9D">
        <w:t xml:space="preserve"> in Xinjiang</w:t>
      </w:r>
      <w:r w:rsidR="00472BA0">
        <w:t xml:space="preserve">. </w:t>
      </w:r>
      <w:r w:rsidR="00F9791C" w:rsidRPr="00152126">
        <w:rPr>
          <w:rFonts w:hint="eastAsia"/>
        </w:rPr>
        <w:t>Journal of Lanzhou Institute of Education</w:t>
      </w:r>
      <w:r w:rsidR="00472BA0">
        <w:rPr>
          <w:rFonts w:hint="eastAsia"/>
        </w:rPr>
        <w:t>，</w:t>
      </w:r>
      <w:r w:rsidR="00F9791C" w:rsidRPr="00152126">
        <w:rPr>
          <w:rFonts w:hint="eastAsia"/>
        </w:rPr>
        <w:t>2</w:t>
      </w:r>
      <w:r w:rsidR="00F9791C" w:rsidRPr="00152126">
        <w:t>017</w:t>
      </w:r>
      <w:r w:rsidR="00472BA0">
        <w:t>.(</w:t>
      </w:r>
      <w:r w:rsidR="00F9791C" w:rsidRPr="00152126">
        <w:rPr>
          <w:rFonts w:hint="eastAsia"/>
        </w:rPr>
        <w:t>1</w:t>
      </w:r>
      <w:r w:rsidR="00F9791C" w:rsidRPr="00152126">
        <w:t>0</w:t>
      </w:r>
      <w:r w:rsidR="00472BA0">
        <w:t>)</w:t>
      </w:r>
      <w:r w:rsidR="00472BA0">
        <w:rPr>
          <w:rFonts w:hint="eastAsia"/>
        </w:rPr>
        <w:t>:</w:t>
      </w:r>
      <w:r w:rsidR="00F9791C" w:rsidRPr="00152126">
        <w:rPr>
          <w:rFonts w:hint="eastAsia"/>
        </w:rPr>
        <w:t>1</w:t>
      </w:r>
      <w:r w:rsidR="00F9791C" w:rsidRPr="00152126">
        <w:t>02-103</w:t>
      </w:r>
    </w:p>
    <w:p w14:paraId="7F02C503" w14:textId="77777777" w:rsidR="001B25B0" w:rsidRPr="00184B8E" w:rsidRDefault="001B25B0" w:rsidP="001B25B0">
      <w:pPr>
        <w:pStyle w:val="a3"/>
        <w:numPr>
          <w:ilvl w:val="0"/>
          <w:numId w:val="3"/>
        </w:numPr>
        <w:spacing w:before="100" w:beforeAutospacing="1" w:after="100" w:afterAutospacing="1"/>
        <w:ind w:firstLineChars="0"/>
      </w:pPr>
      <w:r w:rsidRPr="00152126">
        <w:t xml:space="preserve">HAUGEN E. The Analysis of Linguistic Borrowing[J]. Language，1950(2):210-231. </w:t>
      </w:r>
    </w:p>
    <w:p w14:paraId="0316DDD3" w14:textId="75AEB864" w:rsidR="001B25B0" w:rsidRDefault="001B25B0" w:rsidP="001B25B0">
      <w:pPr>
        <w:pStyle w:val="a3"/>
        <w:numPr>
          <w:ilvl w:val="0"/>
          <w:numId w:val="3"/>
        </w:numPr>
        <w:ind w:firstLineChars="0"/>
      </w:pPr>
      <w:r w:rsidRPr="00152126">
        <w:t>Krashen, Stephen D., and Tracy D. Terrell. "The natural approach: Language acquisition in the classroom"</w:t>
      </w:r>
      <w:r w:rsidR="00ED49DD">
        <w:t xml:space="preserve">, </w:t>
      </w:r>
      <w:r w:rsidRPr="00152126">
        <w:t>1983.</w:t>
      </w:r>
    </w:p>
    <w:p w14:paraId="7478F2A9" w14:textId="38E470F4" w:rsidR="001B25B0" w:rsidRPr="00152126" w:rsidRDefault="001B25B0" w:rsidP="001B25B0">
      <w:pPr>
        <w:pStyle w:val="a3"/>
        <w:numPr>
          <w:ilvl w:val="0"/>
          <w:numId w:val="3"/>
        </w:numPr>
        <w:ind w:firstLineChars="0"/>
        <w:textAlignment w:val="baseline"/>
      </w:pPr>
      <w:proofErr w:type="gramStart"/>
      <w:r w:rsidRPr="00152126">
        <w:t>Lewis,  G.</w:t>
      </w:r>
      <w:proofErr w:type="gramEnd"/>
      <w:r w:rsidRPr="00152126">
        <w:t>, Jones,  B., and </w:t>
      </w:r>
      <w:proofErr w:type="spellStart"/>
      <w:r w:rsidRPr="00152126">
        <w:t>C.Baker</w:t>
      </w:r>
      <w:proofErr w:type="spellEnd"/>
      <w:r w:rsidRPr="00152126">
        <w:t>. ‘Translanguaging: origins and development from school to street and beyond’. Educational Research and Evaluation: An International Journal on Theory and Practice</w:t>
      </w:r>
      <w:r w:rsidR="00ED49DD">
        <w:t xml:space="preserve">, </w:t>
      </w:r>
      <w:r w:rsidR="00ED49DD" w:rsidRPr="00152126">
        <w:t xml:space="preserve">2012. </w:t>
      </w:r>
      <w:r w:rsidRPr="00152126">
        <w:t>18/7: 641–54.</w:t>
      </w:r>
    </w:p>
    <w:p w14:paraId="674701CF" w14:textId="76F059D4" w:rsidR="00A931B1" w:rsidRDefault="00A931B1" w:rsidP="00123C8E">
      <w:pPr>
        <w:pStyle w:val="a3"/>
        <w:numPr>
          <w:ilvl w:val="0"/>
          <w:numId w:val="3"/>
        </w:numPr>
        <w:spacing w:before="100" w:beforeAutospacing="1" w:after="100" w:afterAutospacing="1"/>
        <w:ind w:firstLineChars="0"/>
        <w:rPr>
          <w:rFonts w:hint="eastAsia"/>
        </w:rPr>
      </w:pPr>
      <w:proofErr w:type="spellStart"/>
      <w:r w:rsidRPr="00152126">
        <w:t>Liebscher</w:t>
      </w:r>
      <w:proofErr w:type="spellEnd"/>
      <w:r w:rsidRPr="00152126">
        <w:t>，G. &amp; J. Dailey-</w:t>
      </w:r>
      <w:proofErr w:type="spellStart"/>
      <w:r w:rsidRPr="00152126">
        <w:t>O’cain</w:t>
      </w:r>
      <w:proofErr w:type="spellEnd"/>
      <w:r w:rsidRPr="00152126">
        <w:t>. Learner Code-Switching in the Content-based Foreign Language Classroom [J]. The Modern Language Journal</w:t>
      </w:r>
      <w:r w:rsidR="00123C8E">
        <w:t>,</w:t>
      </w:r>
      <w:r w:rsidRPr="00152126">
        <w:t xml:space="preserve"> </w:t>
      </w:r>
      <w:r w:rsidR="00123C8E" w:rsidRPr="00152126">
        <w:t xml:space="preserve">2005. </w:t>
      </w:r>
      <w:proofErr w:type="gramStart"/>
      <w:r w:rsidRPr="00152126">
        <w:t>89 :</w:t>
      </w:r>
      <w:proofErr w:type="gramEnd"/>
      <w:r w:rsidRPr="00152126">
        <w:t xml:space="preserve"> 234-247.</w:t>
      </w:r>
    </w:p>
    <w:p w14:paraId="509CFBF2" w14:textId="66019F3E" w:rsidR="00ED49DD" w:rsidRDefault="00ED49DD" w:rsidP="00ED49DD">
      <w:pPr>
        <w:pStyle w:val="a3"/>
        <w:numPr>
          <w:ilvl w:val="0"/>
          <w:numId w:val="3"/>
        </w:numPr>
        <w:ind w:firstLineChars="0"/>
      </w:pPr>
      <w:proofErr w:type="spellStart"/>
      <w:r w:rsidRPr="00152126">
        <w:t>Macaro</w:t>
      </w:r>
      <w:proofErr w:type="spellEnd"/>
      <w:r w:rsidRPr="00152126">
        <w:t>, Ernesto. "</w:t>
      </w:r>
      <w:r w:rsidR="00A931B1" w:rsidRPr="00152126">
        <w:t>Analyzing</w:t>
      </w:r>
      <w:r w:rsidRPr="00152126">
        <w:t xml:space="preserve"> student teachers’ codeswitching in foreign language classrooms: Theories and decision making." The Modern Language Journal</w:t>
      </w:r>
      <w:r w:rsidR="00A931B1">
        <w:t xml:space="preserve">, </w:t>
      </w:r>
      <w:r w:rsidRPr="00152126">
        <w:t>2001</w:t>
      </w:r>
      <w:r w:rsidR="00A931B1">
        <w:t>.</w:t>
      </w:r>
      <w:r w:rsidR="00A931B1" w:rsidRPr="00A931B1">
        <w:t xml:space="preserve"> </w:t>
      </w:r>
      <w:r w:rsidR="00A931B1" w:rsidRPr="00152126">
        <w:t>85.4</w:t>
      </w:r>
      <w:r w:rsidRPr="00152126">
        <w:t>: 531-548.</w:t>
      </w:r>
    </w:p>
    <w:p w14:paraId="4A75FEFF" w14:textId="77777777" w:rsidR="008D20E3" w:rsidRDefault="008D20E3" w:rsidP="008D20E3">
      <w:pPr>
        <w:pStyle w:val="a3"/>
        <w:numPr>
          <w:ilvl w:val="0"/>
          <w:numId w:val="3"/>
        </w:numPr>
        <w:ind w:firstLineChars="0"/>
      </w:pPr>
      <w:proofErr w:type="spellStart"/>
      <w:r w:rsidRPr="00152126">
        <w:t>Macaro</w:t>
      </w:r>
      <w:proofErr w:type="spellEnd"/>
      <w:r w:rsidRPr="00152126">
        <w:t xml:space="preserve">, Ernesto. "Codeswitching in the L2 classroom: A communication and learning </w:t>
      </w:r>
      <w:r w:rsidRPr="00152126">
        <w:lastRenderedPageBreak/>
        <w:t>strategy." Non-native language teachers. Springer, Boston, MA, 2005. 63-84.</w:t>
      </w:r>
    </w:p>
    <w:p w14:paraId="2003F423" w14:textId="04DBE7EC" w:rsidR="002A6596" w:rsidRPr="005D3915" w:rsidRDefault="002A6596" w:rsidP="002A6596">
      <w:pPr>
        <w:pStyle w:val="a3"/>
        <w:numPr>
          <w:ilvl w:val="0"/>
          <w:numId w:val="3"/>
        </w:numPr>
        <w:ind w:firstLineChars="0"/>
      </w:pPr>
      <w:r w:rsidRPr="00152126">
        <w:t>Mi Sun Park. "Code-switching and Translanguaging: Potential Functions in Multilingual Classrooms." Working Papers in Applied Linguistics and TESOL</w:t>
      </w:r>
      <w:r w:rsidR="00B931E5">
        <w:t>,</w:t>
      </w:r>
      <w:r w:rsidRPr="00152126">
        <w:t> 2015</w:t>
      </w:r>
      <w:r w:rsidR="00B931E5">
        <w:t>.</w:t>
      </w:r>
      <w:r w:rsidR="00B931E5" w:rsidRPr="00B931E5">
        <w:t xml:space="preserve"> </w:t>
      </w:r>
      <w:r w:rsidR="00B931E5" w:rsidRPr="00152126">
        <w:t>13.2</w:t>
      </w:r>
      <w:r w:rsidRPr="00152126">
        <w:t>: 50-52. Web.</w:t>
      </w:r>
    </w:p>
    <w:p w14:paraId="209DC46A" w14:textId="2C00F67F" w:rsidR="00B931E5" w:rsidRDefault="00B931E5" w:rsidP="00B931E5">
      <w:pPr>
        <w:pStyle w:val="a3"/>
        <w:numPr>
          <w:ilvl w:val="0"/>
          <w:numId w:val="3"/>
        </w:numPr>
        <w:ind w:firstLineChars="0"/>
      </w:pPr>
      <w:r w:rsidRPr="00152126">
        <w:t>Myers‐</w:t>
      </w:r>
      <w:proofErr w:type="spellStart"/>
      <w:r w:rsidRPr="00152126">
        <w:t>Scotton</w:t>
      </w:r>
      <w:proofErr w:type="spellEnd"/>
      <w:r w:rsidRPr="00152126">
        <w:t>, Carol. "Comparing codeswitching and borrowing." Journal of Multilingual &amp; Multicultural Development</w:t>
      </w:r>
      <w:r>
        <w:t>,</w:t>
      </w:r>
      <w:r w:rsidRPr="00152126">
        <w:t xml:space="preserve"> 1992</w:t>
      </w:r>
      <w:r>
        <w:t>.</w:t>
      </w:r>
      <w:r w:rsidRPr="00B931E5">
        <w:t xml:space="preserve"> </w:t>
      </w:r>
      <w:r w:rsidRPr="00152126">
        <w:t>13.1-2: 19-39.</w:t>
      </w:r>
    </w:p>
    <w:p w14:paraId="227959D8" w14:textId="4ABC5B83" w:rsidR="00B931E5" w:rsidRPr="00152126" w:rsidRDefault="00B931E5" w:rsidP="00B931E5">
      <w:pPr>
        <w:pStyle w:val="a3"/>
        <w:numPr>
          <w:ilvl w:val="0"/>
          <w:numId w:val="3"/>
        </w:numPr>
        <w:ind w:firstLineChars="0"/>
      </w:pPr>
      <w:r w:rsidRPr="00152126">
        <w:t>Myers-</w:t>
      </w:r>
      <w:proofErr w:type="spellStart"/>
      <w:r w:rsidRPr="00152126">
        <w:t>Scotton</w:t>
      </w:r>
      <w:proofErr w:type="spellEnd"/>
      <w:r w:rsidRPr="00152126">
        <w:t>,</w:t>
      </w:r>
      <w:r>
        <w:t xml:space="preserve"> </w:t>
      </w:r>
      <w:r w:rsidRPr="00152126">
        <w:t>Carol. </w:t>
      </w:r>
      <w:proofErr w:type="spellStart"/>
      <w:r w:rsidRPr="00152126">
        <w:t>Duelling</w:t>
      </w:r>
      <w:proofErr w:type="spellEnd"/>
      <w:r w:rsidRPr="00152126">
        <w:t xml:space="preserve"> </w:t>
      </w:r>
      <w:r w:rsidRPr="00152126">
        <w:t>Languages:</w:t>
      </w:r>
      <w:r w:rsidRPr="00152126">
        <w:t xml:space="preserve"> Grammatical Structure in Codeswitching. Oxford: Clarendon, 1993. Print.</w:t>
      </w:r>
    </w:p>
    <w:p w14:paraId="15B9708D" w14:textId="5DDA337D" w:rsidR="006E5549" w:rsidRDefault="006E5549" w:rsidP="006E5549">
      <w:pPr>
        <w:pStyle w:val="a3"/>
        <w:numPr>
          <w:ilvl w:val="0"/>
          <w:numId w:val="3"/>
        </w:numPr>
        <w:ind w:firstLineChars="0"/>
      </w:pPr>
      <w:r w:rsidRPr="00152126">
        <w:t>Pollard, Susan. "The benefit of code switching within a bilingual education program." Honors Projects</w:t>
      </w:r>
      <w:r>
        <w:t xml:space="preserve">, </w:t>
      </w:r>
      <w:r w:rsidRPr="00152126">
        <w:t>2002: 1-17.</w:t>
      </w:r>
    </w:p>
    <w:p w14:paraId="2AE1D5E7" w14:textId="28DE10DD" w:rsidR="006E5549" w:rsidRPr="00152126" w:rsidRDefault="006E5549" w:rsidP="006E5549">
      <w:pPr>
        <w:pStyle w:val="a3"/>
        <w:numPr>
          <w:ilvl w:val="0"/>
          <w:numId w:val="3"/>
        </w:numPr>
        <w:ind w:firstLineChars="0"/>
      </w:pPr>
      <w:proofErr w:type="spellStart"/>
      <w:r w:rsidRPr="00152126">
        <w:t>P</w:t>
      </w:r>
      <w:r>
        <w:t>oplack</w:t>
      </w:r>
      <w:proofErr w:type="spellEnd"/>
      <w:r w:rsidRPr="00152126">
        <w:t>, S. Sometim</w:t>
      </w:r>
      <w:bookmarkStart w:id="0" w:name="_GoBack"/>
      <w:bookmarkEnd w:id="0"/>
      <w:r w:rsidRPr="00152126">
        <w:t>es I’ll start a sentence in Spanish Y TERMINO EN ESPAÑOL: toward a typology of code-switching1, Linguistics, </w:t>
      </w:r>
      <w:r>
        <w:t xml:space="preserve">1980. </w:t>
      </w:r>
      <w:r w:rsidRPr="00152126">
        <w:t>18(7-8)</w:t>
      </w:r>
      <w:r>
        <w:t>:</w:t>
      </w:r>
      <w:r w:rsidRPr="00152126">
        <w:t xml:space="preserve"> 581-618.</w:t>
      </w:r>
    </w:p>
    <w:p w14:paraId="55E4D17D" w14:textId="25315D2F" w:rsidR="00023F52" w:rsidRDefault="00C248EA" w:rsidP="00BC1802">
      <w:pPr>
        <w:pStyle w:val="a3"/>
        <w:numPr>
          <w:ilvl w:val="0"/>
          <w:numId w:val="3"/>
        </w:numPr>
        <w:ind w:firstLineChars="0"/>
      </w:pPr>
      <w:proofErr w:type="spellStart"/>
      <w:r w:rsidRPr="00152126">
        <w:t>T</w:t>
      </w:r>
      <w:r w:rsidR="008D6B31">
        <w:t>homasons</w:t>
      </w:r>
      <w:proofErr w:type="spellEnd"/>
      <w:r w:rsidR="008D6B31">
        <w:t xml:space="preserve"> </w:t>
      </w:r>
      <w:r w:rsidRPr="00152126">
        <w:t>G，K</w:t>
      </w:r>
      <w:r w:rsidR="008D6B31">
        <w:t xml:space="preserve">aufman </w:t>
      </w:r>
      <w:r w:rsidRPr="00152126">
        <w:t>T. Language Contact, Creolization and Genetic Linguistics[M].</w:t>
      </w:r>
      <w:r w:rsidRPr="00152126">
        <w:t>Oakland: University</w:t>
      </w:r>
      <w:r w:rsidRPr="00152126">
        <w:t xml:space="preserve"> of California Press，1988:37.</w:t>
      </w:r>
    </w:p>
    <w:p w14:paraId="5AA6652C" w14:textId="3794D8B5" w:rsidR="00C248EA" w:rsidRPr="00152126" w:rsidRDefault="003017AA" w:rsidP="00C248EA">
      <w:pPr>
        <w:pStyle w:val="a4"/>
        <w:numPr>
          <w:ilvl w:val="0"/>
          <w:numId w:val="3"/>
        </w:numPr>
        <w:rPr>
          <w:rFonts w:asciiTheme="minorHAnsi" w:eastAsiaTheme="minorEastAsia" w:hAnsiTheme="minorHAnsi" w:cstheme="minorBidi"/>
          <w:kern w:val="2"/>
          <w:sz w:val="21"/>
        </w:rPr>
      </w:pPr>
      <w:r>
        <w:rPr>
          <w:rFonts w:asciiTheme="minorHAnsi" w:eastAsiaTheme="minorEastAsia" w:hAnsiTheme="minorHAnsi" w:cstheme="minorBidi"/>
          <w:kern w:val="2"/>
          <w:sz w:val="21"/>
        </w:rPr>
        <w:t>Xin Yang.</w:t>
      </w:r>
      <w:r w:rsidR="0017584F" w:rsidRPr="0017584F">
        <w:t xml:space="preserve"> </w:t>
      </w:r>
      <w:r w:rsidR="0017584F" w:rsidRPr="0017584F">
        <w:rPr>
          <w:rFonts w:asciiTheme="minorHAnsi" w:eastAsiaTheme="minorEastAsia" w:hAnsiTheme="minorHAnsi" w:cstheme="minorBidi"/>
          <w:kern w:val="2"/>
          <w:sz w:val="21"/>
        </w:rPr>
        <w:t>A study of teachers' code</w:t>
      </w:r>
      <w:r w:rsidR="0017584F">
        <w:rPr>
          <w:rFonts w:asciiTheme="minorHAnsi" w:eastAsiaTheme="minorEastAsia" w:hAnsiTheme="minorHAnsi" w:cstheme="minorBidi"/>
          <w:kern w:val="2"/>
          <w:sz w:val="21"/>
        </w:rPr>
        <w:t>-</w:t>
      </w:r>
      <w:r w:rsidR="0017584F" w:rsidRPr="0017584F">
        <w:rPr>
          <w:rFonts w:asciiTheme="minorHAnsi" w:eastAsiaTheme="minorEastAsia" w:hAnsiTheme="minorHAnsi" w:cstheme="minorBidi"/>
          <w:kern w:val="2"/>
          <w:sz w:val="21"/>
        </w:rPr>
        <w:t>switching in College English Classroom Teaching</w:t>
      </w:r>
      <w:r w:rsidR="00464B5F">
        <w:rPr>
          <w:rFonts w:asciiTheme="minorHAnsi" w:eastAsiaTheme="minorEastAsia" w:hAnsiTheme="minorHAnsi" w:cstheme="minorBidi"/>
          <w:kern w:val="2"/>
          <w:sz w:val="21"/>
        </w:rPr>
        <w:t xml:space="preserve">. </w:t>
      </w:r>
      <w:r w:rsidR="00464B5F" w:rsidRPr="00464B5F">
        <w:rPr>
          <w:rFonts w:asciiTheme="minorHAnsi" w:eastAsiaTheme="minorEastAsia" w:hAnsiTheme="minorHAnsi" w:cstheme="minorBidi"/>
          <w:kern w:val="2"/>
          <w:sz w:val="21"/>
        </w:rPr>
        <w:t>Teaching research</w:t>
      </w:r>
      <w:r w:rsidR="00464B5F">
        <w:rPr>
          <w:rFonts w:asciiTheme="minorHAnsi" w:eastAsiaTheme="minorEastAsia" w:hAnsiTheme="minorHAnsi" w:cstheme="minorBidi" w:hint="eastAsia"/>
          <w:kern w:val="2"/>
          <w:sz w:val="21"/>
        </w:rPr>
        <w:t>.</w:t>
      </w:r>
      <w:r w:rsidR="00464B5F">
        <w:rPr>
          <w:rFonts w:asciiTheme="minorHAnsi" w:eastAsiaTheme="minorEastAsia" w:hAnsiTheme="minorHAnsi" w:cstheme="minorBidi"/>
          <w:kern w:val="2"/>
          <w:sz w:val="21"/>
        </w:rPr>
        <w:t xml:space="preserve"> </w:t>
      </w:r>
      <w:r w:rsidR="00C248EA" w:rsidRPr="00152126">
        <w:rPr>
          <w:rFonts w:asciiTheme="minorHAnsi" w:eastAsiaTheme="minorEastAsia" w:hAnsiTheme="minorHAnsi" w:cstheme="minorBidi" w:hint="eastAsia"/>
          <w:kern w:val="2"/>
          <w:sz w:val="21"/>
        </w:rPr>
        <w:t>2</w:t>
      </w:r>
      <w:r w:rsidR="00C248EA" w:rsidRPr="00152126">
        <w:rPr>
          <w:rFonts w:asciiTheme="minorHAnsi" w:eastAsiaTheme="minorEastAsia" w:hAnsiTheme="minorHAnsi" w:cstheme="minorBidi"/>
          <w:kern w:val="2"/>
          <w:sz w:val="21"/>
        </w:rPr>
        <w:t>019</w:t>
      </w:r>
      <w:r w:rsidR="00C248EA">
        <w:rPr>
          <w:rFonts w:asciiTheme="minorHAnsi" w:eastAsiaTheme="minorEastAsia" w:hAnsiTheme="minorHAnsi" w:cstheme="minorBidi"/>
          <w:kern w:val="2"/>
          <w:sz w:val="21"/>
        </w:rPr>
        <w:t>(</w:t>
      </w:r>
      <w:r w:rsidR="00C248EA" w:rsidRPr="00152126">
        <w:rPr>
          <w:rFonts w:asciiTheme="minorHAnsi" w:eastAsiaTheme="minorEastAsia" w:hAnsiTheme="minorHAnsi" w:cstheme="minorBidi"/>
          <w:kern w:val="2"/>
          <w:sz w:val="21"/>
        </w:rPr>
        <w:t>12</w:t>
      </w:r>
      <w:r w:rsidR="00C248EA">
        <w:rPr>
          <w:rFonts w:asciiTheme="minorHAnsi" w:eastAsiaTheme="minorEastAsia" w:hAnsiTheme="minorHAnsi" w:cstheme="minorBidi"/>
          <w:kern w:val="2"/>
          <w:sz w:val="21"/>
        </w:rPr>
        <w:t>)</w:t>
      </w:r>
      <w:r w:rsidR="00C248EA">
        <w:rPr>
          <w:rFonts w:asciiTheme="minorHAnsi" w:eastAsiaTheme="minorEastAsia" w:hAnsiTheme="minorHAnsi" w:cstheme="minorBidi" w:hint="eastAsia"/>
          <w:kern w:val="2"/>
          <w:sz w:val="21"/>
        </w:rPr>
        <w:t>:</w:t>
      </w:r>
      <w:r w:rsidR="00C248EA" w:rsidRPr="00152126">
        <w:rPr>
          <w:rFonts w:asciiTheme="minorHAnsi" w:eastAsiaTheme="minorEastAsia" w:hAnsiTheme="minorHAnsi" w:cstheme="minorBidi"/>
          <w:kern w:val="2"/>
          <w:sz w:val="21"/>
        </w:rPr>
        <w:t>110-112</w:t>
      </w:r>
      <w:r w:rsidR="00C248EA" w:rsidRPr="00152126">
        <w:rPr>
          <w:rFonts w:asciiTheme="minorHAnsi" w:eastAsiaTheme="minorEastAsia" w:hAnsiTheme="minorHAnsi" w:cstheme="minorBidi" w:hint="eastAsia"/>
          <w:kern w:val="2"/>
          <w:sz w:val="21"/>
        </w:rPr>
        <w:t xml:space="preserve"> </w:t>
      </w:r>
    </w:p>
    <w:p w14:paraId="754E80E0" w14:textId="77777777" w:rsidR="009718A5" w:rsidRDefault="009718A5" w:rsidP="00EF39EA"/>
    <w:sectPr w:rsidR="009718A5" w:rsidSect="003B78A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45F63"/>
    <w:multiLevelType w:val="hybridMultilevel"/>
    <w:tmpl w:val="79DEC0D8"/>
    <w:lvl w:ilvl="0" w:tplc="DB2E016A">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4B151D9"/>
    <w:multiLevelType w:val="hybridMultilevel"/>
    <w:tmpl w:val="21AE895E"/>
    <w:lvl w:ilvl="0" w:tplc="9E161CE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7CFA5C34"/>
    <w:multiLevelType w:val="multilevel"/>
    <w:tmpl w:val="E4508C74"/>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691"/>
    <w:rsid w:val="00003AD2"/>
    <w:rsid w:val="00010A6F"/>
    <w:rsid w:val="0002254A"/>
    <w:rsid w:val="00023F52"/>
    <w:rsid w:val="000332C4"/>
    <w:rsid w:val="00033AC7"/>
    <w:rsid w:val="000353BA"/>
    <w:rsid w:val="00054FCC"/>
    <w:rsid w:val="00056042"/>
    <w:rsid w:val="00060969"/>
    <w:rsid w:val="00073D5A"/>
    <w:rsid w:val="00092D4B"/>
    <w:rsid w:val="000B2838"/>
    <w:rsid w:val="000C1C78"/>
    <w:rsid w:val="000C4245"/>
    <w:rsid w:val="000D4544"/>
    <w:rsid w:val="000D7126"/>
    <w:rsid w:val="000E0174"/>
    <w:rsid w:val="000F4759"/>
    <w:rsid w:val="00106995"/>
    <w:rsid w:val="0012202B"/>
    <w:rsid w:val="00123C8E"/>
    <w:rsid w:val="00130E5E"/>
    <w:rsid w:val="00130FCA"/>
    <w:rsid w:val="00131503"/>
    <w:rsid w:val="00134572"/>
    <w:rsid w:val="00134F57"/>
    <w:rsid w:val="001354FE"/>
    <w:rsid w:val="001479F5"/>
    <w:rsid w:val="00152126"/>
    <w:rsid w:val="001663F4"/>
    <w:rsid w:val="001746A4"/>
    <w:rsid w:val="0017584F"/>
    <w:rsid w:val="001851B6"/>
    <w:rsid w:val="00191108"/>
    <w:rsid w:val="00192B05"/>
    <w:rsid w:val="00192E67"/>
    <w:rsid w:val="00196D42"/>
    <w:rsid w:val="001A5CFC"/>
    <w:rsid w:val="001B25B0"/>
    <w:rsid w:val="001B7908"/>
    <w:rsid w:val="001C17F8"/>
    <w:rsid w:val="001C51A8"/>
    <w:rsid w:val="001C58AD"/>
    <w:rsid w:val="001D14A3"/>
    <w:rsid w:val="001D31C3"/>
    <w:rsid w:val="001D4515"/>
    <w:rsid w:val="001E04D7"/>
    <w:rsid w:val="001E1C4D"/>
    <w:rsid w:val="001F16DF"/>
    <w:rsid w:val="001F3DEF"/>
    <w:rsid w:val="001F4ADC"/>
    <w:rsid w:val="0020038F"/>
    <w:rsid w:val="00211B8F"/>
    <w:rsid w:val="00213F4D"/>
    <w:rsid w:val="00216A2D"/>
    <w:rsid w:val="00217280"/>
    <w:rsid w:val="002501D1"/>
    <w:rsid w:val="002615EA"/>
    <w:rsid w:val="00274267"/>
    <w:rsid w:val="00280D4D"/>
    <w:rsid w:val="0028433A"/>
    <w:rsid w:val="002A2315"/>
    <w:rsid w:val="002A6596"/>
    <w:rsid w:val="002B328D"/>
    <w:rsid w:val="002B516C"/>
    <w:rsid w:val="002F643C"/>
    <w:rsid w:val="002F7060"/>
    <w:rsid w:val="003017AA"/>
    <w:rsid w:val="003033FE"/>
    <w:rsid w:val="00305FCD"/>
    <w:rsid w:val="00307EC9"/>
    <w:rsid w:val="00313E07"/>
    <w:rsid w:val="00322D7F"/>
    <w:rsid w:val="00327E0B"/>
    <w:rsid w:val="00333016"/>
    <w:rsid w:val="0033343F"/>
    <w:rsid w:val="003508A3"/>
    <w:rsid w:val="00351429"/>
    <w:rsid w:val="00353F67"/>
    <w:rsid w:val="003551CA"/>
    <w:rsid w:val="0036467C"/>
    <w:rsid w:val="0036519A"/>
    <w:rsid w:val="00366FCF"/>
    <w:rsid w:val="00371C3E"/>
    <w:rsid w:val="00382F41"/>
    <w:rsid w:val="00397017"/>
    <w:rsid w:val="003A72FE"/>
    <w:rsid w:val="003B00E5"/>
    <w:rsid w:val="003B5A9A"/>
    <w:rsid w:val="003B78AB"/>
    <w:rsid w:val="003C0EC8"/>
    <w:rsid w:val="003C3865"/>
    <w:rsid w:val="003C3E93"/>
    <w:rsid w:val="003D1E03"/>
    <w:rsid w:val="0040675B"/>
    <w:rsid w:val="004179BA"/>
    <w:rsid w:val="004211DB"/>
    <w:rsid w:val="0043638E"/>
    <w:rsid w:val="00442648"/>
    <w:rsid w:val="00452962"/>
    <w:rsid w:val="00453C20"/>
    <w:rsid w:val="00464B5F"/>
    <w:rsid w:val="004711EF"/>
    <w:rsid w:val="00472BA0"/>
    <w:rsid w:val="004735AB"/>
    <w:rsid w:val="00493AC7"/>
    <w:rsid w:val="004A1223"/>
    <w:rsid w:val="004A2772"/>
    <w:rsid w:val="004A5AE7"/>
    <w:rsid w:val="004B02F5"/>
    <w:rsid w:val="004B2B07"/>
    <w:rsid w:val="004D642F"/>
    <w:rsid w:val="004E6711"/>
    <w:rsid w:val="004F0A8B"/>
    <w:rsid w:val="004F3875"/>
    <w:rsid w:val="004F6FDF"/>
    <w:rsid w:val="005048B7"/>
    <w:rsid w:val="00504D7F"/>
    <w:rsid w:val="00515581"/>
    <w:rsid w:val="0051713A"/>
    <w:rsid w:val="00517213"/>
    <w:rsid w:val="00525274"/>
    <w:rsid w:val="005266C1"/>
    <w:rsid w:val="005308B1"/>
    <w:rsid w:val="00545B7D"/>
    <w:rsid w:val="005749E7"/>
    <w:rsid w:val="005820D2"/>
    <w:rsid w:val="00584402"/>
    <w:rsid w:val="0058611A"/>
    <w:rsid w:val="00591A1E"/>
    <w:rsid w:val="00591B40"/>
    <w:rsid w:val="005951F0"/>
    <w:rsid w:val="005A339C"/>
    <w:rsid w:val="005B3178"/>
    <w:rsid w:val="005F5D06"/>
    <w:rsid w:val="00604295"/>
    <w:rsid w:val="00604BBA"/>
    <w:rsid w:val="00613381"/>
    <w:rsid w:val="00613D2E"/>
    <w:rsid w:val="006166A3"/>
    <w:rsid w:val="00622AD7"/>
    <w:rsid w:val="006358CC"/>
    <w:rsid w:val="00641160"/>
    <w:rsid w:val="006600F6"/>
    <w:rsid w:val="006671F0"/>
    <w:rsid w:val="006778EA"/>
    <w:rsid w:val="00683BDA"/>
    <w:rsid w:val="00691756"/>
    <w:rsid w:val="00693387"/>
    <w:rsid w:val="00694187"/>
    <w:rsid w:val="006A64F9"/>
    <w:rsid w:val="006B16BC"/>
    <w:rsid w:val="006B46AD"/>
    <w:rsid w:val="006B7267"/>
    <w:rsid w:val="006D094E"/>
    <w:rsid w:val="006D4635"/>
    <w:rsid w:val="006D7558"/>
    <w:rsid w:val="006D7CB7"/>
    <w:rsid w:val="006E1732"/>
    <w:rsid w:val="006E54C2"/>
    <w:rsid w:val="006E5549"/>
    <w:rsid w:val="006F1E9D"/>
    <w:rsid w:val="007063EE"/>
    <w:rsid w:val="00706723"/>
    <w:rsid w:val="007101A3"/>
    <w:rsid w:val="00724EE5"/>
    <w:rsid w:val="00726337"/>
    <w:rsid w:val="00731FF1"/>
    <w:rsid w:val="00743BED"/>
    <w:rsid w:val="00756567"/>
    <w:rsid w:val="00787CE3"/>
    <w:rsid w:val="0079179B"/>
    <w:rsid w:val="007B0FF1"/>
    <w:rsid w:val="007E040D"/>
    <w:rsid w:val="007E3437"/>
    <w:rsid w:val="007F5B1E"/>
    <w:rsid w:val="007F6A15"/>
    <w:rsid w:val="007F6F64"/>
    <w:rsid w:val="00811E81"/>
    <w:rsid w:val="00811FF8"/>
    <w:rsid w:val="00814890"/>
    <w:rsid w:val="00815D33"/>
    <w:rsid w:val="00834589"/>
    <w:rsid w:val="00835406"/>
    <w:rsid w:val="008425E0"/>
    <w:rsid w:val="00846CB4"/>
    <w:rsid w:val="008549EA"/>
    <w:rsid w:val="00862479"/>
    <w:rsid w:val="0086550A"/>
    <w:rsid w:val="00870789"/>
    <w:rsid w:val="008734B7"/>
    <w:rsid w:val="00876DEB"/>
    <w:rsid w:val="0088070C"/>
    <w:rsid w:val="00880BCB"/>
    <w:rsid w:val="008831E2"/>
    <w:rsid w:val="0088735E"/>
    <w:rsid w:val="008A2499"/>
    <w:rsid w:val="008B71BD"/>
    <w:rsid w:val="008C3FC2"/>
    <w:rsid w:val="008D1ABE"/>
    <w:rsid w:val="008D1EB6"/>
    <w:rsid w:val="008D20E3"/>
    <w:rsid w:val="008D6B31"/>
    <w:rsid w:val="008D7CF0"/>
    <w:rsid w:val="008E026C"/>
    <w:rsid w:val="008F299E"/>
    <w:rsid w:val="00905C95"/>
    <w:rsid w:val="00906BC6"/>
    <w:rsid w:val="00915E4C"/>
    <w:rsid w:val="009171AC"/>
    <w:rsid w:val="009206AD"/>
    <w:rsid w:val="00920762"/>
    <w:rsid w:val="00921511"/>
    <w:rsid w:val="009277D2"/>
    <w:rsid w:val="00934EBF"/>
    <w:rsid w:val="00935827"/>
    <w:rsid w:val="009404B6"/>
    <w:rsid w:val="009411DD"/>
    <w:rsid w:val="00942158"/>
    <w:rsid w:val="00950360"/>
    <w:rsid w:val="00951B3B"/>
    <w:rsid w:val="009545C0"/>
    <w:rsid w:val="00963ACB"/>
    <w:rsid w:val="0096763B"/>
    <w:rsid w:val="009711E9"/>
    <w:rsid w:val="009718A5"/>
    <w:rsid w:val="0097537C"/>
    <w:rsid w:val="00976985"/>
    <w:rsid w:val="009849BB"/>
    <w:rsid w:val="0099149B"/>
    <w:rsid w:val="00991632"/>
    <w:rsid w:val="009A00C7"/>
    <w:rsid w:val="009A2672"/>
    <w:rsid w:val="009A2956"/>
    <w:rsid w:val="009A3592"/>
    <w:rsid w:val="009A6AC3"/>
    <w:rsid w:val="009B2A9F"/>
    <w:rsid w:val="009C46DB"/>
    <w:rsid w:val="009C4A8A"/>
    <w:rsid w:val="009D5986"/>
    <w:rsid w:val="009E0B64"/>
    <w:rsid w:val="00A03759"/>
    <w:rsid w:val="00A0665F"/>
    <w:rsid w:val="00A13E33"/>
    <w:rsid w:val="00A20048"/>
    <w:rsid w:val="00A2291D"/>
    <w:rsid w:val="00A23652"/>
    <w:rsid w:val="00A313AC"/>
    <w:rsid w:val="00A3590D"/>
    <w:rsid w:val="00A431F2"/>
    <w:rsid w:val="00A45FF1"/>
    <w:rsid w:val="00A67060"/>
    <w:rsid w:val="00A72F68"/>
    <w:rsid w:val="00A74E97"/>
    <w:rsid w:val="00A82B61"/>
    <w:rsid w:val="00A8305E"/>
    <w:rsid w:val="00A931B1"/>
    <w:rsid w:val="00AA2A77"/>
    <w:rsid w:val="00AD121D"/>
    <w:rsid w:val="00AE0C4F"/>
    <w:rsid w:val="00AE6FC8"/>
    <w:rsid w:val="00AF03A9"/>
    <w:rsid w:val="00AF6971"/>
    <w:rsid w:val="00B009A4"/>
    <w:rsid w:val="00B13F0D"/>
    <w:rsid w:val="00B17D19"/>
    <w:rsid w:val="00B234F0"/>
    <w:rsid w:val="00B37969"/>
    <w:rsid w:val="00B50408"/>
    <w:rsid w:val="00B50BE2"/>
    <w:rsid w:val="00B562E8"/>
    <w:rsid w:val="00B700D9"/>
    <w:rsid w:val="00B75434"/>
    <w:rsid w:val="00B763D2"/>
    <w:rsid w:val="00B766CF"/>
    <w:rsid w:val="00B8374D"/>
    <w:rsid w:val="00B83C4A"/>
    <w:rsid w:val="00B931E5"/>
    <w:rsid w:val="00B978B3"/>
    <w:rsid w:val="00B97F5A"/>
    <w:rsid w:val="00BA0934"/>
    <w:rsid w:val="00BA0C41"/>
    <w:rsid w:val="00BC1802"/>
    <w:rsid w:val="00BC2722"/>
    <w:rsid w:val="00BC2AAF"/>
    <w:rsid w:val="00BD3B72"/>
    <w:rsid w:val="00BD5275"/>
    <w:rsid w:val="00BF3E03"/>
    <w:rsid w:val="00C10691"/>
    <w:rsid w:val="00C23917"/>
    <w:rsid w:val="00C248EA"/>
    <w:rsid w:val="00C44684"/>
    <w:rsid w:val="00C55751"/>
    <w:rsid w:val="00C619A6"/>
    <w:rsid w:val="00C7014C"/>
    <w:rsid w:val="00C72FB0"/>
    <w:rsid w:val="00C833FB"/>
    <w:rsid w:val="00C841FA"/>
    <w:rsid w:val="00C842C4"/>
    <w:rsid w:val="00C90CA8"/>
    <w:rsid w:val="00CB03C2"/>
    <w:rsid w:val="00CB201D"/>
    <w:rsid w:val="00CC36E8"/>
    <w:rsid w:val="00CC4DD6"/>
    <w:rsid w:val="00CF39A5"/>
    <w:rsid w:val="00CF6DAA"/>
    <w:rsid w:val="00D07342"/>
    <w:rsid w:val="00D1799A"/>
    <w:rsid w:val="00D277C9"/>
    <w:rsid w:val="00D361F5"/>
    <w:rsid w:val="00D571F2"/>
    <w:rsid w:val="00D61850"/>
    <w:rsid w:val="00D70D2E"/>
    <w:rsid w:val="00D74EAA"/>
    <w:rsid w:val="00D90FC1"/>
    <w:rsid w:val="00D924B1"/>
    <w:rsid w:val="00D94986"/>
    <w:rsid w:val="00D9704E"/>
    <w:rsid w:val="00DB05F7"/>
    <w:rsid w:val="00DD2B7A"/>
    <w:rsid w:val="00DD4707"/>
    <w:rsid w:val="00DD7B95"/>
    <w:rsid w:val="00DE04EA"/>
    <w:rsid w:val="00DE1FFE"/>
    <w:rsid w:val="00DE24A7"/>
    <w:rsid w:val="00DE41EB"/>
    <w:rsid w:val="00E02470"/>
    <w:rsid w:val="00E03F91"/>
    <w:rsid w:val="00E06B60"/>
    <w:rsid w:val="00E06F4A"/>
    <w:rsid w:val="00E103AE"/>
    <w:rsid w:val="00E1342E"/>
    <w:rsid w:val="00E14917"/>
    <w:rsid w:val="00E14C00"/>
    <w:rsid w:val="00E20767"/>
    <w:rsid w:val="00E246F5"/>
    <w:rsid w:val="00E26C11"/>
    <w:rsid w:val="00E31914"/>
    <w:rsid w:val="00E363E9"/>
    <w:rsid w:val="00E40BCB"/>
    <w:rsid w:val="00E4201C"/>
    <w:rsid w:val="00E42C17"/>
    <w:rsid w:val="00E436BF"/>
    <w:rsid w:val="00E45DB8"/>
    <w:rsid w:val="00E478C8"/>
    <w:rsid w:val="00E5288C"/>
    <w:rsid w:val="00E53FF2"/>
    <w:rsid w:val="00E62FCD"/>
    <w:rsid w:val="00E7327D"/>
    <w:rsid w:val="00E83D26"/>
    <w:rsid w:val="00E9252E"/>
    <w:rsid w:val="00E93DB4"/>
    <w:rsid w:val="00EA0446"/>
    <w:rsid w:val="00EA1067"/>
    <w:rsid w:val="00EA20A8"/>
    <w:rsid w:val="00EA2BEE"/>
    <w:rsid w:val="00EB3EC8"/>
    <w:rsid w:val="00EB73B6"/>
    <w:rsid w:val="00EC5844"/>
    <w:rsid w:val="00ED1584"/>
    <w:rsid w:val="00ED1F05"/>
    <w:rsid w:val="00ED49DD"/>
    <w:rsid w:val="00ED5713"/>
    <w:rsid w:val="00EE15EC"/>
    <w:rsid w:val="00EF0554"/>
    <w:rsid w:val="00EF30FD"/>
    <w:rsid w:val="00EF39EA"/>
    <w:rsid w:val="00F00B4C"/>
    <w:rsid w:val="00F11A4C"/>
    <w:rsid w:val="00F25520"/>
    <w:rsid w:val="00F37840"/>
    <w:rsid w:val="00F40986"/>
    <w:rsid w:val="00F46C39"/>
    <w:rsid w:val="00F505E4"/>
    <w:rsid w:val="00F513A0"/>
    <w:rsid w:val="00F63546"/>
    <w:rsid w:val="00F63A0C"/>
    <w:rsid w:val="00F64932"/>
    <w:rsid w:val="00F64E19"/>
    <w:rsid w:val="00F87CDE"/>
    <w:rsid w:val="00F93736"/>
    <w:rsid w:val="00F9791C"/>
    <w:rsid w:val="00FA01F4"/>
    <w:rsid w:val="00FA3889"/>
    <w:rsid w:val="00FA5F29"/>
    <w:rsid w:val="00FB0547"/>
    <w:rsid w:val="00FD5847"/>
    <w:rsid w:val="00FE5BEC"/>
    <w:rsid w:val="00FF7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F421"/>
  <w15:chartTrackingRefBased/>
  <w15:docId w15:val="{9BA87283-C6ED-EC48-A298-014C4248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0691"/>
    <w:pPr>
      <w:ind w:firstLineChars="200" w:firstLine="420"/>
    </w:pPr>
  </w:style>
  <w:style w:type="paragraph" w:styleId="a4">
    <w:name w:val="Normal (Web)"/>
    <w:basedOn w:val="a"/>
    <w:uiPriority w:val="99"/>
    <w:unhideWhenUsed/>
    <w:rsid w:val="002F7060"/>
    <w:pPr>
      <w:widowControl/>
      <w:spacing w:before="100" w:beforeAutospacing="1" w:after="100" w:afterAutospacing="1"/>
      <w:jc w:val="left"/>
    </w:pPr>
    <w:rPr>
      <w:rFonts w:ascii="宋体" w:eastAsia="宋体" w:hAnsi="宋体" w:cs="宋体"/>
      <w:kern w:val="0"/>
      <w:sz w:val="24"/>
    </w:rPr>
  </w:style>
  <w:style w:type="character" w:customStyle="1" w:styleId="apple-converted-space">
    <w:name w:val="apple-converted-space"/>
    <w:basedOn w:val="a0"/>
    <w:rsid w:val="00371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6319">
      <w:bodyDiv w:val="1"/>
      <w:marLeft w:val="0"/>
      <w:marRight w:val="0"/>
      <w:marTop w:val="0"/>
      <w:marBottom w:val="0"/>
      <w:divBdr>
        <w:top w:val="none" w:sz="0" w:space="0" w:color="auto"/>
        <w:left w:val="none" w:sz="0" w:space="0" w:color="auto"/>
        <w:bottom w:val="none" w:sz="0" w:space="0" w:color="auto"/>
        <w:right w:val="none" w:sz="0" w:space="0" w:color="auto"/>
      </w:divBdr>
      <w:divsChild>
        <w:div w:id="856310612">
          <w:marLeft w:val="0"/>
          <w:marRight w:val="0"/>
          <w:marTop w:val="0"/>
          <w:marBottom w:val="0"/>
          <w:divBdr>
            <w:top w:val="none" w:sz="0" w:space="0" w:color="auto"/>
            <w:left w:val="none" w:sz="0" w:space="0" w:color="auto"/>
            <w:bottom w:val="none" w:sz="0" w:space="0" w:color="auto"/>
            <w:right w:val="none" w:sz="0" w:space="0" w:color="auto"/>
          </w:divBdr>
          <w:divsChild>
            <w:div w:id="946042583">
              <w:marLeft w:val="0"/>
              <w:marRight w:val="0"/>
              <w:marTop w:val="0"/>
              <w:marBottom w:val="0"/>
              <w:divBdr>
                <w:top w:val="none" w:sz="0" w:space="0" w:color="auto"/>
                <w:left w:val="none" w:sz="0" w:space="0" w:color="auto"/>
                <w:bottom w:val="none" w:sz="0" w:space="0" w:color="auto"/>
                <w:right w:val="none" w:sz="0" w:space="0" w:color="auto"/>
              </w:divBdr>
              <w:divsChild>
                <w:div w:id="775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456726">
      <w:bodyDiv w:val="1"/>
      <w:marLeft w:val="0"/>
      <w:marRight w:val="0"/>
      <w:marTop w:val="0"/>
      <w:marBottom w:val="0"/>
      <w:divBdr>
        <w:top w:val="none" w:sz="0" w:space="0" w:color="auto"/>
        <w:left w:val="none" w:sz="0" w:space="0" w:color="auto"/>
        <w:bottom w:val="none" w:sz="0" w:space="0" w:color="auto"/>
        <w:right w:val="none" w:sz="0" w:space="0" w:color="auto"/>
      </w:divBdr>
      <w:divsChild>
        <w:div w:id="1614171899">
          <w:marLeft w:val="0"/>
          <w:marRight w:val="0"/>
          <w:marTop w:val="0"/>
          <w:marBottom w:val="0"/>
          <w:divBdr>
            <w:top w:val="none" w:sz="0" w:space="0" w:color="auto"/>
            <w:left w:val="none" w:sz="0" w:space="0" w:color="auto"/>
            <w:bottom w:val="none" w:sz="0" w:space="0" w:color="auto"/>
            <w:right w:val="none" w:sz="0" w:space="0" w:color="auto"/>
          </w:divBdr>
          <w:divsChild>
            <w:div w:id="324212913">
              <w:marLeft w:val="0"/>
              <w:marRight w:val="0"/>
              <w:marTop w:val="0"/>
              <w:marBottom w:val="0"/>
              <w:divBdr>
                <w:top w:val="none" w:sz="0" w:space="0" w:color="auto"/>
                <w:left w:val="none" w:sz="0" w:space="0" w:color="auto"/>
                <w:bottom w:val="none" w:sz="0" w:space="0" w:color="auto"/>
                <w:right w:val="none" w:sz="0" w:space="0" w:color="auto"/>
              </w:divBdr>
              <w:divsChild>
                <w:div w:id="2209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70647">
      <w:bodyDiv w:val="1"/>
      <w:marLeft w:val="0"/>
      <w:marRight w:val="0"/>
      <w:marTop w:val="0"/>
      <w:marBottom w:val="0"/>
      <w:divBdr>
        <w:top w:val="none" w:sz="0" w:space="0" w:color="auto"/>
        <w:left w:val="none" w:sz="0" w:space="0" w:color="auto"/>
        <w:bottom w:val="none" w:sz="0" w:space="0" w:color="auto"/>
        <w:right w:val="none" w:sz="0" w:space="0" w:color="auto"/>
      </w:divBdr>
      <w:divsChild>
        <w:div w:id="791872980">
          <w:marLeft w:val="0"/>
          <w:marRight w:val="0"/>
          <w:marTop w:val="0"/>
          <w:marBottom w:val="0"/>
          <w:divBdr>
            <w:top w:val="none" w:sz="0" w:space="0" w:color="auto"/>
            <w:left w:val="none" w:sz="0" w:space="0" w:color="auto"/>
            <w:bottom w:val="none" w:sz="0" w:space="0" w:color="auto"/>
            <w:right w:val="none" w:sz="0" w:space="0" w:color="auto"/>
          </w:divBdr>
          <w:divsChild>
            <w:div w:id="1399281444">
              <w:marLeft w:val="0"/>
              <w:marRight w:val="0"/>
              <w:marTop w:val="0"/>
              <w:marBottom w:val="0"/>
              <w:divBdr>
                <w:top w:val="none" w:sz="0" w:space="0" w:color="auto"/>
                <w:left w:val="none" w:sz="0" w:space="0" w:color="auto"/>
                <w:bottom w:val="none" w:sz="0" w:space="0" w:color="auto"/>
                <w:right w:val="none" w:sz="0" w:space="0" w:color="auto"/>
              </w:divBdr>
              <w:divsChild>
                <w:div w:id="58264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300674">
      <w:bodyDiv w:val="1"/>
      <w:marLeft w:val="0"/>
      <w:marRight w:val="0"/>
      <w:marTop w:val="0"/>
      <w:marBottom w:val="0"/>
      <w:divBdr>
        <w:top w:val="none" w:sz="0" w:space="0" w:color="auto"/>
        <w:left w:val="none" w:sz="0" w:space="0" w:color="auto"/>
        <w:bottom w:val="none" w:sz="0" w:space="0" w:color="auto"/>
        <w:right w:val="none" w:sz="0" w:space="0" w:color="auto"/>
      </w:divBdr>
      <w:divsChild>
        <w:div w:id="753547325">
          <w:marLeft w:val="0"/>
          <w:marRight w:val="0"/>
          <w:marTop w:val="0"/>
          <w:marBottom w:val="0"/>
          <w:divBdr>
            <w:top w:val="none" w:sz="0" w:space="0" w:color="auto"/>
            <w:left w:val="none" w:sz="0" w:space="0" w:color="auto"/>
            <w:bottom w:val="none" w:sz="0" w:space="0" w:color="auto"/>
            <w:right w:val="none" w:sz="0" w:space="0" w:color="auto"/>
          </w:divBdr>
          <w:divsChild>
            <w:div w:id="920599657">
              <w:marLeft w:val="0"/>
              <w:marRight w:val="0"/>
              <w:marTop w:val="0"/>
              <w:marBottom w:val="0"/>
              <w:divBdr>
                <w:top w:val="none" w:sz="0" w:space="0" w:color="auto"/>
                <w:left w:val="none" w:sz="0" w:space="0" w:color="auto"/>
                <w:bottom w:val="none" w:sz="0" w:space="0" w:color="auto"/>
                <w:right w:val="none" w:sz="0" w:space="0" w:color="auto"/>
              </w:divBdr>
              <w:divsChild>
                <w:div w:id="51453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9153">
      <w:bodyDiv w:val="1"/>
      <w:marLeft w:val="0"/>
      <w:marRight w:val="0"/>
      <w:marTop w:val="0"/>
      <w:marBottom w:val="0"/>
      <w:divBdr>
        <w:top w:val="none" w:sz="0" w:space="0" w:color="auto"/>
        <w:left w:val="none" w:sz="0" w:space="0" w:color="auto"/>
        <w:bottom w:val="none" w:sz="0" w:space="0" w:color="auto"/>
        <w:right w:val="none" w:sz="0" w:space="0" w:color="auto"/>
      </w:divBdr>
      <w:divsChild>
        <w:div w:id="296112278">
          <w:marLeft w:val="0"/>
          <w:marRight w:val="0"/>
          <w:marTop w:val="0"/>
          <w:marBottom w:val="0"/>
          <w:divBdr>
            <w:top w:val="none" w:sz="0" w:space="0" w:color="auto"/>
            <w:left w:val="none" w:sz="0" w:space="0" w:color="auto"/>
            <w:bottom w:val="none" w:sz="0" w:space="0" w:color="auto"/>
            <w:right w:val="none" w:sz="0" w:space="0" w:color="auto"/>
          </w:divBdr>
          <w:divsChild>
            <w:div w:id="919218046">
              <w:marLeft w:val="0"/>
              <w:marRight w:val="0"/>
              <w:marTop w:val="0"/>
              <w:marBottom w:val="0"/>
              <w:divBdr>
                <w:top w:val="none" w:sz="0" w:space="0" w:color="auto"/>
                <w:left w:val="none" w:sz="0" w:space="0" w:color="auto"/>
                <w:bottom w:val="none" w:sz="0" w:space="0" w:color="auto"/>
                <w:right w:val="none" w:sz="0" w:space="0" w:color="auto"/>
              </w:divBdr>
              <w:divsChild>
                <w:div w:id="8514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79252">
      <w:bodyDiv w:val="1"/>
      <w:marLeft w:val="0"/>
      <w:marRight w:val="0"/>
      <w:marTop w:val="0"/>
      <w:marBottom w:val="0"/>
      <w:divBdr>
        <w:top w:val="none" w:sz="0" w:space="0" w:color="auto"/>
        <w:left w:val="none" w:sz="0" w:space="0" w:color="auto"/>
        <w:bottom w:val="none" w:sz="0" w:space="0" w:color="auto"/>
        <w:right w:val="none" w:sz="0" w:space="0" w:color="auto"/>
      </w:divBdr>
      <w:divsChild>
        <w:div w:id="1906068293">
          <w:marLeft w:val="0"/>
          <w:marRight w:val="0"/>
          <w:marTop w:val="0"/>
          <w:marBottom w:val="0"/>
          <w:divBdr>
            <w:top w:val="none" w:sz="0" w:space="0" w:color="auto"/>
            <w:left w:val="none" w:sz="0" w:space="0" w:color="auto"/>
            <w:bottom w:val="none" w:sz="0" w:space="0" w:color="auto"/>
            <w:right w:val="none" w:sz="0" w:space="0" w:color="auto"/>
          </w:divBdr>
          <w:divsChild>
            <w:div w:id="1618246364">
              <w:marLeft w:val="0"/>
              <w:marRight w:val="0"/>
              <w:marTop w:val="0"/>
              <w:marBottom w:val="0"/>
              <w:divBdr>
                <w:top w:val="none" w:sz="0" w:space="0" w:color="auto"/>
                <w:left w:val="none" w:sz="0" w:space="0" w:color="auto"/>
                <w:bottom w:val="none" w:sz="0" w:space="0" w:color="auto"/>
                <w:right w:val="none" w:sz="0" w:space="0" w:color="auto"/>
              </w:divBdr>
              <w:divsChild>
                <w:div w:id="15544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23720">
      <w:bodyDiv w:val="1"/>
      <w:marLeft w:val="0"/>
      <w:marRight w:val="0"/>
      <w:marTop w:val="0"/>
      <w:marBottom w:val="0"/>
      <w:divBdr>
        <w:top w:val="none" w:sz="0" w:space="0" w:color="auto"/>
        <w:left w:val="none" w:sz="0" w:space="0" w:color="auto"/>
        <w:bottom w:val="none" w:sz="0" w:space="0" w:color="auto"/>
        <w:right w:val="none" w:sz="0" w:space="0" w:color="auto"/>
      </w:divBdr>
      <w:divsChild>
        <w:div w:id="131800968">
          <w:marLeft w:val="0"/>
          <w:marRight w:val="0"/>
          <w:marTop w:val="0"/>
          <w:marBottom w:val="0"/>
          <w:divBdr>
            <w:top w:val="none" w:sz="0" w:space="0" w:color="auto"/>
            <w:left w:val="none" w:sz="0" w:space="0" w:color="auto"/>
            <w:bottom w:val="none" w:sz="0" w:space="0" w:color="auto"/>
            <w:right w:val="none" w:sz="0" w:space="0" w:color="auto"/>
          </w:divBdr>
          <w:divsChild>
            <w:div w:id="1107771170">
              <w:marLeft w:val="0"/>
              <w:marRight w:val="0"/>
              <w:marTop w:val="0"/>
              <w:marBottom w:val="0"/>
              <w:divBdr>
                <w:top w:val="none" w:sz="0" w:space="0" w:color="auto"/>
                <w:left w:val="none" w:sz="0" w:space="0" w:color="auto"/>
                <w:bottom w:val="none" w:sz="0" w:space="0" w:color="auto"/>
                <w:right w:val="none" w:sz="0" w:space="0" w:color="auto"/>
              </w:divBdr>
              <w:divsChild>
                <w:div w:id="154582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24935">
      <w:bodyDiv w:val="1"/>
      <w:marLeft w:val="0"/>
      <w:marRight w:val="0"/>
      <w:marTop w:val="0"/>
      <w:marBottom w:val="0"/>
      <w:divBdr>
        <w:top w:val="none" w:sz="0" w:space="0" w:color="auto"/>
        <w:left w:val="none" w:sz="0" w:space="0" w:color="auto"/>
        <w:bottom w:val="none" w:sz="0" w:space="0" w:color="auto"/>
        <w:right w:val="none" w:sz="0" w:space="0" w:color="auto"/>
      </w:divBdr>
      <w:divsChild>
        <w:div w:id="791093959">
          <w:marLeft w:val="0"/>
          <w:marRight w:val="0"/>
          <w:marTop w:val="0"/>
          <w:marBottom w:val="0"/>
          <w:divBdr>
            <w:top w:val="none" w:sz="0" w:space="0" w:color="auto"/>
            <w:left w:val="none" w:sz="0" w:space="0" w:color="auto"/>
            <w:bottom w:val="none" w:sz="0" w:space="0" w:color="auto"/>
            <w:right w:val="none" w:sz="0" w:space="0" w:color="auto"/>
          </w:divBdr>
          <w:divsChild>
            <w:div w:id="429281323">
              <w:marLeft w:val="0"/>
              <w:marRight w:val="0"/>
              <w:marTop w:val="0"/>
              <w:marBottom w:val="0"/>
              <w:divBdr>
                <w:top w:val="none" w:sz="0" w:space="0" w:color="auto"/>
                <w:left w:val="none" w:sz="0" w:space="0" w:color="auto"/>
                <w:bottom w:val="none" w:sz="0" w:space="0" w:color="auto"/>
                <w:right w:val="none" w:sz="0" w:space="0" w:color="auto"/>
              </w:divBdr>
              <w:divsChild>
                <w:div w:id="188890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937391">
      <w:bodyDiv w:val="1"/>
      <w:marLeft w:val="0"/>
      <w:marRight w:val="0"/>
      <w:marTop w:val="0"/>
      <w:marBottom w:val="0"/>
      <w:divBdr>
        <w:top w:val="none" w:sz="0" w:space="0" w:color="auto"/>
        <w:left w:val="none" w:sz="0" w:space="0" w:color="auto"/>
        <w:bottom w:val="none" w:sz="0" w:space="0" w:color="auto"/>
        <w:right w:val="none" w:sz="0" w:space="0" w:color="auto"/>
      </w:divBdr>
      <w:divsChild>
        <w:div w:id="1135214944">
          <w:marLeft w:val="0"/>
          <w:marRight w:val="0"/>
          <w:marTop w:val="0"/>
          <w:marBottom w:val="0"/>
          <w:divBdr>
            <w:top w:val="none" w:sz="0" w:space="0" w:color="auto"/>
            <w:left w:val="none" w:sz="0" w:space="0" w:color="auto"/>
            <w:bottom w:val="none" w:sz="0" w:space="0" w:color="auto"/>
            <w:right w:val="none" w:sz="0" w:space="0" w:color="auto"/>
          </w:divBdr>
          <w:divsChild>
            <w:div w:id="465590754">
              <w:marLeft w:val="0"/>
              <w:marRight w:val="0"/>
              <w:marTop w:val="0"/>
              <w:marBottom w:val="0"/>
              <w:divBdr>
                <w:top w:val="none" w:sz="0" w:space="0" w:color="auto"/>
                <w:left w:val="none" w:sz="0" w:space="0" w:color="auto"/>
                <w:bottom w:val="none" w:sz="0" w:space="0" w:color="auto"/>
                <w:right w:val="none" w:sz="0" w:space="0" w:color="auto"/>
              </w:divBdr>
              <w:divsChild>
                <w:div w:id="159312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12144">
      <w:bodyDiv w:val="1"/>
      <w:marLeft w:val="0"/>
      <w:marRight w:val="0"/>
      <w:marTop w:val="0"/>
      <w:marBottom w:val="0"/>
      <w:divBdr>
        <w:top w:val="none" w:sz="0" w:space="0" w:color="auto"/>
        <w:left w:val="none" w:sz="0" w:space="0" w:color="auto"/>
        <w:bottom w:val="none" w:sz="0" w:space="0" w:color="auto"/>
        <w:right w:val="none" w:sz="0" w:space="0" w:color="auto"/>
      </w:divBdr>
    </w:div>
    <w:div w:id="1603877414">
      <w:bodyDiv w:val="1"/>
      <w:marLeft w:val="0"/>
      <w:marRight w:val="0"/>
      <w:marTop w:val="0"/>
      <w:marBottom w:val="0"/>
      <w:divBdr>
        <w:top w:val="none" w:sz="0" w:space="0" w:color="auto"/>
        <w:left w:val="none" w:sz="0" w:space="0" w:color="auto"/>
        <w:bottom w:val="none" w:sz="0" w:space="0" w:color="auto"/>
        <w:right w:val="none" w:sz="0" w:space="0" w:color="auto"/>
      </w:divBdr>
    </w:div>
    <w:div w:id="1651594178">
      <w:bodyDiv w:val="1"/>
      <w:marLeft w:val="0"/>
      <w:marRight w:val="0"/>
      <w:marTop w:val="0"/>
      <w:marBottom w:val="0"/>
      <w:divBdr>
        <w:top w:val="none" w:sz="0" w:space="0" w:color="auto"/>
        <w:left w:val="none" w:sz="0" w:space="0" w:color="auto"/>
        <w:bottom w:val="none" w:sz="0" w:space="0" w:color="auto"/>
        <w:right w:val="none" w:sz="0" w:space="0" w:color="auto"/>
      </w:divBdr>
      <w:divsChild>
        <w:div w:id="1806000000">
          <w:marLeft w:val="0"/>
          <w:marRight w:val="0"/>
          <w:marTop w:val="0"/>
          <w:marBottom w:val="0"/>
          <w:divBdr>
            <w:top w:val="none" w:sz="0" w:space="0" w:color="auto"/>
            <w:left w:val="none" w:sz="0" w:space="0" w:color="auto"/>
            <w:bottom w:val="none" w:sz="0" w:space="0" w:color="auto"/>
            <w:right w:val="none" w:sz="0" w:space="0" w:color="auto"/>
          </w:divBdr>
          <w:divsChild>
            <w:div w:id="547643078">
              <w:marLeft w:val="0"/>
              <w:marRight w:val="0"/>
              <w:marTop w:val="0"/>
              <w:marBottom w:val="0"/>
              <w:divBdr>
                <w:top w:val="none" w:sz="0" w:space="0" w:color="auto"/>
                <w:left w:val="none" w:sz="0" w:space="0" w:color="auto"/>
                <w:bottom w:val="none" w:sz="0" w:space="0" w:color="auto"/>
                <w:right w:val="none" w:sz="0" w:space="0" w:color="auto"/>
              </w:divBdr>
              <w:divsChild>
                <w:div w:id="116844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23599">
      <w:bodyDiv w:val="1"/>
      <w:marLeft w:val="0"/>
      <w:marRight w:val="0"/>
      <w:marTop w:val="0"/>
      <w:marBottom w:val="0"/>
      <w:divBdr>
        <w:top w:val="none" w:sz="0" w:space="0" w:color="auto"/>
        <w:left w:val="none" w:sz="0" w:space="0" w:color="auto"/>
        <w:bottom w:val="none" w:sz="0" w:space="0" w:color="auto"/>
        <w:right w:val="none" w:sz="0" w:space="0" w:color="auto"/>
      </w:divBdr>
      <w:divsChild>
        <w:div w:id="1978878577">
          <w:marLeft w:val="0"/>
          <w:marRight w:val="0"/>
          <w:marTop w:val="0"/>
          <w:marBottom w:val="0"/>
          <w:divBdr>
            <w:top w:val="none" w:sz="0" w:space="0" w:color="auto"/>
            <w:left w:val="none" w:sz="0" w:space="0" w:color="auto"/>
            <w:bottom w:val="none" w:sz="0" w:space="0" w:color="auto"/>
            <w:right w:val="none" w:sz="0" w:space="0" w:color="auto"/>
          </w:divBdr>
          <w:divsChild>
            <w:div w:id="849102826">
              <w:marLeft w:val="0"/>
              <w:marRight w:val="0"/>
              <w:marTop w:val="0"/>
              <w:marBottom w:val="0"/>
              <w:divBdr>
                <w:top w:val="none" w:sz="0" w:space="0" w:color="auto"/>
                <w:left w:val="none" w:sz="0" w:space="0" w:color="auto"/>
                <w:bottom w:val="none" w:sz="0" w:space="0" w:color="auto"/>
                <w:right w:val="none" w:sz="0" w:space="0" w:color="auto"/>
              </w:divBdr>
              <w:divsChild>
                <w:div w:id="54722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08258">
      <w:bodyDiv w:val="1"/>
      <w:marLeft w:val="0"/>
      <w:marRight w:val="0"/>
      <w:marTop w:val="0"/>
      <w:marBottom w:val="0"/>
      <w:divBdr>
        <w:top w:val="none" w:sz="0" w:space="0" w:color="auto"/>
        <w:left w:val="none" w:sz="0" w:space="0" w:color="auto"/>
        <w:bottom w:val="none" w:sz="0" w:space="0" w:color="auto"/>
        <w:right w:val="none" w:sz="0" w:space="0" w:color="auto"/>
      </w:divBdr>
      <w:divsChild>
        <w:div w:id="786847803">
          <w:marLeft w:val="0"/>
          <w:marRight w:val="0"/>
          <w:marTop w:val="0"/>
          <w:marBottom w:val="0"/>
          <w:divBdr>
            <w:top w:val="none" w:sz="0" w:space="0" w:color="auto"/>
            <w:left w:val="none" w:sz="0" w:space="0" w:color="auto"/>
            <w:bottom w:val="none" w:sz="0" w:space="0" w:color="auto"/>
            <w:right w:val="none" w:sz="0" w:space="0" w:color="auto"/>
          </w:divBdr>
          <w:divsChild>
            <w:div w:id="279457159">
              <w:marLeft w:val="0"/>
              <w:marRight w:val="0"/>
              <w:marTop w:val="0"/>
              <w:marBottom w:val="0"/>
              <w:divBdr>
                <w:top w:val="none" w:sz="0" w:space="0" w:color="auto"/>
                <w:left w:val="none" w:sz="0" w:space="0" w:color="auto"/>
                <w:bottom w:val="none" w:sz="0" w:space="0" w:color="auto"/>
                <w:right w:val="none" w:sz="0" w:space="0" w:color="auto"/>
              </w:divBdr>
              <w:divsChild>
                <w:div w:id="175639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57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962</TotalTime>
  <Pages>10</Pages>
  <Words>4696</Words>
  <Characters>26771</Characters>
  <Application>Microsoft Office Word</Application>
  <DocSecurity>0</DocSecurity>
  <Lines>223</Lines>
  <Paragraphs>62</Paragraphs>
  <ScaleCrop>false</ScaleCrop>
  <Company/>
  <LinksUpToDate>false</LinksUpToDate>
  <CharactersWithSpaces>31405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 SINDY</dc:creator>
  <cp:keywords/>
  <dc:description/>
  <cp:lastModifiedBy>SHU SINDY</cp:lastModifiedBy>
  <cp:revision>365</cp:revision>
  <dcterms:created xsi:type="dcterms:W3CDTF">2020-04-25T12:20:00Z</dcterms:created>
  <dcterms:modified xsi:type="dcterms:W3CDTF">2020-04-29T18:48:00Z</dcterms:modified>
</cp:coreProperties>
</file>