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1E5B9" w14:textId="6E7F88C0" w:rsidR="00532976" w:rsidRDefault="00532976"/>
    <w:p w14:paraId="47AFFD06" w14:textId="77777777" w:rsidR="004647D1" w:rsidRDefault="004647D1"/>
    <w:p w14:paraId="745D6CA8" w14:textId="77777777" w:rsidR="004647D1" w:rsidRDefault="004647D1"/>
    <w:p w14:paraId="0BB54030" w14:textId="77777777" w:rsidR="004647D1" w:rsidRDefault="004647D1"/>
    <w:p w14:paraId="25E2616A" w14:textId="77777777" w:rsidR="004647D1" w:rsidRDefault="004647D1"/>
    <w:p w14:paraId="7740C356" w14:textId="77777777" w:rsidR="004647D1" w:rsidRDefault="004647D1"/>
    <w:p w14:paraId="3B7D2859" w14:textId="77777777" w:rsidR="004647D1" w:rsidRDefault="004647D1"/>
    <w:p w14:paraId="4BB11414" w14:textId="77777777" w:rsidR="004647D1" w:rsidRDefault="004647D1"/>
    <w:p w14:paraId="5E2919C0" w14:textId="77777777" w:rsidR="004647D1" w:rsidRDefault="004647D1"/>
    <w:p w14:paraId="138D36EB" w14:textId="77777777" w:rsidR="004647D1" w:rsidRDefault="004647D1"/>
    <w:p w14:paraId="7ED7C9F0" w14:textId="77777777" w:rsidR="004647D1" w:rsidRDefault="004647D1"/>
    <w:p w14:paraId="1DDA4015" w14:textId="77777777" w:rsidR="004647D1" w:rsidRDefault="004647D1"/>
    <w:p w14:paraId="1528672A" w14:textId="4FC4C8C4" w:rsidR="004647D1" w:rsidRDefault="004647D1">
      <w:r>
        <w:rPr>
          <w:noProof/>
        </w:rPr>
        <w:drawing>
          <wp:inline distT="0" distB="0" distL="0" distR="0" wp14:anchorId="65D0D2A4" wp14:editId="58A5ADC0">
            <wp:extent cx="5729033" cy="787940"/>
            <wp:effectExtent l="0" t="0" r="5080" b="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6"/>
                    <a:stretch>
                      <a:fillRect/>
                    </a:stretch>
                  </pic:blipFill>
                  <pic:spPr>
                    <a:xfrm>
                      <a:off x="0" y="0"/>
                      <a:ext cx="5796306" cy="797192"/>
                    </a:xfrm>
                    <a:prstGeom prst="rect">
                      <a:avLst/>
                    </a:prstGeom>
                    <a:noFill/>
                    <a:ln w="9525">
                      <a:noFill/>
                    </a:ln>
                  </pic:spPr>
                </pic:pic>
              </a:graphicData>
            </a:graphic>
          </wp:inline>
        </w:drawing>
      </w:r>
    </w:p>
    <w:p w14:paraId="7E7EDACE" w14:textId="77777777" w:rsidR="004647D1" w:rsidRPr="00146DE9" w:rsidRDefault="004647D1" w:rsidP="004647D1">
      <w:pPr>
        <w:spacing w:before="100" w:beforeAutospacing="1" w:line="360" w:lineRule="auto"/>
        <w:jc w:val="center"/>
        <w:rPr>
          <w:rFonts w:ascii="Times New Roman" w:eastAsia="SimSun" w:hAnsi="Times New Roman" w:cs="Times New Roman"/>
          <w:lang w:eastAsia="en-GB"/>
          <w14:ligatures w14:val="none"/>
        </w:rPr>
      </w:pPr>
      <w:r w:rsidRPr="00146DE9">
        <w:rPr>
          <w:rFonts w:ascii="Times New Roman" w:eastAsia="SimSun" w:hAnsi="Times New Roman" w:cs="Times New Roman"/>
          <w:lang w:eastAsia="en-GB"/>
          <w14:ligatures w14:val="none"/>
        </w:rPr>
        <w:t xml:space="preserve">Programme: Certificate of Higher Education Skills for the Workplace (Health &amp; Social Care) </w:t>
      </w:r>
    </w:p>
    <w:p w14:paraId="639D1F33" w14:textId="77777777" w:rsidR="004647D1" w:rsidRPr="00146DE9" w:rsidRDefault="004647D1" w:rsidP="004647D1">
      <w:pPr>
        <w:spacing w:before="100" w:beforeAutospacing="1" w:line="360" w:lineRule="auto"/>
        <w:jc w:val="center"/>
        <w:rPr>
          <w:rFonts w:ascii="Times New Roman" w:eastAsia="SimSun" w:hAnsi="Times New Roman" w:cs="Times New Roman"/>
          <w:lang w:eastAsia="en-GB"/>
          <w14:ligatures w14:val="none"/>
        </w:rPr>
      </w:pPr>
      <w:r w:rsidRPr="00146DE9">
        <w:rPr>
          <w:rFonts w:ascii="Times New Roman" w:eastAsia="SimSun" w:hAnsi="Times New Roman" w:cs="Times New Roman"/>
          <w:lang w:eastAsia="en-GB"/>
          <w14:ligatures w14:val="none"/>
        </w:rPr>
        <w:t>Module: Introduction to public Health</w:t>
      </w:r>
    </w:p>
    <w:p w14:paraId="1DC2C5DD" w14:textId="77777777" w:rsidR="004647D1" w:rsidRPr="00146DE9" w:rsidRDefault="004647D1" w:rsidP="004647D1">
      <w:pPr>
        <w:spacing w:before="100" w:beforeAutospacing="1" w:line="360" w:lineRule="auto"/>
        <w:jc w:val="center"/>
        <w:rPr>
          <w:rFonts w:ascii="Times New Roman" w:eastAsia="SimSun" w:hAnsi="Times New Roman" w:cs="Times New Roman"/>
          <w:lang w:eastAsia="en-GB"/>
          <w14:ligatures w14:val="none"/>
        </w:rPr>
      </w:pPr>
      <w:r w:rsidRPr="00146DE9">
        <w:rPr>
          <w:rFonts w:ascii="Times New Roman" w:eastAsia="SimSun" w:hAnsi="Times New Roman" w:cs="Times New Roman"/>
          <w:lang w:eastAsia="en-GB"/>
          <w14:ligatures w14:val="none"/>
        </w:rPr>
        <w:t>Module code: LCHS4008</w:t>
      </w:r>
    </w:p>
    <w:p w14:paraId="542D7D0F" w14:textId="77777777" w:rsidR="004647D1" w:rsidRPr="00146DE9" w:rsidRDefault="004647D1" w:rsidP="004647D1">
      <w:pPr>
        <w:spacing w:before="100" w:beforeAutospacing="1" w:line="360" w:lineRule="auto"/>
        <w:jc w:val="center"/>
        <w:rPr>
          <w:rFonts w:ascii="Times New Roman" w:eastAsia="SimSun" w:hAnsi="Times New Roman" w:cs="Times New Roman"/>
          <w:lang w:eastAsia="en-GB"/>
          <w14:ligatures w14:val="none"/>
        </w:rPr>
      </w:pPr>
      <w:r w:rsidRPr="00146DE9">
        <w:rPr>
          <w:rFonts w:ascii="Times New Roman" w:eastAsia="SimSun" w:hAnsi="Times New Roman" w:cs="Times New Roman"/>
          <w:lang w:eastAsia="en-GB"/>
          <w14:ligatures w14:val="none"/>
        </w:rPr>
        <w:t>Student name; Abiodun Ojekunle</w:t>
      </w:r>
    </w:p>
    <w:p w14:paraId="7023971E" w14:textId="77777777" w:rsidR="004647D1" w:rsidRPr="00146DE9" w:rsidRDefault="004647D1" w:rsidP="004647D1">
      <w:pPr>
        <w:spacing w:before="100" w:beforeAutospacing="1" w:line="360" w:lineRule="auto"/>
        <w:jc w:val="center"/>
        <w:rPr>
          <w:rFonts w:ascii="Times New Roman" w:eastAsia="SimSun" w:hAnsi="Times New Roman" w:cs="Times New Roman"/>
          <w:lang w:eastAsia="en-GB"/>
          <w14:ligatures w14:val="none"/>
        </w:rPr>
      </w:pPr>
      <w:r w:rsidRPr="00146DE9">
        <w:rPr>
          <w:rFonts w:ascii="Times New Roman" w:eastAsia="SimSun" w:hAnsi="Times New Roman" w:cs="Times New Roman"/>
          <w:lang w:eastAsia="en-GB"/>
          <w14:ligatures w14:val="none"/>
        </w:rPr>
        <w:t>Student ID; 2527750</w:t>
      </w:r>
    </w:p>
    <w:p w14:paraId="20693E9B" w14:textId="4F27B36C" w:rsidR="004647D1" w:rsidRPr="00146DE9" w:rsidRDefault="004647D1" w:rsidP="004647D1">
      <w:pPr>
        <w:spacing w:before="100" w:beforeAutospacing="1" w:line="360" w:lineRule="auto"/>
        <w:jc w:val="center"/>
        <w:rPr>
          <w:rFonts w:ascii="Times New Roman" w:eastAsia="SimSun" w:hAnsi="Times New Roman" w:cs="Times New Roman"/>
          <w:lang w:eastAsia="en-GB"/>
          <w14:ligatures w14:val="none"/>
        </w:rPr>
      </w:pPr>
      <w:r w:rsidRPr="00146DE9">
        <w:rPr>
          <w:rFonts w:ascii="Times New Roman" w:eastAsia="SimSun" w:hAnsi="Times New Roman" w:cs="Times New Roman"/>
          <w:lang w:eastAsia="en-GB"/>
          <w14:ligatures w14:val="none"/>
        </w:rPr>
        <w:t>Lecturer Name; Dr petronella Ga</w:t>
      </w:r>
      <w:r w:rsidR="00C612C3">
        <w:rPr>
          <w:rFonts w:ascii="Times New Roman" w:eastAsia="SimSun" w:hAnsi="Times New Roman" w:cs="Times New Roman"/>
          <w:lang w:eastAsia="en-GB"/>
          <w14:ligatures w14:val="none"/>
        </w:rPr>
        <w:t>nza</w:t>
      </w:r>
    </w:p>
    <w:p w14:paraId="00937895" w14:textId="77777777" w:rsidR="004647D1" w:rsidRPr="00146DE9" w:rsidRDefault="004647D1" w:rsidP="004647D1">
      <w:pPr>
        <w:spacing w:before="100" w:beforeAutospacing="1" w:line="360" w:lineRule="auto"/>
        <w:jc w:val="center"/>
        <w:rPr>
          <w:rFonts w:ascii="Times New Roman" w:eastAsia="SimSun" w:hAnsi="Times New Roman" w:cs="Times New Roman"/>
          <w:lang w:eastAsia="en-GB"/>
          <w14:ligatures w14:val="none"/>
        </w:rPr>
      </w:pPr>
      <w:r w:rsidRPr="00146DE9">
        <w:rPr>
          <w:rFonts w:ascii="Times New Roman" w:eastAsia="SimSun" w:hAnsi="Times New Roman" w:cs="Times New Roman"/>
          <w:lang w:eastAsia="en-GB"/>
          <w14:ligatures w14:val="none"/>
        </w:rPr>
        <w:t>Submission Date; August 18, 2026</w:t>
      </w:r>
    </w:p>
    <w:p w14:paraId="3485AF6A" w14:textId="77777777" w:rsidR="004647D1" w:rsidRDefault="004647D1" w:rsidP="004647D1">
      <w:pPr>
        <w:spacing w:before="100" w:beforeAutospacing="1" w:line="360" w:lineRule="auto"/>
        <w:jc w:val="center"/>
        <w:rPr>
          <w:rFonts w:ascii="Times New Roman" w:eastAsia="Calibri" w:hAnsi="Times New Roman" w:cs="Times New Roman"/>
          <w:lang w:eastAsia="en-GB"/>
          <w14:ligatures w14:val="none"/>
        </w:rPr>
      </w:pPr>
      <w:r w:rsidRPr="00146DE9">
        <w:rPr>
          <w:rFonts w:ascii="Times New Roman" w:eastAsia="Calibri" w:hAnsi="Times New Roman" w:cs="Times New Roman"/>
          <w:lang w:eastAsia="en-GB"/>
          <w14:ligatures w14:val="none"/>
        </w:rPr>
        <w:t xml:space="preserve">I declare </w:t>
      </w:r>
      <w:proofErr w:type="gramStart"/>
      <w:r w:rsidRPr="00146DE9">
        <w:rPr>
          <w:rFonts w:ascii="Times New Roman" w:eastAsia="Calibri" w:hAnsi="Times New Roman" w:cs="Times New Roman"/>
          <w:lang w:eastAsia="en-GB"/>
          <w14:ligatures w14:val="none"/>
        </w:rPr>
        <w:t>that,</w:t>
      </w:r>
      <w:proofErr w:type="gramEnd"/>
      <w:r w:rsidRPr="00146DE9">
        <w:rPr>
          <w:rFonts w:ascii="Times New Roman" w:eastAsia="Calibri" w:hAnsi="Times New Roman" w:cs="Times New Roman"/>
          <w:lang w:eastAsia="en-GB"/>
          <w14:ligatures w14:val="none"/>
        </w:rPr>
        <w:t xml:space="preserve"> I did not use AI for my assignment </w:t>
      </w:r>
    </w:p>
    <w:p w14:paraId="07A753B3" w14:textId="77777777" w:rsidR="004647D1" w:rsidRPr="00146DE9" w:rsidRDefault="004647D1" w:rsidP="004647D1">
      <w:pPr>
        <w:spacing w:before="100" w:beforeAutospacing="1" w:line="360" w:lineRule="auto"/>
        <w:jc w:val="center"/>
        <w:rPr>
          <w:rFonts w:ascii="Times New Roman" w:eastAsia="Calibri" w:hAnsi="Times New Roman" w:cs="Times New Roman"/>
          <w:lang w:eastAsia="en-GB"/>
          <w14:ligatures w14:val="none"/>
        </w:rPr>
      </w:pPr>
    </w:p>
    <w:p w14:paraId="39429F01" w14:textId="77777777" w:rsidR="004647D1" w:rsidRDefault="004647D1" w:rsidP="004647D1">
      <w:pPr>
        <w:keepNext/>
        <w:keepLines/>
        <w:widowControl w:val="0"/>
        <w:spacing w:before="240" w:after="0" w:line="256" w:lineRule="auto"/>
        <w:outlineLvl w:val="0"/>
        <w:rPr>
          <w:rFonts w:ascii="Calibri Light" w:eastAsia="DengXian Light" w:hAnsi="Calibri Light" w:cs="Times New Roman"/>
          <w:b/>
          <w:bCs/>
          <w:color w:val="2F5496"/>
          <w:sz w:val="32"/>
          <w:szCs w:val="32"/>
          <w:lang w:eastAsia="en-GB"/>
          <w14:ligatures w14:val="none"/>
        </w:rPr>
      </w:pPr>
    </w:p>
    <w:p w14:paraId="0BC3ABC4" w14:textId="77777777" w:rsidR="004647D1" w:rsidRDefault="004647D1"/>
    <w:p w14:paraId="00AADE7D" w14:textId="77777777" w:rsidR="004647D1" w:rsidRDefault="004647D1"/>
    <w:p w14:paraId="738CE88F" w14:textId="77777777" w:rsidR="004647D1" w:rsidRDefault="004647D1"/>
    <w:p w14:paraId="6771BA5A" w14:textId="77777777" w:rsidR="004647D1" w:rsidRDefault="004647D1"/>
    <w:p w14:paraId="51755D0B" w14:textId="77777777" w:rsidR="004647D1" w:rsidRDefault="004647D1"/>
    <w:sdt>
      <w:sdtPr>
        <w:rPr>
          <w:rFonts w:asciiTheme="minorHAnsi" w:eastAsiaTheme="minorHAnsi" w:hAnsiTheme="minorHAnsi" w:cstheme="minorBidi"/>
          <w:color w:val="auto"/>
          <w:kern w:val="2"/>
          <w:sz w:val="24"/>
          <w:szCs w:val="24"/>
          <w:lang w:val="en-GB"/>
          <w14:ligatures w14:val="standardContextual"/>
        </w:rPr>
        <w:id w:val="-451862081"/>
        <w:docPartObj>
          <w:docPartGallery w:val="Table of Contents"/>
          <w:docPartUnique/>
        </w:docPartObj>
      </w:sdtPr>
      <w:sdtEndPr>
        <w:rPr>
          <w:b/>
          <w:bCs/>
          <w:noProof/>
        </w:rPr>
      </w:sdtEndPr>
      <w:sdtContent>
        <w:p w14:paraId="5149DEBE" w14:textId="596E2B89" w:rsidR="004647D1" w:rsidRDefault="004647D1">
          <w:pPr>
            <w:pStyle w:val="TOCHeading"/>
          </w:pPr>
          <w:r>
            <w:t>Contents</w:t>
          </w:r>
        </w:p>
        <w:p w14:paraId="4DF75338" w14:textId="5E8EDF2D" w:rsidR="004647D1" w:rsidRDefault="004647D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6927785" w:history="1">
            <w:r w:rsidR="000D53ED">
              <w:rPr>
                <w:rStyle w:val="Hyperlink"/>
                <w:rFonts w:ascii="Calibri Light" w:eastAsia="DengXian Light" w:hAnsi="Calibri Light" w:cs="Times New Roman"/>
                <w:b/>
                <w:bCs/>
                <w:noProof/>
                <w:lang w:eastAsia="en-GB"/>
                <w14:ligatures w14:val="none"/>
              </w:rPr>
              <w:t>I</w:t>
            </w:r>
            <w:r w:rsidRPr="00D11C33">
              <w:rPr>
                <w:rStyle w:val="Hyperlink"/>
                <w:rFonts w:ascii="Calibri Light" w:eastAsia="DengXian Light" w:hAnsi="Calibri Light" w:cs="Times New Roman"/>
                <w:b/>
                <w:bCs/>
                <w:noProof/>
                <w:lang w:eastAsia="en-GB"/>
                <w14:ligatures w14:val="none"/>
              </w:rPr>
              <w:t>ntroduction</w:t>
            </w:r>
            <w:r>
              <w:rPr>
                <w:noProof/>
                <w:webHidden/>
              </w:rPr>
              <w:tab/>
            </w:r>
            <w:r>
              <w:rPr>
                <w:noProof/>
                <w:webHidden/>
              </w:rPr>
              <w:fldChar w:fldCharType="begin"/>
            </w:r>
            <w:r>
              <w:rPr>
                <w:noProof/>
                <w:webHidden/>
              </w:rPr>
              <w:instrText xml:space="preserve"> PAGEREF _Toc236927785 \h </w:instrText>
            </w:r>
            <w:r>
              <w:rPr>
                <w:noProof/>
                <w:webHidden/>
              </w:rPr>
            </w:r>
            <w:r>
              <w:rPr>
                <w:noProof/>
                <w:webHidden/>
              </w:rPr>
              <w:fldChar w:fldCharType="separate"/>
            </w:r>
            <w:r>
              <w:rPr>
                <w:noProof/>
                <w:webHidden/>
              </w:rPr>
              <w:t>1</w:t>
            </w:r>
            <w:r>
              <w:rPr>
                <w:noProof/>
                <w:webHidden/>
              </w:rPr>
              <w:fldChar w:fldCharType="end"/>
            </w:r>
          </w:hyperlink>
        </w:p>
        <w:p w14:paraId="24405D3E" w14:textId="7368222F" w:rsidR="004647D1" w:rsidRDefault="004647D1">
          <w:pPr>
            <w:pStyle w:val="TOC1"/>
            <w:tabs>
              <w:tab w:val="right" w:leader="dot" w:pos="9016"/>
            </w:tabs>
            <w:rPr>
              <w:rFonts w:eastAsiaTheme="minorEastAsia"/>
              <w:noProof/>
              <w:lang w:eastAsia="en-GB"/>
            </w:rPr>
          </w:pPr>
          <w:hyperlink w:anchor="_Toc236927786" w:history="1">
            <w:r w:rsidRPr="00D11C33">
              <w:rPr>
                <w:rStyle w:val="Hyperlink"/>
                <w:rFonts w:ascii="Calibri Light" w:eastAsia="DengXian Light" w:hAnsi="Calibri Light" w:cs="Times New Roman"/>
                <w:b/>
                <w:bCs/>
                <w:noProof/>
                <w:lang w:eastAsia="en-GB"/>
                <w14:ligatures w14:val="none"/>
              </w:rPr>
              <w:t>Main Body</w:t>
            </w:r>
            <w:r>
              <w:rPr>
                <w:noProof/>
                <w:webHidden/>
              </w:rPr>
              <w:tab/>
              <w:t>2</w:t>
            </w:r>
          </w:hyperlink>
        </w:p>
        <w:p w14:paraId="5445DB74" w14:textId="08DFE0F6" w:rsidR="004647D1" w:rsidRDefault="004647D1">
          <w:pPr>
            <w:pStyle w:val="TOC1"/>
            <w:tabs>
              <w:tab w:val="right" w:leader="dot" w:pos="9016"/>
            </w:tabs>
            <w:rPr>
              <w:rFonts w:eastAsiaTheme="minorEastAsia"/>
              <w:noProof/>
              <w:lang w:eastAsia="en-GB"/>
            </w:rPr>
          </w:pPr>
          <w:hyperlink w:anchor="_Toc236927787" w:history="1">
            <w:r w:rsidR="00EA3CA2">
              <w:rPr>
                <w:rStyle w:val="Hyperlink"/>
                <w:rFonts w:ascii="Calibri Light" w:eastAsia="DengXian Light" w:hAnsi="Calibri Light" w:cs="Times New Roman"/>
                <w:b/>
                <w:bCs/>
                <w:noProof/>
                <w:lang w:eastAsia="en-GB"/>
                <w14:ligatures w14:val="none"/>
              </w:rPr>
              <w:t>Contro</w:t>
            </w:r>
            <w:r w:rsidR="00AF5C32">
              <w:rPr>
                <w:rStyle w:val="Hyperlink"/>
                <w:rFonts w:ascii="Calibri Light" w:eastAsia="DengXian Light" w:hAnsi="Calibri Light" w:cs="Times New Roman"/>
                <w:b/>
                <w:bCs/>
                <w:noProof/>
                <w:lang w:eastAsia="en-GB"/>
                <w14:ligatures w14:val="none"/>
              </w:rPr>
              <w:t>lled of Depression</w:t>
            </w:r>
            <w:r>
              <w:rPr>
                <w:noProof/>
                <w:webHidden/>
              </w:rPr>
              <w:tab/>
              <w:t>3</w:t>
            </w:r>
          </w:hyperlink>
        </w:p>
        <w:p w14:paraId="1700D95E" w14:textId="1B31501E" w:rsidR="004647D1" w:rsidRDefault="004647D1">
          <w:pPr>
            <w:pStyle w:val="TOC1"/>
            <w:tabs>
              <w:tab w:val="right" w:leader="dot" w:pos="9016"/>
            </w:tabs>
            <w:rPr>
              <w:rFonts w:eastAsiaTheme="minorEastAsia"/>
              <w:noProof/>
              <w:lang w:eastAsia="en-GB"/>
            </w:rPr>
          </w:pPr>
          <w:hyperlink w:anchor="_Toc236927788" w:history="1">
            <w:r w:rsidRPr="00D11C33">
              <w:rPr>
                <w:rStyle w:val="Hyperlink"/>
                <w:rFonts w:ascii="Calibri Light" w:eastAsia="DengXian Light" w:hAnsi="Calibri Light" w:cs="Times New Roman"/>
                <w:b/>
                <w:bCs/>
                <w:noProof/>
                <w:lang w:eastAsia="en-GB"/>
                <w14:ligatures w14:val="none"/>
              </w:rPr>
              <w:t>Consequences of Depression on People in the Community</w:t>
            </w:r>
            <w:r>
              <w:rPr>
                <w:noProof/>
                <w:webHidden/>
              </w:rPr>
              <w:tab/>
              <w:t>4</w:t>
            </w:r>
          </w:hyperlink>
        </w:p>
        <w:p w14:paraId="169FB807" w14:textId="6A27FD67" w:rsidR="004647D1" w:rsidRDefault="004647D1">
          <w:pPr>
            <w:pStyle w:val="TOC2"/>
            <w:tabs>
              <w:tab w:val="right" w:leader="dot" w:pos="9016"/>
            </w:tabs>
            <w:rPr>
              <w:rFonts w:eastAsiaTheme="minorEastAsia"/>
              <w:noProof/>
              <w:lang w:eastAsia="en-GB"/>
            </w:rPr>
          </w:pPr>
          <w:hyperlink w:anchor="_Toc236927789" w:history="1">
            <w:r w:rsidRPr="00D11C33">
              <w:rPr>
                <w:rStyle w:val="Hyperlink"/>
                <w:rFonts w:ascii="Calibri Light" w:eastAsia="DengXian Light" w:hAnsi="Calibri Light" w:cs="Times New Roman"/>
                <w:b/>
                <w:bCs/>
                <w:noProof/>
                <w:lang w:eastAsia="en-GB"/>
                <w14:ligatures w14:val="none"/>
              </w:rPr>
              <w:t>Health and Social Care Support Services Required within the Community</w:t>
            </w:r>
            <w:r>
              <w:rPr>
                <w:noProof/>
                <w:webHidden/>
              </w:rPr>
              <w:tab/>
              <w:t>5</w:t>
            </w:r>
          </w:hyperlink>
        </w:p>
        <w:p w14:paraId="0863A5F6" w14:textId="343B8347" w:rsidR="004647D1" w:rsidRDefault="004647D1">
          <w:pPr>
            <w:pStyle w:val="TOC1"/>
            <w:tabs>
              <w:tab w:val="right" w:leader="dot" w:pos="9016"/>
            </w:tabs>
            <w:rPr>
              <w:rFonts w:eastAsiaTheme="minorEastAsia"/>
              <w:noProof/>
              <w:lang w:eastAsia="en-GB"/>
            </w:rPr>
          </w:pPr>
          <w:hyperlink w:anchor="_Toc236927790" w:history="1">
            <w:r w:rsidRPr="00D11C33">
              <w:rPr>
                <w:rStyle w:val="Hyperlink"/>
                <w:rFonts w:ascii="Calibri Light" w:eastAsia="DengXian Light" w:hAnsi="Calibri Light" w:cs="Times New Roman"/>
                <w:b/>
                <w:bCs/>
                <w:noProof/>
                <w:lang w:eastAsia="en-GB"/>
                <w14:ligatures w14:val="none"/>
              </w:rPr>
              <w:t>Conclusion</w:t>
            </w:r>
            <w:r>
              <w:rPr>
                <w:noProof/>
                <w:webHidden/>
              </w:rPr>
              <w:tab/>
              <w:t>6</w:t>
            </w:r>
          </w:hyperlink>
        </w:p>
        <w:p w14:paraId="71E2716E" w14:textId="016FAC8E" w:rsidR="004647D1" w:rsidRDefault="004647D1">
          <w:pPr>
            <w:pStyle w:val="TOC1"/>
            <w:tabs>
              <w:tab w:val="right" w:leader="dot" w:pos="9016"/>
            </w:tabs>
            <w:rPr>
              <w:rFonts w:eastAsiaTheme="minorEastAsia"/>
              <w:noProof/>
              <w:lang w:eastAsia="en-GB"/>
            </w:rPr>
          </w:pPr>
          <w:hyperlink w:anchor="_Toc236927791" w:history="1">
            <w:r w:rsidRPr="00D11C33">
              <w:rPr>
                <w:rStyle w:val="Hyperlink"/>
                <w:rFonts w:ascii="Calibri Light" w:eastAsia="DengXian Light" w:hAnsi="Calibri Light" w:cs="Times New Roman"/>
                <w:b/>
                <w:bCs/>
                <w:noProof/>
                <w:lang w:eastAsia="en-GB"/>
                <w14:ligatures w14:val="none"/>
              </w:rPr>
              <w:t>References</w:t>
            </w:r>
            <w:r>
              <w:rPr>
                <w:noProof/>
                <w:webHidden/>
              </w:rPr>
              <w:tab/>
              <w:t>7</w:t>
            </w:r>
          </w:hyperlink>
        </w:p>
        <w:p w14:paraId="19F30707" w14:textId="2FCCA8A2" w:rsidR="004647D1" w:rsidRDefault="004647D1">
          <w:r>
            <w:rPr>
              <w:b/>
              <w:bCs/>
              <w:noProof/>
            </w:rPr>
            <w:fldChar w:fldCharType="end"/>
          </w:r>
        </w:p>
      </w:sdtContent>
    </w:sdt>
    <w:p w14:paraId="3C3196EE" w14:textId="77777777" w:rsidR="00DD7338" w:rsidRDefault="00DD7338" w:rsidP="00C93D66">
      <w:pPr>
        <w:keepNext/>
        <w:keepLines/>
        <w:widowControl w:val="0"/>
        <w:spacing w:before="240" w:after="0" w:line="256" w:lineRule="auto"/>
        <w:outlineLvl w:val="0"/>
        <w:rPr>
          <w:rFonts w:ascii="Calibri Light" w:eastAsia="DengXian Light" w:hAnsi="Calibri Light" w:cs="Times New Roman"/>
          <w:b/>
          <w:bCs/>
          <w:color w:val="2F5496"/>
          <w:sz w:val="32"/>
          <w:szCs w:val="32"/>
          <w:lang w:eastAsia="en-GB"/>
          <w14:ligatures w14:val="none"/>
        </w:rPr>
      </w:pPr>
    </w:p>
    <w:p w14:paraId="76288AB9" w14:textId="77777777" w:rsidR="00DD7338" w:rsidRDefault="00DD7338" w:rsidP="00C93D66">
      <w:pPr>
        <w:keepNext/>
        <w:keepLines/>
        <w:widowControl w:val="0"/>
        <w:spacing w:before="240" w:after="0" w:line="256" w:lineRule="auto"/>
        <w:outlineLvl w:val="0"/>
        <w:rPr>
          <w:rFonts w:ascii="Calibri Light" w:eastAsia="DengXian Light" w:hAnsi="Calibri Light" w:cs="Times New Roman"/>
          <w:b/>
          <w:bCs/>
          <w:color w:val="2F5496"/>
          <w:sz w:val="32"/>
          <w:szCs w:val="32"/>
          <w:lang w:eastAsia="en-GB"/>
          <w14:ligatures w14:val="none"/>
        </w:rPr>
      </w:pPr>
    </w:p>
    <w:p w14:paraId="2344B4FF" w14:textId="77777777" w:rsidR="00DD7338" w:rsidRDefault="00DD7338" w:rsidP="00C93D66">
      <w:pPr>
        <w:keepNext/>
        <w:keepLines/>
        <w:widowControl w:val="0"/>
        <w:spacing w:before="240" w:after="0" w:line="256" w:lineRule="auto"/>
        <w:outlineLvl w:val="0"/>
        <w:rPr>
          <w:rFonts w:ascii="Calibri Light" w:eastAsia="DengXian Light" w:hAnsi="Calibri Light" w:cs="Times New Roman"/>
          <w:b/>
          <w:bCs/>
          <w:color w:val="2F5496"/>
          <w:sz w:val="32"/>
          <w:szCs w:val="32"/>
          <w:lang w:eastAsia="en-GB"/>
          <w14:ligatures w14:val="none"/>
        </w:rPr>
      </w:pPr>
    </w:p>
    <w:p w14:paraId="445A7B17" w14:textId="77777777" w:rsidR="00DD7338" w:rsidRDefault="00DD7338" w:rsidP="00C93D66">
      <w:pPr>
        <w:keepNext/>
        <w:keepLines/>
        <w:widowControl w:val="0"/>
        <w:spacing w:before="240" w:after="0" w:line="256" w:lineRule="auto"/>
        <w:outlineLvl w:val="0"/>
        <w:rPr>
          <w:rFonts w:ascii="Calibri Light" w:eastAsia="DengXian Light" w:hAnsi="Calibri Light" w:cs="Times New Roman"/>
          <w:b/>
          <w:bCs/>
          <w:color w:val="2F5496"/>
          <w:sz w:val="32"/>
          <w:szCs w:val="32"/>
          <w:lang w:eastAsia="en-GB"/>
          <w14:ligatures w14:val="none"/>
        </w:rPr>
      </w:pPr>
    </w:p>
    <w:p w14:paraId="423EE7D5" w14:textId="77777777" w:rsidR="00250E2A" w:rsidRDefault="00250E2A" w:rsidP="00C93D66">
      <w:pPr>
        <w:keepNext/>
        <w:keepLines/>
        <w:widowControl w:val="0"/>
        <w:spacing w:before="240" w:after="0" w:line="256" w:lineRule="auto"/>
        <w:outlineLvl w:val="0"/>
        <w:rPr>
          <w:rFonts w:ascii="Calibri Light" w:eastAsia="DengXian Light" w:hAnsi="Calibri Light" w:cs="Times New Roman"/>
          <w:b/>
          <w:bCs/>
          <w:color w:val="2F5496"/>
          <w:sz w:val="32"/>
          <w:szCs w:val="32"/>
          <w:lang w:eastAsia="en-GB"/>
          <w14:ligatures w14:val="none"/>
        </w:rPr>
      </w:pPr>
    </w:p>
    <w:p w14:paraId="250DEB7F" w14:textId="77777777" w:rsidR="00250E2A" w:rsidRDefault="00250E2A" w:rsidP="00DD7338">
      <w:pPr>
        <w:spacing w:before="100" w:beforeAutospacing="1" w:after="0" w:line="360" w:lineRule="auto"/>
        <w:jc w:val="both"/>
        <w:rPr>
          <w:rFonts w:ascii="Arial" w:eastAsia="Calibri" w:hAnsi="Arial" w:cs="Arial"/>
          <w:lang w:eastAsia="en-GB"/>
          <w14:ligatures w14:val="none"/>
        </w:rPr>
      </w:pPr>
    </w:p>
    <w:p w14:paraId="28617FB9" w14:textId="77777777" w:rsidR="004647D1" w:rsidRDefault="004647D1" w:rsidP="00DD7338">
      <w:pPr>
        <w:spacing w:before="100" w:beforeAutospacing="1" w:after="0" w:line="360" w:lineRule="auto"/>
        <w:jc w:val="both"/>
        <w:rPr>
          <w:rFonts w:ascii="Arial" w:eastAsia="Calibri" w:hAnsi="Arial" w:cs="Arial"/>
          <w:lang w:eastAsia="en-GB"/>
          <w14:ligatures w14:val="none"/>
        </w:rPr>
      </w:pPr>
    </w:p>
    <w:p w14:paraId="6BA941AA" w14:textId="77777777" w:rsidR="004647D1" w:rsidRDefault="004647D1" w:rsidP="00DD7338">
      <w:pPr>
        <w:spacing w:before="100" w:beforeAutospacing="1" w:after="0" w:line="360" w:lineRule="auto"/>
        <w:jc w:val="both"/>
        <w:rPr>
          <w:rFonts w:ascii="Arial" w:eastAsia="Calibri" w:hAnsi="Arial" w:cs="Arial"/>
          <w:lang w:eastAsia="en-GB"/>
          <w14:ligatures w14:val="none"/>
        </w:rPr>
      </w:pPr>
    </w:p>
    <w:p w14:paraId="11552B2B" w14:textId="77777777" w:rsidR="004647D1" w:rsidRDefault="004647D1" w:rsidP="00DD7338">
      <w:pPr>
        <w:spacing w:before="100" w:beforeAutospacing="1" w:after="0" w:line="360" w:lineRule="auto"/>
        <w:jc w:val="both"/>
        <w:rPr>
          <w:rFonts w:ascii="Arial" w:eastAsia="Calibri" w:hAnsi="Arial" w:cs="Arial"/>
          <w:lang w:eastAsia="en-GB"/>
          <w14:ligatures w14:val="none"/>
        </w:rPr>
      </w:pPr>
    </w:p>
    <w:p w14:paraId="221023A4" w14:textId="7483C73E" w:rsidR="00250E2A" w:rsidRPr="00DD7338" w:rsidRDefault="000D53ED" w:rsidP="00250E2A">
      <w:pPr>
        <w:keepNext/>
        <w:keepLines/>
        <w:widowControl w:val="0"/>
        <w:spacing w:before="240" w:after="0" w:line="360" w:lineRule="auto"/>
        <w:outlineLvl w:val="0"/>
        <w:rPr>
          <w:rFonts w:ascii="Calibri Light" w:eastAsia="DengXian Light" w:hAnsi="Calibri Light" w:cs="Times New Roman"/>
          <w:b/>
          <w:bCs/>
          <w:color w:val="2F5496"/>
          <w:lang w:eastAsia="en-GB"/>
          <w14:ligatures w14:val="none"/>
        </w:rPr>
      </w:pPr>
      <w:bookmarkStart w:id="0" w:name="_Toc236926588"/>
      <w:bookmarkStart w:id="1" w:name="_Toc236926670"/>
      <w:bookmarkStart w:id="2" w:name="_Toc236926780"/>
      <w:bookmarkStart w:id="3" w:name="_Toc236926992"/>
      <w:bookmarkStart w:id="4" w:name="_Toc236927785"/>
      <w:r>
        <w:rPr>
          <w:rFonts w:ascii="Calibri Light" w:eastAsia="DengXian Light" w:hAnsi="Calibri Light" w:cs="Times New Roman"/>
          <w:b/>
          <w:bCs/>
          <w:color w:val="2F5496"/>
          <w:lang w:eastAsia="en-GB"/>
          <w14:ligatures w14:val="none"/>
        </w:rPr>
        <w:lastRenderedPageBreak/>
        <w:t>I</w:t>
      </w:r>
      <w:r w:rsidR="00250E2A" w:rsidRPr="00DD7338">
        <w:rPr>
          <w:rFonts w:ascii="Calibri Light" w:eastAsia="DengXian Light" w:hAnsi="Calibri Light" w:cs="Times New Roman"/>
          <w:b/>
          <w:bCs/>
          <w:color w:val="2F5496"/>
          <w:lang w:eastAsia="en-GB"/>
          <w14:ligatures w14:val="none"/>
        </w:rPr>
        <w:t>ntroduction</w:t>
      </w:r>
      <w:bookmarkEnd w:id="0"/>
      <w:bookmarkEnd w:id="1"/>
      <w:bookmarkEnd w:id="2"/>
      <w:bookmarkEnd w:id="3"/>
      <w:bookmarkEnd w:id="4"/>
      <w:r w:rsidR="00250E2A" w:rsidRPr="00DD7338">
        <w:rPr>
          <w:rFonts w:ascii="Calibri Light" w:eastAsia="DengXian Light" w:hAnsi="Calibri Light" w:cs="Times New Roman"/>
          <w:b/>
          <w:bCs/>
          <w:color w:val="2F5496"/>
          <w:lang w:eastAsia="en-GB"/>
          <w14:ligatures w14:val="none"/>
        </w:rPr>
        <w:t xml:space="preserve"> </w:t>
      </w:r>
    </w:p>
    <w:p w14:paraId="2AADF1C2" w14:textId="785536D6" w:rsidR="008D56B0"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Depression is a common mental health condition characterised by persistent sadness, hopelessness and a loss of interest or pleasure in activities once enjoyed (WHO, 2025). Symptoms and signs include low mood, fatigue, changes in the appetite and sleep, poor concentration, feelings of worthlessness or guilt, and in more severe cases, thoughts of harming oneself or suicide (NICE, 2022). Its scale is a testament to its magnitude as a public health problem: the WHO estimates that there are about 332 million depressed people in the world, which is about 4% of the world's population, and in Great Britain, the ONS has data that suggests that about 18% of adults, or one in five, have moderate to severe depressive symptoms. The report provides a discussion on depression, its symptoms, and prevalence, both worldwide and in the UK.</w:t>
      </w:r>
    </w:p>
    <w:p w14:paraId="016C44F2" w14:textId="77777777" w:rsidR="00C93D66" w:rsidRPr="00DD7338" w:rsidRDefault="00C93D66" w:rsidP="00DD7338">
      <w:pPr>
        <w:keepNext/>
        <w:keepLines/>
        <w:widowControl w:val="0"/>
        <w:spacing w:before="240" w:after="0" w:line="360" w:lineRule="auto"/>
        <w:outlineLvl w:val="0"/>
        <w:rPr>
          <w:rFonts w:ascii="Calibri Light" w:eastAsia="DengXian Light" w:hAnsi="Calibri Light" w:cs="Times New Roman"/>
          <w:b/>
          <w:bCs/>
          <w:color w:val="2F5496"/>
          <w:lang w:eastAsia="en-GB"/>
          <w14:ligatures w14:val="none"/>
        </w:rPr>
      </w:pPr>
      <w:bookmarkStart w:id="5" w:name="_Toc236413423"/>
      <w:bookmarkStart w:id="6" w:name="_Toc13102"/>
      <w:bookmarkStart w:id="7" w:name="_Toc236926589"/>
      <w:bookmarkStart w:id="8" w:name="_Toc236926671"/>
      <w:bookmarkStart w:id="9" w:name="_Toc236926781"/>
      <w:bookmarkStart w:id="10" w:name="_Toc236926993"/>
      <w:bookmarkStart w:id="11" w:name="_Toc236927786"/>
      <w:bookmarkEnd w:id="5"/>
      <w:r w:rsidRPr="00DD7338">
        <w:rPr>
          <w:rFonts w:ascii="Calibri Light" w:eastAsia="DengXian Light" w:hAnsi="Calibri Light" w:cs="Times New Roman"/>
          <w:b/>
          <w:bCs/>
          <w:color w:val="2F5496"/>
          <w:lang w:eastAsia="en-GB"/>
          <w14:ligatures w14:val="none"/>
        </w:rPr>
        <w:t>Main Body</w:t>
      </w:r>
      <w:bookmarkEnd w:id="6"/>
      <w:bookmarkEnd w:id="7"/>
      <w:bookmarkEnd w:id="8"/>
      <w:bookmarkEnd w:id="9"/>
      <w:bookmarkEnd w:id="10"/>
      <w:bookmarkEnd w:id="11"/>
    </w:p>
    <w:p w14:paraId="319D98BC" w14:textId="77777777" w:rsidR="00C93D66" w:rsidRPr="00DD7338" w:rsidRDefault="00C93D66" w:rsidP="008D56B0">
      <w:pPr>
        <w:rPr>
          <w:lang w:eastAsia="en-GB"/>
        </w:rPr>
      </w:pPr>
      <w:bookmarkStart w:id="12" w:name="_Toc236413424"/>
      <w:bookmarkStart w:id="13" w:name="_Toc24567"/>
      <w:bookmarkStart w:id="14" w:name="_Toc236926590"/>
      <w:bookmarkEnd w:id="12"/>
      <w:r w:rsidRPr="00DD7338">
        <w:rPr>
          <w:lang w:eastAsia="en-GB"/>
        </w:rPr>
        <w:t>Approaches Used to Measure and Monitor Depression</w:t>
      </w:r>
      <w:bookmarkEnd w:id="13"/>
      <w:bookmarkEnd w:id="14"/>
    </w:p>
    <w:p w14:paraId="05F92D35"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Depression is assessed and tracked on a person and population basis. Healthcare practitioners have access to a range of validated screening and assessment tools that are used in practice to detect depression, assess the severity of depression, and measure depression over time. The most commonly used tool in UK primary care is the Patient Health Questionnaire (PHQ-9) which is a nine item self-report questionnaire that categorizes depression as mild, moderate, moderately severe and severe (NICE, 2022; Costantini et al., 2021). These other instruments are also widely used such as the Hospital Anxiety and Depression Scale (HADS), Beck Depression Inventory (BDI) and for older patients, the Geriatric Depression Scale. NICE (2022) suggests that these validated measures be used at assessment and follow up appointments to ensure that response to treatment is objectively assessed, not just impression, after the treatment has been administered. </w:t>
      </w:r>
    </w:p>
    <w:p w14:paraId="4347FF1E"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At population level, depression is monitored through surveillance surveys and administrative data. In England, the prevalence of common mental disorders is estimated periodically with the Adult Psychiatric Morbidity Survey and depressive symptoms are recorded in the adult population as part of the Opinions and Lifestyle Survey conducted by the Office for National Statistics (ONS); Adults in Great Britain </w:t>
      </w:r>
      <w:r w:rsidRPr="00DD7338">
        <w:rPr>
          <w:rFonts w:ascii="Arial" w:eastAsia="Calibri" w:hAnsi="Arial" w:cs="Arial"/>
          <w:lang w:eastAsia="en-GB"/>
          <w14:ligatures w14:val="none"/>
        </w:rPr>
        <w:lastRenderedPageBreak/>
        <w:t>are estimated to have moderate to severe depressive symptoms at around 18% at ONS 2025. General practices also hold registers of patients with depression under the Quality and Outcomes framework (QOF) for case identification and review in primary care. World Health Organization (WHO) is monitoring depression worldwide via the Global Burden of Disease programme and the Mental Health Atlas; it is estimated that there are around 332 million people globally living with depression (WHO, 2025). These methods can be combined to enable services to identify trends, identify high risk groups and plan resources.</w:t>
      </w:r>
    </w:p>
    <w:p w14:paraId="3C12EE37" w14:textId="60EC15DE" w:rsidR="00C93D66" w:rsidRPr="00DD7338" w:rsidRDefault="00C93D66" w:rsidP="00DD7338">
      <w:pPr>
        <w:keepNext/>
        <w:keepLines/>
        <w:widowControl w:val="0"/>
        <w:spacing w:before="240" w:after="0" w:line="360" w:lineRule="auto"/>
        <w:outlineLvl w:val="0"/>
        <w:rPr>
          <w:rFonts w:ascii="Calibri Light" w:eastAsia="DengXian Light" w:hAnsi="Calibri Light" w:cs="Times New Roman"/>
          <w:b/>
          <w:bCs/>
          <w:color w:val="2F5496"/>
          <w:lang w:eastAsia="en-GB"/>
          <w14:ligatures w14:val="none"/>
        </w:rPr>
      </w:pPr>
      <w:r w:rsidRPr="00DD7338">
        <w:rPr>
          <w:rFonts w:ascii="Calibri Light" w:eastAsia="DengXian Light" w:hAnsi="Calibri Light" w:cs="Times New Roman"/>
          <w:b/>
          <w:bCs/>
          <w:color w:val="2F5496"/>
          <w:lang w:eastAsia="en-GB"/>
          <w14:ligatures w14:val="none"/>
        </w:rPr>
        <w:t xml:space="preserve"> </w:t>
      </w:r>
      <w:bookmarkStart w:id="15" w:name="_Toc236413425"/>
      <w:bookmarkEnd w:id="15"/>
      <w:r w:rsidR="00B47B47">
        <w:rPr>
          <w:rFonts w:ascii="Calibri Light" w:eastAsia="DengXian Light" w:hAnsi="Calibri Light" w:cs="Times New Roman"/>
          <w:b/>
          <w:bCs/>
          <w:color w:val="2F5496"/>
          <w:lang w:eastAsia="en-GB"/>
          <w14:ligatures w14:val="none"/>
        </w:rPr>
        <w:t>Cont</w:t>
      </w:r>
      <w:r w:rsidR="00FF0200">
        <w:rPr>
          <w:rFonts w:ascii="Calibri Light" w:eastAsia="DengXian Light" w:hAnsi="Calibri Light" w:cs="Times New Roman"/>
          <w:b/>
          <w:bCs/>
          <w:color w:val="2F5496"/>
          <w:lang w:eastAsia="en-GB"/>
          <w14:ligatures w14:val="none"/>
        </w:rPr>
        <w:t>rolled of D</w:t>
      </w:r>
      <w:r w:rsidR="00AB2E51">
        <w:rPr>
          <w:rFonts w:ascii="Calibri Light" w:eastAsia="DengXian Light" w:hAnsi="Calibri Light" w:cs="Times New Roman"/>
          <w:b/>
          <w:bCs/>
          <w:color w:val="2F5496"/>
          <w:lang w:eastAsia="en-GB"/>
          <w14:ligatures w14:val="none"/>
        </w:rPr>
        <w:t>epression</w:t>
      </w:r>
    </w:p>
    <w:p w14:paraId="3D497AB7"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Depression is controlled through a combination of prevention, early identification, evidence-based treatment and relapse prevention, organised in England through NICE's stepped-care model, in which people receive the least intensive intervention appropriate to their needs and are "stepped up" if they do not improve (NICE, 2022).</w:t>
      </w:r>
    </w:p>
    <w:p w14:paraId="46F583F0"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The first line of control is prevention and health promotion. A range of public health campaigns, including Every Mind Matters, mental health education in schools and workplace wellbeing programmes seek to promote resilience, minimise stigma and promote early help-seeking (Naidoo and Wills, 2022). Depression is related to social determinants like poverty, unemployment, poor housing and isolation and hence broader policies that address these factors help in its prevention (Remes, Mendes and Templeton, 2021). Encouraging and supporting GPs' questioning of patients from high-risk groups (e.g. those with long-term physical conditions and/or a history of depression) about their mood is encouraged to support early identification.</w:t>
      </w:r>
    </w:p>
    <w:p w14:paraId="53D376A3" w14:textId="352C3321"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Treatment varies depending on the severity, for those diagnosed. Antidepressants are not routinely recommended as first-line treatment for less severe depression, and NICE (2022) recommends that psychological interventions are offered first, such as guided self-help, behavioural activation, group or individual cognitive behavioural therapy (CBT) and counselling. For people with moderate to severe depression, antidepressant drugs </w:t>
      </w:r>
      <w:r w:rsidR="008D56B0">
        <w:rPr>
          <w:rFonts w:ascii="Arial" w:eastAsia="Calibri" w:hAnsi="Arial" w:cs="Arial"/>
          <w:lang w:eastAsia="en-GB"/>
          <w14:ligatures w14:val="none"/>
        </w:rPr>
        <w:t xml:space="preserve"> </w:t>
      </w:r>
      <w:r w:rsidRPr="00DD7338">
        <w:rPr>
          <w:rFonts w:ascii="Arial" w:eastAsia="Calibri" w:hAnsi="Arial" w:cs="Arial"/>
          <w:lang w:eastAsia="en-GB"/>
          <w14:ligatures w14:val="none"/>
        </w:rPr>
        <w:t xml:space="preserve"> typically selective serotonin reuptake inhibitors (SSRIs) – and individual psychological treatments like CBT are suggested. Drugs are regularly reviewed for effectiveness and side </w:t>
      </w:r>
      <w:r w:rsidR="008D56B0" w:rsidRPr="00DD7338">
        <w:rPr>
          <w:rFonts w:ascii="Arial" w:eastAsia="Calibri" w:hAnsi="Arial" w:cs="Arial"/>
          <w:lang w:eastAsia="en-GB"/>
          <w14:ligatures w14:val="none"/>
        </w:rPr>
        <w:t>effects,</w:t>
      </w:r>
      <w:r w:rsidRPr="00DD7338">
        <w:rPr>
          <w:rFonts w:ascii="Arial" w:eastAsia="Calibri" w:hAnsi="Arial" w:cs="Arial"/>
          <w:lang w:eastAsia="en-GB"/>
          <w14:ligatures w14:val="none"/>
        </w:rPr>
        <w:t xml:space="preserve"> and the person is encouraged to stay on antidepressants for at least six months following recovery to help prevent a relapse. </w:t>
      </w:r>
      <w:r w:rsidRPr="00DD7338">
        <w:rPr>
          <w:rFonts w:ascii="Arial" w:eastAsia="Calibri" w:hAnsi="Arial" w:cs="Arial"/>
          <w:lang w:eastAsia="en-GB"/>
          <w14:ligatures w14:val="none"/>
        </w:rPr>
        <w:lastRenderedPageBreak/>
        <w:t>For those whose depression has recurred, mindfulness-based cognitive therapy can be used as a relapse prevention strategy; ongoing monitoring in primary care is another strategy; and safety planning for individuals who are at risk for self-harm. In severe or treatment-resistant depression, specialist psychiatric help, crisis resolution and home treatment teams may be needed or, rarely, in-patient treatment. Preventing the most severe effects of the disorder is an integral component of suicide prevention initiatives, such as help lines and lessening access to means.</w:t>
      </w:r>
    </w:p>
    <w:p w14:paraId="727B2CFE" w14:textId="77777777" w:rsidR="00C93D66" w:rsidRPr="00DD7338" w:rsidRDefault="00C93D66" w:rsidP="00DD7338">
      <w:pPr>
        <w:keepNext/>
        <w:keepLines/>
        <w:widowControl w:val="0"/>
        <w:spacing w:before="240" w:after="0" w:line="360" w:lineRule="auto"/>
        <w:outlineLvl w:val="0"/>
        <w:rPr>
          <w:rFonts w:ascii="Calibri Light" w:eastAsia="DengXian Light" w:hAnsi="Calibri Light" w:cs="Times New Roman"/>
          <w:b/>
          <w:bCs/>
          <w:color w:val="2F5496"/>
          <w:lang w:eastAsia="en-GB"/>
          <w14:ligatures w14:val="none"/>
        </w:rPr>
      </w:pPr>
      <w:bookmarkStart w:id="16" w:name="_Toc236413426"/>
      <w:bookmarkStart w:id="17" w:name="_Toc20283"/>
      <w:bookmarkStart w:id="18" w:name="_Toc236926592"/>
      <w:bookmarkStart w:id="19" w:name="_Toc236926673"/>
      <w:bookmarkStart w:id="20" w:name="_Toc236926783"/>
      <w:bookmarkStart w:id="21" w:name="_Toc236926995"/>
      <w:bookmarkStart w:id="22" w:name="_Toc236927788"/>
      <w:bookmarkEnd w:id="16"/>
      <w:r w:rsidRPr="00DD7338">
        <w:rPr>
          <w:rFonts w:ascii="Calibri Light" w:eastAsia="DengXian Light" w:hAnsi="Calibri Light" w:cs="Times New Roman"/>
          <w:b/>
          <w:bCs/>
          <w:color w:val="2F5496"/>
          <w:lang w:eastAsia="en-GB"/>
          <w14:ligatures w14:val="none"/>
        </w:rPr>
        <w:t>Consequences of Depression on People in the Community</w:t>
      </w:r>
      <w:bookmarkEnd w:id="17"/>
      <w:bookmarkEnd w:id="18"/>
      <w:bookmarkEnd w:id="19"/>
      <w:bookmarkEnd w:id="20"/>
      <w:bookmarkEnd w:id="21"/>
      <w:bookmarkEnd w:id="22"/>
    </w:p>
    <w:p w14:paraId="7A7A0E0C"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The impact of depression reaches beyond the person and impacts family, community, services and economy. Depression decreases the quality of life for the individual, affects his/her ability to concentrate and to motivate himself, and affects his ability to attend school, work, and perform self-care activities. It is closely linked to physical ill health: those with depression are more likely to suffer cardiovascular disease, diabetes and chronic pain, and worse outcomes when these co-occur. Suicide is the most serious consequence, and depression is a risk factor for suicide, with suicide being one of the major causes of death among adolescents and youth globally (WHO, 2025; Santomauro et al., 2021). When someone in a family or carer cannot work, this puts strain on the emotions, brings a disruption in the relationship and puts financial pressure on the family. Depression can also have intergenerational effects as children of those with untreated depression, too, are more likely to experience emotional and developmental problems.</w:t>
      </w:r>
    </w:p>
    <w:p w14:paraId="3779D347"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Depression at a community level is a major cause of economic inactivity, absenteeism and lost productivity. A substantial number of economically active adults in Great Britain are also economically inactive due to long term sickness, with mental health a key reason given by many of them, and depression and anxiety are now included in major causes of new disability benefit claims. It is believed that depression and anxiety cost the economy about US$1 trillion per year in lost productivity globally (WHO, 2025; The Lancet Global Health, 2020). Demand for the health and social care services also grows, with more people attending GP appointments, receiving prescriptions, being referred to talking therapies and using social care services. Stigma and discrimination are also major social impact: people often delay seeking support due to stigma and/or discrimination and this can result in more suffering, worsening social isolation and the </w:t>
      </w:r>
      <w:r w:rsidRPr="00DD7338">
        <w:rPr>
          <w:rFonts w:ascii="Arial" w:eastAsia="Calibri" w:hAnsi="Arial" w:cs="Arial"/>
          <w:lang w:eastAsia="en-GB"/>
          <w14:ligatures w14:val="none"/>
        </w:rPr>
        <w:lastRenderedPageBreak/>
        <w:t>eventual cost of support. The broad impact of this provides a rationale for depression to be viewed as a public health concern rather than just a clinical problem.</w:t>
      </w:r>
    </w:p>
    <w:p w14:paraId="57AB1A71" w14:textId="77777777" w:rsidR="00C93D66" w:rsidRPr="00DD7338" w:rsidRDefault="00C93D66" w:rsidP="00DD7338">
      <w:pPr>
        <w:keepNext/>
        <w:keepLines/>
        <w:widowControl w:val="0"/>
        <w:spacing w:before="40" w:after="0" w:line="360" w:lineRule="auto"/>
        <w:outlineLvl w:val="1"/>
        <w:rPr>
          <w:rFonts w:ascii="Calibri Light" w:eastAsia="DengXian Light" w:hAnsi="Calibri Light" w:cs="Times New Roman"/>
          <w:b/>
          <w:bCs/>
          <w:color w:val="2F5496"/>
          <w:lang w:eastAsia="en-GB"/>
          <w14:ligatures w14:val="none"/>
        </w:rPr>
      </w:pPr>
      <w:bookmarkStart w:id="23" w:name="_Toc236413427"/>
      <w:bookmarkStart w:id="24" w:name="_Toc1930"/>
      <w:bookmarkStart w:id="25" w:name="_Toc236926593"/>
      <w:bookmarkStart w:id="26" w:name="_Toc236926674"/>
      <w:bookmarkStart w:id="27" w:name="_Toc236926784"/>
      <w:bookmarkStart w:id="28" w:name="_Toc236926996"/>
      <w:bookmarkStart w:id="29" w:name="_Toc236927789"/>
      <w:bookmarkEnd w:id="23"/>
      <w:r w:rsidRPr="00DD7338">
        <w:rPr>
          <w:rFonts w:ascii="Calibri Light" w:eastAsia="DengXian Light" w:hAnsi="Calibri Light" w:cs="Times New Roman"/>
          <w:b/>
          <w:bCs/>
          <w:color w:val="2F5496"/>
          <w:lang w:eastAsia="en-GB"/>
          <w14:ligatures w14:val="none"/>
        </w:rPr>
        <w:t>Health and Social Care Support Services Required within the Community</w:t>
      </w:r>
      <w:bookmarkEnd w:id="24"/>
      <w:bookmarkEnd w:id="25"/>
      <w:bookmarkEnd w:id="26"/>
      <w:bookmarkEnd w:id="27"/>
      <w:bookmarkEnd w:id="28"/>
      <w:bookmarkEnd w:id="29"/>
    </w:p>
    <w:p w14:paraId="5A223E1C"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The needs of those experiencing depression can only be met by coordinated, person centred provision from a range of health and social care services provided in the community working together. GPs are typically the first port of call, examining the mental and physical health, assessing the severity and risk of self-harm or suicide, offering self-help advice, prescribing and monitoring antidepressants and referring to specialist services, if necessary (NICE, 2022).</w:t>
      </w:r>
    </w:p>
    <w:p w14:paraId="6EB5A8F0"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There are NHS Talking Therapies services (formerly IAPT) that offer evidence-based psychological therapies, such as CBT, behavioural activation, counselling and guided self-help services, which can accept self-referrals to boost the availability of timely psychological help. Assessment, treatment, crisis intervention and long-term care is provided by Community Mental Health Teams (CMHTs), multidisciplinary teams comprised of psychiatrists, psychologists, community psychiatric nurses, occupational therapists, social workers and pharmacists, with more complex or severe needs (Roth et al., 2021). Social workers support people in returning to work or school while also supporting all other aspects of their social life as this can be a contributing factor to poor mental health, for example, welfare benefits, housing, finances and safeguarding. (Aveyard &amp; Sharp, 2021).</w:t>
      </w:r>
    </w:p>
    <w:p w14:paraId="4A1EE730" w14:textId="77777777" w:rsidR="00C93D66"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The role of the voluntary sector is a complementary and essential one. Helplines, peer support, advocacy and online resources offered by organisations like Mind, Samaritans or the Mental Health Foundation help to lessen loneliness, combat stigma and help to promote social inclusion. Finally, families and carers provide care on a daily basis, including emotional support, encouragement to adhere to treatment and to identify early signs of relapse; by getting families and carers involved in care planning, with the consent of the person, recovery is strengthened and crisis prevented. These services are a coordinated, comprehensive, and integrated support package that people with depression require for recovery and a good life in their communities.</w:t>
      </w:r>
    </w:p>
    <w:p w14:paraId="4295D075" w14:textId="77777777" w:rsidR="00E9190E" w:rsidRDefault="00E9190E" w:rsidP="00DD7338">
      <w:pPr>
        <w:spacing w:before="100" w:beforeAutospacing="1" w:after="0" w:line="360" w:lineRule="auto"/>
        <w:jc w:val="both"/>
        <w:rPr>
          <w:rFonts w:ascii="Arial" w:eastAsia="Calibri" w:hAnsi="Arial" w:cs="Arial"/>
          <w:lang w:eastAsia="en-GB"/>
          <w14:ligatures w14:val="none"/>
        </w:rPr>
      </w:pPr>
    </w:p>
    <w:p w14:paraId="2948CC6F" w14:textId="77777777" w:rsidR="00E9190E" w:rsidRDefault="00E9190E" w:rsidP="00DD7338">
      <w:pPr>
        <w:spacing w:before="100" w:beforeAutospacing="1" w:after="0" w:line="360" w:lineRule="auto"/>
        <w:jc w:val="both"/>
        <w:rPr>
          <w:rFonts w:ascii="Arial" w:eastAsia="Calibri" w:hAnsi="Arial" w:cs="Arial"/>
          <w:lang w:eastAsia="en-GB"/>
          <w14:ligatures w14:val="none"/>
        </w:rPr>
      </w:pPr>
    </w:p>
    <w:p w14:paraId="3C121DF9" w14:textId="77777777" w:rsidR="00E9190E" w:rsidRPr="00DD7338" w:rsidRDefault="00E9190E" w:rsidP="00DD7338">
      <w:pPr>
        <w:spacing w:before="100" w:beforeAutospacing="1" w:after="0" w:line="360" w:lineRule="auto"/>
        <w:jc w:val="both"/>
        <w:rPr>
          <w:rFonts w:ascii="Arial" w:eastAsia="Calibri" w:hAnsi="Arial" w:cs="Arial"/>
          <w:lang w:eastAsia="en-GB"/>
          <w14:ligatures w14:val="none"/>
        </w:rPr>
      </w:pPr>
    </w:p>
    <w:p w14:paraId="1E97FAC6" w14:textId="77777777" w:rsidR="00C93D66" w:rsidRPr="00DD7338" w:rsidRDefault="00C93D66" w:rsidP="00DD7338">
      <w:pPr>
        <w:keepNext/>
        <w:keepLines/>
        <w:widowControl w:val="0"/>
        <w:spacing w:before="240" w:after="0" w:line="360" w:lineRule="auto"/>
        <w:outlineLvl w:val="0"/>
        <w:rPr>
          <w:rFonts w:ascii="Calibri Light" w:eastAsia="DengXian Light" w:hAnsi="Calibri Light" w:cs="Times New Roman"/>
          <w:b/>
          <w:bCs/>
          <w:color w:val="2F5496"/>
          <w:lang w:eastAsia="en-GB"/>
          <w14:ligatures w14:val="none"/>
        </w:rPr>
      </w:pPr>
      <w:bookmarkStart w:id="30" w:name="_Toc236413428"/>
      <w:bookmarkStart w:id="31" w:name="_Toc4228"/>
      <w:bookmarkStart w:id="32" w:name="_Toc236926594"/>
      <w:bookmarkStart w:id="33" w:name="_Toc236926675"/>
      <w:bookmarkStart w:id="34" w:name="_Toc236926785"/>
      <w:bookmarkStart w:id="35" w:name="_Toc236926997"/>
      <w:bookmarkStart w:id="36" w:name="_Toc236927790"/>
      <w:bookmarkEnd w:id="30"/>
      <w:r w:rsidRPr="00DD7338">
        <w:rPr>
          <w:rFonts w:ascii="Calibri Light" w:eastAsia="DengXian Light" w:hAnsi="Calibri Light" w:cs="Times New Roman"/>
          <w:b/>
          <w:bCs/>
          <w:color w:val="2F5496"/>
          <w:lang w:eastAsia="en-GB"/>
          <w14:ligatures w14:val="none"/>
        </w:rPr>
        <w:t>Conclusion</w:t>
      </w:r>
      <w:bookmarkEnd w:id="31"/>
      <w:bookmarkEnd w:id="32"/>
      <w:bookmarkEnd w:id="33"/>
      <w:bookmarkEnd w:id="34"/>
      <w:bookmarkEnd w:id="35"/>
      <w:bookmarkEnd w:id="36"/>
      <w:r w:rsidRPr="00DD7338">
        <w:rPr>
          <w:rFonts w:ascii="Calibri Light" w:eastAsia="DengXian Light" w:hAnsi="Calibri Light" w:cs="Times New Roman"/>
          <w:b/>
          <w:bCs/>
          <w:color w:val="2F5496"/>
          <w:lang w:eastAsia="en-GB"/>
          <w14:ligatures w14:val="none"/>
        </w:rPr>
        <w:t xml:space="preserve"> </w:t>
      </w:r>
    </w:p>
    <w:p w14:paraId="477C4BB5"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Depression is a serious mental health condition that affects millions of people worldwide and has significant emotional, physical, and social consequences. It is marked by low levels of energy and interest in activities, depressed mood, and a lack of normal functioning in everyday life. Recognizing depression early and intervening as soon as possible is crucial to avoid complications and enhance long-term results. A person-centred approach involving psychological treatment, medication (if required), lifestyle changes and adequate social support is essential for effective management. Caring for recovery and independence is also very important and is the work of a range of community-based health and social care services such as GPs, Community Mental Health Teams, NHS Talking Therapies, social workers, occupational therapists and voluntary organisations. These professionals work together so that individuals get comprehensive care that is customized to their needs.</w:t>
      </w:r>
    </w:p>
    <w:p w14:paraId="06712710"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 </w:t>
      </w:r>
    </w:p>
    <w:p w14:paraId="3DF44F27"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 </w:t>
      </w:r>
    </w:p>
    <w:p w14:paraId="608D69CD"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 </w:t>
      </w:r>
    </w:p>
    <w:p w14:paraId="2C20C720"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 </w:t>
      </w:r>
    </w:p>
    <w:p w14:paraId="0083CE73"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 </w:t>
      </w:r>
    </w:p>
    <w:p w14:paraId="5B93D19D"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 </w:t>
      </w:r>
    </w:p>
    <w:p w14:paraId="50DD6AF2"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 </w:t>
      </w:r>
    </w:p>
    <w:p w14:paraId="595CB555"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 </w:t>
      </w:r>
    </w:p>
    <w:p w14:paraId="54A55B8A"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 </w:t>
      </w:r>
    </w:p>
    <w:p w14:paraId="66B598EB"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 </w:t>
      </w:r>
    </w:p>
    <w:p w14:paraId="5FB85CC4" w14:textId="77777777" w:rsidR="00C93D66" w:rsidRPr="00DD7338" w:rsidRDefault="00C93D66" w:rsidP="00DD7338">
      <w:pPr>
        <w:spacing w:before="100" w:beforeAutospacing="1" w:after="0" w:line="360" w:lineRule="auto"/>
        <w:jc w:val="both"/>
        <w:rPr>
          <w:rFonts w:ascii="Arial" w:eastAsia="Calibri" w:hAnsi="Arial" w:cs="Arial"/>
          <w:lang w:eastAsia="en-GB"/>
          <w14:ligatures w14:val="none"/>
        </w:rPr>
      </w:pPr>
      <w:r w:rsidRPr="00DD7338">
        <w:rPr>
          <w:rFonts w:ascii="Arial" w:eastAsia="Calibri" w:hAnsi="Arial" w:cs="Arial"/>
          <w:lang w:eastAsia="en-GB"/>
          <w14:ligatures w14:val="none"/>
        </w:rPr>
        <w:lastRenderedPageBreak/>
        <w:t xml:space="preserve"> </w:t>
      </w:r>
    </w:p>
    <w:p w14:paraId="5064539D" w14:textId="3F8FCEA1" w:rsidR="00C93D66" w:rsidRPr="00DD7338" w:rsidRDefault="00C93D66" w:rsidP="00DD7338">
      <w:pPr>
        <w:spacing w:before="100" w:beforeAutospacing="1" w:after="0" w:line="360" w:lineRule="auto"/>
        <w:jc w:val="both"/>
        <w:rPr>
          <w:rFonts w:ascii="Arial" w:eastAsia="Calibri" w:hAnsi="Arial" w:cs="Arial"/>
          <w:lang w:eastAsia="en-GB"/>
          <w14:ligatures w14:val="none"/>
        </w:rPr>
      </w:pPr>
    </w:p>
    <w:p w14:paraId="33E88B19" w14:textId="77777777" w:rsidR="00C93D66" w:rsidRPr="00DD7338" w:rsidRDefault="00C93D66" w:rsidP="00DD7338">
      <w:pPr>
        <w:keepNext/>
        <w:keepLines/>
        <w:widowControl w:val="0"/>
        <w:spacing w:before="240" w:after="0" w:line="360" w:lineRule="auto"/>
        <w:outlineLvl w:val="0"/>
        <w:rPr>
          <w:rFonts w:ascii="Calibri Light" w:eastAsia="DengXian Light" w:hAnsi="Calibri Light" w:cs="Times New Roman"/>
          <w:b/>
          <w:bCs/>
          <w:color w:val="2F5496"/>
          <w:lang w:eastAsia="en-GB"/>
          <w14:ligatures w14:val="none"/>
        </w:rPr>
      </w:pPr>
      <w:bookmarkStart w:id="37" w:name="_Toc236413429"/>
      <w:bookmarkStart w:id="38" w:name="_Toc27350"/>
      <w:bookmarkStart w:id="39" w:name="_Toc236926595"/>
      <w:bookmarkStart w:id="40" w:name="_Toc236926676"/>
      <w:bookmarkStart w:id="41" w:name="_Toc236926786"/>
      <w:bookmarkStart w:id="42" w:name="_Toc236926998"/>
      <w:bookmarkStart w:id="43" w:name="_Toc236927791"/>
      <w:bookmarkEnd w:id="37"/>
      <w:r w:rsidRPr="00DD7338">
        <w:rPr>
          <w:rFonts w:ascii="Calibri Light" w:eastAsia="DengXian Light" w:hAnsi="Calibri Light" w:cs="Times New Roman"/>
          <w:b/>
          <w:bCs/>
          <w:color w:val="2F5496"/>
          <w:lang w:eastAsia="en-GB"/>
          <w14:ligatures w14:val="none"/>
        </w:rPr>
        <w:t>References</w:t>
      </w:r>
      <w:bookmarkEnd w:id="38"/>
      <w:bookmarkEnd w:id="39"/>
      <w:bookmarkEnd w:id="40"/>
      <w:bookmarkEnd w:id="41"/>
      <w:bookmarkEnd w:id="42"/>
      <w:bookmarkEnd w:id="43"/>
    </w:p>
    <w:p w14:paraId="7B2D087C" w14:textId="77777777" w:rsidR="00C93D66" w:rsidRPr="00DD7338" w:rsidRDefault="00C93D66" w:rsidP="00DD7338">
      <w:pPr>
        <w:spacing w:before="100" w:beforeAutospacing="1" w:after="0" w:line="360" w:lineRule="auto"/>
        <w:ind w:left="720" w:hanging="720"/>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Aveyard, H. and Sharp, P. (2021) </w:t>
      </w:r>
      <w:r w:rsidRPr="00DD7338">
        <w:rPr>
          <w:rFonts w:ascii="Arial" w:eastAsia="Calibri" w:hAnsi="Arial" w:cs="Arial"/>
          <w:i/>
          <w:iCs/>
          <w:lang w:eastAsia="en-GB"/>
          <w14:ligatures w14:val="none"/>
        </w:rPr>
        <w:t>A Beginner's Guide to Evidence-Based Practice in Health and Social Care</w:t>
      </w:r>
      <w:r w:rsidRPr="00DD7338">
        <w:rPr>
          <w:rFonts w:ascii="Arial" w:eastAsia="Calibri" w:hAnsi="Arial" w:cs="Arial"/>
          <w:lang w:eastAsia="en-GB"/>
          <w14:ligatures w14:val="none"/>
        </w:rPr>
        <w:t>. 4th edn. London: Open University Press.</w:t>
      </w:r>
    </w:p>
    <w:p w14:paraId="09AB650D" w14:textId="77777777" w:rsidR="00C93D66" w:rsidRPr="00DD7338" w:rsidRDefault="00C93D66" w:rsidP="00DD7338">
      <w:pPr>
        <w:spacing w:before="100" w:beforeAutospacing="1" w:after="0" w:line="360" w:lineRule="auto"/>
        <w:ind w:left="720" w:hanging="720"/>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Costantini, L. et al. (2021) 'Screening for depression in primary care with Patient Health Questionnaire-9 (PHQ-9): A systematic review', </w:t>
      </w:r>
      <w:r w:rsidRPr="00DD7338">
        <w:rPr>
          <w:rFonts w:ascii="Arial" w:eastAsia="Calibri" w:hAnsi="Arial" w:cs="Arial"/>
          <w:i/>
          <w:iCs/>
          <w:lang w:eastAsia="en-GB"/>
          <w14:ligatures w14:val="none"/>
        </w:rPr>
        <w:t>Journal of Affective Disorders</w:t>
      </w:r>
      <w:r w:rsidRPr="00DD7338">
        <w:rPr>
          <w:rFonts w:ascii="Arial" w:eastAsia="Calibri" w:hAnsi="Arial" w:cs="Arial"/>
          <w:lang w:eastAsia="en-GB"/>
          <w14:ligatures w14:val="none"/>
        </w:rPr>
        <w:t>, 279, pp. 473-483.</w:t>
      </w:r>
    </w:p>
    <w:p w14:paraId="0F505BB3" w14:textId="77777777" w:rsidR="00C93D66" w:rsidRPr="00DD7338" w:rsidRDefault="00C93D66" w:rsidP="00DD7338">
      <w:pPr>
        <w:spacing w:before="100" w:beforeAutospacing="1" w:after="0" w:line="360" w:lineRule="auto"/>
        <w:ind w:left="720" w:hanging="720"/>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Naidoo, J. and Wills, J. (2022) </w:t>
      </w:r>
      <w:r w:rsidRPr="00DD7338">
        <w:rPr>
          <w:rFonts w:ascii="Arial" w:eastAsia="Calibri" w:hAnsi="Arial" w:cs="Arial"/>
          <w:i/>
          <w:iCs/>
          <w:lang w:eastAsia="en-GB"/>
          <w14:ligatures w14:val="none"/>
        </w:rPr>
        <w:t>Public Health: An Introduction</w:t>
      </w:r>
      <w:r w:rsidRPr="00DD7338">
        <w:rPr>
          <w:rFonts w:ascii="Arial" w:eastAsia="Calibri" w:hAnsi="Arial" w:cs="Arial"/>
          <w:lang w:eastAsia="en-GB"/>
          <w14:ligatures w14:val="none"/>
        </w:rPr>
        <w:t>. Singapore: Springer Nature Singapore.</w:t>
      </w:r>
    </w:p>
    <w:p w14:paraId="18DA8971" w14:textId="77777777" w:rsidR="00C93D66" w:rsidRPr="00DD7338" w:rsidRDefault="00C93D66" w:rsidP="00DD7338">
      <w:pPr>
        <w:spacing w:before="100" w:beforeAutospacing="1" w:after="0" w:line="360" w:lineRule="auto"/>
        <w:ind w:left="720" w:hanging="720"/>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National Institute for Health and Care Excellence (NICE) (2022) </w:t>
      </w:r>
      <w:r w:rsidRPr="00DD7338">
        <w:rPr>
          <w:rFonts w:ascii="Arial" w:eastAsia="Calibri" w:hAnsi="Arial" w:cs="Arial"/>
          <w:i/>
          <w:iCs/>
          <w:lang w:eastAsia="en-GB"/>
          <w14:ligatures w14:val="none"/>
        </w:rPr>
        <w:t>Depression in Adults: Treatment and Management (NG222).</w:t>
      </w:r>
      <w:r w:rsidRPr="00DD7338">
        <w:rPr>
          <w:rFonts w:ascii="Arial" w:eastAsia="Calibri" w:hAnsi="Arial" w:cs="Arial"/>
          <w:lang w:eastAsia="en-GB"/>
          <w14:ligatures w14:val="none"/>
        </w:rPr>
        <w:t xml:space="preserve"> London: NICE. Available at: </w:t>
      </w:r>
      <w:hyperlink r:id="rId7" w:history="1">
        <w:r w:rsidRPr="00DD7338">
          <w:rPr>
            <w:rFonts w:ascii="Arial" w:eastAsia="Calibri" w:hAnsi="Arial" w:cs="Arial"/>
            <w:color w:val="0563C1"/>
            <w:u w:val="single"/>
            <w:lang w:eastAsia="en-GB"/>
            <w14:ligatures w14:val="none"/>
          </w:rPr>
          <w:t>https://www.nice.org.uk/guidance/ng222</w:t>
        </w:r>
      </w:hyperlink>
      <w:r w:rsidRPr="00DD7338">
        <w:rPr>
          <w:rFonts w:ascii="Arial" w:eastAsia="Calibri" w:hAnsi="Arial" w:cs="Arial"/>
          <w:lang w:eastAsia="en-GB"/>
          <w14:ligatures w14:val="none"/>
        </w:rPr>
        <w:t xml:space="preserve"> </w:t>
      </w:r>
    </w:p>
    <w:p w14:paraId="12D77C5C" w14:textId="77777777" w:rsidR="00C93D66" w:rsidRPr="00DD7338" w:rsidRDefault="00C93D66" w:rsidP="00DD7338">
      <w:pPr>
        <w:spacing w:before="100" w:beforeAutospacing="1" w:after="0" w:line="360" w:lineRule="auto"/>
        <w:ind w:left="720" w:hanging="720"/>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Office for National Statistics (ONS) (2025) </w:t>
      </w:r>
      <w:r w:rsidRPr="00DD7338">
        <w:rPr>
          <w:rFonts w:ascii="Arial" w:eastAsia="Calibri" w:hAnsi="Arial" w:cs="Arial"/>
          <w:i/>
          <w:iCs/>
          <w:lang w:eastAsia="en-GB"/>
          <w14:ligatures w14:val="none"/>
        </w:rPr>
        <w:t>Adult Depression Symptoms in Great Britain: 2025.</w:t>
      </w:r>
      <w:r w:rsidRPr="00DD7338">
        <w:rPr>
          <w:rFonts w:ascii="Arial" w:eastAsia="Calibri" w:hAnsi="Arial" w:cs="Arial"/>
          <w:lang w:eastAsia="en-GB"/>
          <w14:ligatures w14:val="none"/>
        </w:rPr>
        <w:t xml:space="preserve"> Newport: Office for National Statistics. Available at: </w:t>
      </w:r>
      <w:hyperlink r:id="rId8" w:history="1">
        <w:r w:rsidRPr="00DD7338">
          <w:rPr>
            <w:rFonts w:ascii="Arial" w:eastAsia="Calibri" w:hAnsi="Arial" w:cs="Arial"/>
            <w:color w:val="0563C1"/>
            <w:u w:val="single"/>
            <w:lang w:eastAsia="en-GB"/>
            <w14:ligatures w14:val="none"/>
          </w:rPr>
          <w:t>https://www.ons.gov.uk</w:t>
        </w:r>
      </w:hyperlink>
      <w:r w:rsidRPr="00DD7338">
        <w:rPr>
          <w:rFonts w:ascii="Arial" w:eastAsia="Calibri" w:hAnsi="Arial" w:cs="Arial"/>
          <w:lang w:eastAsia="en-GB"/>
          <w14:ligatures w14:val="none"/>
        </w:rPr>
        <w:t xml:space="preserve"> </w:t>
      </w:r>
    </w:p>
    <w:p w14:paraId="6FCA93C2" w14:textId="77777777" w:rsidR="00C93D66" w:rsidRPr="00DD7338" w:rsidRDefault="00C93D66" w:rsidP="00DD7338">
      <w:pPr>
        <w:spacing w:before="100" w:beforeAutospacing="1" w:after="0" w:line="360" w:lineRule="auto"/>
        <w:ind w:left="720" w:hanging="720"/>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Remes, O., Mendes, J.F. and Templeton, P. (2021) 'Biological, psychological, and social determinants of depression: A review of recent literature', </w:t>
      </w:r>
      <w:r w:rsidRPr="00DD7338">
        <w:rPr>
          <w:rFonts w:ascii="Arial" w:eastAsia="Calibri" w:hAnsi="Arial" w:cs="Arial"/>
          <w:i/>
          <w:iCs/>
          <w:lang w:eastAsia="en-GB"/>
          <w14:ligatures w14:val="none"/>
        </w:rPr>
        <w:t>Brain Sciences</w:t>
      </w:r>
      <w:r w:rsidRPr="00DD7338">
        <w:rPr>
          <w:rFonts w:ascii="Arial" w:eastAsia="Calibri" w:hAnsi="Arial" w:cs="Arial"/>
          <w:lang w:eastAsia="en-GB"/>
          <w14:ligatures w14:val="none"/>
        </w:rPr>
        <w:t>, 11(12), p. 1633.</w:t>
      </w:r>
    </w:p>
    <w:p w14:paraId="49937E79" w14:textId="77777777" w:rsidR="00C93D66" w:rsidRPr="00DD7338" w:rsidRDefault="00C93D66" w:rsidP="00DD7338">
      <w:pPr>
        <w:spacing w:before="100" w:beforeAutospacing="1" w:after="0" w:line="360" w:lineRule="auto"/>
        <w:ind w:left="720" w:hanging="720"/>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Roth, C. et al. (2021) 'Experiences of healthcare staff providing community-based mental healthcare as a multidisciplinary community mental health team in Central and Eastern Europe: findings from the RECOVER-E project', </w:t>
      </w:r>
      <w:r w:rsidRPr="00DD7338">
        <w:rPr>
          <w:rFonts w:ascii="Arial" w:eastAsia="Calibri" w:hAnsi="Arial" w:cs="Arial"/>
          <w:i/>
          <w:iCs/>
          <w:lang w:eastAsia="en-GB"/>
          <w14:ligatures w14:val="none"/>
        </w:rPr>
        <w:t>BMC Psychiatry</w:t>
      </w:r>
      <w:r w:rsidRPr="00DD7338">
        <w:rPr>
          <w:rFonts w:ascii="Arial" w:eastAsia="Calibri" w:hAnsi="Arial" w:cs="Arial"/>
          <w:lang w:eastAsia="en-GB"/>
          <w14:ligatures w14:val="none"/>
        </w:rPr>
        <w:t>, 21, p. 525.</w:t>
      </w:r>
    </w:p>
    <w:p w14:paraId="3A67D1AE" w14:textId="77777777" w:rsidR="00C93D66" w:rsidRPr="00DD7338" w:rsidRDefault="00C93D66" w:rsidP="00DD7338">
      <w:pPr>
        <w:spacing w:before="100" w:beforeAutospacing="1" w:after="0" w:line="360" w:lineRule="auto"/>
        <w:ind w:left="720" w:hanging="720"/>
        <w:jc w:val="both"/>
        <w:rPr>
          <w:rFonts w:ascii="Arial" w:eastAsia="Calibri" w:hAnsi="Arial" w:cs="Arial"/>
          <w:lang w:eastAsia="en-GB"/>
          <w14:ligatures w14:val="none"/>
        </w:rPr>
      </w:pPr>
      <w:r w:rsidRPr="00DD7338">
        <w:rPr>
          <w:rFonts w:ascii="Arial" w:eastAsia="Calibri" w:hAnsi="Arial" w:cs="Arial"/>
          <w:lang w:eastAsia="en-GB"/>
          <w14:ligatures w14:val="none"/>
        </w:rPr>
        <w:t xml:space="preserve">Santomauro, D.F. et al. (2021) 'Global prevalence and burden of depressive and anxiety disorders in 204 countries and territories in 2020 due to the COVID-19 pandemic', </w:t>
      </w:r>
      <w:r w:rsidRPr="00DD7338">
        <w:rPr>
          <w:rFonts w:ascii="Arial" w:eastAsia="Calibri" w:hAnsi="Arial" w:cs="Arial"/>
          <w:i/>
          <w:iCs/>
          <w:lang w:eastAsia="en-GB"/>
          <w14:ligatures w14:val="none"/>
        </w:rPr>
        <w:t>The Lancet</w:t>
      </w:r>
      <w:r w:rsidRPr="00DD7338">
        <w:rPr>
          <w:rFonts w:ascii="Arial" w:eastAsia="Calibri" w:hAnsi="Arial" w:cs="Arial"/>
          <w:lang w:eastAsia="en-GB"/>
          <w14:ligatures w14:val="none"/>
        </w:rPr>
        <w:t>, 398(10312), pp. 1700-1712.</w:t>
      </w:r>
    </w:p>
    <w:p w14:paraId="3BE3E55D" w14:textId="77777777" w:rsidR="00C93D66" w:rsidRPr="00DD7338" w:rsidRDefault="00C93D66" w:rsidP="00DD7338">
      <w:pPr>
        <w:spacing w:before="100" w:beforeAutospacing="1" w:after="0" w:line="360" w:lineRule="auto"/>
        <w:ind w:left="720" w:hanging="720"/>
        <w:jc w:val="both"/>
        <w:rPr>
          <w:rFonts w:ascii="Arial" w:eastAsia="Calibri" w:hAnsi="Arial" w:cs="Arial"/>
          <w:lang w:eastAsia="en-GB"/>
          <w14:ligatures w14:val="none"/>
        </w:rPr>
      </w:pPr>
      <w:r w:rsidRPr="00DD7338">
        <w:rPr>
          <w:rFonts w:ascii="Arial" w:eastAsia="Calibri" w:hAnsi="Arial" w:cs="Arial"/>
          <w:lang w:eastAsia="en-GB"/>
          <w14:ligatures w14:val="none"/>
        </w:rPr>
        <w:lastRenderedPageBreak/>
        <w:t xml:space="preserve">The Lancet Global Health (2020) 'Mental health matters', </w:t>
      </w:r>
      <w:r w:rsidRPr="00DD7338">
        <w:rPr>
          <w:rFonts w:ascii="Arial" w:eastAsia="Calibri" w:hAnsi="Arial" w:cs="Arial"/>
          <w:i/>
          <w:iCs/>
          <w:lang w:eastAsia="en-GB"/>
          <w14:ligatures w14:val="none"/>
        </w:rPr>
        <w:t>The Lancet Global Health</w:t>
      </w:r>
      <w:r w:rsidRPr="00DD7338">
        <w:rPr>
          <w:rFonts w:ascii="Arial" w:eastAsia="Calibri" w:hAnsi="Arial" w:cs="Arial"/>
          <w:lang w:eastAsia="en-GB"/>
          <w14:ligatures w14:val="none"/>
        </w:rPr>
        <w:t>, 8(11), p. e1352.</w:t>
      </w:r>
    </w:p>
    <w:p w14:paraId="30E302DE" w14:textId="77777777" w:rsidR="00C93D66" w:rsidRPr="00C93D66" w:rsidRDefault="00C93D66" w:rsidP="00C93D66">
      <w:pPr>
        <w:spacing w:before="100" w:beforeAutospacing="1" w:after="0" w:line="360" w:lineRule="auto"/>
        <w:ind w:left="720" w:hanging="720"/>
        <w:jc w:val="both"/>
        <w:rPr>
          <w:rFonts w:ascii="Arial" w:eastAsia="Calibri" w:hAnsi="Arial" w:cs="Arial"/>
          <w:lang w:eastAsia="en-GB"/>
          <w14:ligatures w14:val="none"/>
        </w:rPr>
      </w:pPr>
      <w:r w:rsidRPr="00C93D66">
        <w:rPr>
          <w:rFonts w:ascii="Arial" w:eastAsia="Calibri" w:hAnsi="Arial" w:cs="Arial"/>
          <w:lang w:eastAsia="en-GB"/>
          <w14:ligatures w14:val="none"/>
        </w:rPr>
        <w:t xml:space="preserve">World Health Organization (WHO) (2025) </w:t>
      </w:r>
      <w:r w:rsidRPr="00C93D66">
        <w:rPr>
          <w:rFonts w:ascii="Arial" w:eastAsia="Calibri" w:hAnsi="Arial" w:cs="Arial"/>
          <w:i/>
          <w:iCs/>
          <w:lang w:eastAsia="en-GB"/>
          <w14:ligatures w14:val="none"/>
        </w:rPr>
        <w:t>Depression.</w:t>
      </w:r>
      <w:r w:rsidRPr="00C93D66">
        <w:rPr>
          <w:rFonts w:ascii="Arial" w:eastAsia="Calibri" w:hAnsi="Arial" w:cs="Arial"/>
          <w:lang w:eastAsia="en-GB"/>
          <w14:ligatures w14:val="none"/>
        </w:rPr>
        <w:t xml:space="preserve"> Geneva: World Health Organization. Available at: </w:t>
      </w:r>
      <w:hyperlink r:id="rId9" w:history="1">
        <w:r w:rsidRPr="00C93D66">
          <w:rPr>
            <w:rFonts w:ascii="Arial" w:eastAsia="Calibri" w:hAnsi="Arial" w:cs="Arial"/>
            <w:color w:val="0563C1"/>
            <w:u w:val="single"/>
            <w:lang w:eastAsia="en-GB"/>
            <w14:ligatures w14:val="none"/>
          </w:rPr>
          <w:t>https://www.who.int/news-room/fact-sheets/detail/depression</w:t>
        </w:r>
      </w:hyperlink>
      <w:r w:rsidRPr="00C93D66">
        <w:rPr>
          <w:rFonts w:ascii="Arial" w:eastAsia="Calibri" w:hAnsi="Arial" w:cs="Arial"/>
          <w:lang w:eastAsia="en-GB"/>
          <w14:ligatures w14:val="none"/>
        </w:rPr>
        <w:t xml:space="preserve"> </w:t>
      </w:r>
    </w:p>
    <w:p w14:paraId="0FF1CF93" w14:textId="77777777" w:rsidR="00C93D66" w:rsidRPr="00C93D66" w:rsidRDefault="00C93D66" w:rsidP="00C93D66">
      <w:pPr>
        <w:spacing w:before="100" w:beforeAutospacing="1" w:after="0" w:line="360" w:lineRule="auto"/>
        <w:ind w:left="720" w:hanging="720"/>
        <w:jc w:val="both"/>
        <w:rPr>
          <w:rFonts w:ascii="Arial" w:eastAsia="Calibri" w:hAnsi="Arial" w:cs="Arial"/>
          <w:lang w:eastAsia="en-GB"/>
          <w14:ligatures w14:val="none"/>
        </w:rPr>
      </w:pPr>
      <w:r w:rsidRPr="00C93D66">
        <w:rPr>
          <w:rFonts w:ascii="Arial" w:eastAsia="Calibri" w:hAnsi="Arial" w:cs="Arial"/>
          <w:lang w:eastAsia="en-GB"/>
          <w14:ligatures w14:val="none"/>
        </w:rPr>
        <w:t xml:space="preserve"> </w:t>
      </w:r>
    </w:p>
    <w:p w14:paraId="31F9CCBB" w14:textId="38D2A3D0" w:rsidR="0054239A" w:rsidRPr="0056238E" w:rsidRDefault="0054239A" w:rsidP="0056238E"/>
    <w:sectPr w:rsidR="0054239A" w:rsidRPr="005623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2C8A"/>
    <w:multiLevelType w:val="multilevel"/>
    <w:tmpl w:val="C2023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124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en-US" w:vendorID="64" w:dllVersion="0" w:nlCheck="1" w:checkStyle="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94F"/>
    <w:rsid w:val="000D53ED"/>
    <w:rsid w:val="00112C8A"/>
    <w:rsid w:val="00146DE9"/>
    <w:rsid w:val="001C33D7"/>
    <w:rsid w:val="00250E2A"/>
    <w:rsid w:val="003A048D"/>
    <w:rsid w:val="004647D1"/>
    <w:rsid w:val="00524310"/>
    <w:rsid w:val="00532976"/>
    <w:rsid w:val="0054239A"/>
    <w:rsid w:val="0056238E"/>
    <w:rsid w:val="005660CE"/>
    <w:rsid w:val="00657142"/>
    <w:rsid w:val="008D56B0"/>
    <w:rsid w:val="008F2551"/>
    <w:rsid w:val="009038A2"/>
    <w:rsid w:val="00933DCD"/>
    <w:rsid w:val="00A67D69"/>
    <w:rsid w:val="00AB2E51"/>
    <w:rsid w:val="00AF5C32"/>
    <w:rsid w:val="00B47B47"/>
    <w:rsid w:val="00B85F52"/>
    <w:rsid w:val="00C119D5"/>
    <w:rsid w:val="00C612C3"/>
    <w:rsid w:val="00C93D66"/>
    <w:rsid w:val="00D76B1B"/>
    <w:rsid w:val="00DD7338"/>
    <w:rsid w:val="00E5294F"/>
    <w:rsid w:val="00E9190E"/>
    <w:rsid w:val="00EA3CA2"/>
    <w:rsid w:val="00EE5384"/>
    <w:rsid w:val="00EF08D7"/>
    <w:rsid w:val="00F50132"/>
    <w:rsid w:val="00FF0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BBBB0"/>
  <w15:chartTrackingRefBased/>
  <w15:docId w15:val="{B8180924-52C1-43EB-9469-EB70A7747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29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29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29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29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29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29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29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29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29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9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29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29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29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29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29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29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29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294F"/>
    <w:rPr>
      <w:rFonts w:eastAsiaTheme="majorEastAsia" w:cstheme="majorBidi"/>
      <w:color w:val="272727" w:themeColor="text1" w:themeTint="D8"/>
    </w:rPr>
  </w:style>
  <w:style w:type="paragraph" w:styleId="Title">
    <w:name w:val="Title"/>
    <w:basedOn w:val="Normal"/>
    <w:next w:val="Normal"/>
    <w:link w:val="TitleChar"/>
    <w:uiPriority w:val="10"/>
    <w:qFormat/>
    <w:rsid w:val="00E529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29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29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29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294F"/>
    <w:pPr>
      <w:spacing w:before="160"/>
      <w:jc w:val="center"/>
    </w:pPr>
    <w:rPr>
      <w:i/>
      <w:iCs/>
      <w:color w:val="404040" w:themeColor="text1" w:themeTint="BF"/>
    </w:rPr>
  </w:style>
  <w:style w:type="character" w:customStyle="1" w:styleId="QuoteChar">
    <w:name w:val="Quote Char"/>
    <w:basedOn w:val="DefaultParagraphFont"/>
    <w:link w:val="Quote"/>
    <w:uiPriority w:val="29"/>
    <w:rsid w:val="00E5294F"/>
    <w:rPr>
      <w:i/>
      <w:iCs/>
      <w:color w:val="404040" w:themeColor="text1" w:themeTint="BF"/>
    </w:rPr>
  </w:style>
  <w:style w:type="paragraph" w:styleId="ListParagraph">
    <w:name w:val="List Paragraph"/>
    <w:basedOn w:val="Normal"/>
    <w:uiPriority w:val="34"/>
    <w:qFormat/>
    <w:rsid w:val="00E5294F"/>
    <w:pPr>
      <w:ind w:left="720"/>
      <w:contextualSpacing/>
    </w:pPr>
  </w:style>
  <w:style w:type="character" w:styleId="IntenseEmphasis">
    <w:name w:val="Intense Emphasis"/>
    <w:basedOn w:val="DefaultParagraphFont"/>
    <w:uiPriority w:val="21"/>
    <w:qFormat/>
    <w:rsid w:val="00E5294F"/>
    <w:rPr>
      <w:i/>
      <w:iCs/>
      <w:color w:val="0F4761" w:themeColor="accent1" w:themeShade="BF"/>
    </w:rPr>
  </w:style>
  <w:style w:type="paragraph" w:styleId="IntenseQuote">
    <w:name w:val="Intense Quote"/>
    <w:basedOn w:val="Normal"/>
    <w:next w:val="Normal"/>
    <w:link w:val="IntenseQuoteChar"/>
    <w:uiPriority w:val="30"/>
    <w:qFormat/>
    <w:rsid w:val="00E529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294F"/>
    <w:rPr>
      <w:i/>
      <w:iCs/>
      <w:color w:val="0F4761" w:themeColor="accent1" w:themeShade="BF"/>
    </w:rPr>
  </w:style>
  <w:style w:type="character" w:styleId="IntenseReference">
    <w:name w:val="Intense Reference"/>
    <w:basedOn w:val="DefaultParagraphFont"/>
    <w:uiPriority w:val="32"/>
    <w:qFormat/>
    <w:rsid w:val="00E5294F"/>
    <w:rPr>
      <w:b/>
      <w:bCs/>
      <w:smallCaps/>
      <w:color w:val="0F4761" w:themeColor="accent1" w:themeShade="BF"/>
      <w:spacing w:val="5"/>
    </w:rPr>
  </w:style>
  <w:style w:type="paragraph" w:styleId="TOCHeading">
    <w:name w:val="TOC Heading"/>
    <w:basedOn w:val="Heading1"/>
    <w:next w:val="Normal"/>
    <w:uiPriority w:val="39"/>
    <w:unhideWhenUsed/>
    <w:qFormat/>
    <w:rsid w:val="00DD733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D7338"/>
    <w:pPr>
      <w:spacing w:after="100"/>
    </w:pPr>
  </w:style>
  <w:style w:type="paragraph" w:styleId="TOC2">
    <w:name w:val="toc 2"/>
    <w:basedOn w:val="Normal"/>
    <w:next w:val="Normal"/>
    <w:autoRedefine/>
    <w:uiPriority w:val="39"/>
    <w:unhideWhenUsed/>
    <w:rsid w:val="00DD7338"/>
    <w:pPr>
      <w:spacing w:after="100"/>
      <w:ind w:left="240"/>
    </w:pPr>
  </w:style>
  <w:style w:type="character" w:styleId="Hyperlink">
    <w:name w:val="Hyperlink"/>
    <w:basedOn w:val="DefaultParagraphFont"/>
    <w:uiPriority w:val="99"/>
    <w:unhideWhenUsed/>
    <w:rsid w:val="00DD7338"/>
    <w:rPr>
      <w:color w:val="467886" w:themeColor="hyperlink"/>
      <w:u w:val="single"/>
    </w:rPr>
  </w:style>
  <w:style w:type="paragraph" w:styleId="TOC3">
    <w:name w:val="toc 3"/>
    <w:basedOn w:val="Normal"/>
    <w:next w:val="Normal"/>
    <w:autoRedefine/>
    <w:uiPriority w:val="39"/>
    <w:unhideWhenUsed/>
    <w:rsid w:val="00E9190E"/>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 TargetMode="External"/><Relationship Id="rId3" Type="http://schemas.openxmlformats.org/officeDocument/2006/relationships/styles" Target="styles.xml"/><Relationship Id="rId7" Type="http://schemas.openxmlformats.org/officeDocument/2006/relationships/hyperlink" Target="https://www.nice.org.uk/guidance/ng2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ho.int/news-room/fact-sheets/detail/depr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22974-8B22-4C8C-9ACD-23E2F04C0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9</Pages>
  <Words>2000</Words>
  <Characters>11403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abioudun</dc:creator>
  <cp:keywords/>
  <dc:description/>
  <cp:lastModifiedBy>Abiodun Ojekunle (2527750)</cp:lastModifiedBy>
  <cp:revision>11</cp:revision>
  <dcterms:created xsi:type="dcterms:W3CDTF">2026-08-06T16:18:00Z</dcterms:created>
  <dcterms:modified xsi:type="dcterms:W3CDTF">2026-08-08T16:25:00Z</dcterms:modified>
</cp:coreProperties>
</file>