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rPr>
          <w:b w:val="1"/>
          <w:bCs w:val="1"/>
          <w:u w:val="single"/>
        </w:rPr>
      </w:pPr>
      <w:r>
        <w:rPr>
          <w:u w:val="single"/>
          <w:rtl w:val="0"/>
          <w:lang w:val="en-US"/>
        </w:rPr>
        <w:t>Links between poverty and children</w:t>
      </w:r>
      <w:r>
        <w:rPr>
          <w:u w:val="single"/>
          <w:rtl w:val="0"/>
          <w:lang w:val="en-US"/>
        </w:rPr>
        <w:t>’</w:t>
      </w:r>
      <w:r>
        <w:rPr>
          <w:u w:val="single"/>
          <w:rtl w:val="0"/>
          <w:lang w:val="en-US"/>
        </w:rPr>
        <w:t xml:space="preserve">s quality of life </w:t>
      </w:r>
      <w:r>
        <w:rPr>
          <w:b w:val="1"/>
          <w:bCs w:val="1"/>
          <w:u w:val="single"/>
          <w:rtl w:val="0"/>
          <w:lang w:val="en-US"/>
        </w:rPr>
        <w:t>in Wales</w:t>
      </w:r>
    </w:p>
    <w:p>
      <w:pPr>
        <w:pStyle w:val="Body"/>
        <w:spacing w:line="360" w:lineRule="auto"/>
      </w:pPr>
    </w:p>
    <w:p>
      <w:pPr>
        <w:pStyle w:val="Body"/>
        <w:spacing w:line="360" w:lineRule="auto"/>
      </w:pPr>
      <w:r>
        <w:rPr>
          <w:rtl w:val="0"/>
          <w:lang w:val="en-US"/>
        </w:rPr>
        <w:t xml:space="preserve">Joseph Rowntree Foundation released a report in 2016 that looked into the links between poverty and Additional Learning Needs in UK. The report </w:t>
      </w:r>
      <w:r>
        <w:rPr>
          <w:rtl w:val="0"/>
          <w:lang w:val="en-US"/>
        </w:rPr>
        <w:t>‘</w:t>
      </w:r>
      <w:r>
        <w:rPr>
          <w:rtl w:val="0"/>
          <w:lang w:val="en-US"/>
        </w:rPr>
        <w:t>Special educational needs and their links to poverty</w:t>
      </w:r>
      <w:r>
        <w:rPr>
          <w:rtl w:val="0"/>
          <w:lang w:val="en-US"/>
        </w:rPr>
        <w:t xml:space="preserve">’ </w:t>
      </w:r>
      <w:r>
        <w:rPr>
          <w:rtl w:val="0"/>
          <w:lang w:val="en-US"/>
        </w:rPr>
        <w:t xml:space="preserve">found a very strong relation between children living in poverty and their likely chances to struggle at school and so need additional support. The report states that being diagnosed with SEND can be both: a cause of poverty and an effect of living in poverty. Another paper by JRF released in 2013 explains that in Wales on average about 17% of children live in relative poverty. </w:t>
      </w:r>
      <w:r>
        <w:rPr>
          <w:rtl w:val="0"/>
          <w:lang w:val="en-US"/>
        </w:rPr>
        <w:t xml:space="preserve">The NHS Wales report (2013) reported that 19.3% of pupils at school were eligible for free school meals (ages between 5-15) in 2011/12. </w:t>
      </w:r>
      <w:r>
        <w:rPr>
          <w:rtl w:val="0"/>
          <w:lang w:val="en-US"/>
        </w:rPr>
        <w:t>ESTYN (2010) reports that children from less fortunate families are much more likely to have low accomplishment levels at school in comparison to the rest of students. It was found the children to receive free meals at school also receive lower results than pupils who are not entitled to free school meals. It is evident there is a strong link between poverty and low educational achievement.</w:t>
      </w:r>
    </w:p>
    <w:p>
      <w:pPr>
        <w:pStyle w:val="Body"/>
        <w:spacing w:line="360" w:lineRule="auto"/>
      </w:pPr>
    </w:p>
    <w:p>
      <w:pPr>
        <w:pStyle w:val="Body"/>
        <w:spacing w:line="360" w:lineRule="auto"/>
      </w:pPr>
      <w:r>
        <w:rPr>
          <w:rtl w:val="0"/>
          <w:lang w:val="en-US"/>
        </w:rPr>
        <w:t xml:space="preserve">In 2010/11 3.1% of children at school, aged 5-15 were found to have a SEN statement as reported in the NHS Wales report. The report also states that persons without qualification or education are at a much higher risk of facing financial difficulties due to unemployment or low income. It was pointed out in the NHS report that education has a direct impact on health (mental and physical), confidence levels, and stress levels. Lack of education or poor quality education leads to poorer health, more stress and lower confidence in individuals. </w:t>
      </w:r>
    </w:p>
    <w:p>
      <w:pPr>
        <w:pStyle w:val="Body"/>
        <w:spacing w:line="360" w:lineRule="auto"/>
      </w:pPr>
    </w:p>
    <w:p>
      <w:pPr>
        <w:pStyle w:val="Body"/>
        <w:spacing w:line="360" w:lineRule="auto"/>
      </w:pPr>
      <w:r>
        <w:rPr>
          <w:rtl w:val="0"/>
          <w:lang w:val="en-US"/>
        </w:rPr>
        <w:t xml:space="preserve">It was calculated by </w:t>
      </w:r>
      <w:r>
        <w:rPr>
          <w:rtl w:val="0"/>
          <w:lang w:val="en-US"/>
        </w:rPr>
        <w:t xml:space="preserve">The Welsh Government (2015) </w:t>
      </w:r>
      <w:r>
        <w:rPr>
          <w:rtl w:val="0"/>
          <w:lang w:val="en-US"/>
        </w:rPr>
        <w:t>that 22.5% of children in schools in Wales have been identified to have ALN,11.8% of those identified to have ALN have a statement to tackle their more extensive and advanced needs. This works out as 2.7% of all children in school.</w:t>
      </w:r>
    </w:p>
    <w:p>
      <w:pPr>
        <w:pStyle w:val="Body"/>
        <w:spacing w:line="360" w:lineRule="auto"/>
      </w:pPr>
    </w:p>
    <w:p>
      <w:pPr>
        <w:pStyle w:val="Body"/>
        <w:spacing w:line="360" w:lineRule="auto"/>
      </w:pPr>
      <w:r>
        <w:rPr>
          <w:rtl w:val="0"/>
          <w:lang w:val="en-US"/>
        </w:rPr>
        <w:t>According to the JRF (2013) at family and community level the only stable and constant provision that the Welsh Government provides in schools is the Flying Start. Other two provisions provided by the Welsh Government are Families First and Communities First. These programmes provide adults with parenting techniques as well as try to inspire the part-takers and their children to raise their ambitions and improve their attitudes in every aspect.</w:t>
      </w:r>
    </w:p>
    <w:p>
      <w:pPr>
        <w:pStyle w:val="Body"/>
        <w:spacing w:line="360" w:lineRule="auto"/>
      </w:pPr>
    </w:p>
    <w:p>
      <w:pPr>
        <w:pStyle w:val="Body"/>
        <w:spacing w:line="360" w:lineRule="auto"/>
      </w:pPr>
      <w:r>
        <w:rPr>
          <w:rtl w:val="0"/>
          <w:lang w:val="en-US"/>
        </w:rPr>
        <w:t>ESTYN (2010) found that some of the schools in deprived areas who deal with mainly disadvantaged children overcome the challenges and achieve strong positive results by doing what all other successful schools do which is putting great emphasis and providing extra curricular activities and out of school hours provision for children as well as activities to involve children</w:t>
      </w:r>
      <w:r>
        <w:rPr>
          <w:rtl w:val="0"/>
          <w:lang w:val="en-US"/>
        </w:rPr>
        <w:t>’</w:t>
      </w:r>
      <w:r>
        <w:rPr>
          <w:rtl w:val="0"/>
          <w:lang w:val="en-US"/>
        </w:rPr>
        <w:t>s parents in, eg. After school clubs, lunchtime clubs, sports activities, trips or activities to enhance cultural development.</w:t>
      </w:r>
    </w:p>
    <w:p>
      <w:pPr>
        <w:pStyle w:val="Body"/>
        <w:spacing w:line="360" w:lineRule="auto"/>
      </w:pPr>
    </w:p>
    <w:p>
      <w:pPr>
        <w:pStyle w:val="Body"/>
        <w:spacing w:line="360" w:lineRule="auto"/>
      </w:pPr>
      <w:r>
        <w:rPr>
          <w:rtl w:val="0"/>
          <w:lang w:val="en-US"/>
        </w:rPr>
        <w:t xml:space="preserve">An NHS Wales Report reveals that over 1 in 5 children (anyone under 20) in Wales live in poverty. On average 22.2% of Welsh population is 20 or under and living in poverty. In North and Middle Wales all local authorities are under the Welsh average, in South Wales the majority of local authorities are above the Welsh average. </w:t>
      </w:r>
    </w:p>
    <w:p>
      <w:pPr>
        <w:pStyle w:val="Body"/>
        <w:spacing w:line="360" w:lineRule="auto"/>
      </w:pPr>
    </w:p>
    <w:p>
      <w:pPr>
        <w:pStyle w:val="Body"/>
        <w:spacing w:line="360" w:lineRule="auto"/>
      </w:pPr>
      <w:r>
        <w:rPr>
          <w:rtl w:val="0"/>
          <w:lang w:val="en-US"/>
        </w:rPr>
        <w:t>In 2011/12 just under half of households that were homeless were households with dependent children. This is the type of household most likely to become homeless. There is a number of factors that may cause or contribute to homelessness, eg. substance abuse, relationship breakdowns, physical problems, mental health problems, domestic violence, financial instability or hardship, unemployment, coming out of prison. (NHS, 2013) The NHS report (2013) highlights the importance of stability within a family unit and reports that a healthy balance of quality education and a strong family unit to ensure child</w:t>
      </w:r>
      <w:r>
        <w:rPr>
          <w:rtl w:val="0"/>
          <w:lang w:val="en-US"/>
        </w:rPr>
        <w:t>’</w:t>
      </w:r>
      <w:r>
        <w:rPr>
          <w:rtl w:val="0"/>
          <w:lang w:val="en-US"/>
        </w:rPr>
        <w:t>s health and wellbeing, and their future life prospects. It was also calculated in the NHS report of 2013 that 1 in 20 households in Wales has at least one child that is dependent on the family and at least one person with ling term health problems or disabilities. It was found that 7.5% of all households in Wales in 2011 were single-parent households with dependent children. This is a higher percentage than in England. Families of such households are more likely to face poverty or financial difficulties. Children living in lone parent households are twice as likely to be living in poverty as compared to children living in two parent families. Another household type that may be limiting children</w:t>
      </w:r>
      <w:r>
        <w:rPr>
          <w:rtl w:val="0"/>
          <w:lang w:val="en-US"/>
        </w:rPr>
        <w:t>’</w:t>
      </w:r>
      <w:r>
        <w:rPr>
          <w:rtl w:val="0"/>
          <w:lang w:val="en-US"/>
        </w:rPr>
        <w:t>s opportunities and quality of life is households with dependent children where one person or more has a long term disability of health problems. Children from such households are more likely to miss out on experiences and opportunities which support their development such as play and learning. Children from such families may struggle emotionally and with social acceptance as well as bullying. The figures for families with dependent children who have at least one person with long term disabilities or health issues were 5.2% in Wales in 2011. ( NHS, 2013)</w:t>
      </w:r>
    </w:p>
    <w:p>
      <w:pPr>
        <w:pStyle w:val="Body"/>
        <w:spacing w:line="360" w:lineRule="auto"/>
      </w:pPr>
    </w:p>
    <w:p>
      <w:pPr>
        <w:pStyle w:val="Body"/>
        <w:spacing w:line="360" w:lineRule="auto"/>
      </w:pPr>
      <w:r>
        <w:rPr>
          <w:rtl w:val="0"/>
          <w:lang w:val="en-US"/>
        </w:rPr>
        <w:t>Children</w:t>
      </w:r>
      <w:r>
        <w:rPr>
          <w:rtl w:val="0"/>
          <w:lang w:val="en-US"/>
        </w:rPr>
        <w:t>’</w:t>
      </w:r>
      <w:r>
        <w:rPr>
          <w:rtl w:val="0"/>
          <w:lang w:val="en-US"/>
        </w:rPr>
        <w:t>s lifestyles and environments in which they are brought up directly affect children</w:t>
      </w:r>
      <w:r>
        <w:rPr>
          <w:rtl w:val="0"/>
          <w:lang w:val="en-US"/>
        </w:rPr>
        <w:t>’</w:t>
      </w:r>
      <w:r>
        <w:rPr>
          <w:rtl w:val="0"/>
          <w:lang w:val="en-US"/>
        </w:rPr>
        <w:t xml:space="preserve">s future choices and behaviour. It is claimed by NHS (2013) that behaviour developed in early life such as childhood and adolescence often transmits into their adult lives. Alcohol abuse is one of the largest preventable causes of death and illness as explained in the NHS report (2013). It was found that in 2009/10 in Wales 17% of boys and 14% of girls aged 11-16 reported drinking alcohol at least once a week. In 2008-2011 almost half (46%) of those aged 16 -24 in Wales report drinking above the recommended guidelines of alcohol on at least one day in the previous week. Cardiff and Vale area had the highest percentages of young adults drinking over the recommended guideline amounts of alcohol (48%). </w:t>
      </w:r>
    </w:p>
    <w:p>
      <w:pPr>
        <w:pStyle w:val="Body"/>
        <w:spacing w:line="360" w:lineRule="auto"/>
      </w:pPr>
    </w:p>
    <w:p>
      <w:pPr>
        <w:pStyle w:val="Body"/>
        <w:spacing w:line="360" w:lineRule="auto"/>
      </w:pPr>
      <w:r>
        <w:rPr>
          <w:rtl w:val="0"/>
          <w:lang w:val="en-US"/>
        </w:rPr>
        <w:t>There is a link between poverty and substance misuse in UK which is clarified by Alcohol Focus Scotland Charity. Their study found that there is a strong link between people</w:t>
      </w:r>
      <w:r>
        <w:rPr>
          <w:rtl w:val="0"/>
          <w:lang w:val="en-US"/>
        </w:rPr>
        <w:t>’</w:t>
      </w:r>
      <w:r>
        <w:rPr>
          <w:rtl w:val="0"/>
          <w:lang w:val="en-US"/>
        </w:rPr>
        <w:t>s socio-economic status and harm caused by drinking alcohol excessively. Most preconceived idea is that in more advantaged areas people tend to drink alcohol moderately whereas in deprived areas excessive or binge drinking is more common. This is not necessarily true. The harmful effects alcohol brings upon people seem to be more evident in people from less advantages households. People in less advantaged ares live unhealthy lifestyles, are more exposed to stress and live in poor material circumstances which makes them more prone to acquiring illnesses. The harm of heavy drinking is more likely to occur in disadvantaged households/ areas where people have fewer qualifications, work in manual labour and their income is lower. It can be said that poverty lowers resilience to disease. (Alcohol Focus Scotland, 2018)</w:t>
      </w:r>
    </w:p>
    <w:p>
      <w:pPr>
        <w:pStyle w:val="Body"/>
        <w:spacing w:line="360" w:lineRule="auto"/>
      </w:pPr>
    </w:p>
    <w:p>
      <w:pPr>
        <w:pStyle w:val="Body"/>
        <w:spacing w:line="360" w:lineRule="auto"/>
      </w:pPr>
      <w:r>
        <w:rPr>
          <w:rtl w:val="0"/>
          <w:lang w:val="en-US"/>
        </w:rPr>
        <w:t>As found in JRF (2007) research shows that parent and child interactions play a large role in children</w:t>
      </w:r>
      <w:r>
        <w:rPr>
          <w:rtl w:val="0"/>
          <w:lang w:val="en-US"/>
        </w:rPr>
        <w:t>’</w:t>
      </w:r>
      <w:r>
        <w:rPr>
          <w:rtl w:val="0"/>
          <w:lang w:val="en-US"/>
        </w:rPr>
        <w:t>s development. It was found that higher levels of stress in parents</w:t>
      </w:r>
      <w:r>
        <w:rPr>
          <w:rtl w:val="0"/>
          <w:lang w:val="en-US"/>
        </w:rPr>
        <w:t xml:space="preserve">’ </w:t>
      </w:r>
      <w:r>
        <w:rPr>
          <w:rtl w:val="0"/>
          <w:lang w:val="en-US"/>
        </w:rPr>
        <w:t>lives have a negative effect on their painting style. Less advantaged parents tend to be less caring or nurturing and fail to supervise their children appropriately. Their parenting is more likely to be inconsistent, hectic and involve more harsh discipline. Children often lack a trusting, confiding relationship with parents and are more likely to be maltreated.</w:t>
      </w:r>
    </w:p>
    <w:p>
      <w:pPr>
        <w:pStyle w:val="Body"/>
        <w:spacing w:line="360" w:lineRule="auto"/>
      </w:pPr>
      <w:r>
        <w:rPr>
          <w:rtl w:val="0"/>
          <w:lang w:val="en-US"/>
        </w:rPr>
        <w:t xml:space="preserve">Neighbourhoods can play an extensive role in parenting as people end up adhering to local social forms and culture over time. Living within a less advantaged community means absorbing anti-social behaviours, and over time becoming demoralised. (JRF, 2007) </w:t>
      </w:r>
    </w:p>
    <w:p>
      <w:pPr>
        <w:pStyle w:val="Body"/>
        <w:spacing w:line="360" w:lineRule="auto"/>
      </w:pPr>
    </w:p>
    <w:p>
      <w:pPr>
        <w:pStyle w:val="Body"/>
        <w:spacing w:line="360" w:lineRule="auto"/>
      </w:pPr>
      <w:r>
        <w:rPr>
          <w:rtl w:val="0"/>
          <w:lang w:val="en-US"/>
        </w:rPr>
        <w:t>JRF(2007) quotes O</w:t>
      </w:r>
      <w:r>
        <w:rPr>
          <w:rtl w:val="0"/>
          <w:lang w:val="en-US"/>
        </w:rPr>
        <w:t>’</w:t>
      </w:r>
      <w:r>
        <w:rPr>
          <w:rtl w:val="0"/>
          <w:lang w:val="en-US"/>
        </w:rPr>
        <w:t>Neill (2002) in their paper:</w:t>
      </w:r>
    </w:p>
    <w:p>
      <w:pPr>
        <w:pStyle w:val="Body"/>
        <w:spacing w:line="360" w:lineRule="auto"/>
      </w:pPr>
    </w:p>
    <w:p>
      <w:pPr>
        <w:pStyle w:val="Body"/>
        <w:bidi w:val="0"/>
        <w:ind w:left="720"/>
      </w:pPr>
      <w:r>
        <w:rPr>
          <w:rtl w:val="0"/>
        </w:rPr>
        <w:t>‘</w:t>
      </w:r>
      <w:r>
        <w:rPr>
          <w:rtl w:val="0"/>
        </w:rPr>
        <w:t>The weight of evidence indicates that the traditional family based upon a married father and mother is still the best environment for raising children, and it forms the soundest basis for the wider society.</w:t>
      </w:r>
      <w:r>
        <w:rPr>
          <w:rtl w:val="0"/>
        </w:rPr>
        <w:t>’</w:t>
      </w:r>
    </w:p>
    <w:p>
      <w:pPr>
        <w:pStyle w:val="Body"/>
        <w:spacing w:line="360" w:lineRule="auto"/>
      </w:pPr>
    </w:p>
    <w:p>
      <w:pPr>
        <w:pStyle w:val="Body"/>
        <w:spacing w:line="360" w:lineRule="auto"/>
      </w:pPr>
      <w:r>
        <w:rPr>
          <w:rtl w:val="0"/>
          <w:lang w:val="en-US"/>
        </w:rPr>
        <w:t>Children</w:t>
      </w:r>
      <w:r>
        <w:rPr>
          <w:rtl w:val="0"/>
          <w:lang w:val="en-US"/>
        </w:rPr>
        <w:t>’</w:t>
      </w:r>
      <w:r>
        <w:rPr>
          <w:rtl w:val="0"/>
          <w:lang w:val="en-US"/>
        </w:rPr>
        <w:t>s Commissioner for Wales (2016) identifies key challenges in young children</w:t>
      </w:r>
      <w:r>
        <w:rPr>
          <w:rtl w:val="0"/>
          <w:lang w:val="en-US"/>
        </w:rPr>
        <w:t>’</w:t>
      </w:r>
      <w:r>
        <w:rPr>
          <w:rtl w:val="0"/>
          <w:lang w:val="en-US"/>
        </w:rPr>
        <w:t>s lives in Wales based on what was reported for the UN Committee in 2015 on The Rights of the Child as well as on the list of issues that emerged during the Committee</w:t>
      </w:r>
      <w:r>
        <w:rPr>
          <w:rtl w:val="0"/>
          <w:lang w:val="en-US"/>
        </w:rPr>
        <w:t>’</w:t>
      </w:r>
      <w:r>
        <w:rPr>
          <w:rtl w:val="0"/>
          <w:lang w:val="en-US"/>
        </w:rPr>
        <w:t>s meeting in October 2015. One of the social and community issues was that children from less advantaged families were less happy with children friendly facilities in their communities and did not feel as safe as other children. Another top priority issue was children persistently experiencing bullying. Children between the ages of 7 to 18 reported everyday experience of bullying. What links to this issue is children mental health and mental wellbeing. Many children need mental health support, including children who encounter bullying, yet they are not provided with such support within reasonable time or at all.</w:t>
      </w:r>
    </w:p>
    <w:p>
      <w:pPr>
        <w:pStyle w:val="Body"/>
        <w:spacing w:line="360" w:lineRule="auto"/>
      </w:pPr>
    </w:p>
    <w:p>
      <w:pPr>
        <w:pStyle w:val="Body"/>
        <w:spacing w:line="360" w:lineRule="auto"/>
      </w:pPr>
      <w:r>
        <w:rPr>
          <w:rtl w:val="0"/>
          <w:lang w:val="en-US"/>
        </w:rPr>
        <w:t xml:space="preserve">It was evident in </w:t>
      </w:r>
      <w:r>
        <w:rPr>
          <w:rtl w:val="0"/>
          <w:lang w:val="en-US"/>
        </w:rPr>
        <w:t>‘</w:t>
      </w:r>
      <w:r>
        <w:rPr>
          <w:rtl w:val="0"/>
          <w:lang w:val="en-US"/>
        </w:rPr>
        <w:t>A Plan For All Children and Young People 2016-2019</w:t>
      </w:r>
      <w:r>
        <w:rPr>
          <w:rtl w:val="0"/>
          <w:lang w:val="en-US"/>
        </w:rPr>
        <w:t xml:space="preserve">’ </w:t>
      </w:r>
      <w:r>
        <w:rPr>
          <w:rtl w:val="0"/>
          <w:lang w:val="en-US"/>
        </w:rPr>
        <w:t>by the Children</w:t>
      </w:r>
      <w:r>
        <w:rPr>
          <w:rtl w:val="0"/>
          <w:lang w:val="en-US"/>
        </w:rPr>
        <w:t>’</w:t>
      </w:r>
      <w:r>
        <w:rPr>
          <w:rtl w:val="0"/>
          <w:lang w:val="en-US"/>
        </w:rPr>
        <w:t xml:space="preserve">s </w:t>
      </w:r>
      <w:r>
        <w:rPr>
          <w:rtl w:val="0"/>
          <w:lang w:val="en-US"/>
        </w:rPr>
        <w:t>Commissioner for Wales</w:t>
      </w:r>
      <w:r>
        <w:rPr>
          <w:rtl w:val="0"/>
          <w:lang w:val="en-US"/>
        </w:rPr>
        <w:t xml:space="preserve"> (2016)</w:t>
      </w:r>
      <w:r>
        <w:rPr>
          <w:rtl w:val="0"/>
        </w:rPr>
        <w:t xml:space="preserve"> </w:t>
      </w:r>
      <w:r>
        <w:rPr>
          <w:rtl w:val="0"/>
          <w:lang w:val="en-US"/>
        </w:rPr>
        <w:t xml:space="preserve">that within education there is no transition support </w:t>
      </w:r>
      <w:r>
        <w:rPr>
          <w:rtl w:val="0"/>
          <w:lang w:val="en-US"/>
        </w:rPr>
        <w:t>for those children who need additional health care and social support</w:t>
      </w:r>
      <w:r>
        <w:rPr>
          <w:rtl w:val="0"/>
          <w:lang w:val="en-US"/>
        </w:rPr>
        <w:t xml:space="preserve"> when going through the school stages such as from primary to secondary school and also no support transitioning from children services to adult support services.</w:t>
      </w:r>
    </w:p>
    <w:p>
      <w:pPr>
        <w:pStyle w:val="Body"/>
        <w:spacing w:line="360" w:lineRule="auto"/>
      </w:pPr>
    </w:p>
    <w:p>
      <w:pPr>
        <w:pStyle w:val="Body"/>
        <w:spacing w:line="360" w:lineRule="auto"/>
      </w:pPr>
      <w:r>
        <w:rPr>
          <w:rtl w:val="0"/>
          <w:lang w:val="en-US"/>
        </w:rPr>
        <w:t>Children</w:t>
      </w:r>
      <w:r>
        <w:rPr>
          <w:rtl w:val="0"/>
          <w:lang w:val="en-US"/>
        </w:rPr>
        <w:t>’</w:t>
      </w:r>
      <w:r>
        <w:rPr>
          <w:rtl w:val="0"/>
          <w:lang w:val="en-US"/>
        </w:rPr>
        <w:t>s Commissioner for Wales - Sally Holland (2016) points to another shortfall in children</w:t>
      </w:r>
      <w:r>
        <w:rPr>
          <w:rtl w:val="0"/>
          <w:lang w:val="en-US"/>
        </w:rPr>
        <w:t>’</w:t>
      </w:r>
      <w:r>
        <w:rPr>
          <w:rtl w:val="0"/>
          <w:lang w:val="en-US"/>
        </w:rPr>
        <w:t>s provision. This is mainly caused by cuts in public funding and seems to be affecting children</w:t>
      </w:r>
      <w:r>
        <w:rPr>
          <w:rtl w:val="0"/>
          <w:lang w:val="en-US"/>
        </w:rPr>
        <w:t>’</w:t>
      </w:r>
      <w:r>
        <w:rPr>
          <w:rtl w:val="0"/>
          <w:lang w:val="en-US"/>
        </w:rPr>
        <w:t>s provision the most. Cuts in local funding lead to indirect children</w:t>
      </w:r>
      <w:r>
        <w:rPr>
          <w:rtl w:val="0"/>
          <w:lang w:val="en-US"/>
        </w:rPr>
        <w:t>’</w:t>
      </w:r>
      <w:r>
        <w:rPr>
          <w:rtl w:val="0"/>
          <w:lang w:val="en-US"/>
        </w:rPr>
        <w:t xml:space="preserve">s neglect due to lack of developmental resources such as play centres, leisure activities, culture centres, youth centres, paid for childcare for families with children who go through money troubles, play areas, additional learning and developmental support such as therapies, emotional health support, social care and other additional financial support for families with children. </w:t>
      </w:r>
    </w:p>
    <w:p>
      <w:pPr>
        <w:pStyle w:val="Body"/>
        <w:spacing w:line="360" w:lineRule="auto"/>
      </w:pPr>
    </w:p>
    <w:p>
      <w:pPr>
        <w:pStyle w:val="Body"/>
        <w:spacing w:line="360" w:lineRule="auto"/>
      </w:pPr>
      <w:r>
        <w:rPr>
          <w:rtl w:val="0"/>
          <w:lang w:val="en-US"/>
        </w:rPr>
        <w:t xml:space="preserve">NHS Wales report </w:t>
      </w:r>
      <w:r>
        <w:rPr>
          <w:rtl w:val="0"/>
          <w:lang w:val="en-US"/>
        </w:rPr>
        <w:t>‘</w:t>
      </w:r>
      <w:r>
        <w:rPr>
          <w:rtl w:val="0"/>
          <w:lang w:val="en-US"/>
        </w:rPr>
        <w:t>Health of children and young people in Wales</w:t>
      </w:r>
      <w:r>
        <w:rPr>
          <w:rtl w:val="0"/>
          <w:lang w:val="en-US"/>
        </w:rPr>
        <w:t xml:space="preserve">’ </w:t>
      </w:r>
      <w:r>
        <w:rPr>
          <w:rtl w:val="0"/>
          <w:lang w:val="en-US"/>
        </w:rPr>
        <w:t xml:space="preserve">(2013) found that in 2011 across the UK ( Wales, England, Scotland) the percentage of school age children (0-24 year olds) within UK population was very similar, on average it is at 30%. </w:t>
      </w:r>
      <w:r>
        <w:rPr>
          <w:rFonts w:ascii="Arial Unicode MS" w:cs="Arial Unicode MS" w:hAnsi="Arial Unicode MS" w:eastAsia="Arial Unicode MS"/>
          <w:b w:val="0"/>
          <w:bCs w:val="0"/>
          <w:i w:val="0"/>
          <w:iCs w:val="0"/>
        </w:rPr>
        <w:br w:type="page"/>
      </w:r>
    </w:p>
    <w:p>
      <w:pPr>
        <w:pStyle w:val="Body"/>
        <w:spacing w:line="360" w:lineRule="auto"/>
      </w:pPr>
      <w:r>
        <w:rPr>
          <w:rtl w:val="0"/>
          <w:lang w:val="en-US"/>
        </w:rPr>
        <w:t>References:</w:t>
      </w:r>
    </w:p>
    <w:p>
      <w:pPr>
        <w:pStyle w:val="Body"/>
        <w:spacing w:line="360" w:lineRule="auto"/>
      </w:pPr>
    </w:p>
    <w:p>
      <w:pPr>
        <w:pStyle w:val="Body"/>
        <w:spacing w:line="360" w:lineRule="auto"/>
      </w:pPr>
      <w:r>
        <w:rPr>
          <w:rtl w:val="0"/>
          <w:lang w:val="en-US"/>
        </w:rPr>
        <w:t xml:space="preserve">Alcohol Focus Scotland, (2018), </w:t>
      </w:r>
      <w:r>
        <w:rPr>
          <w:i w:val="1"/>
          <w:iCs w:val="1"/>
          <w:rtl w:val="0"/>
          <w:lang w:val="en-US"/>
        </w:rPr>
        <w:t>‘</w:t>
      </w:r>
      <w:r>
        <w:rPr>
          <w:i w:val="1"/>
          <w:iCs w:val="1"/>
          <w:rtl w:val="0"/>
          <w:lang w:val="en-US"/>
        </w:rPr>
        <w:t>Poverty linked to increased harm from alcohol</w:t>
      </w:r>
      <w:r>
        <w:rPr>
          <w:i w:val="1"/>
          <w:iCs w:val="1"/>
          <w:rtl w:val="0"/>
          <w:lang w:val="en-US"/>
        </w:rPr>
        <w:t>’</w:t>
      </w:r>
      <w:r>
        <w:rPr>
          <w:rtl w:val="0"/>
          <w:lang w:val="en-US"/>
        </w:rPr>
        <w:t xml:space="preserve">, </w:t>
      </w:r>
      <w:r>
        <w:rPr>
          <w:rtl w:val="0"/>
          <w:lang w:val="en-US"/>
        </w:rPr>
        <w:t>http://www.alcohol-focus-scotland.org.uk/news/poverty-linked-to-increased-harm-from-alcohol/</w:t>
      </w:r>
    </w:p>
    <w:p>
      <w:pPr>
        <w:pStyle w:val="Body"/>
        <w:spacing w:line="360" w:lineRule="auto"/>
      </w:pPr>
    </w:p>
    <w:p>
      <w:pPr>
        <w:pStyle w:val="Body"/>
        <w:bidi w:val="0"/>
      </w:pPr>
      <w:r>
        <w:rPr>
          <w:rtl w:val="0"/>
        </w:rPr>
        <w:t>ESTYN, (2010), ;</w:t>
      </w:r>
      <w:r>
        <w:rPr>
          <w:i w:val="1"/>
          <w:iCs w:val="1"/>
          <w:rtl w:val="0"/>
          <w:lang w:val="en-US"/>
        </w:rPr>
        <w:t>Tackling Child Poverty And Disadvantaged Schools</w:t>
      </w:r>
      <w:r>
        <w:rPr>
          <w:i w:val="1"/>
          <w:iCs w:val="1"/>
          <w:rtl w:val="0"/>
          <w:lang w:val="en-US"/>
        </w:rPr>
        <w:t>’</w:t>
      </w:r>
      <w:r>
        <w:rPr>
          <w:rtl w:val="0"/>
        </w:rPr>
        <w:t xml:space="preserve">, </w:t>
      </w:r>
      <w:r>
        <w:rPr>
          <w:rStyle w:val="Hyperlink.0"/>
        </w:rPr>
        <w:fldChar w:fldCharType="begin" w:fldLock="0"/>
      </w:r>
      <w:r>
        <w:rPr>
          <w:rStyle w:val="Hyperlink.0"/>
        </w:rPr>
        <w:instrText xml:space="preserve"> HYPERLINK "http://dera.ioe.ac.uk/904/1/Tackling_child_poverty_and_disadvantage_in_schools_January_2010.pdf"</w:instrText>
      </w:r>
      <w:r>
        <w:rPr>
          <w:rStyle w:val="Hyperlink.0"/>
        </w:rPr>
        <w:fldChar w:fldCharType="separate" w:fldLock="0"/>
      </w:r>
      <w:r>
        <w:rPr>
          <w:rStyle w:val="Hyperlink.0"/>
          <w:rtl w:val="0"/>
        </w:rPr>
        <w:t>http://dera.ioe.ac.uk/904/1/Tackling_child_poverty_and_disadvantage_in_schools_January_2010.pdf</w:t>
      </w:r>
      <w:r>
        <w:rPr/>
        <w:fldChar w:fldCharType="end" w:fldLock="0"/>
      </w:r>
    </w:p>
    <w:p>
      <w:pPr>
        <w:pStyle w:val="Body"/>
        <w:bidi w:val="0"/>
      </w:pPr>
    </w:p>
    <w:p>
      <w:pPr>
        <w:pStyle w:val="Body"/>
        <w:bidi w:val="0"/>
      </w:pPr>
    </w:p>
    <w:p>
      <w:pPr>
        <w:pStyle w:val="Body"/>
        <w:bidi w:val="0"/>
      </w:pPr>
      <w:r>
        <w:rPr>
          <w:rtl w:val="0"/>
        </w:rPr>
        <w:t xml:space="preserve">Holland, S, </w:t>
      </w:r>
      <w:r>
        <w:rPr>
          <w:rtl w:val="0"/>
        </w:rPr>
        <w:t>Children</w:t>
      </w:r>
      <w:r>
        <w:rPr>
          <w:rtl w:val="0"/>
        </w:rPr>
        <w:t>’</w:t>
      </w:r>
      <w:r>
        <w:rPr>
          <w:rtl w:val="0"/>
        </w:rPr>
        <w:t>s Commissioner for Wales</w:t>
      </w:r>
      <w:r>
        <w:rPr>
          <w:rtl w:val="0"/>
        </w:rPr>
        <w:t xml:space="preserve">, (2016), </w:t>
      </w:r>
      <w:r>
        <w:rPr>
          <w:i w:val="1"/>
          <w:iCs w:val="1"/>
          <w:rtl w:val="0"/>
          <w:lang w:val="en-US"/>
        </w:rPr>
        <w:t>‘</w:t>
      </w:r>
      <w:r>
        <w:rPr>
          <w:i w:val="1"/>
          <w:iCs w:val="1"/>
          <w:rtl w:val="0"/>
          <w:lang w:val="en-US"/>
        </w:rPr>
        <w:t>A Plan for all Children and</w:t>
      </w:r>
      <w:r>
        <w:rPr>
          <w:i w:val="1"/>
          <w:iCs w:val="1"/>
          <w:rtl w:val="0"/>
          <w:lang w:val="en-US"/>
        </w:rPr>
        <w:t xml:space="preserve"> </w:t>
      </w:r>
      <w:r>
        <w:rPr>
          <w:i w:val="1"/>
          <w:iCs w:val="1"/>
          <w:rtl w:val="0"/>
          <w:lang w:val="en-US"/>
        </w:rPr>
        <w:t>Young People: 2016</w:t>
      </w:r>
      <w:r>
        <w:rPr>
          <w:i w:val="1"/>
          <w:iCs w:val="1"/>
          <w:rtl w:val="0"/>
        </w:rPr>
        <w:t>–</w:t>
      </w:r>
      <w:r>
        <w:rPr>
          <w:i w:val="1"/>
          <w:iCs w:val="1"/>
          <w:rtl w:val="0"/>
        </w:rPr>
        <w:t>19</w:t>
      </w:r>
      <w:r>
        <w:rPr>
          <w:i w:val="1"/>
          <w:iCs w:val="1"/>
          <w:rtl w:val="0"/>
          <w:lang w:val="en-US"/>
        </w:rPr>
        <w:t xml:space="preserve">: </w:t>
      </w:r>
      <w:r>
        <w:rPr>
          <w:i w:val="1"/>
          <w:iCs w:val="1"/>
          <w:rtl w:val="0"/>
          <w:lang w:val="en-US"/>
        </w:rPr>
        <w:t>Championing children and young people</w:t>
      </w:r>
      <w:r>
        <w:rPr>
          <w:i w:val="1"/>
          <w:iCs w:val="1"/>
          <w:rtl w:val="0"/>
        </w:rPr>
        <w:t>’</w:t>
      </w:r>
      <w:r>
        <w:rPr>
          <w:i w:val="1"/>
          <w:iCs w:val="1"/>
          <w:rtl w:val="0"/>
          <w:lang w:val="en-US"/>
        </w:rPr>
        <w:t>s human rights</w:t>
      </w:r>
      <w:r>
        <w:rPr>
          <w:rtl w:val="0"/>
        </w:rPr>
        <w:t>’</w:t>
      </w:r>
      <w:r>
        <w:rPr>
          <w:rtl w:val="0"/>
        </w:rPr>
        <w:t xml:space="preserve">, </w:t>
      </w:r>
      <w:r>
        <w:rPr>
          <w:rStyle w:val="Hyperlink.0"/>
        </w:rPr>
        <w:fldChar w:fldCharType="begin" w:fldLock="0"/>
      </w:r>
      <w:r>
        <w:rPr>
          <w:rStyle w:val="Hyperlink.0"/>
        </w:rPr>
        <w:instrText xml:space="preserve"> HYPERLINK "https://www.childcomwales.org.uk/wp-content/uploads/2016/04/Strategic-Plan-English.compressed.pdf"</w:instrText>
      </w:r>
      <w:r>
        <w:rPr>
          <w:rStyle w:val="Hyperlink.0"/>
        </w:rPr>
        <w:fldChar w:fldCharType="separate" w:fldLock="0"/>
      </w:r>
      <w:r>
        <w:rPr>
          <w:rStyle w:val="Hyperlink.0"/>
          <w:rtl w:val="0"/>
        </w:rPr>
        <w:t>https://www.childcomwales.org.uk/wp-content/uploads/2016/04/Strategic-Plan-English.compressed.pdf</w:t>
      </w:r>
      <w:r>
        <w:rPr/>
        <w:fldChar w:fldCharType="end" w:fldLock="0"/>
      </w:r>
    </w:p>
    <w:p>
      <w:pPr>
        <w:pStyle w:val="Body"/>
        <w:bidi w:val="0"/>
      </w:pPr>
    </w:p>
    <w:p>
      <w:pPr>
        <w:pStyle w:val="Body"/>
        <w:bidi w:val="0"/>
      </w:pPr>
    </w:p>
    <w:p>
      <w:pPr>
        <w:pStyle w:val="Body"/>
        <w:bidi w:val="0"/>
      </w:pPr>
      <w:r>
        <w:rPr>
          <w:rtl w:val="0"/>
        </w:rPr>
        <w:t xml:space="preserve">JRF, (2013), </w:t>
      </w:r>
      <w:r>
        <w:rPr>
          <w:i w:val="1"/>
          <w:iCs w:val="1"/>
          <w:rtl w:val="0"/>
          <w:lang w:val="en-US"/>
        </w:rPr>
        <w:t>’</w:t>
      </w:r>
      <w:r>
        <w:rPr>
          <w:i w:val="1"/>
          <w:iCs w:val="1"/>
          <w:rtl w:val="0"/>
          <w:lang w:val="de-DE"/>
        </w:rPr>
        <w:t>POVERTY AND</w:t>
      </w:r>
      <w:r>
        <w:rPr>
          <w:i w:val="1"/>
          <w:iCs w:val="1"/>
          <w:rtl w:val="0"/>
          <w:lang w:val="en-US"/>
        </w:rPr>
        <w:t xml:space="preserve"> </w:t>
      </w:r>
      <w:r>
        <w:rPr>
          <w:i w:val="1"/>
          <w:iCs w:val="1"/>
          <w:rtl w:val="0"/>
          <w:lang w:val="en-US"/>
        </w:rPr>
        <w:t>LOW EDUCATIONAL</w:t>
      </w:r>
      <w:r>
        <w:rPr>
          <w:i w:val="1"/>
          <w:iCs w:val="1"/>
          <w:rtl w:val="0"/>
          <w:lang w:val="en-US"/>
        </w:rPr>
        <w:t xml:space="preserve"> </w:t>
      </w:r>
      <w:r>
        <w:rPr>
          <w:i w:val="1"/>
          <w:iCs w:val="1"/>
          <w:rtl w:val="0"/>
          <w:lang w:val="de-DE"/>
        </w:rPr>
        <w:t>ACHIEVEMENT IN</w:t>
      </w:r>
      <w:r>
        <w:rPr>
          <w:i w:val="1"/>
          <w:iCs w:val="1"/>
          <w:rtl w:val="0"/>
          <w:lang w:val="en-US"/>
        </w:rPr>
        <w:t xml:space="preserve"> </w:t>
      </w:r>
      <w:r>
        <w:rPr>
          <w:i w:val="1"/>
          <w:iCs w:val="1"/>
          <w:rtl w:val="0"/>
          <w:lang w:val="de-DE"/>
        </w:rPr>
        <w:t>WALES: STUDENT,</w:t>
      </w:r>
      <w:r>
        <w:rPr>
          <w:i w:val="1"/>
          <w:iCs w:val="1"/>
          <w:rtl w:val="0"/>
          <w:lang w:val="en-US"/>
        </w:rPr>
        <w:t xml:space="preserve"> </w:t>
      </w:r>
      <w:r>
        <w:rPr>
          <w:i w:val="1"/>
          <w:iCs w:val="1"/>
          <w:rtl w:val="0"/>
          <w:lang w:val="en-US"/>
        </w:rPr>
        <w:t>FAMILY AND</w:t>
      </w:r>
      <w:r>
        <w:rPr>
          <w:i w:val="1"/>
          <w:iCs w:val="1"/>
          <w:rtl w:val="0"/>
          <w:lang w:val="en-US"/>
        </w:rPr>
        <w:t xml:space="preserve"> </w:t>
      </w:r>
      <w:r>
        <w:rPr>
          <w:i w:val="1"/>
          <w:iCs w:val="1"/>
          <w:rtl w:val="0"/>
          <w:lang w:val="es-ES_tradnl"/>
        </w:rPr>
        <w:t>COMMUNITY</w:t>
      </w:r>
      <w:r>
        <w:rPr>
          <w:i w:val="1"/>
          <w:iCs w:val="1"/>
          <w:rtl w:val="0"/>
          <w:lang w:val="en-US"/>
        </w:rPr>
        <w:t xml:space="preserve"> </w:t>
      </w:r>
      <w:r>
        <w:rPr>
          <w:i w:val="1"/>
          <w:iCs w:val="1"/>
          <w:rtl w:val="0"/>
          <w:lang w:val="en-US"/>
        </w:rPr>
        <w:t>INTERVENTIONS</w:t>
      </w:r>
      <w:r>
        <w:rPr>
          <w:i w:val="1"/>
          <w:iCs w:val="1"/>
          <w:rtl w:val="0"/>
          <w:lang w:val="en-US"/>
        </w:rPr>
        <w:t>’</w:t>
      </w:r>
      <w:r>
        <w:rPr>
          <w:i w:val="1"/>
          <w:iCs w:val="1"/>
          <w:rtl w:val="0"/>
          <w:lang w:val="en-US"/>
        </w:rPr>
        <w:t>,</w:t>
      </w:r>
      <w:r>
        <w:rPr>
          <w:rtl w:val="0"/>
        </w:rPr>
        <w:t xml:space="preserve">  </w:t>
      </w:r>
      <w:r>
        <w:rPr>
          <w:rStyle w:val="Hyperlink.0"/>
        </w:rPr>
        <w:fldChar w:fldCharType="begin" w:fldLock="0"/>
      </w:r>
      <w:r>
        <w:rPr>
          <w:rStyle w:val="Hyperlink.0"/>
        </w:rPr>
        <w:instrText xml:space="preserve"> HYPERLINK "https://www.jrf.org.uk/sites/default/files/jrf/migrated/files/wales-education-poverty-summary.pdf"</w:instrText>
      </w:r>
      <w:r>
        <w:rPr>
          <w:rStyle w:val="Hyperlink.0"/>
        </w:rPr>
        <w:fldChar w:fldCharType="separate" w:fldLock="0"/>
      </w:r>
      <w:r>
        <w:rPr>
          <w:rStyle w:val="Hyperlink.0"/>
          <w:rtl w:val="0"/>
        </w:rPr>
        <w:t>https://www.jrf.org.uk/sites/default/files/jrf/migrated/files/wales-education-poverty-summary.pdf</w:t>
      </w:r>
      <w:r>
        <w:rPr/>
        <w:fldChar w:fldCharType="end" w:fldLock="0"/>
      </w:r>
    </w:p>
    <w:p>
      <w:pPr>
        <w:pStyle w:val="Body"/>
        <w:bidi w:val="0"/>
      </w:pPr>
    </w:p>
    <w:p>
      <w:pPr>
        <w:pStyle w:val="Body"/>
        <w:bidi w:val="0"/>
      </w:pPr>
    </w:p>
    <w:p>
      <w:pPr>
        <w:pStyle w:val="Body"/>
        <w:spacing w:line="360" w:lineRule="auto"/>
      </w:pPr>
    </w:p>
    <w:p>
      <w:pPr>
        <w:pStyle w:val="Body"/>
        <w:spacing w:line="360" w:lineRule="auto"/>
      </w:pPr>
      <w:r>
        <w:rPr>
          <w:rtl w:val="0"/>
          <w:lang w:val="en-US"/>
        </w:rPr>
        <w:t xml:space="preserve">JRF, (2016), </w:t>
      </w:r>
      <w:r>
        <w:rPr>
          <w:rtl w:val="0"/>
          <w:lang w:val="en-US"/>
        </w:rPr>
        <w:t>‘</w:t>
      </w:r>
      <w:r>
        <w:rPr>
          <w:i w:val="1"/>
          <w:iCs w:val="1"/>
          <w:rtl w:val="0"/>
          <w:lang w:val="en-US"/>
        </w:rPr>
        <w:t>Special educational needs and their links to poverty</w:t>
      </w:r>
      <w:r>
        <w:rPr>
          <w:rtl w:val="0"/>
          <w:lang w:val="en-US"/>
        </w:rPr>
        <w:t>’</w:t>
      </w:r>
      <w:r>
        <w:rPr>
          <w:rtl w:val="0"/>
          <w:lang w:val="en-US"/>
        </w:rPr>
        <w:t xml:space="preserve">, </w:t>
      </w:r>
      <w:r>
        <w:rPr>
          <w:rStyle w:val="Hyperlink.0"/>
        </w:rPr>
        <w:fldChar w:fldCharType="begin" w:fldLock="0"/>
      </w:r>
      <w:r>
        <w:rPr>
          <w:rStyle w:val="Hyperlink.0"/>
        </w:rPr>
        <w:instrText xml:space="preserve"> HYPERLINK "https://www.jrf.org.uk/file/48923/download?token=VbYShuNp&amp;filetype=full-report"</w:instrText>
      </w:r>
      <w:r>
        <w:rPr>
          <w:rStyle w:val="Hyperlink.0"/>
        </w:rPr>
        <w:fldChar w:fldCharType="separate" w:fldLock="0"/>
      </w:r>
      <w:r>
        <w:rPr>
          <w:rStyle w:val="Hyperlink.0"/>
          <w:rtl w:val="0"/>
          <w:lang w:val="en-US"/>
        </w:rPr>
        <w:t>https://www.jrf.org.uk/file/48923/download?token=VbYShuNp&amp;filetype=full-report</w:t>
      </w:r>
      <w:r>
        <w:rPr/>
        <w:fldChar w:fldCharType="end" w:fldLock="0"/>
      </w:r>
    </w:p>
    <w:p>
      <w:pPr>
        <w:pStyle w:val="Body"/>
        <w:spacing w:line="360" w:lineRule="auto"/>
      </w:pPr>
    </w:p>
    <w:p>
      <w:pPr>
        <w:pStyle w:val="Body"/>
        <w:spacing w:line="360" w:lineRule="auto"/>
      </w:pPr>
    </w:p>
    <w:p>
      <w:pPr>
        <w:pStyle w:val="Body"/>
        <w:spacing w:line="360" w:lineRule="auto"/>
      </w:pPr>
      <w:r>
        <w:rPr>
          <w:rtl w:val="0"/>
          <w:lang w:val="en-US"/>
        </w:rPr>
        <w:t xml:space="preserve">JRF, (2007), </w:t>
      </w:r>
      <w:r>
        <w:rPr>
          <w:rtl w:val="0"/>
          <w:lang w:val="en-US"/>
        </w:rPr>
        <w:t>‘</w:t>
      </w:r>
      <w:r>
        <w:rPr>
          <w:i w:val="1"/>
          <w:iCs w:val="1"/>
          <w:rtl w:val="0"/>
          <w:lang w:val="en-US"/>
        </w:rPr>
        <w:t>The relationship between parenting and poverty</w:t>
      </w:r>
      <w:r>
        <w:rPr>
          <w:rtl w:val="0"/>
          <w:lang w:val="en-US"/>
        </w:rPr>
        <w:t>’</w:t>
      </w:r>
      <w:r>
        <w:rPr>
          <w:rtl w:val="0"/>
          <w:lang w:val="en-US"/>
        </w:rPr>
        <w:t xml:space="preserve">, </w:t>
      </w:r>
      <w:r>
        <w:rPr>
          <w:rStyle w:val="Hyperlink.0"/>
        </w:rPr>
        <w:fldChar w:fldCharType="begin" w:fldLock="0"/>
      </w:r>
      <w:r>
        <w:rPr>
          <w:rStyle w:val="Hyperlink.0"/>
        </w:rPr>
        <w:instrText xml:space="preserve"> HYPERLINK "https://www.jrf.org.uk/sites/default/files/jrf/migrated/files/parenting-poverty.pdf"</w:instrText>
      </w:r>
      <w:r>
        <w:rPr>
          <w:rStyle w:val="Hyperlink.0"/>
        </w:rPr>
        <w:fldChar w:fldCharType="separate" w:fldLock="0"/>
      </w:r>
      <w:r>
        <w:rPr>
          <w:rStyle w:val="Hyperlink.0"/>
          <w:rtl w:val="0"/>
          <w:lang w:val="en-US"/>
        </w:rPr>
        <w:t>https://www.jrf.org.uk/sites/default/files/jrf/migrated/files/parenting-poverty.pdf</w:t>
      </w:r>
      <w:r>
        <w:rPr/>
        <w:fldChar w:fldCharType="end" w:fldLock="0"/>
      </w:r>
    </w:p>
    <w:p>
      <w:pPr>
        <w:pStyle w:val="Body"/>
        <w:spacing w:line="360" w:lineRule="auto"/>
      </w:pPr>
    </w:p>
    <w:p>
      <w:pPr>
        <w:pStyle w:val="Body"/>
        <w:spacing w:line="360" w:lineRule="auto"/>
      </w:pPr>
    </w:p>
    <w:p>
      <w:pPr>
        <w:pStyle w:val="Body"/>
        <w:bidi w:val="0"/>
      </w:pPr>
      <w:r>
        <w:rPr>
          <w:rtl w:val="0"/>
        </w:rPr>
        <w:t xml:space="preserve">NHS, (2013), </w:t>
      </w:r>
      <w:r>
        <w:rPr>
          <w:i w:val="1"/>
          <w:iCs w:val="1"/>
          <w:rtl w:val="0"/>
          <w:lang w:val="en-US"/>
        </w:rPr>
        <w:t>‘</w:t>
      </w:r>
      <w:r>
        <w:rPr>
          <w:i w:val="1"/>
          <w:iCs w:val="1"/>
          <w:rtl w:val="0"/>
          <w:lang w:val="en-US"/>
        </w:rPr>
        <w:t>Health of Children and Young People in Wales</w:t>
      </w:r>
      <w:r>
        <w:rPr>
          <w:i w:val="1"/>
          <w:iCs w:val="1"/>
          <w:rtl w:val="0"/>
          <w:lang w:val="en-US"/>
        </w:rPr>
        <w:t>’</w:t>
      </w:r>
      <w:r>
        <w:rPr>
          <w:rtl w:val="0"/>
        </w:rPr>
        <w:t xml:space="preserve">, </w:t>
      </w:r>
      <w:r>
        <w:rPr>
          <w:rStyle w:val="Hyperlink.0"/>
        </w:rPr>
        <w:fldChar w:fldCharType="begin" w:fldLock="0"/>
      </w:r>
      <w:r>
        <w:rPr>
          <w:rStyle w:val="Hyperlink.0"/>
        </w:rPr>
        <w:instrText xml:space="preserve"> HYPERLINK "http://www2.nphs.wales.nhs.uk:8080/PubHObservatoryProjDocs.nsf/3653c00e7bb6259d80256f27004900db/fc57159cf0046a8a80257c28004aa6ea/$FILE/Children%20and%20YP%20Profile%20Wales%20report%20-%20low%20res%20(Eng).pdf"</w:instrText>
      </w:r>
      <w:r>
        <w:rPr>
          <w:rStyle w:val="Hyperlink.0"/>
        </w:rPr>
        <w:fldChar w:fldCharType="separate" w:fldLock="0"/>
      </w:r>
      <w:r>
        <w:rPr>
          <w:rStyle w:val="Hyperlink.0"/>
          <w:rtl w:val="0"/>
        </w:rPr>
        <w:t>http://www2.nphs.wales.nhs.uk:8080/PubHObservatoryProjDocs.nsf/3653c00e7bb6259d80256f27004900db/fc57159cf0046a8a80257c28004aa6ea/$FILE/Children%20and%20YP%20Profile%20Wales%20report%20-%20low%20res%20(Eng).pdf</w:t>
      </w:r>
      <w:r>
        <w:rPr/>
        <w:fldChar w:fldCharType="end" w:fldLock="0"/>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