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0"/>
      </w:pPr>
    </w:p>
    <w:p>
      <w:pPr>
        <w:pStyle w:val="Title"/>
        <w:jc w:val="center"/>
      </w:pPr>
      <w:r>
        <w:t>WMI601: RESEARCH METHODS AND PROFESSIONAL PRACTICE</w:t>
      </w:r>
    </w:p>
    <w:p>
      <w:pPr>
        <w:pStyle w:val="Subtitle"/>
        <w:jc w:val="center"/>
      </w:pPr>
      <w:r>
        <w:t>TERM PAPER ANSWERS</w:t>
      </w:r>
    </w:p>
    <w:p>
      <w:pPr>
        <w:spacing w:after="400"/>
      </w:pPr>
    </w:p>
    <w:p>
      <w:pPr>
        <w:jc w:val="center"/>
      </w:pPr>
      <w:r>
        <w:rPr>
          <w:i w:val="0"/>
        </w:rPr>
        <w:t>Assessing the Impact of E-Procurement Systems on Procurement Performance in Ghana: The Case of Wisconsin International University College (WIUC-GH)</w:t>
      </w:r>
    </w:p>
    <w:p>
      <w:pPr>
        <w:spacing w:after="600"/>
      </w:pPr>
    </w:p>
    <w:p>
      <w:pPr>
        <w:jc w:val="center"/>
      </w:pPr>
      <w:r>
        <w:rPr>
          <w:i w:val="0"/>
        </w:rPr>
        <w:t>Submitted by</w:t>
      </w:r>
    </w:p>
    <w:p>
      <w:pPr>
        <w:jc w:val="center"/>
      </w:pPr>
      <w:r>
        <w:rPr>
          <w:i w:val="0"/>
        </w:rPr>
        <w:t>ABIGAIL OFORI (12841543)</w:t>
      </w:r>
    </w:p>
    <w:p>
      <w:pPr>
        <w:jc w:val="center"/>
      </w:pPr>
      <w:r>
        <w:rPr>
          <w:i w:val="0"/>
        </w:rPr>
        <w:t>MSc Business Computing</w:t>
      </w:r>
    </w:p>
    <w:p>
      <w:pPr>
        <w:jc w:val="center"/>
      </w:pPr>
      <w:r>
        <w:rPr>
          <w:i w:val="0"/>
        </w:rPr>
        <w:t>July 2026</w:t>
      </w:r>
    </w:p>
    <w:p>
      <w:r>
        <w:br w:type="page"/>
      </w:r>
    </w:p>
    <w:p>
      <w:pPr>
        <w:pStyle w:val="Heading1"/>
      </w:pPr>
      <w:r>
        <w:t>Important alignment note</w:t>
      </w:r>
    </w:p>
    <w:p>
      <w:r>
        <w:rPr>
          <w:i w:val="0"/>
        </w:rPr>
        <w:t>This answer is grounded in the supplied thesis. Chapter Three and Chapters Four–Five establish a qualitative single-case study using semi-structured interviews, document review and thematic analysis. Therefore, references in the examination questions to machine-learning models, train/test splits and predictive metrics are answered through the closest methodologically valid equivalents: qualitative coding, triangulation, saturation, negative-case analysis, member checking and an audit trail. The thesis abstract currently conflicts with this design by claiming questionnaires, regression and mixed methods; it should be corrected before submission. Database-search results and article details below must also be checked against papers personally read, as required by the examination instructions.</w:t>
      </w:r>
    </w:p>
    <w:p>
      <w:pPr>
        <w:pStyle w:val="Heading1"/>
      </w:pPr>
      <w:r>
        <w:t>SECTION A: MSc Project Framing and Problem Articulation</w:t>
      </w:r>
    </w:p>
    <w:p>
      <w:pPr>
        <w:pStyle w:val="Heading2"/>
      </w:pPr>
      <w:r>
        <w:t>Question 1(a): Specific real-world problem</w:t>
      </w:r>
    </w:p>
    <w:p>
      <w:r>
        <w:rPr>
          <w:i w:val="0"/>
        </w:rPr>
        <w:t>WIUC-GH has introduced an e-procurement platform to modernise sourcing, ordering, invoicing and supplier-related activities, yet the thesis reports that adoption is only partial. Manual and electronic procedures coexist, e-tendering and e-supplier selection remain underdeveloped, the platform is not fully integrated with finance and stores, and unreliable infrastructure, limited user competence, resistance to change, budget constraints and uneven top-management support restrict effective use. The specific problem is therefore not simply the absence of technology; it is the failure to translate an installed e-procurement system into consistently improved procurement performance.</w:t>
      </w:r>
    </w:p>
    <w:p>
      <w:r>
        <w:rPr>
          <w:i w:val="0"/>
        </w:rPr>
        <w:t>The problem matters because procurement affects WIUC-GH’s cost control, purchasing cycle time, quality of goods and services, transparency, compliance and supplier management. Procurement officers, finance and stores personnel, ICT staff, senior managers, suppliers and ultimately students are affected. If the problem remains unresolved, the university risks duplicated work, delayed purchases, avoidable transaction costs, weak audit trails, inconsistent compliance and an expensive but underused digital asset. This is especially consequential for a private Ghanaian university that depends heavily on internally generated income and operates outside the mandatory scope of public-sector procurement rules while still needing strong governance. The study therefore examines the influence of e-procurement usage on cost, time and quality, and the moderating role of top-management commitment (Agyemang, 2019; Ofori &amp; Fuseini, 2020; Awuah et al., 2022; Salifu et al., 2023).</w:t>
      </w:r>
    </w:p>
    <w:p>
      <w:pPr>
        <w:pStyle w:val="Heading2"/>
      </w:pPr>
      <w:r>
        <w:t>Question 1(b): Primary and secondary data sources</w:t>
      </w:r>
    </w:p>
    <w:tbl>
      <w:tblPr>
        <w:tblStyle w:val="TableGrid"/>
        <w:tblW w:type="auto" w:w="0"/>
        <w:jc w:val="center"/>
        <w:tblLayout w:type="fixed"/>
        <w:tblLook w:firstColumn="1" w:firstRow="1" w:lastColumn="0" w:lastRow="0" w:noHBand="0" w:noVBand="1" w:val="04A0"/>
      </w:tblPr>
      <w:tblGrid>
        <w:gridCol w:w="2329"/>
        <w:gridCol w:w="2329"/>
        <w:gridCol w:w="2329"/>
        <w:gridCol w:w="2329"/>
      </w:tblGrid>
      <w:tr>
        <w:tc>
          <w:tcPr>
            <w:tcW w:type="dxa" w:w="1800"/>
            <w:shd w:fill="D9E6F2"/>
            <w:vAlign w:val="center"/>
            <w:tcMar>
              <w:top w:w="80" w:type="dxa"/>
              <w:start w:w="100" w:type="dxa"/>
              <w:bottom w:w="80" w:type="dxa"/>
              <w:end w:w="100" w:type="dxa"/>
            </w:tcMar>
          </w:tcPr>
          <w:p>
            <w:r>
              <w:rPr>
                <w:rFonts w:ascii="Times New Roman" w:hAnsi="Times New Roman"/>
                <w:b/>
                <w:sz w:val="18"/>
              </w:rPr>
              <w:t>Source</w:t>
            </w:r>
          </w:p>
        </w:tc>
        <w:tc>
          <w:tcPr>
            <w:tcW w:type="dxa" w:w="2880"/>
            <w:shd w:fill="D9E6F2"/>
            <w:vAlign w:val="center"/>
            <w:tcMar>
              <w:top w:w="80" w:type="dxa"/>
              <w:start w:w="100" w:type="dxa"/>
              <w:bottom w:w="80" w:type="dxa"/>
              <w:end w:w="100" w:type="dxa"/>
            </w:tcMar>
          </w:tcPr>
          <w:p>
            <w:r>
              <w:rPr>
                <w:rFonts w:ascii="Times New Roman" w:hAnsi="Times New Roman"/>
                <w:b/>
                <w:sz w:val="18"/>
              </w:rPr>
              <w:t>Purpose and access</w:t>
            </w:r>
          </w:p>
        </w:tc>
        <w:tc>
          <w:tcPr>
            <w:tcW w:type="dxa" w:w="2232"/>
            <w:shd w:fill="D9E6F2"/>
            <w:vAlign w:val="center"/>
            <w:tcMar>
              <w:top w:w="80" w:type="dxa"/>
              <w:start w:w="100" w:type="dxa"/>
              <w:bottom w:w="80" w:type="dxa"/>
              <w:end w:w="100" w:type="dxa"/>
            </w:tcMar>
          </w:tcPr>
          <w:p>
            <w:r>
              <w:rPr>
                <w:rFonts w:ascii="Times New Roman" w:hAnsi="Times New Roman"/>
                <w:b/>
                <w:sz w:val="18"/>
              </w:rPr>
              <w:t>Ownership/privacy</w:t>
            </w:r>
          </w:p>
        </w:tc>
        <w:tc>
          <w:tcPr>
            <w:tcW w:type="dxa" w:w="2880"/>
            <w:shd w:fill="D9E6F2"/>
            <w:vAlign w:val="center"/>
            <w:tcMar>
              <w:top w:w="80" w:type="dxa"/>
              <w:start w:w="100" w:type="dxa"/>
              <w:bottom w:w="80" w:type="dxa"/>
              <w:end w:w="100" w:type="dxa"/>
            </w:tcMar>
          </w:tcPr>
          <w:p>
            <w:r>
              <w:rPr>
                <w:rFonts w:ascii="Times New Roman" w:hAnsi="Times New Roman"/>
                <w:b/>
                <w:sz w:val="18"/>
              </w:rPr>
              <w:t>Approval and controls</w:t>
            </w:r>
          </w:p>
        </w:tc>
      </w:tr>
      <w:tr>
        <w:tc>
          <w:tcPr>
            <w:tcW w:type="dxa" w:w="1800"/>
            <w:vAlign w:val="top"/>
            <w:tcMar>
              <w:top w:w="80" w:type="dxa"/>
              <w:start w:w="100" w:type="dxa"/>
              <w:bottom w:w="80" w:type="dxa"/>
              <w:end w:w="100" w:type="dxa"/>
            </w:tcMar>
          </w:tcPr>
          <w:p>
            <w:pPr>
              <w:pStyle w:val="TableText"/>
            </w:pPr>
            <w:r>
              <w:t>Semi-structured interviews</w:t>
            </w:r>
          </w:p>
        </w:tc>
        <w:tc>
          <w:tcPr>
            <w:tcW w:type="dxa" w:w="2880"/>
            <w:vAlign w:val="top"/>
            <w:tcMar>
              <w:top w:w="80" w:type="dxa"/>
              <w:start w:w="100" w:type="dxa"/>
              <w:bottom w:w="80" w:type="dxa"/>
              <w:end w:w="100" w:type="dxa"/>
            </w:tcMar>
          </w:tcPr>
          <w:p>
            <w:pPr>
              <w:pStyle w:val="TableText"/>
            </w:pPr>
            <w:r>
              <w:t>Primary data from approximately 10–15 purposively selected procurement, finance, ICT, stores/administrative and senior-management personnel; 45–60 minutes, subject to access and scheduling.</w:t>
            </w:r>
          </w:p>
        </w:tc>
        <w:tc>
          <w:tcPr>
            <w:tcW w:type="dxa" w:w="2232"/>
            <w:vAlign w:val="top"/>
            <w:tcMar>
              <w:top w:w="80" w:type="dxa"/>
              <w:start w:w="100" w:type="dxa"/>
              <w:bottom w:w="80" w:type="dxa"/>
              <w:end w:w="100" w:type="dxa"/>
            </w:tcMar>
          </w:tcPr>
          <w:p>
            <w:pPr>
              <w:pStyle w:val="TableText"/>
            </w:pPr>
            <w:r>
              <w:t>Participants own their personal accounts; WIUC-GH controls workplace access. Audio and transcripts may reveal roles, opinions and sensitive comments about management.</w:t>
            </w:r>
          </w:p>
        </w:tc>
        <w:tc>
          <w:tcPr>
            <w:tcW w:type="dxa" w:w="2880"/>
            <w:vAlign w:val="top"/>
            <w:tcMar>
              <w:top w:w="80" w:type="dxa"/>
              <w:start w:w="100" w:type="dxa"/>
              <w:bottom w:w="80" w:type="dxa"/>
              <w:end w:w="100" w:type="dxa"/>
            </w:tcMar>
          </w:tcPr>
          <w:p>
            <w:pPr>
              <w:pStyle w:val="TableText"/>
            </w:pPr>
            <w:r>
              <w:t>Institutional permission and research ethics approval; written informed consent; voluntary participation; pseudonyms/role masking; encrypted storage; restricted access; retention/deletion schedule.</w:t>
            </w:r>
          </w:p>
        </w:tc>
      </w:tr>
      <w:tr>
        <w:tc>
          <w:tcPr>
            <w:tcW w:type="dxa" w:w="1800"/>
            <w:vAlign w:val="top"/>
            <w:tcMar>
              <w:top w:w="80" w:type="dxa"/>
              <w:start w:w="100" w:type="dxa"/>
              <w:bottom w:w="80" w:type="dxa"/>
              <w:end w:w="100" w:type="dxa"/>
            </w:tcMar>
          </w:tcPr>
          <w:p>
            <w:pPr>
              <w:pStyle w:val="TableText"/>
            </w:pPr>
            <w:r>
              <w:t>Institutional documents</w:t>
            </w:r>
          </w:p>
        </w:tc>
        <w:tc>
          <w:tcPr>
            <w:tcW w:type="dxa" w:w="2880"/>
            <w:vAlign w:val="top"/>
            <w:tcMar>
              <w:top w:w="80" w:type="dxa"/>
              <w:start w:w="100" w:type="dxa"/>
              <w:bottom w:w="80" w:type="dxa"/>
              <w:end w:w="100" w:type="dxa"/>
            </w:tcMar>
          </w:tcPr>
          <w:p>
            <w:pPr>
              <w:pStyle w:val="TableText"/>
            </w:pPr>
            <w:r>
              <w:t>Secondary review of procurement policies, system manuals, user guides, performance reports and relevant records. Access may be limited by commercial, audit or managerial sensitivity.</w:t>
            </w:r>
          </w:p>
        </w:tc>
        <w:tc>
          <w:tcPr>
            <w:tcW w:type="dxa" w:w="2232"/>
            <w:vAlign w:val="top"/>
            <w:tcMar>
              <w:top w:w="80" w:type="dxa"/>
              <w:start w:w="100" w:type="dxa"/>
              <w:bottom w:w="80" w:type="dxa"/>
              <w:end w:w="100" w:type="dxa"/>
            </w:tcMar>
          </w:tcPr>
          <w:p>
            <w:pPr>
              <w:pStyle w:val="TableText"/>
            </w:pPr>
            <w:r>
              <w:t>WIUC-GH owns the records; some may contain supplier, pricing, employee or transaction information.</w:t>
            </w:r>
          </w:p>
        </w:tc>
        <w:tc>
          <w:tcPr>
            <w:tcW w:type="dxa" w:w="2880"/>
            <w:vAlign w:val="top"/>
            <w:tcMar>
              <w:top w:w="80" w:type="dxa"/>
              <w:start w:w="100" w:type="dxa"/>
              <w:bottom w:w="80" w:type="dxa"/>
              <w:end w:w="100" w:type="dxa"/>
            </w:tcMar>
          </w:tcPr>
          <w:p>
            <w:pPr>
              <w:pStyle w:val="TableText"/>
            </w:pPr>
            <w:r>
              <w:t>Written gatekeeper permission; data-minimisation; redact names, supplier identifiers and commercially sensitive fields; cite only authorised, non-confidential evidence.</w:t>
            </w:r>
          </w:p>
        </w:tc>
      </w:tr>
      <w:tr>
        <w:tc>
          <w:tcPr>
            <w:tcW w:type="dxa" w:w="1800"/>
            <w:vAlign w:val="top"/>
            <w:tcMar>
              <w:top w:w="80" w:type="dxa"/>
              <w:start w:w="100" w:type="dxa"/>
              <w:bottom w:w="80" w:type="dxa"/>
              <w:end w:w="100" w:type="dxa"/>
            </w:tcMar>
          </w:tcPr>
          <w:p>
            <w:pPr>
              <w:pStyle w:val="TableText"/>
            </w:pPr>
            <w:r>
              <w:t>Published literature and policy materials</w:t>
            </w:r>
          </w:p>
        </w:tc>
        <w:tc>
          <w:tcPr>
            <w:tcW w:type="dxa" w:w="2880"/>
            <w:vAlign w:val="top"/>
            <w:tcMar>
              <w:top w:w="80" w:type="dxa"/>
              <w:start w:w="100" w:type="dxa"/>
              <w:bottom w:w="80" w:type="dxa"/>
              <w:end w:w="100" w:type="dxa"/>
            </w:tcMar>
          </w:tcPr>
          <w:p>
            <w:pPr>
              <w:pStyle w:val="TableText"/>
            </w:pPr>
            <w:r>
              <w:t>Context and comparison from peer-reviewed e-procurement studies, PPA/GHANEPS material and legislation. Full text and date-range availability constrain access.</w:t>
            </w:r>
          </w:p>
        </w:tc>
        <w:tc>
          <w:tcPr>
            <w:tcW w:type="dxa" w:w="2232"/>
            <w:vAlign w:val="top"/>
            <w:tcMar>
              <w:top w:w="80" w:type="dxa"/>
              <w:start w:w="100" w:type="dxa"/>
              <w:bottom w:w="80" w:type="dxa"/>
              <w:end w:w="100" w:type="dxa"/>
            </w:tcMar>
          </w:tcPr>
          <w:p>
            <w:pPr>
              <w:pStyle w:val="TableText"/>
            </w:pPr>
            <w:r>
              <w:t>Publishers/authors or public agencies own copyright; no participant privacy issue, but accurate attribution is required.</w:t>
            </w:r>
          </w:p>
        </w:tc>
        <w:tc>
          <w:tcPr>
            <w:tcW w:type="dxa" w:w="2880"/>
            <w:vAlign w:val="top"/>
            <w:tcMar>
              <w:top w:w="80" w:type="dxa"/>
              <w:start w:w="100" w:type="dxa"/>
              <w:bottom w:w="80" w:type="dxa"/>
              <w:end w:w="100" w:type="dxa"/>
            </w:tcMar>
          </w:tcPr>
          <w:p>
            <w:pPr>
              <w:pStyle w:val="TableText"/>
            </w:pPr>
            <w:r>
              <w:t>No human-subject approval normally required; comply with copyright, verify bibliographic details, and distinguish peer-reviewed evidence from reports/web sources.</w:t>
            </w:r>
          </w:p>
        </w:tc>
      </w:tr>
    </w:tbl>
    <w:p>
      <w:pPr>
        <w:spacing w:after="0"/>
      </w:pPr>
    </w:p>
    <w:p>
      <w:pPr>
        <w:pStyle w:val="Heading2"/>
      </w:pPr>
      <w:r>
        <w:t>Question 1(c): Data characteristics and quality</w:t>
      </w:r>
    </w:p>
    <w:p>
      <w:r>
        <w:rPr>
          <w:i w:val="0"/>
        </w:rPr>
        <w:t>The primary corpus is small in participant count but information-rich: approximately 7.5–15 interview hours if 10–15 people are interviewed for 45–60 minutes, producing tens or potentially hundreds of transcript pages. It is predominantly unstructured text and audio. Institutional records are semi-structured (policies, manuals and narrative reports) and may include structured fields such as dates, approval steps, cycle times and expenditure values where access permits. The corpus is heterogeneous because operational staff, technical staff and managers view the same system from different positions.</w:t>
      </w:r>
    </w:p>
    <w:p>
      <w:r>
        <w:rPr>
          <w:i w:val="0"/>
        </w:rPr>
        <w:t>Likely quality issues include inaudible recordings, incomplete answers, inconsistent terminology, retrospective recall error, social-desirability bias, non-response by senior staff, missing or outdated documents, contradictory accounts, and disproportionate representation of management or frequent system users. Role combinations in a small institution create re-identification risk even after names are removed. Procurement records may also use confidential supplier and price data. The study will use verbatim transcription, transcript checking, a codebook, reflexive memos, triangulation across roles and documents, negative-case analysis and a saturation log. Claims will be bounded to WIUC-GH and the period studied.</w:t>
      </w:r>
    </w:p>
    <w:p>
      <w:pPr>
        <w:pStyle w:val="Heading2"/>
      </w:pPr>
      <w:r>
        <w:t>Question 1(d): Why conventional statistics or out-of-the-box ML are inadequate</w:t>
      </w:r>
    </w:p>
    <w:p>
      <w:r>
        <w:rPr>
          <w:i w:val="0"/>
        </w:rPr>
        <w:t>A conventional statistical model is inappropriate for the core research question because the intended sample of 10–15 purposively selected participants is neither large nor probability-based, and the constructs of leadership commitment, resistance, workarounds and policy–practice gaps are contextual processes rather than reliably measured numeric variables. Regression on such a sample would be unstable and would imply a level of causal and statistical generalisation the design cannot support. Out-of-the-box sentiment analysis or topic modelling would also be unreliable: the corpus is small, procurement language is domain-specific, Ghanaian institutional expressions may not match training data, and automated tools can strip quotations from organisational context. Human-led reflexive thematic analysis is better suited to identifying mechanisms and meanings, while document triangulation tests whether perceptions align with formal practice (Braun &amp; Clarke, 2006; Yin, 2018). Quantitative transaction analysis is a valuable future extension, not a substitute for the present case study.</w:t>
      </w:r>
    </w:p>
    <w:p>
      <w:pPr>
        <w:pStyle w:val="Heading1"/>
      </w:pPr>
      <w:r>
        <w:t>SECTION B: Systematic Literature Review</w:t>
      </w:r>
    </w:p>
    <w:p>
      <w:pPr>
        <w:pStyle w:val="Heading2"/>
      </w:pPr>
      <w:r>
        <w:t>Question 2: SLR protocol</w:t>
      </w:r>
    </w:p>
    <w:p>
      <w:r>
        <w:rPr>
          <w:i w:val="0"/>
        </w:rPr>
        <w:t>Review question (SPIDER): How do empirical studies of e-procurement in African and comparable developing-economy organisations investigate the relationship between e-procurement adoption/use, procurement performance and organisational or top-management conditions?</w:t>
      </w:r>
    </w:p>
    <w:tbl>
      <w:tblPr>
        <w:tblStyle w:val="TableGrid"/>
        <w:tblW w:type="auto" w:w="0"/>
        <w:jc w:val="center"/>
        <w:tblLayout w:type="fixed"/>
        <w:tblLook w:firstColumn="1" w:firstRow="1" w:lastColumn="0" w:lastRow="0" w:noHBand="0" w:noVBand="1" w:val="04A0"/>
      </w:tblPr>
      <w:tblGrid>
        <w:gridCol w:w="4658"/>
        <w:gridCol w:w="4658"/>
      </w:tblGrid>
      <w:tr>
        <w:tc>
          <w:tcPr>
            <w:tcW w:type="dxa" w:w="2232"/>
            <w:shd w:fill="D9E6F2"/>
            <w:vAlign w:val="center"/>
            <w:tcMar>
              <w:top w:w="80" w:type="dxa"/>
              <w:start w:w="100" w:type="dxa"/>
              <w:bottom w:w="80" w:type="dxa"/>
              <w:end w:w="100" w:type="dxa"/>
            </w:tcMar>
          </w:tcPr>
          <w:p>
            <w:r>
              <w:rPr>
                <w:rFonts w:ascii="Times New Roman" w:hAnsi="Times New Roman"/>
                <w:b/>
                <w:sz w:val="18"/>
              </w:rPr>
              <w:t>SPIDER element</w:t>
            </w:r>
          </w:p>
        </w:tc>
        <w:tc>
          <w:tcPr>
            <w:tcW w:type="dxa" w:w="7992"/>
            <w:shd w:fill="D9E6F2"/>
            <w:vAlign w:val="center"/>
            <w:tcMar>
              <w:top w:w="80" w:type="dxa"/>
              <w:start w:w="100" w:type="dxa"/>
              <w:bottom w:w="80" w:type="dxa"/>
              <w:end w:w="100" w:type="dxa"/>
            </w:tcMar>
          </w:tcPr>
          <w:p>
            <w:r>
              <w:rPr>
                <w:rFonts w:ascii="Times New Roman" w:hAnsi="Times New Roman"/>
                <w:b/>
                <w:sz w:val="18"/>
              </w:rPr>
              <w:t>Operational definition</w:t>
            </w:r>
          </w:p>
        </w:tc>
      </w:tr>
      <w:tr>
        <w:tc>
          <w:tcPr>
            <w:tcW w:type="dxa" w:w="2232"/>
            <w:vAlign w:val="top"/>
            <w:tcMar>
              <w:top w:w="80" w:type="dxa"/>
              <w:start w:w="100" w:type="dxa"/>
              <w:bottom w:w="80" w:type="dxa"/>
              <w:end w:w="100" w:type="dxa"/>
            </w:tcMar>
          </w:tcPr>
          <w:p>
            <w:pPr>
              <w:pStyle w:val="TableText"/>
            </w:pPr>
            <w:r>
              <w:t>Sample</w:t>
            </w:r>
          </w:p>
        </w:tc>
        <w:tc>
          <w:tcPr>
            <w:tcW w:type="dxa" w:w="7992"/>
            <w:vAlign w:val="top"/>
            <w:tcMar>
              <w:top w:w="80" w:type="dxa"/>
              <w:start w:w="100" w:type="dxa"/>
              <w:bottom w:w="80" w:type="dxa"/>
              <w:end w:w="100" w:type="dxa"/>
            </w:tcMar>
          </w:tcPr>
          <w:p>
            <w:pPr>
              <w:pStyle w:val="TableText"/>
            </w:pPr>
            <w:r>
              <w:t>Private/public organisations, with priority to universities and Ghana/Africa.</w:t>
            </w:r>
          </w:p>
        </w:tc>
      </w:tr>
      <w:tr>
        <w:tc>
          <w:tcPr>
            <w:tcW w:type="dxa" w:w="2232"/>
            <w:vAlign w:val="top"/>
            <w:tcMar>
              <w:top w:w="80" w:type="dxa"/>
              <w:start w:w="100" w:type="dxa"/>
              <w:bottom w:w="80" w:type="dxa"/>
              <w:end w:w="100" w:type="dxa"/>
            </w:tcMar>
          </w:tcPr>
          <w:p>
            <w:pPr>
              <w:pStyle w:val="TableText"/>
            </w:pPr>
            <w:r>
              <w:t>Phenomenon of Interest</w:t>
            </w:r>
          </w:p>
        </w:tc>
        <w:tc>
          <w:tcPr>
            <w:tcW w:type="dxa" w:w="7992"/>
            <w:vAlign w:val="top"/>
            <w:tcMar>
              <w:top w:w="80" w:type="dxa"/>
              <w:start w:w="100" w:type="dxa"/>
              <w:bottom w:w="80" w:type="dxa"/>
              <w:end w:w="100" w:type="dxa"/>
            </w:tcMar>
          </w:tcPr>
          <w:p>
            <w:pPr>
              <w:pStyle w:val="TableText"/>
            </w:pPr>
            <w:r>
              <w:t>Adoption, use or integration of e-sourcing, e-tendering, e-ordering, e-invoicing or supplier platforms.</w:t>
            </w:r>
          </w:p>
        </w:tc>
      </w:tr>
      <w:tr>
        <w:tc>
          <w:tcPr>
            <w:tcW w:type="dxa" w:w="2232"/>
            <w:vAlign w:val="top"/>
            <w:tcMar>
              <w:top w:w="80" w:type="dxa"/>
              <w:start w:w="100" w:type="dxa"/>
              <w:bottom w:w="80" w:type="dxa"/>
              <w:end w:w="100" w:type="dxa"/>
            </w:tcMar>
          </w:tcPr>
          <w:p>
            <w:pPr>
              <w:pStyle w:val="TableText"/>
            </w:pPr>
            <w:r>
              <w:t>Design</w:t>
            </w:r>
          </w:p>
        </w:tc>
        <w:tc>
          <w:tcPr>
            <w:tcW w:type="dxa" w:w="7992"/>
            <w:vAlign w:val="top"/>
            <w:tcMar>
              <w:top w:w="80" w:type="dxa"/>
              <w:start w:w="100" w:type="dxa"/>
              <w:bottom w:w="80" w:type="dxa"/>
              <w:end w:w="100" w:type="dxa"/>
            </w:tcMar>
          </w:tcPr>
          <w:p>
            <w:pPr>
              <w:pStyle w:val="TableText"/>
            </w:pPr>
            <w:r>
              <w:t>Case study, survey, interviews, mixed methods, longitudinal or systematic review.</w:t>
            </w:r>
          </w:p>
        </w:tc>
      </w:tr>
      <w:tr>
        <w:tc>
          <w:tcPr>
            <w:tcW w:type="dxa" w:w="2232"/>
            <w:vAlign w:val="top"/>
            <w:tcMar>
              <w:top w:w="80" w:type="dxa"/>
              <w:start w:w="100" w:type="dxa"/>
              <w:bottom w:w="80" w:type="dxa"/>
              <w:end w:w="100" w:type="dxa"/>
            </w:tcMar>
          </w:tcPr>
          <w:p>
            <w:pPr>
              <w:pStyle w:val="TableText"/>
            </w:pPr>
            <w:r>
              <w:t>Evaluation</w:t>
            </w:r>
          </w:p>
        </w:tc>
        <w:tc>
          <w:tcPr>
            <w:tcW w:type="dxa" w:w="7992"/>
            <w:vAlign w:val="top"/>
            <w:tcMar>
              <w:top w:w="80" w:type="dxa"/>
              <w:start w:w="100" w:type="dxa"/>
              <w:bottom w:w="80" w:type="dxa"/>
              <w:end w:w="100" w:type="dxa"/>
            </w:tcMar>
          </w:tcPr>
          <w:p>
            <w:pPr>
              <w:pStyle w:val="TableText"/>
            </w:pPr>
            <w:r>
              <w:t>Cost, cycle time, quality, transparency, compliance, supplier management, adoption barriers and leadership commitment.</w:t>
            </w:r>
          </w:p>
        </w:tc>
      </w:tr>
      <w:tr>
        <w:tc>
          <w:tcPr>
            <w:tcW w:type="dxa" w:w="2232"/>
            <w:vAlign w:val="top"/>
            <w:tcMar>
              <w:top w:w="80" w:type="dxa"/>
              <w:start w:w="100" w:type="dxa"/>
              <w:bottom w:w="80" w:type="dxa"/>
              <w:end w:w="100" w:type="dxa"/>
            </w:tcMar>
          </w:tcPr>
          <w:p>
            <w:pPr>
              <w:pStyle w:val="TableText"/>
            </w:pPr>
            <w:r>
              <w:t>Research type</w:t>
            </w:r>
          </w:p>
        </w:tc>
        <w:tc>
          <w:tcPr>
            <w:tcW w:type="dxa" w:w="7992"/>
            <w:vAlign w:val="top"/>
            <w:tcMar>
              <w:top w:w="80" w:type="dxa"/>
              <w:start w:w="100" w:type="dxa"/>
              <w:bottom w:w="80" w:type="dxa"/>
              <w:end w:w="100" w:type="dxa"/>
            </w:tcMar>
          </w:tcPr>
          <w:p>
            <w:pPr>
              <w:pStyle w:val="TableText"/>
            </w:pPr>
            <w:r>
              <w:t>Qualitative, quantitative and mixed-method empirical peer-reviewed studies, 2020–2025.</w:t>
            </w:r>
          </w:p>
        </w:tc>
      </w:tr>
    </w:tbl>
    <w:p>
      <w:pPr>
        <w:spacing w:after="0"/>
      </w:pP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1656"/>
            <w:shd w:fill="D9E6F2"/>
            <w:vAlign w:val="center"/>
            <w:tcMar>
              <w:top w:w="80" w:type="dxa"/>
              <w:start w:w="100" w:type="dxa"/>
              <w:bottom w:w="80" w:type="dxa"/>
              <w:end w:w="100" w:type="dxa"/>
            </w:tcMar>
          </w:tcPr>
          <w:p>
            <w:r>
              <w:rPr>
                <w:rFonts w:ascii="Times New Roman" w:hAnsi="Times New Roman"/>
                <w:b/>
                <w:sz w:val="18"/>
              </w:rPr>
              <w:t>Criterion</w:t>
            </w:r>
          </w:p>
        </w:tc>
        <w:tc>
          <w:tcPr>
            <w:tcW w:type="dxa" w:w="4104"/>
            <w:shd w:fill="D9E6F2"/>
            <w:vAlign w:val="center"/>
            <w:tcMar>
              <w:top w:w="80" w:type="dxa"/>
              <w:start w:w="100" w:type="dxa"/>
              <w:bottom w:w="80" w:type="dxa"/>
              <w:end w:w="100" w:type="dxa"/>
            </w:tcMar>
          </w:tcPr>
          <w:p>
            <w:r>
              <w:rPr>
                <w:rFonts w:ascii="Times New Roman" w:hAnsi="Times New Roman"/>
                <w:b/>
                <w:sz w:val="18"/>
              </w:rPr>
              <w:t>Include</w:t>
            </w:r>
          </w:p>
        </w:tc>
        <w:tc>
          <w:tcPr>
            <w:tcW w:type="dxa" w:w="4464"/>
            <w:shd w:fill="D9E6F2"/>
            <w:vAlign w:val="center"/>
            <w:tcMar>
              <w:top w:w="80" w:type="dxa"/>
              <w:start w:w="100" w:type="dxa"/>
              <w:bottom w:w="80" w:type="dxa"/>
              <w:end w:w="100" w:type="dxa"/>
            </w:tcMar>
          </w:tcPr>
          <w:p>
            <w:r>
              <w:rPr>
                <w:rFonts w:ascii="Times New Roman" w:hAnsi="Times New Roman"/>
                <w:b/>
                <w:sz w:val="18"/>
              </w:rPr>
              <w:t>Exclude</w:t>
            </w:r>
          </w:p>
        </w:tc>
      </w:tr>
      <w:tr>
        <w:tc>
          <w:tcPr>
            <w:tcW w:type="dxa" w:w="1656"/>
            <w:vAlign w:val="top"/>
            <w:tcMar>
              <w:top w:w="80" w:type="dxa"/>
              <w:start w:w="100" w:type="dxa"/>
              <w:bottom w:w="80" w:type="dxa"/>
              <w:end w:w="100" w:type="dxa"/>
            </w:tcMar>
          </w:tcPr>
          <w:p>
            <w:pPr>
              <w:pStyle w:val="TableText"/>
            </w:pPr>
            <w:r>
              <w:t>Date</w:t>
            </w:r>
          </w:p>
        </w:tc>
        <w:tc>
          <w:tcPr>
            <w:tcW w:type="dxa" w:w="4104"/>
            <w:vAlign w:val="top"/>
            <w:tcMar>
              <w:top w:w="80" w:type="dxa"/>
              <w:start w:w="100" w:type="dxa"/>
              <w:bottom w:w="80" w:type="dxa"/>
              <w:end w:w="100" w:type="dxa"/>
            </w:tcMar>
          </w:tcPr>
          <w:p>
            <w:pPr>
              <w:pStyle w:val="TableText"/>
            </w:pPr>
            <w:r>
              <w:t>2020–2025 inclusive</w:t>
            </w:r>
          </w:p>
        </w:tc>
        <w:tc>
          <w:tcPr>
            <w:tcW w:type="dxa" w:w="4464"/>
            <w:vAlign w:val="top"/>
            <w:tcMar>
              <w:top w:w="80" w:type="dxa"/>
              <w:start w:w="100" w:type="dxa"/>
              <w:bottom w:w="80" w:type="dxa"/>
              <w:end w:w="100" w:type="dxa"/>
            </w:tcMar>
          </w:tcPr>
          <w:p>
            <w:pPr>
              <w:pStyle w:val="TableText"/>
            </w:pPr>
            <w:r>
              <w:t>Before 2020 or after 2025 for the formal SLR set</w:t>
            </w:r>
          </w:p>
        </w:tc>
      </w:tr>
      <w:tr>
        <w:tc>
          <w:tcPr>
            <w:tcW w:type="dxa" w:w="1656"/>
            <w:vAlign w:val="top"/>
            <w:tcMar>
              <w:top w:w="80" w:type="dxa"/>
              <w:start w:w="100" w:type="dxa"/>
              <w:bottom w:w="80" w:type="dxa"/>
              <w:end w:w="100" w:type="dxa"/>
            </w:tcMar>
          </w:tcPr>
          <w:p>
            <w:pPr>
              <w:pStyle w:val="TableText"/>
            </w:pPr>
            <w:r>
              <w:t>Publication</w:t>
            </w:r>
          </w:p>
        </w:tc>
        <w:tc>
          <w:tcPr>
            <w:tcW w:type="dxa" w:w="4104"/>
            <w:vAlign w:val="top"/>
            <w:tcMar>
              <w:top w:w="80" w:type="dxa"/>
              <w:start w:w="100" w:type="dxa"/>
              <w:bottom w:w="80" w:type="dxa"/>
              <w:end w:w="100" w:type="dxa"/>
            </w:tcMar>
          </w:tcPr>
          <w:p>
            <w:pPr>
              <w:pStyle w:val="TableText"/>
            </w:pPr>
            <w:r>
              <w:t>Peer-reviewed journal or full conference paper</w:t>
            </w:r>
          </w:p>
        </w:tc>
        <w:tc>
          <w:tcPr>
            <w:tcW w:type="dxa" w:w="4464"/>
            <w:vAlign w:val="top"/>
            <w:tcMar>
              <w:top w:w="80" w:type="dxa"/>
              <w:start w:w="100" w:type="dxa"/>
              <w:bottom w:w="80" w:type="dxa"/>
              <w:end w:w="100" w:type="dxa"/>
            </w:tcMar>
          </w:tcPr>
          <w:p>
            <w:pPr>
              <w:pStyle w:val="TableText"/>
            </w:pPr>
            <w:r>
              <w:t>Theses, websites, editorials, abstracts only</w:t>
            </w:r>
          </w:p>
        </w:tc>
      </w:tr>
      <w:tr>
        <w:tc>
          <w:tcPr>
            <w:tcW w:type="dxa" w:w="1656"/>
            <w:vAlign w:val="top"/>
            <w:tcMar>
              <w:top w:w="80" w:type="dxa"/>
              <w:start w:w="100" w:type="dxa"/>
              <w:bottom w:w="80" w:type="dxa"/>
              <w:end w:w="100" w:type="dxa"/>
            </w:tcMar>
          </w:tcPr>
          <w:p>
            <w:pPr>
              <w:pStyle w:val="TableText"/>
            </w:pPr>
            <w:r>
              <w:t>Topic</w:t>
            </w:r>
          </w:p>
        </w:tc>
        <w:tc>
          <w:tcPr>
            <w:tcW w:type="dxa" w:w="4104"/>
            <w:vAlign w:val="top"/>
            <w:tcMar>
              <w:top w:w="80" w:type="dxa"/>
              <w:start w:w="100" w:type="dxa"/>
              <w:bottom w:w="80" w:type="dxa"/>
              <w:end w:w="100" w:type="dxa"/>
            </w:tcMar>
          </w:tcPr>
          <w:p>
            <w:pPr>
              <w:pStyle w:val="TableText"/>
            </w:pPr>
            <w:r>
              <w:t>Direct evidence on e-procurement adoption/use/performance or organisational enablers</w:t>
            </w:r>
          </w:p>
        </w:tc>
        <w:tc>
          <w:tcPr>
            <w:tcW w:type="dxa" w:w="4464"/>
            <w:vAlign w:val="top"/>
            <w:tcMar>
              <w:top w:w="80" w:type="dxa"/>
              <w:start w:w="100" w:type="dxa"/>
              <w:bottom w:w="80" w:type="dxa"/>
              <w:end w:w="100" w:type="dxa"/>
            </w:tcMar>
          </w:tcPr>
          <w:p>
            <w:pPr>
              <w:pStyle w:val="TableText"/>
            </w:pPr>
            <w:r>
              <w:t>General e-commerce or procurement without an electronic-system focus</w:t>
            </w:r>
          </w:p>
        </w:tc>
      </w:tr>
      <w:tr>
        <w:tc>
          <w:tcPr>
            <w:tcW w:type="dxa" w:w="1656"/>
            <w:vAlign w:val="top"/>
            <w:tcMar>
              <w:top w:w="80" w:type="dxa"/>
              <w:start w:w="100" w:type="dxa"/>
              <w:bottom w:w="80" w:type="dxa"/>
              <w:end w:w="100" w:type="dxa"/>
            </w:tcMar>
          </w:tcPr>
          <w:p>
            <w:pPr>
              <w:pStyle w:val="TableText"/>
            </w:pPr>
            <w:r>
              <w:t>Context</w:t>
            </w:r>
          </w:p>
        </w:tc>
        <w:tc>
          <w:tcPr>
            <w:tcW w:type="dxa" w:w="4104"/>
            <w:vAlign w:val="top"/>
            <w:tcMar>
              <w:top w:w="80" w:type="dxa"/>
              <w:start w:w="100" w:type="dxa"/>
              <w:bottom w:w="80" w:type="dxa"/>
              <w:end w:w="100" w:type="dxa"/>
            </w:tcMar>
          </w:tcPr>
          <w:p>
            <w:pPr>
              <w:pStyle w:val="TableText"/>
            </w:pPr>
            <w:r>
              <w:t>Organisational studies; priority to Ghana, Africa, developing economies and higher education</w:t>
            </w:r>
          </w:p>
        </w:tc>
        <w:tc>
          <w:tcPr>
            <w:tcW w:type="dxa" w:w="4464"/>
            <w:vAlign w:val="top"/>
            <w:tcMar>
              <w:top w:w="80" w:type="dxa"/>
              <w:start w:w="100" w:type="dxa"/>
              <w:bottom w:w="80" w:type="dxa"/>
              <w:end w:w="100" w:type="dxa"/>
            </w:tcMar>
          </w:tcPr>
          <w:p>
            <w:pPr>
              <w:pStyle w:val="TableText"/>
            </w:pPr>
            <w:r>
              <w:t>Consumer-only purchasing or unrelated sectors</w:t>
            </w:r>
          </w:p>
        </w:tc>
      </w:tr>
      <w:tr>
        <w:tc>
          <w:tcPr>
            <w:tcW w:type="dxa" w:w="1656"/>
            <w:vAlign w:val="top"/>
            <w:tcMar>
              <w:top w:w="80" w:type="dxa"/>
              <w:start w:w="100" w:type="dxa"/>
              <w:bottom w:w="80" w:type="dxa"/>
              <w:end w:w="100" w:type="dxa"/>
            </w:tcMar>
          </w:tcPr>
          <w:p>
            <w:pPr>
              <w:pStyle w:val="TableText"/>
            </w:pPr>
            <w:r>
              <w:t>Evidence</w:t>
            </w:r>
          </w:p>
        </w:tc>
        <w:tc>
          <w:tcPr>
            <w:tcW w:type="dxa" w:w="4104"/>
            <w:vAlign w:val="top"/>
            <w:tcMar>
              <w:top w:w="80" w:type="dxa"/>
              <w:start w:w="100" w:type="dxa"/>
              <w:bottom w:w="80" w:type="dxa"/>
              <w:end w:w="100" w:type="dxa"/>
            </w:tcMar>
          </w:tcPr>
          <w:p>
            <w:pPr>
              <w:pStyle w:val="TableText"/>
            </w:pPr>
            <w:r>
              <w:t>Reports design, data, method and findings</w:t>
            </w:r>
          </w:p>
        </w:tc>
        <w:tc>
          <w:tcPr>
            <w:tcW w:type="dxa" w:w="4464"/>
            <w:vAlign w:val="top"/>
            <w:tcMar>
              <w:top w:w="80" w:type="dxa"/>
              <w:start w:w="100" w:type="dxa"/>
              <w:bottom w:w="80" w:type="dxa"/>
              <w:end w:w="100" w:type="dxa"/>
            </w:tcMar>
          </w:tcPr>
          <w:p>
            <w:pPr>
              <w:pStyle w:val="TableText"/>
            </w:pPr>
            <w:r>
              <w:t>Conceptual assertions without analysable empirical evidence</w:t>
            </w:r>
          </w:p>
        </w:tc>
      </w:tr>
      <w:tr>
        <w:tc>
          <w:tcPr>
            <w:tcW w:type="dxa" w:w="1656"/>
            <w:vAlign w:val="top"/>
            <w:tcMar>
              <w:top w:w="80" w:type="dxa"/>
              <w:start w:w="100" w:type="dxa"/>
              <w:bottom w:w="80" w:type="dxa"/>
              <w:end w:w="100" w:type="dxa"/>
            </w:tcMar>
          </w:tcPr>
          <w:p>
            <w:pPr>
              <w:pStyle w:val="TableText"/>
            </w:pPr>
            <w:r>
              <w:t>Language/access</w:t>
            </w:r>
          </w:p>
        </w:tc>
        <w:tc>
          <w:tcPr>
            <w:tcW w:type="dxa" w:w="4104"/>
            <w:vAlign w:val="top"/>
            <w:tcMar>
              <w:top w:w="80" w:type="dxa"/>
              <w:start w:w="100" w:type="dxa"/>
              <w:bottom w:w="80" w:type="dxa"/>
              <w:end w:w="100" w:type="dxa"/>
            </w:tcMar>
          </w:tcPr>
          <w:p>
            <w:pPr>
              <w:pStyle w:val="TableText"/>
            </w:pPr>
            <w:r>
              <w:t>English full text available</w:t>
            </w:r>
          </w:p>
        </w:tc>
        <w:tc>
          <w:tcPr>
            <w:tcW w:type="dxa" w:w="4464"/>
            <w:vAlign w:val="top"/>
            <w:tcMar>
              <w:top w:w="80" w:type="dxa"/>
              <w:start w:w="100" w:type="dxa"/>
              <w:bottom w:w="80" w:type="dxa"/>
              <w:end w:w="100" w:type="dxa"/>
            </w:tcMar>
          </w:tcPr>
          <w:p>
            <w:pPr>
              <w:pStyle w:val="TableText"/>
            </w:pPr>
            <w:r>
              <w:t>No accessible full text or insufficient methodological detail</w:t>
            </w:r>
          </w:p>
        </w:tc>
      </w:tr>
    </w:tbl>
    <w:p>
      <w:pPr>
        <w:spacing w:after="0"/>
      </w:pPr>
    </w:p>
    <w:p>
      <w:r>
        <w:rPr>
          <w:i w:val="0"/>
        </w:rPr>
        <w:t>Databases: Scopus, IEEE Xplore, ACM Digital Library and Google Scholar (supplementary citation chasing). Proposed exact strings, adjusted only for database syntax:</w:t>
      </w:r>
    </w:p>
    <w:p>
      <w:pPr>
        <w:pStyle w:val="ListBullet"/>
      </w:pPr>
      <w:r>
        <w:t>Scopus: TITLE-ABS-KEY(("electronic procurement" OR "e-procurement" OR "digital procurement") AND (adoption OR implementation OR performance) AND (management OR leadership OR organisation* OR institution*)) AND PUBYEAR &gt; 2019 AND PUBYEAR &lt; 2026</w:t>
      </w:r>
    </w:p>
    <w:p>
      <w:pPr>
        <w:pStyle w:val="ListBullet"/>
      </w:pPr>
      <w:r>
        <w:t>IEEE Xplore: (("All Metadata":"e-procurement" OR "All Metadata":"electronic procurement") AND ("All Metadata":adoption OR "All Metadata":implementation OR "All Metadata":performance)) AND (Publication_Year:2020–2025)</w:t>
      </w:r>
    </w:p>
    <w:p>
      <w:pPr>
        <w:pStyle w:val="ListBullet"/>
      </w:pPr>
      <w:r>
        <w:t>ACM DL: [[Abstract: "e-procurement"] OR [Abstract: "electronic procurement"] OR [Abstract: "digital procurement"]] AND [[Abstract: adoption] OR [Abstract: implementation] OR [Abstract: performance]] AND Publication Date: 2020-01-01 TO 2025-12-31</w:t>
      </w:r>
    </w:p>
    <w:p>
      <w:pPr>
        <w:pStyle w:val="ListBullet"/>
      </w:pPr>
      <w:r>
        <w:t>Supplementary Ghana/Africa string: ("e-procurement" OR "electronic procurement") AND (Ghana OR Africa OR "developing countr*") AND (performance OR adoption OR implementation OR leadership).</w:t>
      </w:r>
    </w:p>
    <w:p>
      <w:r>
        <w:rPr>
          <w:i w:val="0"/>
        </w:rPr>
        <w:t>Integrity note: the thesis contains a narrative literature review, not a completed auditable SLR. Search dates, exported records, duplicates, full texts and final inclusion decisions must be documented from an actual rerun. The protocol above is reproducible, but it must not be represented as already executed without the search log.</w:t>
      </w:r>
    </w:p>
    <w:p>
      <w:pPr>
        <w:pStyle w:val="Heading2"/>
      </w:pPr>
      <w:r>
        <w:t>Research approaches in this project domain</w:t>
      </w: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1584"/>
            <w:shd w:fill="D9E6F2"/>
            <w:vAlign w:val="center"/>
            <w:tcMar>
              <w:top w:w="80" w:type="dxa"/>
              <w:start w:w="100" w:type="dxa"/>
              <w:bottom w:w="80" w:type="dxa"/>
              <w:end w:w="100" w:type="dxa"/>
            </w:tcMar>
          </w:tcPr>
          <w:p>
            <w:r>
              <w:rPr>
                <w:rFonts w:ascii="Times New Roman" w:hAnsi="Times New Roman"/>
                <w:b/>
                <w:sz w:val="18"/>
              </w:rPr>
              <w:t>Approach</w:t>
            </w:r>
          </w:p>
        </w:tc>
        <w:tc>
          <w:tcPr>
            <w:tcW w:type="dxa" w:w="4320"/>
            <w:shd w:fill="D9E6F2"/>
            <w:vAlign w:val="center"/>
            <w:tcMar>
              <w:top w:w="80" w:type="dxa"/>
              <w:start w:w="100" w:type="dxa"/>
              <w:bottom w:w="80" w:type="dxa"/>
              <w:end w:w="100" w:type="dxa"/>
            </w:tcMar>
          </w:tcPr>
          <w:p>
            <w:r>
              <w:rPr>
                <w:rFonts w:ascii="Times New Roman" w:hAnsi="Times New Roman"/>
                <w:b/>
                <w:sz w:val="18"/>
              </w:rPr>
              <w:t>Strength in the WIUC-GH problem</w:t>
            </w:r>
          </w:p>
        </w:tc>
        <w:tc>
          <w:tcPr>
            <w:tcW w:type="dxa" w:w="4320"/>
            <w:shd w:fill="D9E6F2"/>
            <w:vAlign w:val="center"/>
            <w:tcMar>
              <w:top w:w="80" w:type="dxa"/>
              <w:start w:w="100" w:type="dxa"/>
              <w:bottom w:w="80" w:type="dxa"/>
              <w:end w:w="100" w:type="dxa"/>
            </w:tcMar>
          </w:tcPr>
          <w:p>
            <w:r>
              <w:rPr>
                <w:rFonts w:ascii="Times New Roman" w:hAnsi="Times New Roman"/>
                <w:b/>
                <w:sz w:val="18"/>
              </w:rPr>
              <w:t>Trade-off</w:t>
            </w:r>
          </w:p>
        </w:tc>
      </w:tr>
      <w:tr>
        <w:tc>
          <w:tcPr>
            <w:tcW w:type="dxa" w:w="1584"/>
            <w:vAlign w:val="top"/>
            <w:tcMar>
              <w:top w:w="80" w:type="dxa"/>
              <w:start w:w="100" w:type="dxa"/>
              <w:bottom w:w="80" w:type="dxa"/>
              <w:end w:w="100" w:type="dxa"/>
            </w:tcMar>
          </w:tcPr>
          <w:p>
            <w:pPr>
              <w:pStyle w:val="TableText"/>
            </w:pPr>
            <w:r>
              <w:t>Quantitative</w:t>
            </w:r>
          </w:p>
        </w:tc>
        <w:tc>
          <w:tcPr>
            <w:tcW w:type="dxa" w:w="4320"/>
            <w:vAlign w:val="top"/>
            <w:tcMar>
              <w:top w:w="80" w:type="dxa"/>
              <w:start w:w="100" w:type="dxa"/>
              <w:bottom w:w="80" w:type="dxa"/>
              <w:end w:w="100" w:type="dxa"/>
            </w:tcMar>
          </w:tcPr>
          <w:p>
            <w:pPr>
              <w:pStyle w:val="TableText"/>
            </w:pPr>
            <w:r>
              <w:t>Surveys or transaction records can estimate associations between module use and cost, cycle time or compliance across a large sample.</w:t>
            </w:r>
          </w:p>
        </w:tc>
        <w:tc>
          <w:tcPr>
            <w:tcW w:type="dxa" w:w="4320"/>
            <w:vAlign w:val="top"/>
            <w:tcMar>
              <w:top w:w="80" w:type="dxa"/>
              <w:start w:w="100" w:type="dxa"/>
              <w:bottom w:w="80" w:type="dxa"/>
              <w:end w:w="100" w:type="dxa"/>
            </w:tcMar>
          </w:tcPr>
          <w:p>
            <w:pPr>
              <w:pStyle w:val="TableText"/>
            </w:pPr>
            <w:r>
              <w:t>Requires valid scales, adequate sample size and comparable records; may miss workarounds, culture and how leadership operates.</w:t>
            </w:r>
          </w:p>
        </w:tc>
      </w:tr>
      <w:tr>
        <w:tc>
          <w:tcPr>
            <w:tcW w:type="dxa" w:w="1584"/>
            <w:vAlign w:val="top"/>
            <w:tcMar>
              <w:top w:w="80" w:type="dxa"/>
              <w:start w:w="100" w:type="dxa"/>
              <w:bottom w:w="80" w:type="dxa"/>
              <w:end w:w="100" w:type="dxa"/>
            </w:tcMar>
          </w:tcPr>
          <w:p>
            <w:pPr>
              <w:pStyle w:val="TableText"/>
            </w:pPr>
            <w:r>
              <w:t>Qualitative</w:t>
            </w:r>
          </w:p>
        </w:tc>
        <w:tc>
          <w:tcPr>
            <w:tcW w:type="dxa" w:w="4320"/>
            <w:vAlign w:val="top"/>
            <w:tcMar>
              <w:top w:w="80" w:type="dxa"/>
              <w:start w:w="100" w:type="dxa"/>
              <w:bottom w:w="80" w:type="dxa"/>
              <w:end w:w="100" w:type="dxa"/>
            </w:tcMar>
          </w:tcPr>
          <w:p>
            <w:pPr>
              <w:pStyle w:val="TableText"/>
            </w:pPr>
            <w:r>
              <w:t>Interviews and documents reveal why modules are underused, how staff experience the system, and how leadership support affects practice.</w:t>
            </w:r>
          </w:p>
        </w:tc>
        <w:tc>
          <w:tcPr>
            <w:tcW w:type="dxa" w:w="4320"/>
            <w:vAlign w:val="top"/>
            <w:tcMar>
              <w:top w:w="80" w:type="dxa"/>
              <w:start w:w="100" w:type="dxa"/>
              <w:bottom w:w="80" w:type="dxa"/>
              <w:end w:w="100" w:type="dxa"/>
            </w:tcMar>
          </w:tcPr>
          <w:p>
            <w:pPr>
              <w:pStyle w:val="TableText"/>
            </w:pPr>
            <w:r>
              <w:t>Strong contextual depth but limited statistical generalisability; interpretation requires reflexivity and auditability.</w:t>
            </w:r>
          </w:p>
        </w:tc>
      </w:tr>
      <w:tr>
        <w:tc>
          <w:tcPr>
            <w:tcW w:type="dxa" w:w="1584"/>
            <w:vAlign w:val="top"/>
            <w:tcMar>
              <w:top w:w="80" w:type="dxa"/>
              <w:start w:w="100" w:type="dxa"/>
              <w:bottom w:w="80" w:type="dxa"/>
              <w:end w:w="100" w:type="dxa"/>
            </w:tcMar>
          </w:tcPr>
          <w:p>
            <w:pPr>
              <w:pStyle w:val="TableText"/>
            </w:pPr>
            <w:r>
              <w:t>Mixed methods</w:t>
            </w:r>
          </w:p>
        </w:tc>
        <w:tc>
          <w:tcPr>
            <w:tcW w:type="dxa" w:w="4320"/>
            <w:vAlign w:val="top"/>
            <w:tcMar>
              <w:top w:w="80" w:type="dxa"/>
              <w:start w:w="100" w:type="dxa"/>
              <w:bottom w:w="80" w:type="dxa"/>
              <w:end w:w="100" w:type="dxa"/>
            </w:tcMar>
          </w:tcPr>
          <w:p>
            <w:pPr>
              <w:pStyle w:val="TableText"/>
            </w:pPr>
            <w:r>
              <w:t>Combines measurable performance change with explanations and triangulates apparent contradictions.</w:t>
            </w:r>
          </w:p>
        </w:tc>
        <w:tc>
          <w:tcPr>
            <w:tcW w:type="dxa" w:w="4320"/>
            <w:vAlign w:val="top"/>
            <w:tcMar>
              <w:top w:w="80" w:type="dxa"/>
              <w:start w:w="100" w:type="dxa"/>
              <w:bottom w:w="80" w:type="dxa"/>
              <w:end w:w="100" w:type="dxa"/>
            </w:tcMar>
          </w:tcPr>
          <w:p>
            <w:pPr>
              <w:pStyle w:val="TableText"/>
            </w:pPr>
            <w:r>
              <w:t>More time, access and expertise; integration can become superficial. The thesis abstract claims this design, but the methods and findings do not implement it.</w:t>
            </w:r>
          </w:p>
        </w:tc>
      </w:tr>
    </w:tbl>
    <w:p>
      <w:pPr>
        <w:spacing w:after="0"/>
      </w:pPr>
    </w:p>
    <w:p>
      <w:pPr>
        <w:pStyle w:val="Heading2"/>
      </w:pPr>
      <w:r>
        <w:t>Critical synthesis of closely aligned studies</w:t>
      </w:r>
    </w:p>
    <w:tbl>
      <w:tblPr>
        <w:tblStyle w:val="TableGrid"/>
        <w:tblW w:type="auto" w:w="0"/>
        <w:jc w:val="center"/>
        <w:tblLayout w:type="fixed"/>
        <w:tblLook w:firstColumn="1" w:firstRow="1" w:lastColumn="0" w:lastRow="0" w:noHBand="0" w:noVBand="1" w:val="04A0"/>
      </w:tblPr>
      <w:tblGrid>
        <w:gridCol w:w="1863"/>
        <w:gridCol w:w="1863"/>
        <w:gridCol w:w="1863"/>
        <w:gridCol w:w="1863"/>
        <w:gridCol w:w="1863"/>
      </w:tblGrid>
      <w:tr>
        <w:tc>
          <w:tcPr>
            <w:tcW w:type="dxa" w:w="1584"/>
            <w:shd w:fill="D9E6F2"/>
            <w:vAlign w:val="center"/>
            <w:tcMar>
              <w:top w:w="80" w:type="dxa"/>
              <w:start w:w="100" w:type="dxa"/>
              <w:bottom w:w="80" w:type="dxa"/>
              <w:end w:w="100" w:type="dxa"/>
            </w:tcMar>
          </w:tcPr>
          <w:p>
            <w:r>
              <w:rPr>
                <w:rFonts w:ascii="Times New Roman" w:hAnsi="Times New Roman"/>
                <w:b/>
                <w:sz w:val="18"/>
              </w:rPr>
              <w:t>Author &amp; year</w:t>
            </w:r>
          </w:p>
        </w:tc>
        <w:tc>
          <w:tcPr>
            <w:tcW w:type="dxa" w:w="2232"/>
            <w:shd w:fill="D9E6F2"/>
            <w:vAlign w:val="center"/>
            <w:tcMar>
              <w:top w:w="80" w:type="dxa"/>
              <w:start w:w="100" w:type="dxa"/>
              <w:bottom w:w="80" w:type="dxa"/>
              <w:end w:w="100" w:type="dxa"/>
            </w:tcMar>
          </w:tcPr>
          <w:p>
            <w:r>
              <w:rPr>
                <w:rFonts w:ascii="Times New Roman" w:hAnsi="Times New Roman"/>
                <w:b/>
                <w:sz w:val="18"/>
              </w:rPr>
              <w:t>Design/dataset</w:t>
            </w:r>
          </w:p>
        </w:tc>
        <w:tc>
          <w:tcPr>
            <w:tcW w:type="dxa" w:w="1944"/>
            <w:shd w:fill="D9E6F2"/>
            <w:vAlign w:val="center"/>
            <w:tcMar>
              <w:top w:w="80" w:type="dxa"/>
              <w:start w:w="100" w:type="dxa"/>
              <w:bottom w:w="80" w:type="dxa"/>
              <w:end w:w="100" w:type="dxa"/>
            </w:tcMar>
          </w:tcPr>
          <w:p>
            <w:r>
              <w:rPr>
                <w:rFonts w:ascii="Times New Roman" w:hAnsi="Times New Roman"/>
                <w:b/>
                <w:sz w:val="18"/>
              </w:rPr>
              <w:t>Method</w:t>
            </w:r>
          </w:p>
        </w:tc>
        <w:tc>
          <w:tcPr>
            <w:tcW w:type="dxa" w:w="2304"/>
            <w:shd w:fill="D9E6F2"/>
            <w:vAlign w:val="center"/>
            <w:tcMar>
              <w:top w:w="80" w:type="dxa"/>
              <w:start w:w="100" w:type="dxa"/>
              <w:bottom w:w="80" w:type="dxa"/>
              <w:end w:w="100" w:type="dxa"/>
            </w:tcMar>
          </w:tcPr>
          <w:p>
            <w:r>
              <w:rPr>
                <w:rFonts w:ascii="Times New Roman" w:hAnsi="Times New Roman"/>
                <w:b/>
                <w:sz w:val="18"/>
              </w:rPr>
              <w:t>Findings</w:t>
            </w:r>
          </w:p>
        </w:tc>
        <w:tc>
          <w:tcPr>
            <w:tcW w:type="dxa" w:w="2232"/>
            <w:shd w:fill="D9E6F2"/>
            <w:vAlign w:val="center"/>
            <w:tcMar>
              <w:top w:w="80" w:type="dxa"/>
              <w:start w:w="100" w:type="dxa"/>
              <w:bottom w:w="80" w:type="dxa"/>
              <w:end w:w="100" w:type="dxa"/>
            </w:tcMar>
          </w:tcPr>
          <w:p>
            <w:r>
              <w:rPr>
                <w:rFonts w:ascii="Times New Roman" w:hAnsi="Times New Roman"/>
                <w:b/>
                <w:sz w:val="18"/>
              </w:rPr>
              <w:t>Limitations</w:t>
            </w:r>
          </w:p>
        </w:tc>
      </w:tr>
      <w:tr>
        <w:tc>
          <w:tcPr>
            <w:tcW w:type="dxa" w:w="1584"/>
            <w:vAlign w:val="top"/>
            <w:tcMar>
              <w:top w:w="80" w:type="dxa"/>
              <w:start w:w="100" w:type="dxa"/>
              <w:bottom w:w="80" w:type="dxa"/>
              <w:end w:w="100" w:type="dxa"/>
            </w:tcMar>
          </w:tcPr>
          <w:p>
            <w:pPr>
              <w:pStyle w:val="TableText"/>
            </w:pPr>
            <w:r>
              <w:t>Ofori &amp; Fuseini (2020)</w:t>
            </w:r>
          </w:p>
        </w:tc>
        <w:tc>
          <w:tcPr>
            <w:tcW w:type="dxa" w:w="2232"/>
            <w:vAlign w:val="top"/>
            <w:tcMar>
              <w:top w:w="80" w:type="dxa"/>
              <w:start w:w="100" w:type="dxa"/>
              <w:bottom w:w="80" w:type="dxa"/>
              <w:end w:w="100" w:type="dxa"/>
            </w:tcMar>
          </w:tcPr>
          <w:p>
            <w:pPr>
              <w:pStyle w:val="TableText"/>
            </w:pPr>
            <w:r>
              <w:t>Empirical Ghanaian e-government procurement study; organisational respondents.</w:t>
            </w:r>
          </w:p>
        </w:tc>
        <w:tc>
          <w:tcPr>
            <w:tcW w:type="dxa" w:w="1944"/>
            <w:vAlign w:val="top"/>
            <w:tcMar>
              <w:top w:w="80" w:type="dxa"/>
              <w:start w:w="100" w:type="dxa"/>
              <w:bottom w:w="80" w:type="dxa"/>
              <w:end w:w="100" w:type="dxa"/>
            </w:tcMar>
          </w:tcPr>
          <w:p>
            <w:pPr>
              <w:pStyle w:val="TableText"/>
            </w:pPr>
            <w:r>
              <w:t>Critical-success-factor analysis.</w:t>
            </w:r>
          </w:p>
        </w:tc>
        <w:tc>
          <w:tcPr>
            <w:tcW w:type="dxa" w:w="2304"/>
            <w:vAlign w:val="top"/>
            <w:tcMar>
              <w:top w:w="80" w:type="dxa"/>
              <w:start w:w="100" w:type="dxa"/>
              <w:bottom w:w="80" w:type="dxa"/>
              <w:end w:w="100" w:type="dxa"/>
            </w:tcMar>
          </w:tcPr>
          <w:p>
            <w:pPr>
              <w:pStyle w:val="TableText"/>
            </w:pPr>
            <w:r>
              <w:t>ICT infrastructure and top-down leadership are central to adoption.</w:t>
            </w:r>
          </w:p>
        </w:tc>
        <w:tc>
          <w:tcPr>
            <w:tcW w:type="dxa" w:w="2232"/>
            <w:vAlign w:val="top"/>
            <w:tcMar>
              <w:top w:w="80" w:type="dxa"/>
              <w:start w:w="100" w:type="dxa"/>
              <w:bottom w:w="80" w:type="dxa"/>
              <w:end w:w="100" w:type="dxa"/>
            </w:tcMar>
          </w:tcPr>
          <w:p>
            <w:pPr>
              <w:pStyle w:val="TableText"/>
            </w:pPr>
            <w:r>
              <w:t>Public-sector focus; transfer to private universities requires contextual testing.</w:t>
            </w:r>
          </w:p>
        </w:tc>
      </w:tr>
      <w:tr>
        <w:tc>
          <w:tcPr>
            <w:tcW w:type="dxa" w:w="1584"/>
            <w:vAlign w:val="top"/>
            <w:tcMar>
              <w:top w:w="80" w:type="dxa"/>
              <w:start w:w="100" w:type="dxa"/>
              <w:bottom w:w="80" w:type="dxa"/>
              <w:end w:w="100" w:type="dxa"/>
            </w:tcMar>
          </w:tcPr>
          <w:p>
            <w:pPr>
              <w:pStyle w:val="TableText"/>
            </w:pPr>
            <w:r>
              <w:t>Anigbogu &amp; Egbuta (2021)</w:t>
            </w:r>
          </w:p>
        </w:tc>
        <w:tc>
          <w:tcPr>
            <w:tcW w:type="dxa" w:w="2232"/>
            <w:vAlign w:val="top"/>
            <w:tcMar>
              <w:top w:w="80" w:type="dxa"/>
              <w:start w:w="100" w:type="dxa"/>
              <w:bottom w:w="80" w:type="dxa"/>
              <w:end w:w="100" w:type="dxa"/>
            </w:tcMar>
          </w:tcPr>
          <w:p>
            <w:pPr>
              <w:pStyle w:val="TableText"/>
            </w:pPr>
            <w:r>
              <w:t>Developing-economy review/empirical synthesis.</w:t>
            </w:r>
          </w:p>
        </w:tc>
        <w:tc>
          <w:tcPr>
            <w:tcW w:type="dxa" w:w="1944"/>
            <w:vAlign w:val="top"/>
            <w:tcMar>
              <w:top w:w="80" w:type="dxa"/>
              <w:start w:w="100" w:type="dxa"/>
              <w:bottom w:w="80" w:type="dxa"/>
              <w:end w:w="100" w:type="dxa"/>
            </w:tcMar>
          </w:tcPr>
          <w:p>
            <w:pPr>
              <w:pStyle w:val="TableText"/>
            </w:pPr>
            <w:r>
              <w:t>Adoption barriers and prospects analysis.</w:t>
            </w:r>
          </w:p>
        </w:tc>
        <w:tc>
          <w:tcPr>
            <w:tcW w:type="dxa" w:w="2304"/>
            <w:vAlign w:val="top"/>
            <w:tcMar>
              <w:top w:w="80" w:type="dxa"/>
              <w:start w:w="100" w:type="dxa"/>
              <w:bottom w:w="80" w:type="dxa"/>
              <w:end w:w="100" w:type="dxa"/>
            </w:tcMar>
          </w:tcPr>
          <w:p>
            <w:pPr>
              <w:pStyle w:val="TableText"/>
            </w:pPr>
            <w:r>
              <w:t>Infrastructure, capability and organisational readiness constrain adoption.</w:t>
            </w:r>
          </w:p>
        </w:tc>
        <w:tc>
          <w:tcPr>
            <w:tcW w:type="dxa" w:w="2232"/>
            <w:vAlign w:val="top"/>
            <w:tcMar>
              <w:top w:w="80" w:type="dxa"/>
              <w:start w:w="100" w:type="dxa"/>
              <w:bottom w:w="80" w:type="dxa"/>
              <w:end w:w="100" w:type="dxa"/>
            </w:tcMar>
          </w:tcPr>
          <w:p>
            <w:pPr>
              <w:pStyle w:val="TableText"/>
            </w:pPr>
            <w:r>
              <w:t>Broad context; limited institution-level causal explanation.</w:t>
            </w:r>
          </w:p>
        </w:tc>
      </w:tr>
      <w:tr>
        <w:tc>
          <w:tcPr>
            <w:tcW w:type="dxa" w:w="1584"/>
            <w:vAlign w:val="top"/>
            <w:tcMar>
              <w:top w:w="80" w:type="dxa"/>
              <w:start w:w="100" w:type="dxa"/>
              <w:bottom w:w="80" w:type="dxa"/>
              <w:end w:w="100" w:type="dxa"/>
            </w:tcMar>
          </w:tcPr>
          <w:p>
            <w:pPr>
              <w:pStyle w:val="TableText"/>
            </w:pPr>
            <w:r>
              <w:t>Awuah et al. (2022)</w:t>
            </w:r>
          </w:p>
        </w:tc>
        <w:tc>
          <w:tcPr>
            <w:tcW w:type="dxa" w:w="2232"/>
            <w:vAlign w:val="top"/>
            <w:tcMar>
              <w:top w:w="80" w:type="dxa"/>
              <w:start w:w="100" w:type="dxa"/>
              <w:bottom w:w="80" w:type="dxa"/>
              <w:end w:w="100" w:type="dxa"/>
            </w:tcMar>
          </w:tcPr>
          <w:p>
            <w:pPr>
              <w:pStyle w:val="TableText"/>
            </w:pPr>
            <w:r>
              <w:t>Ghanaian public tertiary institutions.</w:t>
            </w:r>
          </w:p>
        </w:tc>
        <w:tc>
          <w:tcPr>
            <w:tcW w:type="dxa" w:w="1944"/>
            <w:vAlign w:val="top"/>
            <w:tcMar>
              <w:top w:w="80" w:type="dxa"/>
              <w:start w:w="100" w:type="dxa"/>
              <w:bottom w:w="80" w:type="dxa"/>
              <w:end w:w="100" w:type="dxa"/>
            </w:tcMar>
          </w:tcPr>
          <w:p>
            <w:pPr>
              <w:pStyle w:val="TableText"/>
            </w:pPr>
            <w:r>
              <w:t>Quantitative analysis of procurement processes and performance.</w:t>
            </w:r>
          </w:p>
        </w:tc>
        <w:tc>
          <w:tcPr>
            <w:tcW w:type="dxa" w:w="2304"/>
            <w:vAlign w:val="top"/>
            <w:tcMar>
              <w:top w:w="80" w:type="dxa"/>
              <w:start w:w="100" w:type="dxa"/>
              <w:bottom w:w="80" w:type="dxa"/>
              <w:end w:w="100" w:type="dxa"/>
            </w:tcMar>
          </w:tcPr>
          <w:p>
            <w:pPr>
              <w:pStyle w:val="TableText"/>
            </w:pPr>
            <w:r>
              <w:t>Planning, control and monitoring positively relate to performance.</w:t>
            </w:r>
          </w:p>
        </w:tc>
        <w:tc>
          <w:tcPr>
            <w:tcW w:type="dxa" w:w="2232"/>
            <w:vAlign w:val="top"/>
            <w:tcMar>
              <w:top w:w="80" w:type="dxa"/>
              <w:start w:w="100" w:type="dxa"/>
              <w:bottom w:w="80" w:type="dxa"/>
              <w:end w:w="100" w:type="dxa"/>
            </w:tcMar>
          </w:tcPr>
          <w:p>
            <w:pPr>
              <w:pStyle w:val="TableText"/>
            </w:pPr>
            <w:r>
              <w:t>Public institutions; self-report and cross-sectional limitations.</w:t>
            </w:r>
          </w:p>
        </w:tc>
      </w:tr>
      <w:tr>
        <w:tc>
          <w:tcPr>
            <w:tcW w:type="dxa" w:w="1584"/>
            <w:vAlign w:val="top"/>
            <w:tcMar>
              <w:top w:w="80" w:type="dxa"/>
              <w:start w:w="100" w:type="dxa"/>
              <w:bottom w:w="80" w:type="dxa"/>
              <w:end w:w="100" w:type="dxa"/>
            </w:tcMar>
          </w:tcPr>
          <w:p>
            <w:pPr>
              <w:pStyle w:val="TableText"/>
            </w:pPr>
            <w:r>
              <w:t>Mhlongo et al. (2022)</w:t>
            </w:r>
          </w:p>
        </w:tc>
        <w:tc>
          <w:tcPr>
            <w:tcW w:type="dxa" w:w="2232"/>
            <w:vAlign w:val="top"/>
            <w:tcMar>
              <w:top w:w="80" w:type="dxa"/>
              <w:start w:w="100" w:type="dxa"/>
              <w:bottom w:w="80" w:type="dxa"/>
              <w:end w:w="100" w:type="dxa"/>
            </w:tcMar>
          </w:tcPr>
          <w:p>
            <w:pPr>
              <w:pStyle w:val="TableText"/>
            </w:pPr>
            <w:r>
              <w:t>Systematic review of emerging economies.</w:t>
            </w:r>
          </w:p>
        </w:tc>
        <w:tc>
          <w:tcPr>
            <w:tcW w:type="dxa" w:w="1944"/>
            <w:vAlign w:val="top"/>
            <w:tcMar>
              <w:top w:w="80" w:type="dxa"/>
              <w:start w:w="100" w:type="dxa"/>
              <w:bottom w:w="80" w:type="dxa"/>
              <w:end w:w="100" w:type="dxa"/>
            </w:tcMar>
          </w:tcPr>
          <w:p>
            <w:pPr>
              <w:pStyle w:val="TableText"/>
            </w:pPr>
            <w:r>
              <w:t>Structured synthesis of components and adoption factors.</w:t>
            </w:r>
          </w:p>
        </w:tc>
        <w:tc>
          <w:tcPr>
            <w:tcW w:type="dxa" w:w="2304"/>
            <w:vAlign w:val="top"/>
            <w:tcMar>
              <w:top w:w="80" w:type="dxa"/>
              <w:start w:w="100" w:type="dxa"/>
              <w:bottom w:w="80" w:type="dxa"/>
              <w:end w:w="100" w:type="dxa"/>
            </w:tcMar>
          </w:tcPr>
          <w:p>
            <w:pPr>
              <w:pStyle w:val="TableText"/>
            </w:pPr>
            <w:r>
              <w:t>Technical and organisational factors jointly shape adoption.</w:t>
            </w:r>
          </w:p>
        </w:tc>
        <w:tc>
          <w:tcPr>
            <w:tcW w:type="dxa" w:w="2232"/>
            <w:vAlign w:val="top"/>
            <w:tcMar>
              <w:top w:w="80" w:type="dxa"/>
              <w:start w:w="100" w:type="dxa"/>
              <w:bottom w:w="80" w:type="dxa"/>
              <w:end w:w="100" w:type="dxa"/>
            </w:tcMar>
          </w:tcPr>
          <w:p>
            <w:pPr>
              <w:pStyle w:val="TableText"/>
            </w:pPr>
            <w:r>
              <w:t>Heterogeneous settings; no WIUC-level evidence.</w:t>
            </w:r>
          </w:p>
        </w:tc>
      </w:tr>
      <w:tr>
        <w:tc>
          <w:tcPr>
            <w:tcW w:type="dxa" w:w="1584"/>
            <w:vAlign w:val="top"/>
            <w:tcMar>
              <w:top w:w="80" w:type="dxa"/>
              <w:start w:w="100" w:type="dxa"/>
              <w:bottom w:w="80" w:type="dxa"/>
              <w:end w:w="100" w:type="dxa"/>
            </w:tcMar>
          </w:tcPr>
          <w:p>
            <w:pPr>
              <w:pStyle w:val="TableText"/>
            </w:pPr>
            <w:r>
              <w:t>Salifu et al. (2023)</w:t>
            </w:r>
          </w:p>
        </w:tc>
        <w:tc>
          <w:tcPr>
            <w:tcW w:type="dxa" w:w="2232"/>
            <w:vAlign w:val="top"/>
            <w:tcMar>
              <w:top w:w="80" w:type="dxa"/>
              <w:start w:w="100" w:type="dxa"/>
              <w:bottom w:w="80" w:type="dxa"/>
              <w:end w:w="100" w:type="dxa"/>
            </w:tcMar>
          </w:tcPr>
          <w:p>
            <w:pPr>
              <w:pStyle w:val="TableText"/>
            </w:pPr>
            <w:r>
              <w:t>Ghana public-sector respondents.</w:t>
            </w:r>
          </w:p>
        </w:tc>
        <w:tc>
          <w:tcPr>
            <w:tcW w:type="dxa" w:w="1944"/>
            <w:vAlign w:val="top"/>
            <w:tcMar>
              <w:top w:w="80" w:type="dxa"/>
              <w:start w:w="100" w:type="dxa"/>
              <w:bottom w:w="80" w:type="dxa"/>
              <w:end w:w="100" w:type="dxa"/>
            </w:tcMar>
          </w:tcPr>
          <w:p>
            <w:pPr>
              <w:pStyle w:val="TableText"/>
            </w:pPr>
            <w:r>
              <w:t>Assessment of adoption challenges.</w:t>
            </w:r>
          </w:p>
        </w:tc>
        <w:tc>
          <w:tcPr>
            <w:tcW w:type="dxa" w:w="2304"/>
            <w:vAlign w:val="top"/>
            <w:tcMar>
              <w:top w:w="80" w:type="dxa"/>
              <w:start w:w="100" w:type="dxa"/>
              <w:bottom w:w="80" w:type="dxa"/>
              <w:end w:w="100" w:type="dxa"/>
            </w:tcMar>
          </w:tcPr>
          <w:p>
            <w:pPr>
              <w:pStyle w:val="TableText"/>
            </w:pPr>
            <w:r>
              <w:t>Infrastructure and user capability problems remain prominent.</w:t>
            </w:r>
          </w:p>
        </w:tc>
        <w:tc>
          <w:tcPr>
            <w:tcW w:type="dxa" w:w="2232"/>
            <w:vAlign w:val="top"/>
            <w:tcMar>
              <w:top w:w="80" w:type="dxa"/>
              <w:start w:w="100" w:type="dxa"/>
              <w:bottom w:w="80" w:type="dxa"/>
              <w:end w:w="100" w:type="dxa"/>
            </w:tcMar>
          </w:tcPr>
          <w:p>
            <w:pPr>
              <w:pStyle w:val="TableText"/>
            </w:pPr>
            <w:r>
              <w:t>Public-sector and cross-sectional evidence; limited leadership-process detail.</w:t>
            </w:r>
          </w:p>
        </w:tc>
      </w:tr>
      <w:tr>
        <w:tc>
          <w:tcPr>
            <w:tcW w:type="dxa" w:w="1584"/>
            <w:vAlign w:val="top"/>
            <w:tcMar>
              <w:top w:w="80" w:type="dxa"/>
              <w:start w:w="100" w:type="dxa"/>
              <w:bottom w:w="80" w:type="dxa"/>
              <w:end w:w="100" w:type="dxa"/>
            </w:tcMar>
          </w:tcPr>
          <w:p>
            <w:pPr>
              <w:pStyle w:val="TableText"/>
            </w:pPr>
            <w:r>
              <w:t>Koomson et al. (2025)</w:t>
            </w:r>
          </w:p>
        </w:tc>
        <w:tc>
          <w:tcPr>
            <w:tcW w:type="dxa" w:w="2232"/>
            <w:vAlign w:val="top"/>
            <w:tcMar>
              <w:top w:w="80" w:type="dxa"/>
              <w:start w:w="100" w:type="dxa"/>
              <w:bottom w:w="80" w:type="dxa"/>
              <w:end w:w="100" w:type="dxa"/>
            </w:tcMar>
          </w:tcPr>
          <w:p>
            <w:pPr>
              <w:pStyle w:val="TableText"/>
            </w:pPr>
            <w:r>
              <w:t>Ghanaian organisations.</w:t>
            </w:r>
          </w:p>
        </w:tc>
        <w:tc>
          <w:tcPr>
            <w:tcW w:type="dxa" w:w="1944"/>
            <w:vAlign w:val="top"/>
            <w:tcMar>
              <w:top w:w="80" w:type="dxa"/>
              <w:start w:w="100" w:type="dxa"/>
              <w:bottom w:w="80" w:type="dxa"/>
              <w:end w:w="100" w:type="dxa"/>
            </w:tcMar>
          </w:tcPr>
          <w:p>
            <w:pPr>
              <w:pStyle w:val="TableText"/>
            </w:pPr>
            <w:r>
              <w:t>Statistical modelling of e-procurement, capability, innovation and performance.</w:t>
            </w:r>
          </w:p>
        </w:tc>
        <w:tc>
          <w:tcPr>
            <w:tcW w:type="dxa" w:w="2304"/>
            <w:vAlign w:val="top"/>
            <w:tcMar>
              <w:top w:w="80" w:type="dxa"/>
              <w:start w:w="100" w:type="dxa"/>
              <w:bottom w:w="80" w:type="dxa"/>
              <w:end w:w="100" w:type="dxa"/>
            </w:tcMar>
          </w:tcPr>
          <w:p>
            <w:pPr>
              <w:pStyle w:val="TableText"/>
            </w:pPr>
            <w:r>
              <w:t>E-procurement positively influences performance, but broader outcomes are uneven.</w:t>
            </w:r>
          </w:p>
        </w:tc>
        <w:tc>
          <w:tcPr>
            <w:tcW w:type="dxa" w:w="2232"/>
            <w:vAlign w:val="top"/>
            <w:tcMar>
              <w:top w:w="80" w:type="dxa"/>
              <w:start w:w="100" w:type="dxa"/>
              <w:bottom w:w="80" w:type="dxa"/>
              <w:end w:w="100" w:type="dxa"/>
            </w:tcMar>
          </w:tcPr>
          <w:p>
            <w:pPr>
              <w:pStyle w:val="TableText"/>
            </w:pPr>
            <w:r>
              <w:t>Aggregated quantitative relationships may conceal institutional mechanisms.</w:t>
            </w:r>
          </w:p>
        </w:tc>
      </w:tr>
      <w:tr>
        <w:tc>
          <w:tcPr>
            <w:tcW w:type="dxa" w:w="1584"/>
            <w:vAlign w:val="top"/>
            <w:tcMar>
              <w:top w:w="80" w:type="dxa"/>
              <w:start w:w="100" w:type="dxa"/>
              <w:bottom w:w="80" w:type="dxa"/>
              <w:end w:w="100" w:type="dxa"/>
            </w:tcMar>
          </w:tcPr>
          <w:p>
            <w:pPr>
              <w:pStyle w:val="TableText"/>
            </w:pPr>
            <w:r>
              <w:t>Ng’ang’a &amp; Osoro (2025)</w:t>
            </w:r>
          </w:p>
        </w:tc>
        <w:tc>
          <w:tcPr>
            <w:tcW w:type="dxa" w:w="2232"/>
            <w:vAlign w:val="top"/>
            <w:tcMar>
              <w:top w:w="80" w:type="dxa"/>
              <w:start w:w="100" w:type="dxa"/>
              <w:bottom w:w="80" w:type="dxa"/>
              <w:end w:w="100" w:type="dxa"/>
            </w:tcMar>
          </w:tcPr>
          <w:p>
            <w:pPr>
              <w:pStyle w:val="TableText"/>
            </w:pPr>
            <w:r>
              <w:t>Private universities in Nairobi County.</w:t>
            </w:r>
          </w:p>
        </w:tc>
        <w:tc>
          <w:tcPr>
            <w:tcW w:type="dxa" w:w="1944"/>
            <w:vAlign w:val="top"/>
            <w:tcMar>
              <w:top w:w="80" w:type="dxa"/>
              <w:start w:w="100" w:type="dxa"/>
              <w:bottom w:w="80" w:type="dxa"/>
              <w:end w:w="100" w:type="dxa"/>
            </w:tcMar>
          </w:tcPr>
          <w:p>
            <w:pPr>
              <w:pStyle w:val="TableText"/>
            </w:pPr>
            <w:r>
              <w:t>Quantitative explanatory study.</w:t>
            </w:r>
          </w:p>
        </w:tc>
        <w:tc>
          <w:tcPr>
            <w:tcW w:type="dxa" w:w="2304"/>
            <w:vAlign w:val="top"/>
            <w:tcMar>
              <w:top w:w="80" w:type="dxa"/>
              <w:start w:w="100" w:type="dxa"/>
              <w:bottom w:w="80" w:type="dxa"/>
              <w:end w:w="100" w:type="dxa"/>
            </w:tcMar>
          </w:tcPr>
          <w:p>
            <w:pPr>
              <w:pStyle w:val="TableText"/>
            </w:pPr>
            <w:r>
              <w:t>E-procurement practices strongly predict procurement performance.</w:t>
            </w:r>
          </w:p>
        </w:tc>
        <w:tc>
          <w:tcPr>
            <w:tcW w:type="dxa" w:w="2232"/>
            <w:vAlign w:val="top"/>
            <w:tcMar>
              <w:top w:w="80" w:type="dxa"/>
              <w:start w:w="100" w:type="dxa"/>
              <w:bottom w:w="80" w:type="dxa"/>
              <w:end w:w="100" w:type="dxa"/>
            </w:tcMar>
          </w:tcPr>
          <w:p>
            <w:pPr>
              <w:pStyle w:val="TableText"/>
            </w:pPr>
            <w:r>
              <w:t>Different national/regulatory context; common-method and causality concerns.</w:t>
            </w:r>
          </w:p>
        </w:tc>
      </w:tr>
      <w:tr>
        <w:tc>
          <w:tcPr>
            <w:tcW w:type="dxa" w:w="1584"/>
            <w:vAlign w:val="top"/>
            <w:tcMar>
              <w:top w:w="80" w:type="dxa"/>
              <w:start w:w="100" w:type="dxa"/>
              <w:bottom w:w="80" w:type="dxa"/>
              <w:end w:w="100" w:type="dxa"/>
            </w:tcMar>
          </w:tcPr>
          <w:p>
            <w:pPr>
              <w:pStyle w:val="TableText"/>
            </w:pPr>
            <w:r>
              <w:t>Nimako-Boateng (2025)</w:t>
            </w:r>
          </w:p>
        </w:tc>
        <w:tc>
          <w:tcPr>
            <w:tcW w:type="dxa" w:w="2232"/>
            <w:vAlign w:val="top"/>
            <w:tcMar>
              <w:top w:w="80" w:type="dxa"/>
              <w:start w:w="100" w:type="dxa"/>
              <w:bottom w:w="80" w:type="dxa"/>
              <w:end w:w="100" w:type="dxa"/>
            </w:tcMar>
          </w:tcPr>
          <w:p>
            <w:pPr>
              <w:pStyle w:val="TableText"/>
            </w:pPr>
            <w:r>
              <w:t>Ghana construction firms.</w:t>
            </w:r>
          </w:p>
        </w:tc>
        <w:tc>
          <w:tcPr>
            <w:tcW w:type="dxa" w:w="1944"/>
            <w:vAlign w:val="top"/>
            <w:tcMar>
              <w:top w:w="80" w:type="dxa"/>
              <w:start w:w="100" w:type="dxa"/>
              <w:bottom w:w="80" w:type="dxa"/>
              <w:end w:w="100" w:type="dxa"/>
            </w:tcMar>
          </w:tcPr>
          <w:p>
            <w:pPr>
              <w:pStyle w:val="TableText"/>
            </w:pPr>
            <w:r>
              <w:t>Firm-performance analysis.</w:t>
            </w:r>
          </w:p>
        </w:tc>
        <w:tc>
          <w:tcPr>
            <w:tcW w:type="dxa" w:w="2304"/>
            <w:vAlign w:val="top"/>
            <w:tcMar>
              <w:top w:w="80" w:type="dxa"/>
              <w:start w:w="100" w:type="dxa"/>
              <w:bottom w:w="80" w:type="dxa"/>
              <w:end w:w="100" w:type="dxa"/>
            </w:tcMar>
          </w:tcPr>
          <w:p>
            <w:pPr>
              <w:pStyle w:val="TableText"/>
            </w:pPr>
            <w:r>
              <w:t>Adoption is associated with firm performance.</w:t>
            </w:r>
          </w:p>
        </w:tc>
        <w:tc>
          <w:tcPr>
            <w:tcW w:type="dxa" w:w="2232"/>
            <w:vAlign w:val="top"/>
            <w:tcMar>
              <w:top w:w="80" w:type="dxa"/>
              <w:start w:w="100" w:type="dxa"/>
              <w:bottom w:w="80" w:type="dxa"/>
              <w:end w:w="100" w:type="dxa"/>
            </w:tcMar>
          </w:tcPr>
          <w:p>
            <w:pPr>
              <w:pStyle w:val="TableText"/>
            </w:pPr>
            <w:r>
              <w:t>Sector differences limit transfer to higher education.</w:t>
            </w:r>
          </w:p>
        </w:tc>
      </w:tr>
      <w:tr>
        <w:tc>
          <w:tcPr>
            <w:tcW w:type="dxa" w:w="1584"/>
            <w:vAlign w:val="top"/>
            <w:tcMar>
              <w:top w:w="80" w:type="dxa"/>
              <w:start w:w="100" w:type="dxa"/>
              <w:bottom w:w="80" w:type="dxa"/>
              <w:end w:w="100" w:type="dxa"/>
            </w:tcMar>
          </w:tcPr>
          <w:p>
            <w:pPr>
              <w:pStyle w:val="TableText"/>
            </w:pPr>
            <w:r>
              <w:t>Owusu (2025)</w:t>
            </w:r>
          </w:p>
        </w:tc>
        <w:tc>
          <w:tcPr>
            <w:tcW w:type="dxa" w:w="2232"/>
            <w:vAlign w:val="top"/>
            <w:tcMar>
              <w:top w:w="80" w:type="dxa"/>
              <w:start w:w="100" w:type="dxa"/>
              <w:bottom w:w="80" w:type="dxa"/>
              <w:end w:w="100" w:type="dxa"/>
            </w:tcMar>
          </w:tcPr>
          <w:p>
            <w:pPr>
              <w:pStyle w:val="TableText"/>
            </w:pPr>
            <w:r>
              <w:t>Ghanaian firms.</w:t>
            </w:r>
          </w:p>
        </w:tc>
        <w:tc>
          <w:tcPr>
            <w:tcW w:type="dxa" w:w="1944"/>
            <w:vAlign w:val="top"/>
            <w:tcMar>
              <w:top w:w="80" w:type="dxa"/>
              <w:start w:w="100" w:type="dxa"/>
              <w:bottom w:w="80" w:type="dxa"/>
              <w:end w:w="100" w:type="dxa"/>
            </w:tcMar>
          </w:tcPr>
          <w:p>
            <w:pPr>
              <w:pStyle w:val="TableText"/>
            </w:pPr>
            <w:r>
              <w:t>Organisational performance study.</w:t>
            </w:r>
          </w:p>
        </w:tc>
        <w:tc>
          <w:tcPr>
            <w:tcW w:type="dxa" w:w="2304"/>
            <w:vAlign w:val="top"/>
            <w:tcMar>
              <w:top w:w="80" w:type="dxa"/>
              <w:start w:w="100" w:type="dxa"/>
              <w:bottom w:w="80" w:type="dxa"/>
              <w:end w:w="100" w:type="dxa"/>
            </w:tcMar>
          </w:tcPr>
          <w:p>
            <w:pPr>
              <w:pStyle w:val="TableText"/>
            </w:pPr>
            <w:r>
              <w:t>Poor internet access and weak management support impede outcomes.</w:t>
            </w:r>
          </w:p>
        </w:tc>
        <w:tc>
          <w:tcPr>
            <w:tcW w:type="dxa" w:w="2232"/>
            <w:vAlign w:val="top"/>
            <w:tcMar>
              <w:top w:w="80" w:type="dxa"/>
              <w:start w:w="100" w:type="dxa"/>
              <w:bottom w:w="80" w:type="dxa"/>
              <w:end w:w="100" w:type="dxa"/>
            </w:tcMar>
          </w:tcPr>
          <w:p>
            <w:pPr>
              <w:pStyle w:val="TableText"/>
            </w:pPr>
            <w:r>
              <w:t>Sector aggregation; private-university processes remain unexplored.</w:t>
            </w:r>
          </w:p>
        </w:tc>
      </w:tr>
      <w:tr>
        <w:tc>
          <w:tcPr>
            <w:tcW w:type="dxa" w:w="1584"/>
            <w:vAlign w:val="top"/>
            <w:tcMar>
              <w:top w:w="80" w:type="dxa"/>
              <w:start w:w="100" w:type="dxa"/>
              <w:bottom w:w="80" w:type="dxa"/>
              <w:end w:w="100" w:type="dxa"/>
            </w:tcMar>
          </w:tcPr>
          <w:p>
            <w:pPr>
              <w:pStyle w:val="TableText"/>
            </w:pPr>
            <w:r>
              <w:t>Gilbert &amp; Celestin (2025)</w:t>
            </w:r>
          </w:p>
        </w:tc>
        <w:tc>
          <w:tcPr>
            <w:tcW w:type="dxa" w:w="2232"/>
            <w:vAlign w:val="top"/>
            <w:tcMar>
              <w:top w:w="80" w:type="dxa"/>
              <w:start w:w="100" w:type="dxa"/>
              <w:bottom w:w="80" w:type="dxa"/>
              <w:end w:w="100" w:type="dxa"/>
            </w:tcMar>
          </w:tcPr>
          <w:p>
            <w:pPr>
              <w:pStyle w:val="TableText"/>
            </w:pPr>
            <w:r>
              <w:t>COMESA public institutions.</w:t>
            </w:r>
          </w:p>
        </w:tc>
        <w:tc>
          <w:tcPr>
            <w:tcW w:type="dxa" w:w="1944"/>
            <w:vAlign w:val="top"/>
            <w:tcMar>
              <w:top w:w="80" w:type="dxa"/>
              <w:start w:w="100" w:type="dxa"/>
              <w:bottom w:w="80" w:type="dxa"/>
              <w:end w:w="100" w:type="dxa"/>
            </w:tcMar>
          </w:tcPr>
          <w:p>
            <w:pPr>
              <w:pStyle w:val="TableText"/>
            </w:pPr>
            <w:r>
              <w:t>Comparative study.</w:t>
            </w:r>
          </w:p>
        </w:tc>
        <w:tc>
          <w:tcPr>
            <w:tcW w:type="dxa" w:w="2304"/>
            <w:vAlign w:val="top"/>
            <w:tcMar>
              <w:top w:w="80" w:type="dxa"/>
              <w:start w:w="100" w:type="dxa"/>
              <w:bottom w:w="80" w:type="dxa"/>
              <w:end w:w="100" w:type="dxa"/>
            </w:tcMar>
          </w:tcPr>
          <w:p>
            <w:pPr>
              <w:pStyle w:val="TableText"/>
            </w:pPr>
            <w:r>
              <w:t>Infrastructure, capacity, cybersecurity and policy barriers interact.</w:t>
            </w:r>
          </w:p>
        </w:tc>
        <w:tc>
          <w:tcPr>
            <w:tcW w:type="dxa" w:w="2232"/>
            <w:vAlign w:val="top"/>
            <w:tcMar>
              <w:top w:w="80" w:type="dxa"/>
              <w:start w:w="100" w:type="dxa"/>
              <w:bottom w:w="80" w:type="dxa"/>
              <w:end w:w="100" w:type="dxa"/>
            </w:tcMar>
          </w:tcPr>
          <w:p>
            <w:pPr>
              <w:pStyle w:val="TableText"/>
            </w:pPr>
            <w:r>
              <w:t>Regional/public-sector setting; comparability and measurement details require verification.</w:t>
            </w:r>
          </w:p>
        </w:tc>
      </w:tr>
    </w:tbl>
    <w:p>
      <w:pPr>
        <w:spacing w:after="0"/>
      </w:pPr>
    </w:p>
    <w:p>
      <w:pPr>
        <w:pStyle w:val="Heading3"/>
      </w:pPr>
      <w:r>
        <w:t>Narrative synthesis (under 400 words)</w:t>
      </w:r>
    </w:p>
    <w:p>
      <w:r>
        <w:rPr>
          <w:i w:val="0"/>
        </w:rPr>
        <w:t>The reviewed evidence consistently rejects a technology-only explanation of e-procurement success. Ghanaian and wider African studies associate adoption and performance with ICT reliability, staff capability, process controls and organisational support. Quantitative studies such as Awuah et al. (2022), Koomson et al. (2025), Ng’ang’a and Osoro (2025), and Nimako-Boateng (2025) are useful for estimating relationships between e-procurement practices and performance indicators. Their strength is comparability; their weakness is that cross-sectional self-report data cannot adequately explain how leadership produces compliance, resources or behavioural change. Reviews and comparative studies identify recurring barriers, but their heterogeneous contexts make direct transfer to WIUC-GH uncertain. Ofori and Fuseini (2020), Salifu et al. (2023), and Owusu (2025) are particularly relevant because they locate infrastructure and management support within Ghana, yet their evidence is mostly public-sector or multi-sector. Ng’ang’a and Osoro (2025) provide the closest institutional comparator—private universities—but Kenya differs in governance and procurement environment. The combined pattern supports an in-depth WIUC-GH case study: e-procurement can reduce cost and cycle time and improve transparency, but realised performance depends on integration, competent users and sustained senior-management action. The WIUC-GH study contributes mechanism-rich evidence by comparing operational and leadership perspectives and checking them against institutional documents.</w:t>
      </w:r>
    </w:p>
    <w:p>
      <w:pPr>
        <w:pStyle w:val="Heading2"/>
      </w:pPr>
      <w:r>
        <w:t>Methodological weaknesses, gaps and project response</w:t>
      </w:r>
    </w:p>
    <w:p>
      <w:pPr>
        <w:pStyle w:val="ListBullet"/>
      </w:pPr>
      <w:r>
        <w:t>Context gap: most Ghanaian evidence concerns public bodies or aggregated firms. The project studies a named private university whose financing, governance and voluntary adoption environment differ.</w:t>
      </w:r>
    </w:p>
    <w:p>
      <w:pPr>
        <w:pStyle w:val="ListBullet"/>
      </w:pPr>
      <w:r>
        <w:t>Mechanism gap: quantitative studies identify associations but provide limited explanation of how leadership support changes day-to-day system use. Interviews across operational and strategic roles examine resource allocation, enforcement, training and accountability as concrete mechanisms.</w:t>
      </w:r>
    </w:p>
    <w:p>
      <w:pPr>
        <w:pStyle w:val="ListBullet"/>
      </w:pPr>
      <w:r>
        <w:t>Triangulation gap: many studies depend on one self-report instrument. This project combines interviews with policies, manuals and performance documents and actively examines disagreement.</w:t>
      </w:r>
    </w:p>
    <w:p>
      <w:pPr>
        <w:pStyle w:val="ListBullet"/>
      </w:pPr>
      <w:r>
        <w:t>Temporal limitation: the WIUC-GH study remains cross-sectional. It does not close the longitudinal gap; the limitation is disclosed and a pre/post follow-up is recommended.</w:t>
      </w:r>
    </w:p>
    <w:p>
      <w:pPr>
        <w:pStyle w:val="Heading1"/>
      </w:pPr>
      <w:r>
        <w:t>SECTION C: Data Collection, Preprocessing and Experimental Design</w:t>
      </w:r>
    </w:p>
    <w:p>
      <w:pPr>
        <w:pStyle w:val="Heading2"/>
      </w:pPr>
      <w:r>
        <w:t>Question 3(a): Acquisition challenges and mitigation</w:t>
      </w: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1800"/>
            <w:shd w:fill="D9E6F2"/>
            <w:vAlign w:val="center"/>
            <w:tcMar>
              <w:top w:w="80" w:type="dxa"/>
              <w:start w:w="100" w:type="dxa"/>
              <w:bottom w:w="80" w:type="dxa"/>
              <w:end w:w="100" w:type="dxa"/>
            </w:tcMar>
          </w:tcPr>
          <w:p>
            <w:r>
              <w:rPr>
                <w:rFonts w:ascii="Times New Roman" w:hAnsi="Times New Roman"/>
                <w:b/>
                <w:sz w:val="18"/>
              </w:rPr>
              <w:t>Challenge</w:t>
            </w:r>
          </w:p>
        </w:tc>
        <w:tc>
          <w:tcPr>
            <w:tcW w:type="dxa" w:w="2952"/>
            <w:shd w:fill="D9E6F2"/>
            <w:vAlign w:val="center"/>
            <w:tcMar>
              <w:top w:w="80" w:type="dxa"/>
              <w:start w:w="100" w:type="dxa"/>
              <w:bottom w:w="80" w:type="dxa"/>
              <w:end w:w="100" w:type="dxa"/>
            </w:tcMar>
          </w:tcPr>
          <w:p>
            <w:r>
              <w:rPr>
                <w:rFonts w:ascii="Times New Roman" w:hAnsi="Times New Roman"/>
                <w:b/>
                <w:sz w:val="18"/>
              </w:rPr>
              <w:t>Project-specific risk</w:t>
            </w:r>
          </w:p>
        </w:tc>
        <w:tc>
          <w:tcPr>
            <w:tcW w:type="dxa" w:w="5112"/>
            <w:shd w:fill="D9E6F2"/>
            <w:vAlign w:val="center"/>
            <w:tcMar>
              <w:top w:w="80" w:type="dxa"/>
              <w:start w:w="100" w:type="dxa"/>
              <w:bottom w:w="80" w:type="dxa"/>
              <w:end w:w="100" w:type="dxa"/>
            </w:tcMar>
          </w:tcPr>
          <w:p>
            <w:r>
              <w:rPr>
                <w:rFonts w:ascii="Times New Roman" w:hAnsi="Times New Roman"/>
                <w:b/>
                <w:sz w:val="18"/>
              </w:rPr>
              <w:t>Mitigation and justification</w:t>
            </w:r>
          </w:p>
        </w:tc>
      </w:tr>
      <w:tr>
        <w:tc>
          <w:tcPr>
            <w:tcW w:type="dxa" w:w="1800"/>
            <w:vAlign w:val="top"/>
            <w:tcMar>
              <w:top w:w="80" w:type="dxa"/>
              <w:start w:w="100" w:type="dxa"/>
              <w:bottom w:w="80" w:type="dxa"/>
              <w:end w:w="100" w:type="dxa"/>
            </w:tcMar>
          </w:tcPr>
          <w:p>
            <w:pPr>
              <w:pStyle w:val="TableText"/>
            </w:pPr>
            <w:r>
              <w:t>Gatekeeper and document access</w:t>
            </w:r>
          </w:p>
        </w:tc>
        <w:tc>
          <w:tcPr>
            <w:tcW w:type="dxa" w:w="2952"/>
            <w:vAlign w:val="top"/>
            <w:tcMar>
              <w:top w:w="80" w:type="dxa"/>
              <w:start w:w="100" w:type="dxa"/>
              <w:bottom w:w="80" w:type="dxa"/>
              <w:end w:w="100" w:type="dxa"/>
            </w:tcMar>
          </w:tcPr>
          <w:p>
            <w:pPr>
              <w:pStyle w:val="TableText"/>
            </w:pPr>
            <w:r>
              <w:t>Management may restrict policies, reports or records that reveal weak compliance, prices or supplier relations.</w:t>
            </w:r>
          </w:p>
        </w:tc>
        <w:tc>
          <w:tcPr>
            <w:tcW w:type="dxa" w:w="5112"/>
            <w:vAlign w:val="top"/>
            <w:tcMar>
              <w:top w:w="80" w:type="dxa"/>
              <w:start w:w="100" w:type="dxa"/>
              <w:bottom w:w="80" w:type="dxa"/>
              <w:end w:w="100" w:type="dxa"/>
            </w:tcMar>
          </w:tcPr>
          <w:p>
            <w:pPr>
              <w:pStyle w:val="TableText"/>
            </w:pPr>
            <w:r>
              <w:t>Obtain written institutional permission; agree a document schedule; collect only fields needed; redact supplier/person identifiers; report aggregate evidence. This balances evidential value with confidentiality.</w:t>
            </w:r>
          </w:p>
        </w:tc>
      </w:tr>
      <w:tr>
        <w:tc>
          <w:tcPr>
            <w:tcW w:type="dxa" w:w="1800"/>
            <w:vAlign w:val="top"/>
            <w:tcMar>
              <w:top w:w="80" w:type="dxa"/>
              <w:start w:w="100" w:type="dxa"/>
              <w:bottom w:w="80" w:type="dxa"/>
              <w:end w:w="100" w:type="dxa"/>
            </w:tcMar>
          </w:tcPr>
          <w:p>
            <w:pPr>
              <w:pStyle w:val="TableText"/>
            </w:pPr>
            <w:r>
              <w:t>Power and social desirability</w:t>
            </w:r>
          </w:p>
        </w:tc>
        <w:tc>
          <w:tcPr>
            <w:tcW w:type="dxa" w:w="2952"/>
            <w:vAlign w:val="top"/>
            <w:tcMar>
              <w:top w:w="80" w:type="dxa"/>
              <w:start w:w="100" w:type="dxa"/>
              <w:bottom w:w="80" w:type="dxa"/>
              <w:end w:w="100" w:type="dxa"/>
            </w:tcMar>
          </w:tcPr>
          <w:p>
            <w:pPr>
              <w:pStyle w:val="TableText"/>
            </w:pPr>
            <w:r>
              <w:t>Staff may fear that criticism of management or the platform will affect employment.</w:t>
            </w:r>
          </w:p>
        </w:tc>
        <w:tc>
          <w:tcPr>
            <w:tcW w:type="dxa" w:w="5112"/>
            <w:vAlign w:val="top"/>
            <w:tcMar>
              <w:top w:w="80" w:type="dxa"/>
              <w:start w:w="100" w:type="dxa"/>
              <w:bottom w:w="80" w:type="dxa"/>
              <w:end w:w="100" w:type="dxa"/>
            </w:tcMar>
          </w:tcPr>
          <w:p>
            <w:pPr>
              <w:pStyle w:val="TableText"/>
            </w:pPr>
            <w:r>
              <w:t>Private interviews, informed consent, role masking, no raw quotations to line managers, neutral probes and negative-case solicitation. These measures reduce perceived retaliation and acquiescence.</w:t>
            </w:r>
          </w:p>
        </w:tc>
      </w:tr>
      <w:tr>
        <w:tc>
          <w:tcPr>
            <w:tcW w:type="dxa" w:w="1800"/>
            <w:vAlign w:val="top"/>
            <w:tcMar>
              <w:top w:w="80" w:type="dxa"/>
              <w:start w:w="100" w:type="dxa"/>
              <w:bottom w:w="80" w:type="dxa"/>
              <w:end w:w="100" w:type="dxa"/>
            </w:tcMar>
          </w:tcPr>
          <w:p>
            <w:pPr>
              <w:pStyle w:val="TableText"/>
            </w:pPr>
            <w:r>
              <w:t>Small specialised population</w:t>
            </w:r>
          </w:p>
        </w:tc>
        <w:tc>
          <w:tcPr>
            <w:tcW w:type="dxa" w:w="2952"/>
            <w:vAlign w:val="top"/>
            <w:tcMar>
              <w:top w:w="80" w:type="dxa"/>
              <w:start w:w="100" w:type="dxa"/>
              <w:bottom w:w="80" w:type="dxa"/>
              <w:end w:w="100" w:type="dxa"/>
            </w:tcMar>
          </w:tcPr>
          <w:p>
            <w:pPr>
              <w:pStyle w:val="TableText"/>
            </w:pPr>
            <w:r>
              <w:t>Only a limited number of staff have direct system experience; senior participants are hard to schedule.</w:t>
            </w:r>
          </w:p>
        </w:tc>
        <w:tc>
          <w:tcPr>
            <w:tcW w:type="dxa" w:w="5112"/>
            <w:vAlign w:val="top"/>
            <w:tcMar>
              <w:top w:w="80" w:type="dxa"/>
              <w:start w:w="100" w:type="dxa"/>
              <w:bottom w:w="80" w:type="dxa"/>
              <w:end w:w="100" w:type="dxa"/>
            </w:tcMar>
          </w:tcPr>
          <w:p>
            <w:pPr>
              <w:pStyle w:val="TableText"/>
            </w:pPr>
            <w:r>
              <w:t>Purposive maximum-variation sampling across procurement, finance, ICT, stores/administration and management; flexible scheduling; continue until meaning saturation while transparently reporting role coverage.</w:t>
            </w:r>
          </w:p>
        </w:tc>
      </w:tr>
      <w:tr>
        <w:tc>
          <w:tcPr>
            <w:tcW w:type="dxa" w:w="1800"/>
            <w:vAlign w:val="top"/>
            <w:tcMar>
              <w:top w:w="80" w:type="dxa"/>
              <w:start w:w="100" w:type="dxa"/>
              <w:bottom w:w="80" w:type="dxa"/>
              <w:end w:w="100" w:type="dxa"/>
            </w:tcMar>
          </w:tcPr>
          <w:p>
            <w:pPr>
              <w:pStyle w:val="TableText"/>
            </w:pPr>
            <w:r>
              <w:t>Recording and recall quality</w:t>
            </w:r>
          </w:p>
        </w:tc>
        <w:tc>
          <w:tcPr>
            <w:tcW w:type="dxa" w:w="2952"/>
            <w:vAlign w:val="top"/>
            <w:tcMar>
              <w:top w:w="80" w:type="dxa"/>
              <w:start w:w="100" w:type="dxa"/>
              <w:bottom w:w="80" w:type="dxa"/>
              <w:end w:w="100" w:type="dxa"/>
            </w:tcMar>
          </w:tcPr>
          <w:p>
            <w:pPr>
              <w:pStyle w:val="TableText"/>
            </w:pPr>
            <w:r>
              <w:t>Procurement events may be recalled selectively; technical language and noisy audio can distort transcripts.</w:t>
            </w:r>
          </w:p>
        </w:tc>
        <w:tc>
          <w:tcPr>
            <w:tcW w:type="dxa" w:w="5112"/>
            <w:vAlign w:val="top"/>
            <w:tcMar>
              <w:top w:w="80" w:type="dxa"/>
              <w:start w:w="100" w:type="dxa"/>
              <w:bottom w:w="80" w:type="dxa"/>
              <w:end w:w="100" w:type="dxa"/>
            </w:tcMar>
          </w:tcPr>
          <w:p>
            <w:pPr>
              <w:pStyle w:val="TableText"/>
            </w:pPr>
            <w:r>
              <w:t>Use event-based probes, contemporaneous documents where authorised, tested recording equipment, verbatim transcription and participant clarification of ambiguous passages.</w:t>
            </w:r>
          </w:p>
        </w:tc>
      </w:tr>
    </w:tbl>
    <w:p>
      <w:pPr>
        <w:spacing w:after="0"/>
      </w:pPr>
    </w:p>
    <w:p>
      <w:pPr>
        <w:pStyle w:val="Heading2"/>
      </w:pPr>
      <w:r>
        <w:t>Question 3(b): Ethics and governance</w:t>
      </w:r>
    </w:p>
    <w:p>
      <w:r>
        <w:rPr>
          <w:i w:val="0"/>
        </w:rPr>
        <w:t>Approval should be obtained from the appropriate WIUC-GH research ethics body and from the institutional gatekeeper before recruitment. Participants receive an information sheet, provide written consent, may refuse recording or withdraw before analysis, and are told that participation has no employment consequence. The principal risks are deductive re-identification in a small workforce, perceived surveillance of employees, disclosure of commercially sensitive procurement information and reputational harm to individuals or WIUC-GH. Mitigation includes data minimisation, pseudonyms, broad role labels, quotation review for identifying details, encrypted storage, separation of consent forms from transcripts, access limited to the researcher/supervisor, controlled retention and secure deletion. Documents are reviewed only within the permission granted.</w:t>
      </w:r>
    </w:p>
    <w:p>
      <w:pPr>
        <w:pStyle w:val="Heading2"/>
      </w:pPr>
      <w:r>
        <w:t>Question 3(c): Representativeness and bias</w:t>
      </w:r>
    </w:p>
    <w:p>
      <w:r>
        <w:rPr>
          <w:i w:val="0"/>
        </w:rPr>
        <w:t>The sample is analytically relevant but not statistically representative. Purposive selection may over-represent experienced users, cooperative departments or managers; procurement staff may emphasise operational problems, whereas senior staff may present strategic intentions. A single Accra-based private university cannot represent rural institutions, public universities or other national settings. Cross-sectional interviews may also reflect a temporary outage, recent training or current leadership climate. Maximum-variation role sampling, a recruitment log, saturation monitoring, explicit comparison of managerial and operational accounts, document triangulation and negative-case analysis will reduce—but cannot eliminate—these biases. The study will claim transferability through thick description rather than population generalisation.</w:t>
      </w:r>
    </w:p>
    <w:p>
      <w:pPr>
        <w:pStyle w:val="Heading2"/>
      </w:pPr>
      <w:r>
        <w:t>Question 3(d): Dataset limitations and mitigations</w:t>
      </w: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2016"/>
            <w:shd w:fill="D9E6F2"/>
            <w:vAlign w:val="center"/>
            <w:tcMar>
              <w:top w:w="80" w:type="dxa"/>
              <w:start w:w="100" w:type="dxa"/>
              <w:bottom w:w="80" w:type="dxa"/>
              <w:end w:w="100" w:type="dxa"/>
            </w:tcMar>
          </w:tcPr>
          <w:p>
            <w:r>
              <w:rPr>
                <w:rFonts w:ascii="Times New Roman" w:hAnsi="Times New Roman"/>
                <w:b/>
                <w:sz w:val="18"/>
              </w:rPr>
              <w:t>Limitation</w:t>
            </w:r>
          </w:p>
        </w:tc>
        <w:tc>
          <w:tcPr>
            <w:tcW w:type="dxa" w:w="3240"/>
            <w:shd w:fill="D9E6F2"/>
            <w:vAlign w:val="center"/>
            <w:tcMar>
              <w:top w:w="80" w:type="dxa"/>
              <w:start w:w="100" w:type="dxa"/>
              <w:bottom w:w="80" w:type="dxa"/>
              <w:end w:w="100" w:type="dxa"/>
            </w:tcMar>
          </w:tcPr>
          <w:p>
            <w:r>
              <w:rPr>
                <w:rFonts w:ascii="Times New Roman" w:hAnsi="Times New Roman"/>
                <w:b/>
                <w:sz w:val="18"/>
              </w:rPr>
              <w:t>Consequence</w:t>
            </w:r>
          </w:p>
        </w:tc>
        <w:tc>
          <w:tcPr>
            <w:tcW w:type="dxa" w:w="4608"/>
            <w:shd w:fill="D9E6F2"/>
            <w:vAlign w:val="center"/>
            <w:tcMar>
              <w:top w:w="80" w:type="dxa"/>
              <w:start w:w="100" w:type="dxa"/>
              <w:bottom w:w="80" w:type="dxa"/>
              <w:end w:w="100" w:type="dxa"/>
            </w:tcMar>
          </w:tcPr>
          <w:p>
            <w:r>
              <w:rPr>
                <w:rFonts w:ascii="Times New Roman" w:hAnsi="Times New Roman"/>
                <w:b/>
                <w:sz w:val="18"/>
              </w:rPr>
              <w:t>Mitigation supported by literature</w:t>
            </w:r>
          </w:p>
        </w:tc>
      </w:tr>
      <w:tr>
        <w:tc>
          <w:tcPr>
            <w:tcW w:type="dxa" w:w="2016"/>
            <w:vAlign w:val="top"/>
            <w:tcMar>
              <w:top w:w="80" w:type="dxa"/>
              <w:start w:w="100" w:type="dxa"/>
              <w:bottom w:w="80" w:type="dxa"/>
              <w:end w:w="100" w:type="dxa"/>
            </w:tcMar>
          </w:tcPr>
          <w:p>
            <w:pPr>
              <w:pStyle w:val="TableText"/>
            </w:pPr>
            <w:r>
              <w:t>Small, single-case corpus</w:t>
            </w:r>
          </w:p>
        </w:tc>
        <w:tc>
          <w:tcPr>
            <w:tcW w:type="dxa" w:w="3240"/>
            <w:vAlign w:val="top"/>
            <w:tcMar>
              <w:top w:w="80" w:type="dxa"/>
              <w:start w:w="100" w:type="dxa"/>
              <w:bottom w:w="80" w:type="dxa"/>
              <w:end w:w="100" w:type="dxa"/>
            </w:tcMar>
          </w:tcPr>
          <w:p>
            <w:pPr>
              <w:pStyle w:val="TableText"/>
            </w:pPr>
            <w:r>
              <w:t>No statistical generalisation; individual accounts can dominate themes.</w:t>
            </w:r>
          </w:p>
        </w:tc>
        <w:tc>
          <w:tcPr>
            <w:tcW w:type="dxa" w:w="4608"/>
            <w:vAlign w:val="top"/>
            <w:tcMar>
              <w:top w:w="80" w:type="dxa"/>
              <w:start w:w="100" w:type="dxa"/>
              <w:bottom w:w="80" w:type="dxa"/>
              <w:end w:w="100" w:type="dxa"/>
            </w:tcMar>
          </w:tcPr>
          <w:p>
            <w:pPr>
              <w:pStyle w:val="TableText"/>
            </w:pPr>
            <w:r>
              <w:t>Seek meaning saturation, preserve role diversity and provide thick contextual description. Guest et al. (2006) supports saturation-oriented qualitative sampling; Yin (2018) supports analytic generalisation from case evidence.</w:t>
            </w:r>
          </w:p>
        </w:tc>
      </w:tr>
      <w:tr>
        <w:tc>
          <w:tcPr>
            <w:tcW w:type="dxa" w:w="2016"/>
            <w:vAlign w:val="top"/>
            <w:tcMar>
              <w:top w:w="80" w:type="dxa"/>
              <w:start w:w="100" w:type="dxa"/>
              <w:bottom w:w="80" w:type="dxa"/>
              <w:end w:w="100" w:type="dxa"/>
            </w:tcMar>
          </w:tcPr>
          <w:p>
            <w:pPr>
              <w:pStyle w:val="TableText"/>
            </w:pPr>
            <w:r>
              <w:t>Self-report and social desirability</w:t>
            </w:r>
          </w:p>
        </w:tc>
        <w:tc>
          <w:tcPr>
            <w:tcW w:type="dxa" w:w="3240"/>
            <w:vAlign w:val="top"/>
            <w:tcMar>
              <w:top w:w="80" w:type="dxa"/>
              <w:start w:w="100" w:type="dxa"/>
              <w:bottom w:w="80" w:type="dxa"/>
              <w:end w:w="100" w:type="dxa"/>
            </w:tcMar>
          </w:tcPr>
          <w:p>
            <w:pPr>
              <w:pStyle w:val="TableText"/>
            </w:pPr>
            <w:r>
              <w:t>Participants may exaggerate benefits or understate management failures.</w:t>
            </w:r>
          </w:p>
        </w:tc>
        <w:tc>
          <w:tcPr>
            <w:tcW w:type="dxa" w:w="4608"/>
            <w:vAlign w:val="top"/>
            <w:tcMar>
              <w:top w:w="80" w:type="dxa"/>
              <w:start w:w="100" w:type="dxa"/>
              <w:bottom w:w="80" w:type="dxa"/>
              <w:end w:w="100" w:type="dxa"/>
            </w:tcMar>
          </w:tcPr>
          <w:p>
            <w:pPr>
              <w:pStyle w:val="TableText"/>
            </w:pPr>
            <w:r>
              <w:t>Triangulate with documents, seek disconfirming cases, use neutral prompts and compare roles. Mhlongo et al. (2022) and Salifu et al. (2023) show that multi-factor barriers should be examined rather than relying on a single success narrative.</w:t>
            </w:r>
          </w:p>
        </w:tc>
      </w:tr>
      <w:tr>
        <w:tc>
          <w:tcPr>
            <w:tcW w:type="dxa" w:w="2016"/>
            <w:vAlign w:val="top"/>
            <w:tcMar>
              <w:top w:w="80" w:type="dxa"/>
              <w:start w:w="100" w:type="dxa"/>
              <w:bottom w:w="80" w:type="dxa"/>
              <w:end w:w="100" w:type="dxa"/>
            </w:tcMar>
          </w:tcPr>
          <w:p>
            <w:pPr>
              <w:pStyle w:val="TableText"/>
            </w:pPr>
            <w:r>
              <w:t>Cross-sectional timing</w:t>
            </w:r>
          </w:p>
        </w:tc>
        <w:tc>
          <w:tcPr>
            <w:tcW w:type="dxa" w:w="3240"/>
            <w:vAlign w:val="top"/>
            <w:tcMar>
              <w:top w:w="80" w:type="dxa"/>
              <w:start w:w="100" w:type="dxa"/>
              <w:bottom w:w="80" w:type="dxa"/>
              <w:end w:w="100" w:type="dxa"/>
            </w:tcMar>
          </w:tcPr>
          <w:p>
            <w:pPr>
              <w:pStyle w:val="TableText"/>
            </w:pPr>
            <w:r>
              <w:t>Cannot establish long-term causality or sustained performance change.</w:t>
            </w:r>
          </w:p>
        </w:tc>
        <w:tc>
          <w:tcPr>
            <w:tcW w:type="dxa" w:w="4608"/>
            <w:vAlign w:val="top"/>
            <w:tcMar>
              <w:top w:w="80" w:type="dxa"/>
              <w:start w:w="100" w:type="dxa"/>
              <w:bottom w:w="80" w:type="dxa"/>
              <w:end w:w="100" w:type="dxa"/>
            </w:tcMar>
          </w:tcPr>
          <w:p>
            <w:pPr>
              <w:pStyle w:val="TableText"/>
            </w:pPr>
            <w:r>
              <w:t>Record the implementation stage and interview dates, avoid causal language, and recommend longitudinal pre/post transaction analysis. Koomson et al. (2025) provides quantitative evidence that can inform variables for a future extension.</w:t>
            </w:r>
          </w:p>
        </w:tc>
      </w:tr>
    </w:tbl>
    <w:p>
      <w:pPr>
        <w:spacing w:after="0"/>
      </w:pPr>
    </w:p>
    <w:p>
      <w:pPr>
        <w:pStyle w:val="Heading2"/>
      </w:pPr>
      <w:r>
        <w:t>Detailed research workflow (narrative)</w:t>
      </w:r>
    </w:p>
    <w:p>
      <w:r>
        <w:rPr>
          <w:i w:val="0"/>
        </w:rPr>
        <w:t>After ethics and gatekeeper approval, purposive recruitment will cover procurement, finance, ICT, stores/administration and senior management. Interviews will be recorded with consent and transcribed verbatim. Each transcript will be checked against audio, de-identified, assigned a stable participant code and stored with a metadata record containing only non-identifying role category and interview date. Documents will be logged by type, date, owner, permission status and relevance; sensitive fields will be redacted. Missing interview responses will not be imputed: they will be marked as not discussed, while unclear segments will be checked against audio or clarified with the participant. Terminology such as e-sourcing, e-ordering and e-invoicing will be normalised in an analytic glossary without changing participants’ words.</w:t>
      </w:r>
    </w:p>
    <w:p>
      <w:r>
        <w:rPr>
          <w:i w:val="0"/>
        </w:rPr>
        <w:t>Feature engineering in a qualitative sense consists of coding and abstraction. Initial codes will be derived deductively from the conceptual framework—system usage/integration, cost, time, quality, transparency, top-management support, resource allocation and strategic direction—while inductive codes capture unanticipated workarounds and contextual barriers. Codes will be grouped into candidate themes, reviewed against extracts and the entire corpus, defined, and linked to research questions. A codebook will record definitions, inclusions, exclusions and examples. Dimensionality will be controlled by merging overlapping codes only when their meanings are demonstrably equivalent and preserving deviant cases.</w:t>
      </w:r>
    </w:p>
    <w:p>
      <w:r>
        <w:rPr>
          <w:i w:val="0"/>
        </w:rPr>
        <w:t>The selected analytic method is reflexive thematic analysis within a qualitative case-study design, not a predictive algorithm. It is appropriate because the objectives concern perceptions, organisational processes and the moderating role of leadership. Credibility will be evaluated through source triangulation, role comparison, member clarification, peer/supervisor review of a sample of coding, negative-case analysis and an audit trail. Instead of train/validation/test splitting, the researcher will conduct staged coding: develop the preliminary codebook on an initial varied subset, refine it on additional transcripts, and then apply/check it across the full corpus. A held-back transcript may be used as a sensitivity check, but not as a statistical test set. Reporting criteria are evidential coverage, coherence, distinctiveness, credibility, dependability and traceability from claims to de-identified extracts and documents.</w:t>
      </w:r>
    </w:p>
    <w:p>
      <w:pPr>
        <w:pStyle w:val="Heading1"/>
      </w:pPr>
      <w:r>
        <w:t>SECTION D: Literature-Driven Methodological Review</w:t>
      </w:r>
    </w:p>
    <w:p>
      <w:pPr>
        <w:pStyle w:val="Heading2"/>
      </w:pPr>
      <w:r>
        <w:t>Question 4: Grouping of 12 directly relevant studies</w:t>
      </w: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2088"/>
            <w:shd w:fill="D9E6F2"/>
            <w:vAlign w:val="center"/>
            <w:tcMar>
              <w:top w:w="80" w:type="dxa"/>
              <w:start w:w="100" w:type="dxa"/>
              <w:bottom w:w="80" w:type="dxa"/>
              <w:end w:w="100" w:type="dxa"/>
            </w:tcMar>
          </w:tcPr>
          <w:p>
            <w:r>
              <w:rPr>
                <w:rFonts w:ascii="Times New Roman" w:hAnsi="Times New Roman"/>
                <w:b/>
                <w:sz w:val="18"/>
              </w:rPr>
              <w:t>Method group</w:t>
            </w:r>
          </w:p>
        </w:tc>
        <w:tc>
          <w:tcPr>
            <w:tcW w:type="dxa" w:w="4032"/>
            <w:shd w:fill="D9E6F2"/>
            <w:vAlign w:val="center"/>
            <w:tcMar>
              <w:top w:w="80" w:type="dxa"/>
              <w:start w:w="100" w:type="dxa"/>
              <w:bottom w:w="80" w:type="dxa"/>
              <w:end w:w="100" w:type="dxa"/>
            </w:tcMar>
          </w:tcPr>
          <w:p>
            <w:r>
              <w:rPr>
                <w:rFonts w:ascii="Times New Roman" w:hAnsi="Times New Roman"/>
                <w:b/>
                <w:sz w:val="18"/>
              </w:rPr>
              <w:t>Studies from thesis bibliography</w:t>
            </w:r>
          </w:p>
        </w:tc>
        <w:tc>
          <w:tcPr>
            <w:tcW w:type="dxa" w:w="4680"/>
            <w:shd w:fill="D9E6F2"/>
            <w:vAlign w:val="center"/>
            <w:tcMar>
              <w:top w:w="80" w:type="dxa"/>
              <w:start w:w="100" w:type="dxa"/>
              <w:bottom w:w="80" w:type="dxa"/>
              <w:end w:w="100" w:type="dxa"/>
            </w:tcMar>
          </w:tcPr>
          <w:p>
            <w:r>
              <w:rPr>
                <w:rFonts w:ascii="Times New Roman" w:hAnsi="Times New Roman"/>
                <w:b/>
                <w:sz w:val="18"/>
              </w:rPr>
              <w:t>Dominant choices / evaluation / problems</w:t>
            </w:r>
          </w:p>
        </w:tc>
      </w:tr>
      <w:tr>
        <w:tc>
          <w:tcPr>
            <w:tcW w:type="dxa" w:w="2088"/>
            <w:vAlign w:val="top"/>
            <w:tcMar>
              <w:top w:w="80" w:type="dxa"/>
              <w:start w:w="100" w:type="dxa"/>
              <w:bottom w:w="80" w:type="dxa"/>
              <w:end w:w="100" w:type="dxa"/>
            </w:tcMar>
          </w:tcPr>
          <w:p>
            <w:pPr>
              <w:pStyle w:val="TableText"/>
            </w:pPr>
            <w:r>
              <w:t>Quantitative survey and statistical modelling</w:t>
            </w:r>
          </w:p>
        </w:tc>
        <w:tc>
          <w:tcPr>
            <w:tcW w:type="dxa" w:w="4032"/>
            <w:vAlign w:val="top"/>
            <w:tcMar>
              <w:top w:w="80" w:type="dxa"/>
              <w:start w:w="100" w:type="dxa"/>
              <w:bottom w:w="80" w:type="dxa"/>
              <w:end w:w="100" w:type="dxa"/>
            </w:tcMar>
          </w:tcPr>
          <w:p>
            <w:pPr>
              <w:pStyle w:val="TableText"/>
            </w:pPr>
            <w:r>
              <w:t>Awuah et al. (2022); Koomson et al. (2025); Ng’ang’a &amp; Osoro (2025); Nimako-Boateng (2025)</w:t>
            </w:r>
          </w:p>
        </w:tc>
        <w:tc>
          <w:tcPr>
            <w:tcW w:type="dxa" w:w="4680"/>
            <w:vAlign w:val="top"/>
            <w:tcMar>
              <w:top w:w="80" w:type="dxa"/>
              <w:start w:w="100" w:type="dxa"/>
              <w:bottom w:w="80" w:type="dxa"/>
              <w:end w:w="100" w:type="dxa"/>
            </w:tcMar>
          </w:tcPr>
          <w:p>
            <w:pPr>
              <w:pStyle w:val="TableText"/>
            </w:pPr>
            <w:r>
              <w:t>Descriptive statistics, correlation/regression and variance explained; adoption/performance scales; tests relationships among procurement practices, capability and performance.</w:t>
            </w:r>
          </w:p>
        </w:tc>
      </w:tr>
      <w:tr>
        <w:tc>
          <w:tcPr>
            <w:tcW w:type="dxa" w:w="2088"/>
            <w:vAlign w:val="top"/>
            <w:tcMar>
              <w:top w:w="80" w:type="dxa"/>
              <w:start w:w="100" w:type="dxa"/>
              <w:bottom w:w="80" w:type="dxa"/>
              <w:end w:w="100" w:type="dxa"/>
            </w:tcMar>
          </w:tcPr>
          <w:p>
            <w:pPr>
              <w:pStyle w:val="TableText"/>
            </w:pPr>
            <w:r>
              <w:t>Qualitative case and contextual inquiry</w:t>
            </w:r>
          </w:p>
        </w:tc>
        <w:tc>
          <w:tcPr>
            <w:tcW w:type="dxa" w:w="4032"/>
            <w:vAlign w:val="top"/>
            <w:tcMar>
              <w:top w:w="80" w:type="dxa"/>
              <w:start w:w="100" w:type="dxa"/>
              <w:bottom w:w="80" w:type="dxa"/>
              <w:end w:w="100" w:type="dxa"/>
            </w:tcMar>
          </w:tcPr>
          <w:p>
            <w:pPr>
              <w:pStyle w:val="TableText"/>
            </w:pPr>
            <w:r>
              <w:t>Ofori &amp; Fuseini (2020); Owusu &amp; Asante (2019); Mensah (2020); Watuleke (2017)</w:t>
            </w:r>
          </w:p>
        </w:tc>
        <w:tc>
          <w:tcPr>
            <w:tcW w:type="dxa" w:w="4680"/>
            <w:vAlign w:val="top"/>
            <w:tcMar>
              <w:top w:w="80" w:type="dxa"/>
              <w:start w:w="100" w:type="dxa"/>
              <w:bottom w:w="80" w:type="dxa"/>
              <w:end w:w="100" w:type="dxa"/>
            </w:tcMar>
          </w:tcPr>
          <w:p>
            <w:pPr>
              <w:pStyle w:val="TableText"/>
            </w:pPr>
            <w:r>
              <w:t>Interviews/case evidence and thematic interpretation; assesses implementation experience, contextual barriers and leadership/organisational support. Transferability and triangulation matter more than predictive metrics.</w:t>
            </w:r>
          </w:p>
        </w:tc>
      </w:tr>
      <w:tr>
        <w:tc>
          <w:tcPr>
            <w:tcW w:type="dxa" w:w="2088"/>
            <w:vAlign w:val="top"/>
            <w:tcMar>
              <w:top w:w="80" w:type="dxa"/>
              <w:start w:w="100" w:type="dxa"/>
              <w:bottom w:w="80" w:type="dxa"/>
              <w:end w:w="100" w:type="dxa"/>
            </w:tcMar>
          </w:tcPr>
          <w:p>
            <w:pPr>
              <w:pStyle w:val="TableText"/>
            </w:pPr>
            <w:r>
              <w:t>Review/comparative synthesis</w:t>
            </w:r>
          </w:p>
        </w:tc>
        <w:tc>
          <w:tcPr>
            <w:tcW w:type="dxa" w:w="4032"/>
            <w:vAlign w:val="top"/>
            <w:tcMar>
              <w:top w:w="80" w:type="dxa"/>
              <w:start w:w="100" w:type="dxa"/>
              <w:bottom w:w="80" w:type="dxa"/>
              <w:end w:w="100" w:type="dxa"/>
            </w:tcMar>
          </w:tcPr>
          <w:p>
            <w:pPr>
              <w:pStyle w:val="TableText"/>
            </w:pPr>
            <w:r>
              <w:t>Adjei-Bamfo et al. (2019); Mhlongo et al. (2022); Gilbert &amp; Celestin (2025)</w:t>
            </w:r>
          </w:p>
        </w:tc>
        <w:tc>
          <w:tcPr>
            <w:tcW w:type="dxa" w:w="4680"/>
            <w:vAlign w:val="top"/>
            <w:tcMar>
              <w:top w:w="80" w:type="dxa"/>
              <w:start w:w="100" w:type="dxa"/>
              <w:bottom w:w="80" w:type="dxa"/>
              <w:end w:w="100" w:type="dxa"/>
            </w:tcMar>
          </w:tcPr>
          <w:p>
            <w:pPr>
              <w:pStyle w:val="TableText"/>
            </w:pPr>
            <w:r>
              <w:t>Systematic or comparative synthesis; evaluates recurring adoption components, barriers, sustainability/governance issues and cross-context patterns.</w:t>
            </w:r>
          </w:p>
        </w:tc>
      </w:tr>
      <w:tr>
        <w:tc>
          <w:tcPr>
            <w:tcW w:type="dxa" w:w="2088"/>
            <w:vAlign w:val="top"/>
            <w:tcMar>
              <w:top w:w="80" w:type="dxa"/>
              <w:start w:w="100" w:type="dxa"/>
              <w:bottom w:w="80" w:type="dxa"/>
              <w:end w:w="100" w:type="dxa"/>
            </w:tcMar>
          </w:tcPr>
          <w:p>
            <w:pPr>
              <w:pStyle w:val="TableText"/>
            </w:pPr>
            <w:r>
              <w:t>Mixed or integrative organisational analysis</w:t>
            </w:r>
          </w:p>
        </w:tc>
        <w:tc>
          <w:tcPr>
            <w:tcW w:type="dxa" w:w="4032"/>
            <w:vAlign w:val="top"/>
            <w:tcMar>
              <w:top w:w="80" w:type="dxa"/>
              <w:start w:w="100" w:type="dxa"/>
              <w:bottom w:w="80" w:type="dxa"/>
              <w:end w:w="100" w:type="dxa"/>
            </w:tcMar>
          </w:tcPr>
          <w:p>
            <w:pPr>
              <w:pStyle w:val="TableText"/>
            </w:pPr>
            <w:r>
              <w:t>Salifu et al. (2023); Anigbogu &amp; Egbuta (2021)</w:t>
            </w:r>
          </w:p>
        </w:tc>
        <w:tc>
          <w:tcPr>
            <w:tcW w:type="dxa" w:w="4680"/>
            <w:vAlign w:val="top"/>
            <w:tcMar>
              <w:top w:w="80" w:type="dxa"/>
              <w:start w:w="100" w:type="dxa"/>
              <w:bottom w:w="80" w:type="dxa"/>
              <w:end w:w="100" w:type="dxa"/>
            </w:tcMar>
          </w:tcPr>
          <w:p>
            <w:pPr>
              <w:pStyle w:val="TableText"/>
            </w:pPr>
            <w:r>
              <w:t>Combines structured assessment with contextual interpretation; evaluates the prevalence and interaction of infrastructural, human and organisational challenges.</w:t>
            </w:r>
          </w:p>
        </w:tc>
      </w:tr>
    </w:tbl>
    <w:p>
      <w:pPr>
        <w:spacing w:after="0"/>
      </w:pPr>
    </w:p>
    <w:p>
      <w:r>
        <w:rPr>
          <w:i w:val="0"/>
        </w:rPr>
        <w:t>Several items above fall outside the formal 2020–2025 SLR window but are retained here only because they are directly used by the supplied thesis. For the assessed final version, replace out-of-window works with verified 2020–2025 peer-reviewed papers found through the documented SLR.</w:t>
      </w:r>
    </w:p>
    <w:p>
      <w:pPr>
        <w:pStyle w:val="Heading2"/>
      </w:pPr>
      <w:r>
        <w:t>Equivalent PRISMA screening record</w:t>
      </w: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1584"/>
            <w:shd w:fill="D9E6F2"/>
            <w:vAlign w:val="center"/>
            <w:tcMar>
              <w:top w:w="80" w:type="dxa"/>
              <w:start w:w="100" w:type="dxa"/>
              <w:bottom w:w="80" w:type="dxa"/>
              <w:end w:w="100" w:type="dxa"/>
            </w:tcMar>
          </w:tcPr>
          <w:p>
            <w:r>
              <w:rPr>
                <w:rFonts w:ascii="Times New Roman" w:hAnsi="Times New Roman"/>
                <w:b/>
                <w:sz w:val="18"/>
              </w:rPr>
              <w:t>Stage</w:t>
            </w:r>
          </w:p>
        </w:tc>
        <w:tc>
          <w:tcPr>
            <w:tcW w:type="dxa" w:w="5256"/>
            <w:shd w:fill="D9E6F2"/>
            <w:vAlign w:val="center"/>
            <w:tcMar>
              <w:top w:w="80" w:type="dxa"/>
              <w:start w:w="100" w:type="dxa"/>
              <w:bottom w:w="80" w:type="dxa"/>
              <w:end w:w="100" w:type="dxa"/>
            </w:tcMar>
          </w:tcPr>
          <w:p>
            <w:r>
              <w:rPr>
                <w:rFonts w:ascii="Times New Roman" w:hAnsi="Times New Roman"/>
                <w:b/>
                <w:sz w:val="18"/>
              </w:rPr>
              <w:t>Required record for an auditable review</w:t>
            </w:r>
          </w:p>
        </w:tc>
        <w:tc>
          <w:tcPr>
            <w:tcW w:type="dxa" w:w="3960"/>
            <w:shd w:fill="D9E6F2"/>
            <w:vAlign w:val="center"/>
            <w:tcMar>
              <w:top w:w="80" w:type="dxa"/>
              <w:start w:w="100" w:type="dxa"/>
              <w:bottom w:w="80" w:type="dxa"/>
              <w:end w:w="100" w:type="dxa"/>
            </w:tcMar>
          </w:tcPr>
          <w:p>
            <w:r>
              <w:rPr>
                <w:rFonts w:ascii="Times New Roman" w:hAnsi="Times New Roman"/>
                <w:b/>
                <w:sz w:val="18"/>
              </w:rPr>
              <w:t>Status for supplied thesis</w:t>
            </w:r>
          </w:p>
        </w:tc>
      </w:tr>
      <w:tr>
        <w:tc>
          <w:tcPr>
            <w:tcW w:type="dxa" w:w="1584"/>
            <w:vAlign w:val="top"/>
            <w:tcMar>
              <w:top w:w="80" w:type="dxa"/>
              <w:start w:w="100" w:type="dxa"/>
              <w:bottom w:w="80" w:type="dxa"/>
              <w:end w:w="100" w:type="dxa"/>
            </w:tcMar>
          </w:tcPr>
          <w:p>
            <w:pPr>
              <w:pStyle w:val="TableText"/>
            </w:pPr>
            <w:r>
              <w:t>Identification</w:t>
            </w:r>
          </w:p>
        </w:tc>
        <w:tc>
          <w:tcPr>
            <w:tcW w:type="dxa" w:w="5256"/>
            <w:vAlign w:val="top"/>
            <w:tcMar>
              <w:top w:w="80" w:type="dxa"/>
              <w:start w:w="100" w:type="dxa"/>
              <w:bottom w:w="80" w:type="dxa"/>
              <w:end w:w="100" w:type="dxa"/>
            </w:tcMar>
          </w:tcPr>
          <w:p>
            <w:pPr>
              <w:pStyle w:val="TableText"/>
            </w:pPr>
            <w:r>
              <w:t>Export results from Scopus, IEEE Xplore, ACM DL and supplementary searching; record search date and count per database.</w:t>
            </w:r>
          </w:p>
        </w:tc>
        <w:tc>
          <w:tcPr>
            <w:tcW w:type="dxa" w:w="3960"/>
            <w:vAlign w:val="top"/>
            <w:tcMar>
              <w:top w:w="80" w:type="dxa"/>
              <w:start w:w="100" w:type="dxa"/>
              <w:bottom w:w="80" w:type="dxa"/>
              <w:end w:w="100" w:type="dxa"/>
            </w:tcMar>
          </w:tcPr>
          <w:p>
            <w:pPr>
              <w:pStyle w:val="TableText"/>
            </w:pPr>
            <w:r>
              <w:t>Not reported in thesis.</w:t>
            </w:r>
          </w:p>
        </w:tc>
      </w:tr>
      <w:tr>
        <w:tc>
          <w:tcPr>
            <w:tcW w:type="dxa" w:w="1584"/>
            <w:vAlign w:val="top"/>
            <w:tcMar>
              <w:top w:w="80" w:type="dxa"/>
              <w:start w:w="100" w:type="dxa"/>
              <w:bottom w:w="80" w:type="dxa"/>
              <w:end w:w="100" w:type="dxa"/>
            </w:tcMar>
          </w:tcPr>
          <w:p>
            <w:pPr>
              <w:pStyle w:val="TableText"/>
            </w:pPr>
            <w:r>
              <w:t>Deduplication</w:t>
            </w:r>
          </w:p>
        </w:tc>
        <w:tc>
          <w:tcPr>
            <w:tcW w:type="dxa" w:w="5256"/>
            <w:vAlign w:val="top"/>
            <w:tcMar>
              <w:top w:w="80" w:type="dxa"/>
              <w:start w:w="100" w:type="dxa"/>
              <w:bottom w:w="80" w:type="dxa"/>
              <w:end w:w="100" w:type="dxa"/>
            </w:tcMar>
          </w:tcPr>
          <w:p>
            <w:pPr>
              <w:pStyle w:val="TableText"/>
            </w:pPr>
            <w:r>
              <w:t>Remove duplicates using DOI/title/author matching; retain deduplication log.</w:t>
            </w:r>
          </w:p>
        </w:tc>
        <w:tc>
          <w:tcPr>
            <w:tcW w:type="dxa" w:w="3960"/>
            <w:vAlign w:val="top"/>
            <w:tcMar>
              <w:top w:w="80" w:type="dxa"/>
              <w:start w:w="100" w:type="dxa"/>
              <w:bottom w:w="80" w:type="dxa"/>
              <w:end w:w="100" w:type="dxa"/>
            </w:tcMar>
          </w:tcPr>
          <w:p>
            <w:pPr>
              <w:pStyle w:val="TableText"/>
            </w:pPr>
            <w:r>
              <w:t>Not reported.</w:t>
            </w:r>
          </w:p>
        </w:tc>
      </w:tr>
      <w:tr>
        <w:tc>
          <w:tcPr>
            <w:tcW w:type="dxa" w:w="1584"/>
            <w:vAlign w:val="top"/>
            <w:tcMar>
              <w:top w:w="80" w:type="dxa"/>
              <w:start w:w="100" w:type="dxa"/>
              <w:bottom w:w="80" w:type="dxa"/>
              <w:end w:w="100" w:type="dxa"/>
            </w:tcMar>
          </w:tcPr>
          <w:p>
            <w:pPr>
              <w:pStyle w:val="TableText"/>
            </w:pPr>
            <w:r>
              <w:t>Screening</w:t>
            </w:r>
          </w:p>
        </w:tc>
        <w:tc>
          <w:tcPr>
            <w:tcW w:type="dxa" w:w="5256"/>
            <w:vAlign w:val="top"/>
            <w:tcMar>
              <w:top w:w="80" w:type="dxa"/>
              <w:start w:w="100" w:type="dxa"/>
              <w:bottom w:w="80" w:type="dxa"/>
              <w:end w:w="100" w:type="dxa"/>
            </w:tcMar>
          </w:tcPr>
          <w:p>
            <w:pPr>
              <w:pStyle w:val="TableText"/>
            </w:pPr>
            <w:r>
              <w:t>Two-stage title/abstract screening against inclusion criteria; record exclusions.</w:t>
            </w:r>
          </w:p>
        </w:tc>
        <w:tc>
          <w:tcPr>
            <w:tcW w:type="dxa" w:w="3960"/>
            <w:vAlign w:val="top"/>
            <w:tcMar>
              <w:top w:w="80" w:type="dxa"/>
              <w:start w:w="100" w:type="dxa"/>
              <w:bottom w:w="80" w:type="dxa"/>
              <w:end w:w="100" w:type="dxa"/>
            </w:tcMar>
          </w:tcPr>
          <w:p>
            <w:pPr>
              <w:pStyle w:val="TableText"/>
            </w:pPr>
            <w:r>
              <w:t>Narrative selection only; no log.</w:t>
            </w:r>
          </w:p>
        </w:tc>
      </w:tr>
      <w:tr>
        <w:tc>
          <w:tcPr>
            <w:tcW w:type="dxa" w:w="1584"/>
            <w:vAlign w:val="top"/>
            <w:tcMar>
              <w:top w:w="80" w:type="dxa"/>
              <w:start w:w="100" w:type="dxa"/>
              <w:bottom w:w="80" w:type="dxa"/>
              <w:end w:w="100" w:type="dxa"/>
            </w:tcMar>
          </w:tcPr>
          <w:p>
            <w:pPr>
              <w:pStyle w:val="TableText"/>
            </w:pPr>
            <w:r>
              <w:t>Eligibility</w:t>
            </w:r>
          </w:p>
        </w:tc>
        <w:tc>
          <w:tcPr>
            <w:tcW w:type="dxa" w:w="5256"/>
            <w:vAlign w:val="top"/>
            <w:tcMar>
              <w:top w:w="80" w:type="dxa"/>
              <w:start w:w="100" w:type="dxa"/>
              <w:bottom w:w="80" w:type="dxa"/>
              <w:end w:w="100" w:type="dxa"/>
            </w:tcMar>
          </w:tcPr>
          <w:p>
            <w:pPr>
              <w:pStyle w:val="TableText"/>
            </w:pPr>
            <w:r>
              <w:t>Retrieve full text; record a reason for every exclusion.</w:t>
            </w:r>
          </w:p>
        </w:tc>
        <w:tc>
          <w:tcPr>
            <w:tcW w:type="dxa" w:w="3960"/>
            <w:vAlign w:val="top"/>
            <w:tcMar>
              <w:top w:w="80" w:type="dxa"/>
              <w:start w:w="100" w:type="dxa"/>
              <w:bottom w:w="80" w:type="dxa"/>
              <w:end w:w="100" w:type="dxa"/>
            </w:tcMar>
          </w:tcPr>
          <w:p>
            <w:pPr>
              <w:pStyle w:val="TableText"/>
            </w:pPr>
            <w:r>
              <w:t>Not reported.</w:t>
            </w:r>
          </w:p>
        </w:tc>
      </w:tr>
      <w:tr>
        <w:tc>
          <w:tcPr>
            <w:tcW w:type="dxa" w:w="1584"/>
            <w:vAlign w:val="top"/>
            <w:tcMar>
              <w:top w:w="80" w:type="dxa"/>
              <w:start w:w="100" w:type="dxa"/>
              <w:bottom w:w="80" w:type="dxa"/>
              <w:end w:w="100" w:type="dxa"/>
            </w:tcMar>
          </w:tcPr>
          <w:p>
            <w:pPr>
              <w:pStyle w:val="TableText"/>
            </w:pPr>
            <w:r>
              <w:t>Included</w:t>
            </w:r>
          </w:p>
        </w:tc>
        <w:tc>
          <w:tcPr>
            <w:tcW w:type="dxa" w:w="5256"/>
            <w:vAlign w:val="top"/>
            <w:tcMar>
              <w:top w:w="80" w:type="dxa"/>
              <w:start w:w="100" w:type="dxa"/>
              <w:bottom w:w="80" w:type="dxa"/>
              <w:end w:w="100" w:type="dxa"/>
            </w:tcMar>
          </w:tcPr>
          <w:p>
            <w:pPr>
              <w:pStyle w:val="TableText"/>
            </w:pPr>
            <w:r>
              <w:t>At least 12 direct studies for Section D; at least 5 critically synthesised in Section B.</w:t>
            </w:r>
          </w:p>
        </w:tc>
        <w:tc>
          <w:tcPr>
            <w:tcW w:type="dxa" w:w="3960"/>
            <w:vAlign w:val="top"/>
            <w:tcMar>
              <w:top w:w="80" w:type="dxa"/>
              <w:start w:w="100" w:type="dxa"/>
              <w:bottom w:w="80" w:type="dxa"/>
              <w:end w:w="100" w:type="dxa"/>
            </w:tcMar>
          </w:tcPr>
          <w:p>
            <w:pPr>
              <w:pStyle w:val="TableText"/>
            </w:pPr>
            <w:r>
              <w:t>A thesis-derived candidate set is shown above; verification required.</w:t>
            </w:r>
          </w:p>
        </w:tc>
      </w:tr>
    </w:tbl>
    <w:p>
      <w:pPr>
        <w:spacing w:after="0"/>
      </w:pPr>
    </w:p>
    <w:p>
      <w:pPr>
        <w:pStyle w:val="Heading2"/>
      </w:pPr>
      <w:r>
        <w:t>Comparison of evaluation metrics</w:t>
      </w:r>
    </w:p>
    <w:p>
      <w:r>
        <w:rPr>
          <w:i w:val="0"/>
        </w:rPr>
        <w:t>Quantitative studies commonly report scale reliability, means, correlations, regression coefficients, significance levels, R²/adjusted R² and sometimes effect sizes. These are suitable for estimating association and explained variance when samples and measurement assumptions are adequate, but accuracy, F1-score, AUC-ROC, BLEU and RMSE are not appropriate for the thesis because it does not train a classifier, language generator or continuous-value predictor. Qualitative studies are judged using credibility, dependability, confirmability, transferability, saturation, triangulation and traceability. For WIUC-GH, the principal evaluation framework will therefore be: evidence from more than one role/source for central claims; clear negative or contradictory cases; codebook and decision-log stability; participant clarification of ambiguous evidence; and a transparent chain from each theme to excerpts and authorised documents. If a later transaction-level predictive extension is built, class-sensitive metrics such as precision, recall, F1 and PR-AUC should be preferred where exceptions are rare, alongside calibration and subgroup error analysis.</w:t>
      </w:r>
    </w:p>
    <w:p>
      <w:pPr>
        <w:pStyle w:val="Heading2"/>
      </w:pPr>
      <w:r>
        <w:t>Three methodological gaps and novel contribution</w:t>
      </w:r>
    </w:p>
    <w:p>
      <w:pPr>
        <w:pStyle w:val="Heading3"/>
      </w:pPr>
      <w:r>
        <w:t>Gap 1: Private-university contextual evidence</w:t>
      </w:r>
    </w:p>
    <w:p>
      <w:r>
        <w:rPr>
          <w:i w:val="0"/>
        </w:rPr>
        <w:t>Public-sector and broad organisational studies dominate the Ghanaian evidence (Ofori &amp; Fuseini, 2020; Salifu et al., 2023), while the closest private-university evidence is Kenyan (Ng’ang’a &amp; Osoro, 2025). Their findings cannot simply be transferred to a tuition-dependent Ghanaian private institution with different governance and regulatory exposure. This project contributes a bounded WIUC-GH case, documenting platform use, integration, performance perceptions and constraints within the institution’s actual procurement environment. Thick description clarifies which findings are transferable to similar private universities and which are institution-specific.</w:t>
      </w:r>
    </w:p>
    <w:p>
      <w:pPr>
        <w:pStyle w:val="Heading3"/>
      </w:pPr>
      <w:r>
        <w:t>Gap 2: Leadership as a mechanism, not a control variable</w:t>
      </w:r>
    </w:p>
    <w:p>
      <w:r>
        <w:rPr>
          <w:i w:val="0"/>
        </w:rPr>
        <w:t>Ofori and Fuseini (2020) and Owusu (2025) identify management support as important, while quantitative performance studies such as Koomson et al. (2025) emphasise statistical association. The literature says less about how leadership becomes operational practice. This study examines visible sponsorship, resource allocation, training, policy enforcement, accountability and strategic direction as mechanisms through which top-management commitment strengthens or weakens the e-procurement–performance relationship. Cross-role interviews and documents permit comparison between stated commitment and experienced support.</w:t>
      </w:r>
    </w:p>
    <w:p>
      <w:pPr>
        <w:pStyle w:val="Heading3"/>
      </w:pPr>
      <w:r>
        <w:t>Gap 3: Single-source and cross-sectional evidence</w:t>
      </w:r>
    </w:p>
    <w:p>
      <w:r>
        <w:rPr>
          <w:i w:val="0"/>
        </w:rPr>
        <w:t>Awuah et al. (2022) and Ng’ang’a and Osoro (2025) provide useful cross-sectional quantitative findings, but common-method and causal limitations remain. Salifu et al. (2023) also captures challenges at one period. WIUC-GH addresses the single-source problem by triangulating interview groups with policies, manuals and performance documents and by searching for contradictory cases. It does not fully solve temporal causality; instead it states the boundary, avoids causal overclaiming and specifies a future longitudinal design using pre/post cycle-time, cost and compliance records.</w:t>
      </w:r>
    </w:p>
    <w:p>
      <w:pPr>
        <w:pStyle w:val="Heading1"/>
      </w:pPr>
      <w:r>
        <w:t>SECTION E: Validity, Reliability, Ethics and Reproducibility</w:t>
      </w:r>
    </w:p>
    <w:p>
      <w:pPr>
        <w:pStyle w:val="Heading2"/>
      </w:pPr>
      <w:r>
        <w:t>Question 5(a): Threats to validity</w:t>
      </w:r>
    </w:p>
    <w:tbl>
      <w:tblPr>
        <w:tblStyle w:val="TableGrid"/>
        <w:tblW w:type="auto" w:w="0"/>
        <w:jc w:val="center"/>
        <w:tblLayout w:type="fixed"/>
        <w:tblLook w:firstColumn="1" w:firstRow="1" w:lastColumn="0" w:lastRow="0" w:noHBand="0" w:noVBand="1" w:val="04A0"/>
      </w:tblPr>
      <w:tblGrid>
        <w:gridCol w:w="3106"/>
        <w:gridCol w:w="3106"/>
        <w:gridCol w:w="3106"/>
      </w:tblGrid>
      <w:tr>
        <w:tc>
          <w:tcPr>
            <w:tcW w:type="dxa" w:w="2088"/>
            <w:shd w:fill="D9E6F2"/>
            <w:vAlign w:val="center"/>
            <w:tcMar>
              <w:top w:w="80" w:type="dxa"/>
              <w:start w:w="100" w:type="dxa"/>
              <w:bottom w:w="80" w:type="dxa"/>
              <w:end w:w="100" w:type="dxa"/>
            </w:tcMar>
          </w:tcPr>
          <w:p>
            <w:r>
              <w:rPr>
                <w:rFonts w:ascii="Times New Roman" w:hAnsi="Times New Roman"/>
                <w:b/>
                <w:sz w:val="18"/>
              </w:rPr>
              <w:t>Type/threat</w:t>
            </w:r>
          </w:p>
        </w:tc>
        <w:tc>
          <w:tcPr>
            <w:tcW w:type="dxa" w:w="3816"/>
            <w:shd w:fill="D9E6F2"/>
            <w:vAlign w:val="center"/>
            <w:tcMar>
              <w:top w:w="80" w:type="dxa"/>
              <w:start w:w="100" w:type="dxa"/>
              <w:bottom w:w="80" w:type="dxa"/>
              <w:end w:w="100" w:type="dxa"/>
            </w:tcMar>
          </w:tcPr>
          <w:p>
            <w:r>
              <w:rPr>
                <w:rFonts w:ascii="Times New Roman" w:hAnsi="Times New Roman"/>
                <w:b/>
                <w:sz w:val="18"/>
              </w:rPr>
              <w:t>Application to WIUC-GH</w:t>
            </w:r>
          </w:p>
        </w:tc>
        <w:tc>
          <w:tcPr>
            <w:tcW w:type="dxa" w:w="4392"/>
            <w:shd w:fill="D9E6F2"/>
            <w:vAlign w:val="center"/>
            <w:tcMar>
              <w:top w:w="80" w:type="dxa"/>
              <w:start w:w="100" w:type="dxa"/>
              <w:bottom w:w="80" w:type="dxa"/>
              <w:end w:w="100" w:type="dxa"/>
            </w:tcMar>
          </w:tcPr>
          <w:p>
            <w:r>
              <w:rPr>
                <w:rFonts w:ascii="Times New Roman" w:hAnsi="Times New Roman"/>
                <w:b/>
                <w:sz w:val="18"/>
              </w:rPr>
              <w:t>Feasible mitigation</w:t>
            </w:r>
          </w:p>
        </w:tc>
      </w:tr>
      <w:tr>
        <w:tc>
          <w:tcPr>
            <w:tcW w:type="dxa" w:w="2088"/>
            <w:vAlign w:val="top"/>
            <w:tcMar>
              <w:top w:w="80" w:type="dxa"/>
              <w:start w:w="100" w:type="dxa"/>
              <w:bottom w:w="80" w:type="dxa"/>
              <w:end w:w="100" w:type="dxa"/>
            </w:tcMar>
          </w:tcPr>
          <w:p>
            <w:pPr>
              <w:pStyle w:val="TableText"/>
            </w:pPr>
            <w:r>
              <w:t>Internal: social desirability/reactivity</w:t>
            </w:r>
          </w:p>
        </w:tc>
        <w:tc>
          <w:tcPr>
            <w:tcW w:type="dxa" w:w="3816"/>
            <w:vAlign w:val="top"/>
            <w:tcMar>
              <w:top w:w="80" w:type="dxa"/>
              <w:start w:w="100" w:type="dxa"/>
              <w:bottom w:w="80" w:type="dxa"/>
              <w:end w:w="100" w:type="dxa"/>
            </w:tcMar>
          </w:tcPr>
          <w:p>
            <w:pPr>
              <w:pStyle w:val="TableText"/>
            </w:pPr>
            <w:r>
              <w:t>Employees may provide management-friendly accounts.</w:t>
            </w:r>
          </w:p>
        </w:tc>
        <w:tc>
          <w:tcPr>
            <w:tcW w:type="dxa" w:w="4392"/>
            <w:vAlign w:val="top"/>
            <w:tcMar>
              <w:top w:w="80" w:type="dxa"/>
              <w:start w:w="100" w:type="dxa"/>
              <w:bottom w:w="80" w:type="dxa"/>
              <w:end w:w="100" w:type="dxa"/>
            </w:tcMar>
          </w:tcPr>
          <w:p>
            <w:pPr>
              <w:pStyle w:val="TableText"/>
            </w:pPr>
            <w:r>
              <w:t>Confidential interviews, neutral wording, role masking, voluntary participation, document triangulation and negative-case prompts.</w:t>
            </w:r>
          </w:p>
        </w:tc>
      </w:tr>
      <w:tr>
        <w:tc>
          <w:tcPr>
            <w:tcW w:type="dxa" w:w="2088"/>
            <w:vAlign w:val="top"/>
            <w:tcMar>
              <w:top w:w="80" w:type="dxa"/>
              <w:start w:w="100" w:type="dxa"/>
              <w:bottom w:w="80" w:type="dxa"/>
              <w:end w:w="100" w:type="dxa"/>
            </w:tcMar>
          </w:tcPr>
          <w:p>
            <w:pPr>
              <w:pStyle w:val="TableText"/>
            </w:pPr>
            <w:r>
              <w:t>Internal: researcher interpretation</w:t>
            </w:r>
          </w:p>
        </w:tc>
        <w:tc>
          <w:tcPr>
            <w:tcW w:type="dxa" w:w="3816"/>
            <w:vAlign w:val="top"/>
            <w:tcMar>
              <w:top w:w="80" w:type="dxa"/>
              <w:start w:w="100" w:type="dxa"/>
              <w:bottom w:w="80" w:type="dxa"/>
              <w:end w:w="100" w:type="dxa"/>
            </w:tcMar>
          </w:tcPr>
          <w:p>
            <w:pPr>
              <w:pStyle w:val="TableText"/>
            </w:pPr>
            <w:r>
              <w:t>Prior expectations about e-procurement benefits may shape coding.</w:t>
            </w:r>
          </w:p>
        </w:tc>
        <w:tc>
          <w:tcPr>
            <w:tcW w:type="dxa" w:w="4392"/>
            <w:vAlign w:val="top"/>
            <w:tcMar>
              <w:top w:w="80" w:type="dxa"/>
              <w:start w:w="100" w:type="dxa"/>
              <w:bottom w:w="80" w:type="dxa"/>
              <w:end w:w="100" w:type="dxa"/>
            </w:tcMar>
          </w:tcPr>
          <w:p>
            <w:pPr>
              <w:pStyle w:val="TableText"/>
            </w:pPr>
            <w:r>
              <w:t>Reflexive journal, explicit codebook, audit trail, supervisor/peer challenge and preserved disconfirming extracts.</w:t>
            </w:r>
          </w:p>
        </w:tc>
      </w:tr>
      <w:tr>
        <w:tc>
          <w:tcPr>
            <w:tcW w:type="dxa" w:w="2088"/>
            <w:vAlign w:val="top"/>
            <w:tcMar>
              <w:top w:w="80" w:type="dxa"/>
              <w:start w:w="100" w:type="dxa"/>
              <w:bottom w:w="80" w:type="dxa"/>
              <w:end w:w="100" w:type="dxa"/>
            </w:tcMar>
          </w:tcPr>
          <w:p>
            <w:pPr>
              <w:pStyle w:val="TableText"/>
            </w:pPr>
            <w:r>
              <w:t>External: single institution</w:t>
            </w:r>
          </w:p>
        </w:tc>
        <w:tc>
          <w:tcPr>
            <w:tcW w:type="dxa" w:w="3816"/>
            <w:vAlign w:val="top"/>
            <w:tcMar>
              <w:top w:w="80" w:type="dxa"/>
              <w:start w:w="100" w:type="dxa"/>
              <w:bottom w:w="80" w:type="dxa"/>
              <w:end w:w="100" w:type="dxa"/>
            </w:tcMar>
          </w:tcPr>
          <w:p>
            <w:pPr>
              <w:pStyle w:val="TableText"/>
            </w:pPr>
            <w:r>
              <w:t>WIUC-GH may differ from other private or public universities.</w:t>
            </w:r>
          </w:p>
        </w:tc>
        <w:tc>
          <w:tcPr>
            <w:tcW w:type="dxa" w:w="4392"/>
            <w:vAlign w:val="top"/>
            <w:tcMar>
              <w:top w:w="80" w:type="dxa"/>
              <w:start w:w="100" w:type="dxa"/>
              <w:bottom w:w="80" w:type="dxa"/>
              <w:end w:w="100" w:type="dxa"/>
            </w:tcMar>
          </w:tcPr>
          <w:p>
            <w:pPr>
              <w:pStyle w:val="TableText"/>
            </w:pPr>
            <w:r>
              <w:t>Thick description of setting, roles, implementation stage and governance; analytic rather than statistical generalisation.</w:t>
            </w:r>
          </w:p>
        </w:tc>
      </w:tr>
      <w:tr>
        <w:tc>
          <w:tcPr>
            <w:tcW w:type="dxa" w:w="2088"/>
            <w:vAlign w:val="top"/>
            <w:tcMar>
              <w:top w:w="80" w:type="dxa"/>
              <w:start w:w="100" w:type="dxa"/>
              <w:bottom w:w="80" w:type="dxa"/>
              <w:end w:w="100" w:type="dxa"/>
            </w:tcMar>
          </w:tcPr>
          <w:p>
            <w:pPr>
              <w:pStyle w:val="TableText"/>
            </w:pPr>
            <w:r>
              <w:t>External: purposive role coverage/time</w:t>
            </w:r>
          </w:p>
        </w:tc>
        <w:tc>
          <w:tcPr>
            <w:tcW w:type="dxa" w:w="3816"/>
            <w:vAlign w:val="top"/>
            <w:tcMar>
              <w:top w:w="80" w:type="dxa"/>
              <w:start w:w="100" w:type="dxa"/>
              <w:bottom w:w="80" w:type="dxa"/>
              <w:end w:w="100" w:type="dxa"/>
            </w:tcMar>
          </w:tcPr>
          <w:p>
            <w:pPr>
              <w:pStyle w:val="TableText"/>
            </w:pPr>
            <w:r>
              <w:t>Available participants or a temporary implementation condition may skew the picture.</w:t>
            </w:r>
          </w:p>
        </w:tc>
        <w:tc>
          <w:tcPr>
            <w:tcW w:type="dxa" w:w="4392"/>
            <w:vAlign w:val="top"/>
            <w:tcMar>
              <w:top w:w="80" w:type="dxa"/>
              <w:start w:w="100" w:type="dxa"/>
              <w:bottom w:w="80" w:type="dxa"/>
              <w:end w:w="100" w:type="dxa"/>
            </w:tcMar>
          </w:tcPr>
          <w:p>
            <w:pPr>
              <w:pStyle w:val="TableText"/>
            </w:pPr>
            <w:r>
              <w:t>Maximum-variation sampling, recruitment/saturation log, interview-date reporting and comparison of operational versus managerial evidence.</w:t>
            </w:r>
          </w:p>
        </w:tc>
      </w:tr>
    </w:tbl>
    <w:p>
      <w:pPr>
        <w:spacing w:after="0"/>
      </w:pPr>
    </w:p>
    <w:p>
      <w:r>
        <w:rPr>
          <w:i w:val="0"/>
        </w:rPr>
        <w:t>These controls follow the case-study validity logic of Yin (2018) and the qualitative trustworthiness criteria of Lincoln and Guba (1985): credibility, transferability, dependability and confirmability.</w:t>
      </w:r>
    </w:p>
    <w:p>
      <w:pPr>
        <w:pStyle w:val="Heading2"/>
      </w:pPr>
      <w:r>
        <w:t>Question 5(b): Robustness and generalisability</w:t>
      </w:r>
    </w:p>
    <w:p>
      <w:r>
        <w:rPr>
          <w:i w:val="0"/>
        </w:rPr>
        <w:t>Robustness means that the central thematic explanation remains credible when evidence is compared across roles, documents and alternative interpretations. The study should test whether conclusions such as “leadership commitment moderates system benefits” remain supported after disconfirming cases are included and after themes are examined separately for procurement, finance, ICT and management. Generalisability is analytic: findings may inform institutions with similar private-university structures, but they should not be treated as national prevalence estimates. A likely failure scenario is that senior managers report strong support while operational staff experience weak resources and informal workarounds. This contradiction should not be averaged away. It will be detected through role-stratified matrices and document comparison, then reported as a boundary condition or policy–practice gap. A second failure is deductive identification from quotations; quotations will be paraphrased or withheld when masking cannot protect the speaker.</w:t>
      </w:r>
    </w:p>
    <w:p>
      <w:pPr>
        <w:pStyle w:val="Heading2"/>
      </w:pPr>
      <w:r>
        <w:t>Question 5(c): Reproducibility challenges</w:t>
      </w:r>
    </w:p>
    <w:tbl>
      <w:tblPr>
        <w:tblStyle w:val="TableGrid"/>
        <w:tblW w:type="auto" w:w="0"/>
        <w:jc w:val="center"/>
        <w:tblLayout w:type="fixed"/>
        <w:tblLook w:firstColumn="1" w:firstRow="1" w:lastColumn="0" w:lastRow="0" w:noHBand="0" w:noVBand="1" w:val="04A0"/>
      </w:tblPr>
      <w:tblGrid>
        <w:gridCol w:w="4658"/>
        <w:gridCol w:w="4658"/>
      </w:tblGrid>
      <w:tr>
        <w:tc>
          <w:tcPr>
            <w:tcW w:type="dxa" w:w="3096"/>
            <w:shd w:fill="D9E6F2"/>
            <w:vAlign w:val="center"/>
            <w:tcMar>
              <w:top w:w="80" w:type="dxa"/>
              <w:start w:w="100" w:type="dxa"/>
              <w:bottom w:w="80" w:type="dxa"/>
              <w:end w:w="100" w:type="dxa"/>
            </w:tcMar>
          </w:tcPr>
          <w:p>
            <w:r>
              <w:rPr>
                <w:rFonts w:ascii="Times New Roman" w:hAnsi="Times New Roman"/>
                <w:b/>
                <w:sz w:val="18"/>
              </w:rPr>
              <w:t>Challenge</w:t>
            </w:r>
          </w:p>
        </w:tc>
        <w:tc>
          <w:tcPr>
            <w:tcW w:type="dxa" w:w="7200"/>
            <w:shd w:fill="D9E6F2"/>
            <w:vAlign w:val="center"/>
            <w:tcMar>
              <w:top w:w="80" w:type="dxa"/>
              <w:start w:w="100" w:type="dxa"/>
              <w:bottom w:w="80" w:type="dxa"/>
              <w:end w:w="100" w:type="dxa"/>
            </w:tcMar>
          </w:tcPr>
          <w:p>
            <w:r>
              <w:rPr>
                <w:rFonts w:ascii="Times New Roman" w:hAnsi="Times New Roman"/>
                <w:b/>
                <w:sz w:val="18"/>
              </w:rPr>
              <w:t>Reproducibility practice</w:t>
            </w:r>
          </w:p>
        </w:tc>
      </w:tr>
      <w:tr>
        <w:tc>
          <w:tcPr>
            <w:tcW w:type="dxa" w:w="3096"/>
            <w:vAlign w:val="top"/>
            <w:tcMar>
              <w:top w:w="80" w:type="dxa"/>
              <w:start w:w="100" w:type="dxa"/>
              <w:bottom w:w="80" w:type="dxa"/>
              <w:end w:w="100" w:type="dxa"/>
            </w:tcMar>
          </w:tcPr>
          <w:p>
            <w:pPr>
              <w:pStyle w:val="TableText"/>
            </w:pPr>
            <w:r>
              <w:t>Restricted, identifiable interview and procurement data</w:t>
            </w:r>
          </w:p>
        </w:tc>
        <w:tc>
          <w:tcPr>
            <w:tcW w:type="dxa" w:w="7200"/>
            <w:vAlign w:val="top"/>
            <w:tcMar>
              <w:top w:w="80" w:type="dxa"/>
              <w:start w:w="100" w:type="dxa"/>
              <w:bottom w:w="80" w:type="dxa"/>
              <w:end w:w="100" w:type="dxa"/>
            </w:tcMar>
          </w:tcPr>
          <w:p>
            <w:pPr>
              <w:pStyle w:val="TableText"/>
            </w:pPr>
            <w:r>
              <w:t>Publish a redacted data dictionary, interview guide, consent/ethics conditions, document inventory and synthetic example extracts; provide controlled-access instructions where ethically permissible.</w:t>
            </w:r>
          </w:p>
        </w:tc>
      </w:tr>
      <w:tr>
        <w:tc>
          <w:tcPr>
            <w:tcW w:type="dxa" w:w="3096"/>
            <w:vAlign w:val="top"/>
            <w:tcMar>
              <w:top w:w="80" w:type="dxa"/>
              <w:start w:w="100" w:type="dxa"/>
              <w:bottom w:w="80" w:type="dxa"/>
              <w:end w:w="100" w:type="dxa"/>
            </w:tcMar>
          </w:tcPr>
          <w:p>
            <w:pPr>
              <w:pStyle w:val="TableText"/>
            </w:pPr>
            <w:r>
              <w:t>Interpretive coding decisions</w:t>
            </w:r>
          </w:p>
        </w:tc>
        <w:tc>
          <w:tcPr>
            <w:tcW w:type="dxa" w:w="7200"/>
            <w:vAlign w:val="top"/>
            <w:tcMar>
              <w:top w:w="80" w:type="dxa"/>
              <w:start w:w="100" w:type="dxa"/>
              <w:bottom w:w="80" w:type="dxa"/>
              <w:end w:w="100" w:type="dxa"/>
            </w:tcMar>
          </w:tcPr>
          <w:p>
            <w:pPr>
              <w:pStyle w:val="TableText"/>
            </w:pPr>
            <w:r>
              <w:t>Version the codebook, reflexive memos and theme definitions; record merges/splits and negative cases; retain a claim-to-evidence matrix.</w:t>
            </w:r>
          </w:p>
        </w:tc>
      </w:tr>
      <w:tr>
        <w:tc>
          <w:tcPr>
            <w:tcW w:type="dxa" w:w="3096"/>
            <w:vAlign w:val="top"/>
            <w:tcMar>
              <w:top w:w="80" w:type="dxa"/>
              <w:start w:w="100" w:type="dxa"/>
              <w:bottom w:w="80" w:type="dxa"/>
              <w:end w:w="100" w:type="dxa"/>
            </w:tcMar>
          </w:tcPr>
          <w:p>
            <w:pPr>
              <w:pStyle w:val="TableText"/>
            </w:pPr>
            <w:r>
              <w:t>Changing e-procurement platform and institutional context</w:t>
            </w:r>
          </w:p>
        </w:tc>
        <w:tc>
          <w:tcPr>
            <w:tcW w:type="dxa" w:w="7200"/>
            <w:vAlign w:val="top"/>
            <w:tcMar>
              <w:top w:w="80" w:type="dxa"/>
              <w:start w:w="100" w:type="dxa"/>
              <w:bottom w:w="80" w:type="dxa"/>
              <w:end w:w="100" w:type="dxa"/>
            </w:tcMar>
          </w:tcPr>
          <w:p>
            <w:pPr>
              <w:pStyle w:val="TableText"/>
            </w:pPr>
            <w:r>
              <w:t>Record collection dates, system/module version, policy versions, organisational roles and implementation stage; archive authorised manuals or checksums.</w:t>
            </w:r>
          </w:p>
        </w:tc>
      </w:tr>
      <w:tr>
        <w:tc>
          <w:tcPr>
            <w:tcW w:type="dxa" w:w="3096"/>
            <w:vAlign w:val="top"/>
            <w:tcMar>
              <w:top w:w="80" w:type="dxa"/>
              <w:start w:w="100" w:type="dxa"/>
              <w:bottom w:w="80" w:type="dxa"/>
              <w:end w:w="100" w:type="dxa"/>
            </w:tcMar>
          </w:tcPr>
          <w:p>
            <w:pPr>
              <w:pStyle w:val="TableText"/>
            </w:pPr>
            <w:r>
              <w:t>Software/transcription differences</w:t>
            </w:r>
          </w:p>
        </w:tc>
        <w:tc>
          <w:tcPr>
            <w:tcW w:type="dxa" w:w="7200"/>
            <w:vAlign w:val="top"/>
            <w:tcMar>
              <w:top w:w="80" w:type="dxa"/>
              <w:start w:w="100" w:type="dxa"/>
              <w:bottom w:w="80" w:type="dxa"/>
              <w:end w:w="100" w:type="dxa"/>
            </w:tcMar>
          </w:tcPr>
          <w:p>
            <w:pPr>
              <w:pStyle w:val="TableText"/>
            </w:pPr>
            <w:r>
              <w:t>Record OS, transcription method, software/library versions, file formats, locale and every transformation from audio to final coded corpus.</w:t>
            </w:r>
          </w:p>
        </w:tc>
      </w:tr>
      <w:tr>
        <w:tc>
          <w:tcPr>
            <w:tcW w:type="dxa" w:w="3096"/>
            <w:vAlign w:val="top"/>
            <w:tcMar>
              <w:top w:w="80" w:type="dxa"/>
              <w:start w:w="100" w:type="dxa"/>
              <w:bottom w:w="80" w:type="dxa"/>
              <w:end w:w="100" w:type="dxa"/>
            </w:tcMar>
          </w:tcPr>
          <w:p>
            <w:pPr>
              <w:pStyle w:val="TableText"/>
            </w:pPr>
            <w:r>
              <w:t>Selective reporting</w:t>
            </w:r>
          </w:p>
        </w:tc>
        <w:tc>
          <w:tcPr>
            <w:tcW w:type="dxa" w:w="7200"/>
            <w:vAlign w:val="top"/>
            <w:tcMar>
              <w:top w:w="80" w:type="dxa"/>
              <w:start w:w="100" w:type="dxa"/>
              <w:bottom w:w="80" w:type="dxa"/>
              <w:end w:w="100" w:type="dxa"/>
            </w:tcMar>
          </w:tcPr>
          <w:p>
            <w:pPr>
              <w:pStyle w:val="TableText"/>
            </w:pPr>
            <w:r>
              <w:t>Maintain a preregistered or time-stamped protocol, recruitment log, exclusion log and complete analysis script/notebook where used.</w:t>
            </w:r>
          </w:p>
        </w:tc>
      </w:tr>
    </w:tbl>
    <w:p>
      <w:pPr>
        <w:spacing w:after="0"/>
      </w:pPr>
    </w:p>
    <w:p>
      <w:r>
        <w:rPr>
          <w:i w:val="0"/>
        </w:rPr>
        <w:t>Reporting will be checked against the COREQ 32-item checklist for qualitative interview studies and the ACM artifact principles where code or digital artefacts are shared. Version control will use a private repository during data collection; releases will exclude identifiable data and contain a tagged, read-only replication package.</w:t>
      </w:r>
    </w:p>
    <w:p>
      <w:pPr>
        <w:pStyle w:val="Heading2"/>
      </w:pPr>
      <w:r>
        <w:t>Question 5(d): Formal Reproducibility Statement (139 words)</w:t>
      </w:r>
    </w:p>
    <w:p>
      <w:r>
        <w:rPr>
          <w:i w:val="0"/>
        </w:rPr>
        <w:t>Code, instruments and non-sensitive research artefacts will be released in a versioned repository after examination, including the interview guide, document-review protocol, de-identification rules, codebook, theme definitions and analysis log. Raw audio, full transcripts and confidential WIUC-GH procurement documents will not be public because consent, employee privacy, supplier confidentiality and deductive re-identification risks prevent open release; controlled access will require institutional and ethics approval. The primary analysis will be completed on Windows 11 (64-bit) using Microsoft Word 2021 and NVivo 14; any supporting Python workflow will use Python 3.12, pandas 2.2 and JupyterLab 4.2. No stochastic model is trained, so random seeds are not applicable; any future sampling script will use seed 12841543. To replicate the principal result, a researcher should obtain equivalent approvals, apply the published purposive-sampling criteria, conduct and transcribe interviews, de-identify files, follow the six-phase coding protocol, audit negative cases, triangulate documents, and reproduce the claim-to-evidence matrix and final thematic map.</w:t>
      </w:r>
    </w:p>
    <w:p>
      <w:pPr>
        <w:pStyle w:val="Heading1"/>
      </w:pPr>
      <w:r>
        <w:t>References cited in this answer (from the supplied thesis)</w:t>
      </w:r>
    </w:p>
    <w:p>
      <w:pPr>
        <w:spacing w:after="80"/>
        <w:ind w:left="360" w:hanging="360"/>
      </w:pPr>
      <w:r>
        <w:t>Adjei-Bamfo, P., Maloreh-Nyamekye, T., &amp; Ahenkan, A. (2019). The role of e-government in sustainable public procurement in developing countries: A systematic literature review. Resources, Conservation and Recycling, 142, 189–203.</w:t>
      </w:r>
    </w:p>
    <w:p>
      <w:pPr>
        <w:spacing w:after="80"/>
        <w:ind w:left="360" w:hanging="360"/>
      </w:pPr>
      <w:r>
        <w:t>Agyemang, F. O. (2019). Procurement practices and organizational performance of private universities in Greater Accra [Unpublished M.Phil. thesis]. University of Cape Coast.</w:t>
      </w:r>
    </w:p>
    <w:p>
      <w:pPr>
        <w:spacing w:after="80"/>
        <w:ind w:left="360" w:hanging="360"/>
      </w:pPr>
      <w:r>
        <w:t>Anigbogu, U. E., &amp; Egbuta, O. U. (2021). E-procurement adoption in developing economies: Challenges and prospects. International Journal of Academic Research in Business and Social Sciences, 11(4), 375–390.</w:t>
      </w:r>
    </w:p>
    <w:p>
      <w:pPr>
        <w:spacing w:after="80"/>
        <w:ind w:left="360" w:hanging="360"/>
      </w:pPr>
      <w:r>
        <w:t>Awuah, G., Anane, A., &amp; Egyir, S. A. K. (2022). The effect of procurement process on procurement performance of public tertiary institutions in Ghana. World Journal of Advanced Research and Reviews, 13(2), 121–130.</w:t>
      </w:r>
    </w:p>
    <w:p>
      <w:pPr>
        <w:spacing w:after="80"/>
        <w:ind w:left="360" w:hanging="360"/>
      </w:pPr>
      <w:r>
        <w:t>Braun, V., &amp; Clarke, V. (2006). Using thematic analysis in psychology. Qualitative Research in Psychology, 3(2), 77–101.</w:t>
      </w:r>
    </w:p>
    <w:p>
      <w:pPr>
        <w:spacing w:after="80"/>
        <w:ind w:left="360" w:hanging="360"/>
      </w:pPr>
      <w:r>
        <w:t>Creswell, J. W., &amp; Poth, C. N. (2018). Qualitative inquiry and research design (4th ed.). Sage.</w:t>
      </w:r>
    </w:p>
    <w:p>
      <w:pPr>
        <w:spacing w:after="80"/>
        <w:ind w:left="360" w:hanging="360"/>
      </w:pPr>
      <w:r>
        <w:t>Denzin, N. K., &amp; Lincoln, Y. S. (Eds.). (2018). The Sage handbook of qualitative research (5th ed.). Sage.</w:t>
      </w:r>
    </w:p>
    <w:p>
      <w:pPr>
        <w:spacing w:after="80"/>
        <w:ind w:left="360" w:hanging="360"/>
      </w:pPr>
      <w:r>
        <w:t>Gilbert, T., &amp; Celestin, M. (2025). Challenges and opportunities of implementing e-procurement in public institutions: A comparative study of COMESA countries. International Journal of Engineering Research and Modern Education, 10(1), 26–36.</w:t>
      </w:r>
    </w:p>
    <w:p>
      <w:pPr>
        <w:spacing w:after="80"/>
        <w:ind w:left="360" w:hanging="360"/>
      </w:pPr>
      <w:r>
        <w:t>Guest, G., Bunce, A., &amp; Johnson, L. (2006). How many interviews are enough? Field Methods, 18(1), 59–82.</w:t>
      </w:r>
    </w:p>
    <w:p>
      <w:pPr>
        <w:spacing w:after="80"/>
        <w:ind w:left="360" w:hanging="360"/>
      </w:pPr>
      <w:r>
        <w:t>Kallio, H., Pietila, A. M., Johnson, M., &amp; Kangasniemi, M. (2016). Developing a framework for a qualitative semi-structured interview guide. Journal of Advanced Nursing, 72(12), 2954–2965.</w:t>
      </w:r>
    </w:p>
    <w:p>
      <w:pPr>
        <w:spacing w:after="80"/>
        <w:ind w:left="360" w:hanging="360"/>
      </w:pPr>
      <w:r>
        <w:t>Koomson, E. S. B., Arhin, E. T., Paliszkiewicz, J., &amp; Pietrzak, P. (2025). Statistical analysis of the impact of e-procurement practices and technological capability on innovation and organizational performance: Evidence from Ghana. African Journal of Empirical Research, 6(4), 1037–1047.</w:t>
      </w:r>
    </w:p>
    <w:p>
      <w:pPr>
        <w:spacing w:after="80"/>
        <w:ind w:left="360" w:hanging="360"/>
      </w:pPr>
      <w:r>
        <w:t>Lincoln, Y. S., &amp; Guba, E. G. (1985). Naturalistic inquiry. Sage.</w:t>
      </w:r>
    </w:p>
    <w:p>
      <w:pPr>
        <w:spacing w:after="80"/>
        <w:ind w:left="360" w:hanging="360"/>
      </w:pPr>
      <w:r>
        <w:t>Mhlongo, P., Dlamini, W., &amp; Zondo, R. (2022). E-procurement systems in emerging economies: A systematic review of components and adoption factors. Journal of Transport and Supply Chain Management, 16, a729.</w:t>
      </w:r>
    </w:p>
    <w:p>
      <w:pPr>
        <w:spacing w:after="80"/>
        <w:ind w:left="360" w:hanging="360"/>
      </w:pPr>
      <w:r>
        <w:t>Ng’ang’a, M. W., &amp; Osoro, A. (2025). Electronic procurement practices and performance of private universities in Nairobi City County, Kenya. International Journal of Social Sciences Management and Entrepreneurship, 9(1), 402–416.</w:t>
      </w:r>
    </w:p>
    <w:p>
      <w:pPr>
        <w:spacing w:after="80"/>
        <w:ind w:left="360" w:hanging="360"/>
      </w:pPr>
      <w:r>
        <w:t>Nimako-Boateng, A. (2025). Adoption of e-procurement and its effects on firm performance in Ghana’s construction sector. International Journal of Developing Country Studies, 7, 19–35.</w:t>
      </w:r>
    </w:p>
    <w:p>
      <w:pPr>
        <w:spacing w:after="80"/>
        <w:ind w:left="360" w:hanging="360"/>
      </w:pPr>
      <w:r>
        <w:t>Ofori, D., &amp; Fuseini, O. I. (2020). Electronic government procurement adoption in Ghana: Critical success factors. Advances in Research, 21(3), 18–34.</w:t>
      </w:r>
    </w:p>
    <w:p>
      <w:pPr>
        <w:spacing w:after="80"/>
        <w:ind w:left="360" w:hanging="360"/>
      </w:pPr>
      <w:r>
        <w:t>Owusu, A. (2025). E-procurement and organizational performance in developing economies: Evidence from Ghanaian firms. Journal of Digital Commerce and Management, 3(1), 45–62.</w:t>
      </w:r>
    </w:p>
    <w:p>
      <w:pPr>
        <w:spacing w:after="80"/>
        <w:ind w:left="360" w:hanging="360"/>
      </w:pPr>
      <w:r>
        <w:t>Owusu, A., &amp; Asante, K. (2019). Challenges of e-procurement adoption in the Ghanaian private sector: A multi-case analysis. International Journal of Procurement Management, 12(5), 601–620.</w:t>
      </w:r>
    </w:p>
    <w:p>
      <w:pPr>
        <w:spacing w:after="80"/>
        <w:ind w:left="360" w:hanging="360"/>
      </w:pPr>
      <w:r>
        <w:t>Patton, M. Q. (2015). Qualitative research &amp; evaluation methods (4th ed.). Sage.</w:t>
      </w:r>
    </w:p>
    <w:p>
      <w:pPr>
        <w:spacing w:after="80"/>
        <w:ind w:left="360" w:hanging="360"/>
      </w:pPr>
      <w:r>
        <w:t>Salifu, Z. N., Nangpiire, C., Dawdi, A., &amp; Yussif, F. (2023). Assessing the extent of electronic procurement adoption challenges in the public sector of Ghana. International Journal of Economics and Financial Issues, 13(2), 72–78.</w:t>
      </w:r>
    </w:p>
    <w:p>
      <w:pPr>
        <w:spacing w:after="80"/>
        <w:ind w:left="360" w:hanging="360"/>
      </w:pPr>
      <w:r>
        <w:t>Saunders, M., Lewis, P., &amp; Thornhill, A. (2019). Research methods for business students (8th ed.). Pearson.</w:t>
      </w:r>
    </w:p>
    <w:p>
      <w:pPr>
        <w:spacing w:after="80"/>
        <w:ind w:left="360" w:hanging="360"/>
      </w:pPr>
      <w:r>
        <w:t>Thai, K. V., &amp; Tran, G. (2015). E-procurement in developing countries: Performance and challenges. Journal of Public Procurement, 15(3), 335–365.</w:t>
      </w:r>
    </w:p>
    <w:p>
      <w:pPr>
        <w:spacing w:after="80"/>
        <w:ind w:left="360" w:hanging="360"/>
      </w:pPr>
      <w:r>
        <w:t>Yin, R. K. (2018). Case study research and applications (6th ed.). Sage.</w:t>
      </w:r>
    </w:p>
    <w:p>
      <w:pPr>
        <w:pStyle w:val="Heading1"/>
      </w:pPr>
      <w:r>
        <w:t>Final verification checklist before submission</w:t>
      </w:r>
    </w:p>
    <w:p>
      <w:pPr>
        <w:pStyle w:val="ListBullet"/>
      </w:pPr>
      <w:r>
        <w:t>Correct the thesis abstract so it matches the qualitative case-study methodology and thematic findings, or revise the entire methods/results chapters if mixed methods were actually conducted.</w:t>
      </w:r>
    </w:p>
    <w:p>
      <w:pPr>
        <w:pStyle w:val="ListBullet"/>
      </w:pPr>
      <w:r>
        <w:t>Personally retrieve and read every paper used; verify authors, titles, journal details, peer-review status and publication year. Remove any source that cannot be verified.</w:t>
      </w:r>
    </w:p>
    <w:p>
      <w:pPr>
        <w:pStyle w:val="ListBullet"/>
      </w:pPr>
      <w:r>
        <w:t>Run the stated database searches, record dates and counts, deduplicate results, and replace the provisional PRISMA status table with actual numbers and exclusion reasons.</w:t>
      </w:r>
    </w:p>
    <w:p>
      <w:pPr>
        <w:pStyle w:val="ListBullet"/>
      </w:pPr>
      <w:r>
        <w:t>Meet the examination requirement of at least 25 peer-reviewed articles, including at least 15 published from 2020–2025. The supplied thesis bibliography alone does not safely demonstrate that requirement.</w:t>
      </w:r>
    </w:p>
    <w:p>
      <w:pPr>
        <w:pStyle w:val="ListBullet"/>
      </w:pPr>
      <w:r>
        <w:t>Replace the proposed software/hardware details in the Reproducibility Statement with the exact environment actually used.</w:t>
      </w:r>
    </w:p>
    <w:p>
      <w:pPr>
        <w:pStyle w:val="ListBullet"/>
      </w:pPr>
      <w:r>
        <w:t>Review the wording in your own academic voice and ensure every claim can be defended orally from the thesis data and papers read.</w:t>
      </w:r>
    </w:p>
    <w:sectPr w:rsidR="00FC693F" w:rsidRPr="0006063C" w:rsidSect="00034616">
      <w:headerReference w:type="default" r:id="rId9"/>
      <w:footerReference w:type="default" r:id="rId10"/>
      <w:pgSz w:w="11909" w:h="16834"/>
      <w:pgMar w:top="1224" w:right="1296" w:bottom="1224"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646464"/>
        <w:sz w:val="16"/>
      </w:rPr>
      <w:t xml:space="preserve">Abigail Ofori  |  Wisconsin International University College, Ghana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Times New Roman" w:hAnsi="Times New Roman"/>
        <w:color w:val="646464"/>
        <w:sz w:val="16"/>
      </w:rPr>
      <w:t>WMI601 TERM PAPER | THESIS-GROUNDED DRAFT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Theme="majorHAnsi" w:eastAsiaTheme="majorEastAsia" w:hAnsiTheme="majorHAnsi" w:cstheme="majorBidi" w:ascii="Times New Roman" w:hAnsi="Times New Roman"/>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Times New Roman" w:hAnsi="Times New Roman"/>
      <w:b/>
      <w:bCs/>
      <w:color w:val="244A73"/>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Times New Roman" w:hAnsi="Times New Roman"/>
      <w:b/>
      <w:bCs/>
      <w:color w:val="244A7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40"/>
      <w:contextualSpacing/>
    </w:pPr>
    <w:rPr>
      <w:rFonts w:asciiTheme="majorHAnsi" w:eastAsiaTheme="majorEastAsia" w:hAnsiTheme="majorHAnsi" w:cstheme="majorBidi" w:ascii="Times New Roman" w:hAnsi="Times New Roman"/>
      <w:color w:val="17365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40" w:after="120"/>
    </w:pPr>
    <w:rPr>
      <w:rFonts w:asciiTheme="majorHAnsi" w:eastAsiaTheme="majorEastAsia" w:hAnsiTheme="majorHAnsi" w:cstheme="majorBidi" w:ascii="Times New Roman" w:hAnsi="Times New Roman"/>
      <w:i/>
      <w:iCs/>
      <w:color w:val="555555"/>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 Text"/>
    <w:pPr>
      <w:spacing w:after="40" w:line="240" w:lineRule="auto"/>
    </w:pPr>
    <w:rPr>
      <w:rFonts w:ascii="Times New Roman" w:hAnsi="Times New Roman"/>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