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09272"/>
        <w:docPartObj>
          <w:docPartGallery w:val="Cover Pages"/>
          <w:docPartUnique/>
        </w:docPartObj>
      </w:sdtPr>
      <w:sdtEndPr>
        <w:rPr>
          <w:rFonts w:ascii="Times New Roman" w:hAnsi="Times New Roman" w:cs="Times New Roman"/>
          <w:b/>
          <w:bCs/>
        </w:rPr>
      </w:sdtEndPr>
      <w:sdtContent>
        <w:p w14:paraId="21BB84A1" w14:textId="5179C6F2" w:rsidR="0099078C" w:rsidRDefault="0099078C"/>
        <w:p w14:paraId="1A0B899C" w14:textId="61DB2435" w:rsidR="0099078C" w:rsidRPr="0099078C" w:rsidRDefault="0099078C" w:rsidP="0099078C">
          <w:pPr>
            <w:rPr>
              <w:rFonts w:ascii="Times New Roman" w:hAnsi="Times New Roman" w:cs="Times New Roman"/>
              <w:b/>
              <w:bCs/>
            </w:rPr>
          </w:pPr>
          <w:r w:rsidRPr="0099078C">
            <w:rPr>
              <w:rFonts w:ascii="Times New Roman" w:hAnsi="Times New Roman" w:cs="Times New Roman"/>
              <w:b/>
              <w:bCs/>
            </w:rPr>
            <w:t>Student name:</w:t>
          </w:r>
          <w:r>
            <w:rPr>
              <w:rFonts w:ascii="Times New Roman" w:hAnsi="Times New Roman" w:cs="Times New Roman"/>
              <w:b/>
              <w:bCs/>
            </w:rPr>
            <w:t xml:space="preserve"> Gheorghe Silaghi</w:t>
          </w:r>
          <w:r w:rsidRPr="0099078C">
            <w:rPr>
              <w:rFonts w:ascii="Times New Roman" w:hAnsi="Times New Roman" w:cs="Times New Roman"/>
              <w:b/>
              <w:bCs/>
            </w:rPr>
            <w:tab/>
            <w:t xml:space="preserve">     </w:t>
          </w:r>
        </w:p>
        <w:p w14:paraId="47AAF638" w14:textId="6437497C" w:rsidR="0099078C" w:rsidRPr="0099078C" w:rsidRDefault="0099078C" w:rsidP="0099078C">
          <w:pPr>
            <w:rPr>
              <w:rFonts w:ascii="Times New Roman" w:hAnsi="Times New Roman" w:cs="Times New Roman"/>
              <w:b/>
              <w:bCs/>
            </w:rPr>
          </w:pPr>
          <w:r w:rsidRPr="0099078C">
            <w:rPr>
              <w:rFonts w:ascii="Times New Roman" w:hAnsi="Times New Roman" w:cs="Times New Roman"/>
              <w:b/>
              <w:bCs/>
            </w:rPr>
            <w:t>Programme:</w:t>
          </w:r>
          <w:r w:rsidRPr="0099078C">
            <w:rPr>
              <w:rFonts w:ascii="Times New Roman" w:hAnsi="Times New Roman" w:cs="Times New Roman"/>
              <w:b/>
              <w:bCs/>
            </w:rPr>
            <w:tab/>
            <w:t xml:space="preserve">BA Business and Management </w:t>
          </w:r>
        </w:p>
        <w:p w14:paraId="04B4A64D" w14:textId="592E6721" w:rsidR="0099078C" w:rsidRPr="0099078C" w:rsidRDefault="0099078C" w:rsidP="0099078C">
          <w:pPr>
            <w:rPr>
              <w:rFonts w:ascii="Times New Roman" w:hAnsi="Times New Roman" w:cs="Times New Roman"/>
              <w:b/>
              <w:bCs/>
            </w:rPr>
          </w:pPr>
          <w:r w:rsidRPr="0099078C">
            <w:rPr>
              <w:rFonts w:ascii="Times New Roman" w:hAnsi="Times New Roman" w:cs="Times New Roman"/>
              <w:b/>
              <w:bCs/>
            </w:rPr>
            <w:t>Module:</w:t>
          </w:r>
          <w:r>
            <w:rPr>
              <w:rFonts w:ascii="Times New Roman" w:hAnsi="Times New Roman" w:cs="Times New Roman"/>
              <w:b/>
              <w:bCs/>
            </w:rPr>
            <w:t xml:space="preserve"> </w:t>
          </w:r>
          <w:r w:rsidRPr="0099078C">
            <w:rPr>
              <w:rFonts w:ascii="Times New Roman" w:hAnsi="Times New Roman" w:cs="Times New Roman"/>
              <w:b/>
              <w:bCs/>
            </w:rPr>
            <w:t>Learning and Collaboration for Global Citizenship</w:t>
          </w:r>
        </w:p>
        <w:p w14:paraId="48793678" w14:textId="77777777" w:rsidR="0099078C" w:rsidRDefault="0099078C" w:rsidP="0099078C">
          <w:pPr>
            <w:rPr>
              <w:rFonts w:ascii="Times New Roman" w:hAnsi="Times New Roman" w:cs="Times New Roman"/>
              <w:b/>
              <w:bCs/>
            </w:rPr>
          </w:pPr>
          <w:r w:rsidRPr="0099078C">
            <w:rPr>
              <w:rFonts w:ascii="Times New Roman" w:hAnsi="Times New Roman" w:cs="Times New Roman"/>
              <w:b/>
              <w:bCs/>
            </w:rPr>
            <w:t>Module code:</w:t>
          </w:r>
          <w:r w:rsidRPr="0099078C">
            <w:rPr>
              <w:rFonts w:ascii="Times New Roman" w:hAnsi="Times New Roman" w:cs="Times New Roman"/>
              <w:b/>
              <w:bCs/>
            </w:rPr>
            <w:tab/>
            <w:t>BMSP4015D</w:t>
          </w:r>
        </w:p>
        <w:p w14:paraId="35D30830" w14:textId="77777777" w:rsidR="0099078C" w:rsidRDefault="0099078C" w:rsidP="0099078C">
          <w:pPr>
            <w:rPr>
              <w:rFonts w:ascii="Times New Roman" w:hAnsi="Times New Roman" w:cs="Times New Roman"/>
              <w:b/>
              <w:bCs/>
            </w:rPr>
          </w:pPr>
        </w:p>
        <w:p w14:paraId="724A4015" w14:textId="77777777" w:rsidR="0099078C" w:rsidRDefault="0099078C" w:rsidP="0099078C">
          <w:pPr>
            <w:rPr>
              <w:rFonts w:ascii="Times New Roman" w:hAnsi="Times New Roman" w:cs="Times New Roman"/>
              <w:b/>
              <w:bCs/>
            </w:rPr>
          </w:pPr>
        </w:p>
        <w:p w14:paraId="23146E21" w14:textId="77777777" w:rsidR="0099078C" w:rsidRDefault="0099078C" w:rsidP="0099078C">
          <w:pPr>
            <w:rPr>
              <w:rFonts w:ascii="Times New Roman" w:hAnsi="Times New Roman" w:cs="Times New Roman"/>
              <w:b/>
              <w:bCs/>
            </w:rPr>
          </w:pPr>
        </w:p>
        <w:p w14:paraId="42400AA7" w14:textId="77777777" w:rsidR="0099078C" w:rsidRDefault="0099078C" w:rsidP="0099078C">
          <w:pPr>
            <w:rPr>
              <w:rFonts w:ascii="Times New Roman" w:hAnsi="Times New Roman" w:cs="Times New Roman"/>
              <w:b/>
              <w:bCs/>
            </w:rPr>
          </w:pPr>
        </w:p>
        <w:p w14:paraId="56BE7E90" w14:textId="77777777" w:rsidR="0099078C" w:rsidRDefault="0099078C" w:rsidP="0099078C">
          <w:pPr>
            <w:rPr>
              <w:rFonts w:ascii="Times New Roman" w:hAnsi="Times New Roman" w:cs="Times New Roman"/>
              <w:b/>
              <w:bCs/>
            </w:rPr>
          </w:pPr>
        </w:p>
        <w:p w14:paraId="57370308" w14:textId="77777777" w:rsidR="0099078C" w:rsidRDefault="0099078C" w:rsidP="0099078C">
          <w:pPr>
            <w:rPr>
              <w:rFonts w:ascii="Times New Roman" w:hAnsi="Times New Roman" w:cs="Times New Roman"/>
              <w:b/>
              <w:bCs/>
            </w:rPr>
          </w:pPr>
        </w:p>
        <w:p w14:paraId="5BEF6B7A" w14:textId="77777777" w:rsidR="0099078C" w:rsidRDefault="0099078C" w:rsidP="0099078C">
          <w:pPr>
            <w:rPr>
              <w:rFonts w:ascii="Times New Roman" w:hAnsi="Times New Roman" w:cs="Times New Roman"/>
              <w:b/>
              <w:bCs/>
            </w:rPr>
          </w:pPr>
        </w:p>
        <w:p w14:paraId="68B78131" w14:textId="76376261" w:rsidR="0099078C" w:rsidRDefault="0099078C" w:rsidP="0099078C">
          <w:pPr>
            <w:jc w:val="center"/>
            <w:rPr>
              <w:rFonts w:ascii="Times New Roman" w:hAnsi="Times New Roman" w:cs="Times New Roman"/>
              <w:b/>
              <w:bCs/>
            </w:rPr>
          </w:pPr>
          <w:r w:rsidRPr="0099078C">
            <w:rPr>
              <w:rFonts w:ascii="Times New Roman" w:hAnsi="Times New Roman" w:cs="Times New Roman"/>
              <w:b/>
              <w:bCs/>
              <w:sz w:val="56"/>
              <w:szCs w:val="56"/>
              <w:u w:val="single"/>
            </w:rPr>
            <w:t>ASSIGNMENT 2: PORTFOLIO</w:t>
          </w:r>
          <w:r>
            <w:rPr>
              <w:rFonts w:ascii="Times New Roman" w:hAnsi="Times New Roman" w:cs="Times New Roman"/>
              <w:b/>
              <w:bCs/>
            </w:rPr>
            <w:t xml:space="preserve"> </w:t>
          </w:r>
          <w:r>
            <w:rPr>
              <w:rFonts w:ascii="Times New Roman" w:hAnsi="Times New Roman" w:cs="Times New Roman"/>
              <w:b/>
              <w:bCs/>
            </w:rPr>
            <w:br w:type="page"/>
          </w:r>
        </w:p>
      </w:sdtContent>
    </w:sdt>
    <w:p w14:paraId="7C8931BC" w14:textId="29FCF7B4" w:rsidR="003C605A" w:rsidRPr="003C605A" w:rsidRDefault="003C605A" w:rsidP="003C605A">
      <w:pPr>
        <w:spacing w:line="480" w:lineRule="auto"/>
        <w:rPr>
          <w:rFonts w:ascii="Times New Roman" w:hAnsi="Times New Roman" w:cs="Times New Roman"/>
          <w:b/>
          <w:bCs/>
        </w:rPr>
      </w:pPr>
      <w:r w:rsidRPr="003C605A">
        <w:rPr>
          <w:rFonts w:ascii="Times New Roman" w:hAnsi="Times New Roman" w:cs="Times New Roman"/>
          <w:b/>
          <w:bCs/>
        </w:rPr>
        <w:lastRenderedPageBreak/>
        <w:t xml:space="preserve">Task 1: </w:t>
      </w:r>
      <w:r w:rsidRPr="003C605A">
        <w:rPr>
          <w:rFonts w:ascii="Times New Roman" w:hAnsi="Times New Roman" w:cs="Times New Roman"/>
          <w:b/>
          <w:bCs/>
        </w:rPr>
        <w:t xml:space="preserve">Learning Objectives </w:t>
      </w:r>
    </w:p>
    <w:p w14:paraId="70A76B12" w14:textId="77777777" w:rsidR="003C605A" w:rsidRPr="0099078C" w:rsidRDefault="003C605A" w:rsidP="0099078C">
      <w:pPr>
        <w:pStyle w:val="ListParagraph"/>
        <w:numPr>
          <w:ilvl w:val="0"/>
          <w:numId w:val="1"/>
        </w:numPr>
        <w:spacing w:line="480" w:lineRule="auto"/>
        <w:rPr>
          <w:rFonts w:ascii="Times New Roman" w:hAnsi="Times New Roman" w:cs="Times New Roman"/>
        </w:rPr>
      </w:pPr>
      <w:r w:rsidRPr="0099078C">
        <w:rPr>
          <w:rFonts w:ascii="Times New Roman" w:hAnsi="Times New Roman" w:cs="Times New Roman"/>
        </w:rPr>
        <w:t>The first objective I have set for myself is to become a stronger academic writer. Writing at the university level requires a clear understanding of the content, the ability to think critically and express a well-reasoned argument in writing. Alonso, López, Manrique and Vi</w:t>
      </w:r>
      <w:r w:rsidRPr="0099078C">
        <w:rPr>
          <w:rFonts w:ascii="Times New Roman" w:hAnsi="Times New Roman" w:cs="Times New Roman"/>
        </w:rPr>
        <w:t>n</w:t>
      </w:r>
      <w:r w:rsidRPr="0099078C">
        <w:rPr>
          <w:rFonts w:ascii="Times New Roman" w:hAnsi="Times New Roman" w:cs="Times New Roman"/>
        </w:rPr>
        <w:t>es (2008) explained how learning activities designed around well-defined learning objectives help students develop higher levels of perception and organisation of knowledge (as outlined in Meyer &amp; Turner, 2005) to enable students to develop well-organised and persuasive academic arguments. During my academic career, I have discovered that, while writing is one form of expression, it is more than just the expression itself; it requires the student to critically interpret information and synthesise their ideas and to express those ideas with clarity of thought. I will develop my writing skills through continued engagement in structured writing exercises (structured writing), receiving feedback on my writing, and analysing examples of academic writing that reflect quality and clarity. As noted by Mitchell and Manzo (2018), a student’s understanding of the purpose of the learning objectives fosters a more profound understanding of writing as a contributor to intellectual growth.</w:t>
      </w:r>
    </w:p>
    <w:p w14:paraId="72AF327F" w14:textId="77777777" w:rsidR="003C605A" w:rsidRPr="0099078C" w:rsidRDefault="003C605A" w:rsidP="0099078C">
      <w:pPr>
        <w:pStyle w:val="ListParagraph"/>
        <w:numPr>
          <w:ilvl w:val="0"/>
          <w:numId w:val="1"/>
        </w:numPr>
        <w:spacing w:line="480" w:lineRule="auto"/>
        <w:rPr>
          <w:rFonts w:ascii="Times New Roman" w:hAnsi="Times New Roman" w:cs="Times New Roman"/>
        </w:rPr>
      </w:pPr>
      <w:r w:rsidRPr="0099078C">
        <w:rPr>
          <w:rFonts w:ascii="Times New Roman" w:hAnsi="Times New Roman" w:cs="Times New Roman"/>
        </w:rPr>
        <w:t xml:space="preserve">The second objective I have set for myself is to develop the digital independence necessary to be an effective student </w:t>
      </w:r>
      <w:r w:rsidRPr="0099078C">
        <w:rPr>
          <w:rFonts w:ascii="Times New Roman" w:hAnsi="Times New Roman" w:cs="Times New Roman"/>
        </w:rPr>
        <w:t>using</w:t>
      </w:r>
      <w:r w:rsidRPr="0099078C">
        <w:rPr>
          <w:rFonts w:ascii="Times New Roman" w:hAnsi="Times New Roman" w:cs="Times New Roman"/>
        </w:rPr>
        <w:t xml:space="preserve"> personalised learning </w:t>
      </w:r>
      <w:r w:rsidRPr="0099078C">
        <w:rPr>
          <w:rFonts w:ascii="Times New Roman" w:hAnsi="Times New Roman" w:cs="Times New Roman"/>
        </w:rPr>
        <w:t>tools. In</w:t>
      </w:r>
      <w:r w:rsidRPr="0099078C">
        <w:rPr>
          <w:rFonts w:ascii="Times New Roman" w:hAnsi="Times New Roman" w:cs="Times New Roman"/>
        </w:rPr>
        <w:t xml:space="preserve"> today's world, higher education is relying more on digital technology to deliver learning. To succeed in such environments, we must also be able to work independently within them, so that we can progress. According to Martindale &amp; Dowdy (2010), students can use PLEs to have control over their education so that they can choose the tools they want to use, in whatever combination is best for achieving their goals. Valtonen et al. (2012) state that by using PLEs, students become more digitali</w:t>
      </w:r>
      <w:r w:rsidRPr="0099078C">
        <w:rPr>
          <w:rFonts w:ascii="Times New Roman" w:hAnsi="Times New Roman" w:cs="Times New Roman"/>
        </w:rPr>
        <w:t>s</w:t>
      </w:r>
      <w:r w:rsidRPr="0099078C">
        <w:rPr>
          <w:rFonts w:ascii="Times New Roman" w:hAnsi="Times New Roman" w:cs="Times New Roman"/>
        </w:rPr>
        <w:t xml:space="preserve">ed, thus improving their motivation to learn and be engaged in the process. Therefore, I also </w:t>
      </w:r>
      <w:r w:rsidRPr="0099078C">
        <w:rPr>
          <w:rFonts w:ascii="Times New Roman" w:hAnsi="Times New Roman" w:cs="Times New Roman"/>
        </w:rPr>
        <w:lastRenderedPageBreak/>
        <w:t>plan on creating my own learning ecosystem by organi</w:t>
      </w:r>
      <w:r w:rsidRPr="0099078C">
        <w:rPr>
          <w:rFonts w:ascii="Times New Roman" w:hAnsi="Times New Roman" w:cs="Times New Roman"/>
        </w:rPr>
        <w:t>s</w:t>
      </w:r>
      <w:r w:rsidRPr="0099078C">
        <w:rPr>
          <w:rFonts w:ascii="Times New Roman" w:hAnsi="Times New Roman" w:cs="Times New Roman"/>
        </w:rPr>
        <w:t>ing digital resources, utili</w:t>
      </w:r>
      <w:r w:rsidRPr="0099078C">
        <w:rPr>
          <w:rFonts w:ascii="Times New Roman" w:hAnsi="Times New Roman" w:cs="Times New Roman"/>
        </w:rPr>
        <w:t>s</w:t>
      </w:r>
      <w:r w:rsidRPr="0099078C">
        <w:rPr>
          <w:rFonts w:ascii="Times New Roman" w:hAnsi="Times New Roman" w:cs="Times New Roman"/>
        </w:rPr>
        <w:t>ing dashboards to visualize my learning, and incorporating reflective tools so that I can monitor my progress and maximi</w:t>
      </w:r>
      <w:r w:rsidRPr="0099078C">
        <w:rPr>
          <w:rFonts w:ascii="Times New Roman" w:hAnsi="Times New Roman" w:cs="Times New Roman"/>
        </w:rPr>
        <w:t>s</w:t>
      </w:r>
      <w:r w:rsidRPr="0099078C">
        <w:rPr>
          <w:rFonts w:ascii="Times New Roman" w:hAnsi="Times New Roman" w:cs="Times New Roman"/>
        </w:rPr>
        <w:t>e my learning. Not only will I be able to utili</w:t>
      </w:r>
      <w:r w:rsidRPr="0099078C">
        <w:rPr>
          <w:rFonts w:ascii="Times New Roman" w:hAnsi="Times New Roman" w:cs="Times New Roman"/>
        </w:rPr>
        <w:t>s</w:t>
      </w:r>
      <w:r w:rsidRPr="0099078C">
        <w:rPr>
          <w:rFonts w:ascii="Times New Roman" w:hAnsi="Times New Roman" w:cs="Times New Roman"/>
        </w:rPr>
        <w:t>e my digital autonomy for my educational pursuits, but it will provide me with the necessary skills to function efficiently and effectively in an ever-changing, technologically driven professional world.</w:t>
      </w:r>
    </w:p>
    <w:p w14:paraId="6C4BEBC2" w14:textId="1435E1F4" w:rsidR="003C605A" w:rsidRPr="0099078C" w:rsidRDefault="003C605A" w:rsidP="0099078C">
      <w:pPr>
        <w:pStyle w:val="ListParagraph"/>
        <w:numPr>
          <w:ilvl w:val="0"/>
          <w:numId w:val="1"/>
        </w:numPr>
        <w:spacing w:line="480" w:lineRule="auto"/>
        <w:rPr>
          <w:rFonts w:ascii="Times New Roman" w:hAnsi="Times New Roman" w:cs="Times New Roman"/>
        </w:rPr>
      </w:pPr>
      <w:r w:rsidRPr="0099078C">
        <w:rPr>
          <w:rFonts w:ascii="Times New Roman" w:hAnsi="Times New Roman" w:cs="Times New Roman"/>
        </w:rPr>
        <w:t xml:space="preserve">The third objective that I have set for myself is to further develop my understanding of intercultural competence. Through </w:t>
      </w:r>
      <w:r w:rsidRPr="0099078C">
        <w:rPr>
          <w:rFonts w:ascii="Times New Roman" w:hAnsi="Times New Roman" w:cs="Times New Roman"/>
        </w:rPr>
        <w:t>g</w:t>
      </w:r>
      <w:r w:rsidRPr="0099078C">
        <w:rPr>
          <w:rFonts w:ascii="Times New Roman" w:hAnsi="Times New Roman" w:cs="Times New Roman"/>
        </w:rPr>
        <w:t>lobalisation, education promotes the exchange of culture, tradition, values, and beliefs between countries, thus allowing for the creation of cultural understandings. Wimpenny et al. (2024), in their research, explain that COIL (Collaborative Online International Learning) promotes global citizenship through the development of student understanding of cultural differences via international collaboration. he three objectives of academic writing, digital autonomy, and intercultural competence have been selected because I consider these skills to be essential for both achieving in academia and being employable.</w:t>
      </w:r>
    </w:p>
    <w:p w14:paraId="6FF51841" w14:textId="77777777" w:rsidR="003C605A" w:rsidRPr="0099078C" w:rsidRDefault="003C605A" w:rsidP="003C605A">
      <w:pPr>
        <w:spacing w:line="480" w:lineRule="auto"/>
        <w:rPr>
          <w:rFonts w:ascii="Times New Roman" w:hAnsi="Times New Roman" w:cs="Times New Roman"/>
          <w:b/>
          <w:bCs/>
        </w:rPr>
      </w:pPr>
      <w:r w:rsidRPr="0099078C">
        <w:rPr>
          <w:rFonts w:ascii="Times New Roman" w:hAnsi="Times New Roman" w:cs="Times New Roman"/>
          <w:b/>
          <w:bCs/>
        </w:rPr>
        <w:t>T</w:t>
      </w:r>
      <w:r w:rsidRPr="0099078C">
        <w:rPr>
          <w:rFonts w:ascii="Times New Roman" w:hAnsi="Times New Roman" w:cs="Times New Roman"/>
          <w:b/>
          <w:bCs/>
        </w:rPr>
        <w:t xml:space="preserve">ask 2: </w:t>
      </w:r>
      <w:r w:rsidRPr="0099078C">
        <w:rPr>
          <w:rFonts w:ascii="Times New Roman" w:hAnsi="Times New Roman" w:cs="Times New Roman"/>
          <w:b/>
          <w:bCs/>
        </w:rPr>
        <w:t>B</w:t>
      </w:r>
      <w:r w:rsidRPr="0099078C">
        <w:rPr>
          <w:rFonts w:ascii="Times New Roman" w:hAnsi="Times New Roman" w:cs="Times New Roman"/>
          <w:b/>
          <w:bCs/>
        </w:rPr>
        <w:t xml:space="preserve">log post 1 </w:t>
      </w:r>
    </w:p>
    <w:p w14:paraId="7881C0C6" w14:textId="4F091B69" w:rsidR="003C605A" w:rsidRPr="003C605A" w:rsidRDefault="003C605A" w:rsidP="003C605A">
      <w:pPr>
        <w:spacing w:line="480" w:lineRule="auto"/>
        <w:rPr>
          <w:rFonts w:ascii="Times New Roman" w:hAnsi="Times New Roman" w:cs="Times New Roman"/>
        </w:rPr>
      </w:pPr>
      <w:r w:rsidRPr="003C605A">
        <w:rPr>
          <w:rFonts w:ascii="Times New Roman" w:hAnsi="Times New Roman" w:cs="Times New Roman"/>
        </w:rPr>
        <w:t>Understanding My Learning Style, I have taken t</w:t>
      </w:r>
      <w:r>
        <w:rPr>
          <w:rFonts w:ascii="Times New Roman" w:hAnsi="Times New Roman" w:cs="Times New Roman"/>
        </w:rPr>
        <w:t>wo</w:t>
      </w:r>
      <w:r w:rsidRPr="003C605A">
        <w:rPr>
          <w:rFonts w:ascii="Times New Roman" w:hAnsi="Times New Roman" w:cs="Times New Roman"/>
        </w:rPr>
        <w:t xml:space="preserve"> different learning style assessments: VARK </w:t>
      </w:r>
      <w:r>
        <w:rPr>
          <w:rFonts w:ascii="Times New Roman" w:hAnsi="Times New Roman" w:cs="Times New Roman"/>
        </w:rPr>
        <w:t xml:space="preserve">questionnaire </w:t>
      </w:r>
      <w:r w:rsidRPr="003C605A">
        <w:rPr>
          <w:rFonts w:ascii="Times New Roman" w:hAnsi="Times New Roman" w:cs="Times New Roman"/>
        </w:rPr>
        <w:t>and</w:t>
      </w:r>
      <w:r w:rsidRPr="003C605A">
        <w:rPr>
          <w:rFonts w:ascii="Times New Roman" w:hAnsi="Times New Roman" w:cs="Times New Roman"/>
        </w:rPr>
        <w:t xml:space="preserve"> reflection on my study habits. Together, these t</w:t>
      </w:r>
      <w:r>
        <w:rPr>
          <w:rFonts w:ascii="Times New Roman" w:hAnsi="Times New Roman" w:cs="Times New Roman"/>
        </w:rPr>
        <w:t>wo</w:t>
      </w:r>
      <w:r w:rsidRPr="003C605A">
        <w:rPr>
          <w:rFonts w:ascii="Times New Roman" w:hAnsi="Times New Roman" w:cs="Times New Roman"/>
        </w:rPr>
        <w:t xml:space="preserve"> assessments have indicated to me that out of the three assessment styles, auditory (first preference) and kinaesthetic (second preference) are the two that I have the strongest preference for. This was unexpected because I thought my preferred learning style was visual; however, upon reviewing my results, I realised that I connect more deeply with the material I learn when it is delivered verbally and through experience than with the material I learn solely through reading.</w:t>
      </w:r>
      <w:r>
        <w:rPr>
          <w:rFonts w:ascii="Times New Roman" w:hAnsi="Times New Roman" w:cs="Times New Roman"/>
        </w:rPr>
        <w:t xml:space="preserve"> </w:t>
      </w:r>
      <w:r w:rsidRPr="003C605A">
        <w:rPr>
          <w:rFonts w:ascii="Times New Roman" w:hAnsi="Times New Roman" w:cs="Times New Roman"/>
        </w:rPr>
        <w:t xml:space="preserve">In the case of auditory learners, Chislett and Chapman (2005) state that auditory learners understand information best by listening, discussing, and receiving verbal </w:t>
      </w:r>
      <w:r w:rsidRPr="003C605A">
        <w:rPr>
          <w:rFonts w:ascii="Times New Roman" w:hAnsi="Times New Roman" w:cs="Times New Roman"/>
        </w:rPr>
        <w:lastRenderedPageBreak/>
        <w:t xml:space="preserve">explanations of the information. This matches my experience, as I can usually remember things I have learned much longer when I have listened to them or when I have had discussions about the material. The results of my learning-style analysis were verified </w:t>
      </w:r>
      <w:proofErr w:type="gramStart"/>
      <w:r w:rsidRPr="003C605A">
        <w:rPr>
          <w:rFonts w:ascii="Times New Roman" w:hAnsi="Times New Roman" w:cs="Times New Roman"/>
        </w:rPr>
        <w:t>through the use of</w:t>
      </w:r>
      <w:proofErr w:type="gramEnd"/>
      <w:r w:rsidRPr="003C605A">
        <w:rPr>
          <w:rFonts w:ascii="Times New Roman" w:hAnsi="Times New Roman" w:cs="Times New Roman"/>
        </w:rPr>
        <w:t xml:space="preserve"> Gibbs's Reflective Cycle. Although I felt a level of disbelief when I first received my results because I did not consider myself as either an auditory learner or a kinaesthetic learner, my analysis of previous occurrences of my learning would finally correlate with the results of my learning-style analysis. According to Bhagat, Vyas and Singh (2015), an awareness of one's learning style facilitates intentionality in developing self-directed strategies when studying. </w:t>
      </w:r>
    </w:p>
    <w:p w14:paraId="1C69B7FE" w14:textId="12C94671" w:rsidR="003C605A" w:rsidRPr="003C605A" w:rsidRDefault="003C605A" w:rsidP="003C605A">
      <w:pPr>
        <w:spacing w:line="480" w:lineRule="auto"/>
        <w:rPr>
          <w:rFonts w:ascii="Times New Roman" w:hAnsi="Times New Roman" w:cs="Times New Roman"/>
          <w:b/>
          <w:bCs/>
        </w:rPr>
      </w:pPr>
      <w:r w:rsidRPr="003C605A">
        <w:rPr>
          <w:rFonts w:ascii="Times New Roman" w:hAnsi="Times New Roman" w:cs="Times New Roman"/>
          <w:b/>
          <w:bCs/>
        </w:rPr>
        <w:t xml:space="preserve">Task 2: </w:t>
      </w:r>
      <w:r w:rsidRPr="003C605A">
        <w:rPr>
          <w:rFonts w:ascii="Times New Roman" w:hAnsi="Times New Roman" w:cs="Times New Roman"/>
          <w:b/>
          <w:bCs/>
        </w:rPr>
        <w:t xml:space="preserve">Blog Post 2 </w:t>
      </w:r>
    </w:p>
    <w:p w14:paraId="27286556" w14:textId="166CAD5A" w:rsidR="003C605A" w:rsidRPr="003C605A"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In changing my independent learning strategy after determining my learning styles as auditory-kinaesthetic, I have implemented changes within the learning process that support my leaning preferences. My strategy is to engage with my learning from an auditory viewpoint by listening for explanations of concepts from others through discussion with other learners and tutors. Through this process, I have gained the background knowledge and context of the topic before applying the concept to practical, hands-on </w:t>
      </w:r>
      <w:r w:rsidR="00965105" w:rsidRPr="003C605A">
        <w:rPr>
          <w:rFonts w:ascii="Times New Roman" w:hAnsi="Times New Roman" w:cs="Times New Roman"/>
        </w:rPr>
        <w:t>experience. To</w:t>
      </w:r>
      <w:r w:rsidRPr="003C605A">
        <w:rPr>
          <w:rFonts w:ascii="Times New Roman" w:hAnsi="Times New Roman" w:cs="Times New Roman"/>
        </w:rPr>
        <w:t xml:space="preserve"> monitor and regulate how an individual learns, it is essential for that individual to develop an understanding of the way they learn. I use verbal rehearsal as well as reading </w:t>
      </w:r>
      <w:r w:rsidR="00965105" w:rsidRPr="003C605A">
        <w:rPr>
          <w:rFonts w:ascii="Times New Roman" w:hAnsi="Times New Roman" w:cs="Times New Roman"/>
        </w:rPr>
        <w:t>aloud and</w:t>
      </w:r>
      <w:r w:rsidRPr="003C605A">
        <w:rPr>
          <w:rFonts w:ascii="Times New Roman" w:hAnsi="Times New Roman" w:cs="Times New Roman"/>
        </w:rPr>
        <w:t xml:space="preserve"> making audio recordings of summaries of things I have learned </w:t>
      </w:r>
      <w:r w:rsidR="00965105" w:rsidRPr="003C605A">
        <w:rPr>
          <w:rFonts w:ascii="Times New Roman" w:hAnsi="Times New Roman" w:cs="Times New Roman"/>
        </w:rPr>
        <w:t>to</w:t>
      </w:r>
      <w:r w:rsidRPr="003C605A">
        <w:rPr>
          <w:rFonts w:ascii="Times New Roman" w:hAnsi="Times New Roman" w:cs="Times New Roman"/>
        </w:rPr>
        <w:t xml:space="preserve"> reinforce my understanding. The auditory methods that I employ help provide me with a better understanding of the information I have learned as well as enhance the clarity of my thoughts regarding the material I have studied</w:t>
      </w:r>
      <w:r w:rsidR="00965105">
        <w:rPr>
          <w:rFonts w:ascii="Times New Roman" w:hAnsi="Times New Roman" w:cs="Times New Roman"/>
        </w:rPr>
        <w:t xml:space="preserve">. </w:t>
      </w:r>
    </w:p>
    <w:p w14:paraId="2659834E" w14:textId="77777777" w:rsidR="00965105"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There is a benefit to each learner who reflects on what has been learned during the study session. For example, I evaluate the effectiveness of each of my study techniques and seek </w:t>
      </w:r>
      <w:r w:rsidRPr="003C605A">
        <w:rPr>
          <w:rFonts w:ascii="Times New Roman" w:hAnsi="Times New Roman" w:cs="Times New Roman"/>
        </w:rPr>
        <w:lastRenderedPageBreak/>
        <w:t xml:space="preserve">solutions to improve my own independent learning practices over time. </w:t>
      </w:r>
      <w:proofErr w:type="spellStart"/>
      <w:r w:rsidRPr="003C605A">
        <w:rPr>
          <w:rFonts w:ascii="Times New Roman" w:hAnsi="Times New Roman" w:cs="Times New Roman"/>
        </w:rPr>
        <w:t>Efklides</w:t>
      </w:r>
      <w:proofErr w:type="spellEnd"/>
      <w:r w:rsidRPr="003C605A">
        <w:rPr>
          <w:rFonts w:ascii="Times New Roman" w:hAnsi="Times New Roman" w:cs="Times New Roman"/>
        </w:rPr>
        <w:t xml:space="preserve"> (2009) further supports the idea that reflection is an important step in developing a self-regulated learner by allowing learners to adjust their strategies to increase their effectiveness toward reaching their learning </w:t>
      </w:r>
      <w:r w:rsidR="00965105" w:rsidRPr="003C605A">
        <w:rPr>
          <w:rFonts w:ascii="Times New Roman" w:hAnsi="Times New Roman" w:cs="Times New Roman"/>
        </w:rPr>
        <w:t>goals. By</w:t>
      </w:r>
      <w:r w:rsidRPr="003C605A">
        <w:rPr>
          <w:rFonts w:ascii="Times New Roman" w:hAnsi="Times New Roman" w:cs="Times New Roman"/>
        </w:rPr>
        <w:t xml:space="preserve"> modifying my learning techniques according to my preferred methods of auditory and kinetic learning, I have increased my levels of motivation, engagement and retention.  </w:t>
      </w:r>
    </w:p>
    <w:p w14:paraId="05CC14C8" w14:textId="177DC24A" w:rsidR="00965105" w:rsidRPr="00965105" w:rsidRDefault="00965105" w:rsidP="003C605A">
      <w:pPr>
        <w:spacing w:line="480" w:lineRule="auto"/>
        <w:rPr>
          <w:rFonts w:ascii="Times New Roman" w:hAnsi="Times New Roman" w:cs="Times New Roman"/>
          <w:b/>
          <w:bCs/>
        </w:rPr>
      </w:pPr>
      <w:r w:rsidRPr="00965105">
        <w:rPr>
          <w:rFonts w:ascii="Times New Roman" w:hAnsi="Times New Roman" w:cs="Times New Roman"/>
          <w:b/>
          <w:bCs/>
        </w:rPr>
        <w:t>Task 3: Plan</w:t>
      </w:r>
    </w:p>
    <w:p w14:paraId="2F1D6D44" w14:textId="16F589B2" w:rsidR="00965105" w:rsidRDefault="00965105" w:rsidP="003C605A">
      <w:pPr>
        <w:spacing w:line="480" w:lineRule="auto"/>
        <w:rPr>
          <w:rFonts w:ascii="Times New Roman" w:hAnsi="Times New Roman" w:cs="Times New Roman"/>
        </w:rPr>
      </w:pPr>
      <w:r w:rsidRPr="003C605A">
        <w:rPr>
          <w:rFonts w:ascii="Times New Roman" w:hAnsi="Times New Roman" w:cs="Times New Roman"/>
        </w:rPr>
        <w:t>To</w:t>
      </w:r>
      <w:r w:rsidR="003C605A" w:rsidRPr="003C605A">
        <w:rPr>
          <w:rFonts w:ascii="Times New Roman" w:hAnsi="Times New Roman" w:cs="Times New Roman"/>
        </w:rPr>
        <w:t xml:space="preserve"> create a basis for a strong professional identity, one must continue to build his or her own professional identities by engaging with the professional community in a deliberate manner.  A primary goal of mine is to develop a credible and professional digital identity.  LinkedIn has allowed me to accomplish this through a variety of different means.  LinkedIn allows me to show off my accomplishments, connect with other professionals and participate in global conversations about various job opportunities within my industry.  </w:t>
      </w:r>
    </w:p>
    <w:p w14:paraId="6A29A717" w14:textId="58B25807" w:rsidR="003C605A" w:rsidRPr="003C605A"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My ongoing participation in professional and academic networks is another important aspect of my professional identity development. Siemens (2007) suggests that meaningful learning occurs through connection and collaboration within a professional context.  I plan to attend university-hosted networking events as well as participate in virtual meetings.  By contacting passed professors, staying in touch with old classmates and pursuing membership in a student association, I hope to learn from </w:t>
      </w:r>
      <w:r w:rsidR="00965105" w:rsidRPr="003C605A">
        <w:rPr>
          <w:rFonts w:ascii="Times New Roman" w:hAnsi="Times New Roman" w:cs="Times New Roman"/>
        </w:rPr>
        <w:t>all</w:t>
      </w:r>
      <w:r w:rsidRPr="003C605A">
        <w:rPr>
          <w:rFonts w:ascii="Times New Roman" w:hAnsi="Times New Roman" w:cs="Times New Roman"/>
        </w:rPr>
        <w:t xml:space="preserve"> these different types of relationships to improve my skills in communication and gain access to valuable knowledge within my field.</w:t>
      </w:r>
    </w:p>
    <w:p w14:paraId="0F7BF632" w14:textId="77777777" w:rsidR="00965105"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Developing intercultural awareness is an integral component in developing my professional identity. According to Helm, Baroni and </w:t>
      </w:r>
      <w:proofErr w:type="spellStart"/>
      <w:r w:rsidRPr="003C605A">
        <w:rPr>
          <w:rFonts w:ascii="Times New Roman" w:hAnsi="Times New Roman" w:cs="Times New Roman"/>
        </w:rPr>
        <w:t>Acconcia</w:t>
      </w:r>
      <w:proofErr w:type="spellEnd"/>
      <w:r w:rsidRPr="003C605A">
        <w:rPr>
          <w:rFonts w:ascii="Times New Roman" w:hAnsi="Times New Roman" w:cs="Times New Roman"/>
        </w:rPr>
        <w:t xml:space="preserve"> (2024), a global citizen can be created through purposeful involvement in learning environments that involve working with students from diverse cultural backgrounds. Participating in activities and collaborating with students </w:t>
      </w:r>
      <w:r w:rsidRPr="003C605A">
        <w:rPr>
          <w:rFonts w:ascii="Times New Roman" w:hAnsi="Times New Roman" w:cs="Times New Roman"/>
        </w:rPr>
        <w:lastRenderedPageBreak/>
        <w:t>from various countries or cultures will enhance my ability to communicate with others of different cultures, to be adaptable to different styles of working and to successfully navigate within a globally connected world.</w:t>
      </w:r>
    </w:p>
    <w:p w14:paraId="13F0BE79" w14:textId="70B80BDC" w:rsidR="003C605A" w:rsidRPr="003C605A"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Volunteering will help to build upon my current experience in building my professional identity. Gupta (2004) discovered that individuals who volunteer develop various transferable skill sets such as teamwork, leadership and resilience. Volunteering will provide me with opportunities to develop my transferable skill set while positively impacting the community in which I live. Examples of volunteering include serving in roles such as mentoring or sustainability </w:t>
      </w:r>
      <w:r w:rsidR="00965105" w:rsidRPr="003C605A">
        <w:rPr>
          <w:rFonts w:ascii="Times New Roman" w:hAnsi="Times New Roman" w:cs="Times New Roman"/>
        </w:rPr>
        <w:t>initiatives or</w:t>
      </w:r>
      <w:r w:rsidRPr="003C605A">
        <w:rPr>
          <w:rFonts w:ascii="Times New Roman" w:hAnsi="Times New Roman" w:cs="Times New Roman"/>
        </w:rPr>
        <w:t xml:space="preserve"> working with local organi</w:t>
      </w:r>
      <w:r w:rsidR="00965105">
        <w:rPr>
          <w:rFonts w:ascii="Times New Roman" w:hAnsi="Times New Roman" w:cs="Times New Roman"/>
        </w:rPr>
        <w:t>s</w:t>
      </w:r>
      <w:r w:rsidRPr="003C605A">
        <w:rPr>
          <w:rFonts w:ascii="Times New Roman" w:hAnsi="Times New Roman" w:cs="Times New Roman"/>
        </w:rPr>
        <w:t>ations. These volunteer experiences will assist me in becoming aware of the values that I hold and develop an understanding of how these values can directly impact my professional development.</w:t>
      </w:r>
    </w:p>
    <w:p w14:paraId="3316D682" w14:textId="23DB1542" w:rsidR="003C605A" w:rsidRPr="003C605A"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Reflective learning will also be a main component of my professional development. </w:t>
      </w:r>
      <w:r w:rsidR="00965105">
        <w:rPr>
          <w:rFonts w:ascii="Times New Roman" w:hAnsi="Times New Roman" w:cs="Times New Roman"/>
        </w:rPr>
        <w:t xml:space="preserve">Reflective </w:t>
      </w:r>
      <w:r w:rsidRPr="003C605A">
        <w:rPr>
          <w:rFonts w:ascii="Times New Roman" w:hAnsi="Times New Roman" w:cs="Times New Roman"/>
        </w:rPr>
        <w:t xml:space="preserve">narratives assist learners in assessing their experiences, obtaining insights into their actions and ensuring that their goals align with their actions. I intend to use my journal as a reflective tool for tracking my learning, the relationships that I have built and my past accomplishments </w:t>
      </w:r>
      <w:r w:rsidR="00965105" w:rsidRPr="003C605A">
        <w:rPr>
          <w:rFonts w:ascii="Times New Roman" w:hAnsi="Times New Roman" w:cs="Times New Roman"/>
        </w:rPr>
        <w:t>to</w:t>
      </w:r>
      <w:r w:rsidRPr="003C605A">
        <w:rPr>
          <w:rFonts w:ascii="Times New Roman" w:hAnsi="Times New Roman" w:cs="Times New Roman"/>
        </w:rPr>
        <w:t xml:space="preserve"> continue to develop and grow as a professional in the future.</w:t>
      </w:r>
    </w:p>
    <w:p w14:paraId="316569B6" w14:textId="5EA03C08" w:rsidR="003C605A" w:rsidRDefault="003C605A" w:rsidP="003C605A">
      <w:pPr>
        <w:spacing w:line="480" w:lineRule="auto"/>
        <w:rPr>
          <w:rFonts w:ascii="Times New Roman" w:hAnsi="Times New Roman" w:cs="Times New Roman"/>
        </w:rPr>
      </w:pPr>
      <w:r w:rsidRPr="003C605A">
        <w:rPr>
          <w:rFonts w:ascii="Times New Roman" w:hAnsi="Times New Roman" w:cs="Times New Roman"/>
        </w:rPr>
        <w:t xml:space="preserve">The four methods of building my professional identity are developing a digital identity, becoming actively involved with </w:t>
      </w:r>
      <w:r w:rsidR="00965105" w:rsidRPr="003C605A">
        <w:rPr>
          <w:rFonts w:ascii="Times New Roman" w:hAnsi="Times New Roman" w:cs="Times New Roman"/>
        </w:rPr>
        <w:t>several</w:t>
      </w:r>
      <w:r w:rsidRPr="003C605A">
        <w:rPr>
          <w:rFonts w:ascii="Times New Roman" w:hAnsi="Times New Roman" w:cs="Times New Roman"/>
        </w:rPr>
        <w:t xml:space="preserve"> different professional and academic networks, experiencing intercultural engagement and participating in volunteering activities to create a foundation from which one can grow as a globally competent and confident professional.</w:t>
      </w:r>
    </w:p>
    <w:p w14:paraId="663A2E9A" w14:textId="77777777" w:rsidR="00965105" w:rsidRDefault="00965105" w:rsidP="003C605A">
      <w:pPr>
        <w:spacing w:line="480" w:lineRule="auto"/>
        <w:rPr>
          <w:rFonts w:ascii="Times New Roman" w:hAnsi="Times New Roman" w:cs="Times New Roman"/>
        </w:rPr>
      </w:pPr>
    </w:p>
    <w:p w14:paraId="58884AFB" w14:textId="77777777" w:rsidR="00965105" w:rsidRDefault="00965105" w:rsidP="003C605A">
      <w:pPr>
        <w:spacing w:line="480" w:lineRule="auto"/>
        <w:rPr>
          <w:rFonts w:ascii="Times New Roman" w:hAnsi="Times New Roman" w:cs="Times New Roman"/>
        </w:rPr>
      </w:pPr>
    </w:p>
    <w:p w14:paraId="76870580" w14:textId="77777777" w:rsidR="0099078C" w:rsidRDefault="0099078C" w:rsidP="003C605A">
      <w:pPr>
        <w:spacing w:line="480" w:lineRule="auto"/>
        <w:rPr>
          <w:rFonts w:ascii="Times New Roman" w:hAnsi="Times New Roman" w:cs="Times New Roman"/>
        </w:rPr>
      </w:pPr>
    </w:p>
    <w:p w14:paraId="3D5B394E" w14:textId="607EAB85" w:rsidR="00965105" w:rsidRPr="00965105" w:rsidRDefault="00965105" w:rsidP="003C605A">
      <w:pPr>
        <w:spacing w:line="480" w:lineRule="auto"/>
        <w:rPr>
          <w:rFonts w:ascii="Times New Roman" w:hAnsi="Times New Roman" w:cs="Times New Roman"/>
          <w:b/>
          <w:bCs/>
        </w:rPr>
      </w:pPr>
      <w:r w:rsidRPr="00965105">
        <w:rPr>
          <w:rFonts w:ascii="Times New Roman" w:hAnsi="Times New Roman" w:cs="Times New Roman"/>
          <w:b/>
          <w:bCs/>
        </w:rPr>
        <w:lastRenderedPageBreak/>
        <w:t xml:space="preserve">References </w:t>
      </w:r>
    </w:p>
    <w:p w14:paraId="530D70DA" w14:textId="1BA09520"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Alonso, F., L</w:t>
      </w:r>
      <w:r>
        <w:rPr>
          <w:rFonts w:ascii="Times New Roman" w:hAnsi="Times New Roman" w:cs="Times New Roman"/>
        </w:rPr>
        <w:t>o</w:t>
      </w:r>
      <w:r w:rsidRPr="00965105">
        <w:rPr>
          <w:rFonts w:ascii="Times New Roman" w:hAnsi="Times New Roman" w:cs="Times New Roman"/>
        </w:rPr>
        <w:t>pez, G., Manrique, D., &amp; Vi</w:t>
      </w:r>
      <w:r>
        <w:rPr>
          <w:rFonts w:ascii="Times New Roman" w:hAnsi="Times New Roman" w:cs="Times New Roman"/>
        </w:rPr>
        <w:t>n</w:t>
      </w:r>
      <w:r w:rsidRPr="00965105">
        <w:rPr>
          <w:rFonts w:ascii="Times New Roman" w:hAnsi="Times New Roman" w:cs="Times New Roman"/>
        </w:rPr>
        <w:t xml:space="preserve">es, J. M. (2008). Learning objects, learning objectives and learning design. </w:t>
      </w:r>
      <w:r w:rsidRPr="00965105">
        <w:rPr>
          <w:rFonts w:ascii="Times New Roman" w:hAnsi="Times New Roman" w:cs="Times New Roman"/>
          <w:i/>
          <w:iCs/>
        </w:rPr>
        <w:t>Innovations in Education and Teaching International, 45</w:t>
      </w:r>
      <w:r w:rsidRPr="00965105">
        <w:rPr>
          <w:rFonts w:ascii="Times New Roman" w:hAnsi="Times New Roman" w:cs="Times New Roman"/>
        </w:rPr>
        <w:t>(4), 389–400.</w:t>
      </w:r>
    </w:p>
    <w:p w14:paraId="6CE313D4"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Bhagat, A., Vyas, R., &amp; Singh, T. (2015). Students’ awareness of learning styles and their perceptions to a mixed method approach for learning. </w:t>
      </w:r>
      <w:r w:rsidRPr="00965105">
        <w:rPr>
          <w:rFonts w:ascii="Times New Roman" w:hAnsi="Times New Roman" w:cs="Times New Roman"/>
          <w:i/>
          <w:iCs/>
        </w:rPr>
        <w:t>International Journal of Applied and Basic Medical Research, 5</w:t>
      </w:r>
      <w:r w:rsidRPr="00965105">
        <w:rPr>
          <w:rFonts w:ascii="Times New Roman" w:hAnsi="Times New Roman" w:cs="Times New Roman"/>
        </w:rPr>
        <w:t>(</w:t>
      </w:r>
      <w:proofErr w:type="spellStart"/>
      <w:r w:rsidRPr="00965105">
        <w:rPr>
          <w:rFonts w:ascii="Times New Roman" w:hAnsi="Times New Roman" w:cs="Times New Roman"/>
        </w:rPr>
        <w:t>Suppl</w:t>
      </w:r>
      <w:proofErr w:type="spellEnd"/>
      <w:r w:rsidRPr="00965105">
        <w:rPr>
          <w:rFonts w:ascii="Times New Roman" w:hAnsi="Times New Roman" w:cs="Times New Roman"/>
        </w:rPr>
        <w:t xml:space="preserve"> 1), S58–S65.</w:t>
      </w:r>
    </w:p>
    <w:p w14:paraId="2042B932" w14:textId="77777777" w:rsidR="00965105" w:rsidRPr="00965105" w:rsidRDefault="00965105" w:rsidP="00965105">
      <w:pPr>
        <w:spacing w:line="480" w:lineRule="auto"/>
        <w:rPr>
          <w:rFonts w:ascii="Times New Roman" w:hAnsi="Times New Roman" w:cs="Times New Roman"/>
        </w:rPr>
      </w:pPr>
      <w:proofErr w:type="spellStart"/>
      <w:r w:rsidRPr="00965105">
        <w:rPr>
          <w:rFonts w:ascii="Times New Roman" w:hAnsi="Times New Roman" w:cs="Times New Roman"/>
        </w:rPr>
        <w:t>Efklides</w:t>
      </w:r>
      <w:proofErr w:type="spellEnd"/>
      <w:r w:rsidRPr="00965105">
        <w:rPr>
          <w:rFonts w:ascii="Times New Roman" w:hAnsi="Times New Roman" w:cs="Times New Roman"/>
        </w:rPr>
        <w:t xml:space="preserve">, A. (2009). </w:t>
      </w:r>
      <w:r w:rsidRPr="00965105">
        <w:rPr>
          <w:rFonts w:ascii="Times New Roman" w:hAnsi="Times New Roman" w:cs="Times New Roman"/>
          <w:i/>
          <w:iCs/>
        </w:rPr>
        <w:t xml:space="preserve">The role of metacognitive experiences in the learning process. </w:t>
      </w:r>
      <w:proofErr w:type="spellStart"/>
      <w:r w:rsidRPr="00965105">
        <w:rPr>
          <w:rFonts w:ascii="Times New Roman" w:hAnsi="Times New Roman" w:cs="Times New Roman"/>
        </w:rPr>
        <w:t>Psicothema</w:t>
      </w:r>
      <w:proofErr w:type="spellEnd"/>
      <w:r w:rsidRPr="00965105">
        <w:rPr>
          <w:rFonts w:ascii="Times New Roman" w:hAnsi="Times New Roman" w:cs="Times New Roman"/>
        </w:rPr>
        <w:t>, 21, 76–82.</w:t>
      </w:r>
    </w:p>
    <w:p w14:paraId="1200CD7D"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El-</w:t>
      </w:r>
      <w:proofErr w:type="spellStart"/>
      <w:r w:rsidRPr="00965105">
        <w:rPr>
          <w:rFonts w:ascii="Times New Roman" w:hAnsi="Times New Roman" w:cs="Times New Roman"/>
        </w:rPr>
        <w:t>Saftawy</w:t>
      </w:r>
      <w:proofErr w:type="spellEnd"/>
      <w:r w:rsidRPr="00965105">
        <w:rPr>
          <w:rFonts w:ascii="Times New Roman" w:hAnsi="Times New Roman" w:cs="Times New Roman"/>
        </w:rPr>
        <w:t xml:space="preserve">, E., Latif, A. A. A., </w:t>
      </w:r>
      <w:proofErr w:type="spellStart"/>
      <w:r w:rsidRPr="00965105">
        <w:rPr>
          <w:rFonts w:ascii="Times New Roman" w:hAnsi="Times New Roman" w:cs="Times New Roman"/>
        </w:rPr>
        <w:t>ShamsEldeen</w:t>
      </w:r>
      <w:proofErr w:type="spellEnd"/>
      <w:r w:rsidRPr="00965105">
        <w:rPr>
          <w:rFonts w:ascii="Times New Roman" w:hAnsi="Times New Roman" w:cs="Times New Roman"/>
        </w:rPr>
        <w:t xml:space="preserve">, A. M., Alghamdi, M. A., </w:t>
      </w:r>
      <w:proofErr w:type="spellStart"/>
      <w:r w:rsidRPr="00965105">
        <w:rPr>
          <w:rFonts w:ascii="Times New Roman" w:hAnsi="Times New Roman" w:cs="Times New Roman"/>
        </w:rPr>
        <w:t>Mahfoz</w:t>
      </w:r>
      <w:proofErr w:type="spellEnd"/>
      <w:r w:rsidRPr="00965105">
        <w:rPr>
          <w:rFonts w:ascii="Times New Roman" w:hAnsi="Times New Roman" w:cs="Times New Roman"/>
        </w:rPr>
        <w:t xml:space="preserve">, A. M., &amp; </w:t>
      </w:r>
      <w:proofErr w:type="spellStart"/>
      <w:r w:rsidRPr="00965105">
        <w:rPr>
          <w:rFonts w:ascii="Times New Roman" w:hAnsi="Times New Roman" w:cs="Times New Roman"/>
        </w:rPr>
        <w:t>Aboulhoda</w:t>
      </w:r>
      <w:proofErr w:type="spellEnd"/>
      <w:r w:rsidRPr="00965105">
        <w:rPr>
          <w:rFonts w:ascii="Times New Roman" w:hAnsi="Times New Roman" w:cs="Times New Roman"/>
        </w:rPr>
        <w:t xml:space="preserve">, B. E. (2024). Influence of applying VARK learning styles on enhancing teaching skills. </w:t>
      </w:r>
      <w:r w:rsidRPr="00965105">
        <w:rPr>
          <w:rFonts w:ascii="Times New Roman" w:hAnsi="Times New Roman" w:cs="Times New Roman"/>
          <w:i/>
          <w:iCs/>
        </w:rPr>
        <w:t>BMC Medical Education, 24</w:t>
      </w:r>
      <w:r w:rsidRPr="00965105">
        <w:rPr>
          <w:rFonts w:ascii="Times New Roman" w:hAnsi="Times New Roman" w:cs="Times New Roman"/>
        </w:rPr>
        <w:t>(1), 1034.</w:t>
      </w:r>
    </w:p>
    <w:p w14:paraId="5079D803"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Gupta, M. L. (2004). Enhancing student performance through cooperative learning in physical sciences. </w:t>
      </w:r>
      <w:r w:rsidRPr="00965105">
        <w:rPr>
          <w:rFonts w:ascii="Times New Roman" w:hAnsi="Times New Roman" w:cs="Times New Roman"/>
          <w:i/>
          <w:iCs/>
        </w:rPr>
        <w:t>Assessment &amp; Evaluation in Higher Education, 29(</w:t>
      </w:r>
      <w:r w:rsidRPr="00965105">
        <w:rPr>
          <w:rFonts w:ascii="Times New Roman" w:hAnsi="Times New Roman" w:cs="Times New Roman"/>
        </w:rPr>
        <w:t>1), 63–73.</w:t>
      </w:r>
    </w:p>
    <w:p w14:paraId="3372BB84"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Helm, F., Baroni, A., &amp; </w:t>
      </w:r>
      <w:proofErr w:type="spellStart"/>
      <w:r w:rsidRPr="00965105">
        <w:rPr>
          <w:rFonts w:ascii="Times New Roman" w:hAnsi="Times New Roman" w:cs="Times New Roman"/>
        </w:rPr>
        <w:t>Acconcia</w:t>
      </w:r>
      <w:proofErr w:type="spellEnd"/>
      <w:r w:rsidRPr="00965105">
        <w:rPr>
          <w:rFonts w:ascii="Times New Roman" w:hAnsi="Times New Roman" w:cs="Times New Roman"/>
        </w:rPr>
        <w:t xml:space="preserve">, G. (2024). Global citizenship online in higher education. </w:t>
      </w:r>
      <w:r w:rsidRPr="00965105">
        <w:rPr>
          <w:rFonts w:ascii="Times New Roman" w:hAnsi="Times New Roman" w:cs="Times New Roman"/>
          <w:i/>
          <w:iCs/>
        </w:rPr>
        <w:t>Educational Research for Policy and Practice, 23</w:t>
      </w:r>
      <w:r w:rsidRPr="00965105">
        <w:rPr>
          <w:rFonts w:ascii="Times New Roman" w:hAnsi="Times New Roman" w:cs="Times New Roman"/>
        </w:rPr>
        <w:t>(1), 1–18.</w:t>
      </w:r>
    </w:p>
    <w:p w14:paraId="68DF3225"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Martindale, T., &amp; Dowdy, M. (2010). Personal learning environments. In </w:t>
      </w:r>
      <w:r w:rsidRPr="00965105">
        <w:rPr>
          <w:rFonts w:ascii="Times New Roman" w:hAnsi="Times New Roman" w:cs="Times New Roman"/>
          <w:i/>
          <w:iCs/>
        </w:rPr>
        <w:t xml:space="preserve">G. </w:t>
      </w:r>
      <w:proofErr w:type="spellStart"/>
      <w:r w:rsidRPr="00965105">
        <w:rPr>
          <w:rFonts w:ascii="Times New Roman" w:hAnsi="Times New Roman" w:cs="Times New Roman"/>
          <w:i/>
          <w:iCs/>
        </w:rPr>
        <w:t>Veletsianos</w:t>
      </w:r>
      <w:proofErr w:type="spellEnd"/>
      <w:r w:rsidRPr="00965105">
        <w:rPr>
          <w:rFonts w:ascii="Times New Roman" w:hAnsi="Times New Roman" w:cs="Times New Roman"/>
          <w:i/>
          <w:iCs/>
        </w:rPr>
        <w:t xml:space="preserve"> (Ed.), Emerging technologies in distance education (pp. 177–193).</w:t>
      </w:r>
      <w:r w:rsidRPr="00965105">
        <w:rPr>
          <w:rFonts w:ascii="Times New Roman" w:hAnsi="Times New Roman" w:cs="Times New Roman"/>
        </w:rPr>
        <w:t xml:space="preserve"> Athabasca University Press.</w:t>
      </w:r>
    </w:p>
    <w:p w14:paraId="1BC6ADFB"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Mitchell, K. M., &amp; Manzo, W. R. (2018). The purpose and perception of learning objectives. </w:t>
      </w:r>
      <w:r w:rsidRPr="00965105">
        <w:rPr>
          <w:rFonts w:ascii="Times New Roman" w:hAnsi="Times New Roman" w:cs="Times New Roman"/>
          <w:i/>
          <w:iCs/>
        </w:rPr>
        <w:t>Journal of Political Science Education, 14</w:t>
      </w:r>
      <w:r w:rsidRPr="00965105">
        <w:rPr>
          <w:rFonts w:ascii="Times New Roman" w:hAnsi="Times New Roman" w:cs="Times New Roman"/>
        </w:rPr>
        <w:t>(4), 456–472.</w:t>
      </w:r>
    </w:p>
    <w:p w14:paraId="080EDB83" w14:textId="77777777" w:rsidR="00965105" w:rsidRPr="00965105" w:rsidRDefault="00965105" w:rsidP="00965105">
      <w:pPr>
        <w:spacing w:line="480" w:lineRule="auto"/>
        <w:rPr>
          <w:rFonts w:ascii="Times New Roman" w:hAnsi="Times New Roman" w:cs="Times New Roman"/>
        </w:rPr>
      </w:pPr>
      <w:proofErr w:type="spellStart"/>
      <w:r w:rsidRPr="00965105">
        <w:rPr>
          <w:rFonts w:ascii="Times New Roman" w:hAnsi="Times New Roman" w:cs="Times New Roman"/>
        </w:rPr>
        <w:t>Osueke</w:t>
      </w:r>
      <w:proofErr w:type="spellEnd"/>
      <w:r w:rsidRPr="00965105">
        <w:rPr>
          <w:rFonts w:ascii="Times New Roman" w:hAnsi="Times New Roman" w:cs="Times New Roman"/>
        </w:rPr>
        <w:t xml:space="preserve">, B., Mekonnen, B., &amp; Stanton, J. D. (2018). How undergraduate science students use learning objectives to study. </w:t>
      </w:r>
      <w:r w:rsidRPr="00965105">
        <w:rPr>
          <w:rFonts w:ascii="Times New Roman" w:hAnsi="Times New Roman" w:cs="Times New Roman"/>
          <w:i/>
          <w:iCs/>
        </w:rPr>
        <w:t>Journal of Microbiology &amp; Biology Education, 19</w:t>
      </w:r>
      <w:r w:rsidRPr="00965105">
        <w:rPr>
          <w:rFonts w:ascii="Times New Roman" w:hAnsi="Times New Roman" w:cs="Times New Roman"/>
        </w:rPr>
        <w:t>(2), 1–10.</w:t>
      </w:r>
    </w:p>
    <w:p w14:paraId="7496DCE5" w14:textId="77777777" w:rsidR="00965105" w:rsidRPr="00965105" w:rsidRDefault="00965105" w:rsidP="00965105">
      <w:pPr>
        <w:spacing w:line="480" w:lineRule="auto"/>
        <w:rPr>
          <w:rFonts w:ascii="Times New Roman" w:hAnsi="Times New Roman" w:cs="Times New Roman"/>
          <w:i/>
          <w:iCs/>
        </w:rPr>
      </w:pPr>
      <w:r w:rsidRPr="00965105">
        <w:rPr>
          <w:rFonts w:ascii="Times New Roman" w:hAnsi="Times New Roman" w:cs="Times New Roman"/>
        </w:rPr>
        <w:lastRenderedPageBreak/>
        <w:t xml:space="preserve">Raynolds, M. (2024). </w:t>
      </w:r>
      <w:r w:rsidRPr="00965105">
        <w:rPr>
          <w:rFonts w:ascii="Times New Roman" w:hAnsi="Times New Roman" w:cs="Times New Roman"/>
          <w:i/>
          <w:iCs/>
        </w:rPr>
        <w:t>Community schools: Creating community learning spaces in a new social contract for education (Doctoral dissertation, Northeastern University).</w:t>
      </w:r>
    </w:p>
    <w:p w14:paraId="0DCFB8DC"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Saga, Z., Qamar, K., &amp; </w:t>
      </w:r>
      <w:proofErr w:type="spellStart"/>
      <w:r w:rsidRPr="00965105">
        <w:rPr>
          <w:rFonts w:ascii="Times New Roman" w:hAnsi="Times New Roman" w:cs="Times New Roman"/>
        </w:rPr>
        <w:t>Trali</w:t>
      </w:r>
      <w:proofErr w:type="spellEnd"/>
      <w:r w:rsidRPr="00965105">
        <w:rPr>
          <w:rFonts w:ascii="Times New Roman" w:hAnsi="Times New Roman" w:cs="Times New Roman"/>
        </w:rPr>
        <w:t xml:space="preserve">, G. (2015). Learning styles—understanding for learning strategies. </w:t>
      </w:r>
      <w:r w:rsidRPr="00965105">
        <w:rPr>
          <w:rFonts w:ascii="Times New Roman" w:hAnsi="Times New Roman" w:cs="Times New Roman"/>
          <w:i/>
          <w:iCs/>
        </w:rPr>
        <w:t>Pakistan Armed Forces Medical Journal, 5,</w:t>
      </w:r>
      <w:r w:rsidRPr="00965105">
        <w:rPr>
          <w:rFonts w:ascii="Times New Roman" w:hAnsi="Times New Roman" w:cs="Times New Roman"/>
        </w:rPr>
        <w:t xml:space="preserve"> 706.</w:t>
      </w:r>
    </w:p>
    <w:p w14:paraId="3CB1557A"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Satapathy, B. C., &amp; Singh, G. (2025). Assessment of learning style preferences among MBBS students using the VARK questionnaire. </w:t>
      </w:r>
      <w:r w:rsidRPr="00965105">
        <w:rPr>
          <w:rFonts w:ascii="Times New Roman" w:hAnsi="Times New Roman" w:cs="Times New Roman"/>
          <w:i/>
          <w:iCs/>
        </w:rPr>
        <w:t>Indian Journal of Clinical Anatomy and Physiology, 12</w:t>
      </w:r>
      <w:r w:rsidRPr="00965105">
        <w:rPr>
          <w:rFonts w:ascii="Times New Roman" w:hAnsi="Times New Roman" w:cs="Times New Roman"/>
        </w:rPr>
        <w:t>(2), 70–73.</w:t>
      </w:r>
    </w:p>
    <w:p w14:paraId="13064696" w14:textId="19EB649A"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Siemens, G. (2007). Personal learning environments. </w:t>
      </w:r>
      <w:hyperlink r:id="rId7" w:history="1">
        <w:r w:rsidRPr="002864A5">
          <w:rPr>
            <w:rStyle w:val="Hyperlink"/>
            <w:rFonts w:ascii="Times New Roman" w:hAnsi="Times New Roman" w:cs="Times New Roman"/>
          </w:rPr>
          <w:t>http://www.elearnspace.org/blog</w:t>
        </w:r>
      </w:hyperlink>
      <w:r>
        <w:rPr>
          <w:rFonts w:ascii="Times New Roman" w:hAnsi="Times New Roman" w:cs="Times New Roman"/>
        </w:rPr>
        <w:t xml:space="preserve"> </w:t>
      </w:r>
    </w:p>
    <w:p w14:paraId="7C563E59"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Simon, B., &amp; Taylor, J. (2009). What is the value of course-specific learning goals? </w:t>
      </w:r>
      <w:r w:rsidRPr="00965105">
        <w:rPr>
          <w:rFonts w:ascii="Times New Roman" w:hAnsi="Times New Roman" w:cs="Times New Roman"/>
          <w:i/>
          <w:iCs/>
        </w:rPr>
        <w:t>Journal of College Science Teaching, 39</w:t>
      </w:r>
      <w:r w:rsidRPr="00965105">
        <w:rPr>
          <w:rFonts w:ascii="Times New Roman" w:hAnsi="Times New Roman" w:cs="Times New Roman"/>
        </w:rPr>
        <w:t>(2), 52–57.</w:t>
      </w:r>
    </w:p>
    <w:p w14:paraId="681BDAB9" w14:textId="77777777" w:rsidR="00965105" w:rsidRPr="00965105" w:rsidRDefault="00965105" w:rsidP="00965105">
      <w:pPr>
        <w:spacing w:line="480" w:lineRule="auto"/>
        <w:rPr>
          <w:rFonts w:ascii="Times New Roman" w:hAnsi="Times New Roman" w:cs="Times New Roman"/>
          <w:i/>
          <w:iCs/>
        </w:rPr>
      </w:pPr>
      <w:r w:rsidRPr="00965105">
        <w:rPr>
          <w:rFonts w:ascii="Times New Roman" w:hAnsi="Times New Roman" w:cs="Times New Roman"/>
        </w:rPr>
        <w:t>Torres-</w:t>
      </w:r>
      <w:proofErr w:type="spellStart"/>
      <w:r w:rsidRPr="00965105">
        <w:rPr>
          <w:rFonts w:ascii="Times New Roman" w:hAnsi="Times New Roman" w:cs="Times New Roman"/>
        </w:rPr>
        <w:t>Kompen</w:t>
      </w:r>
      <w:proofErr w:type="spellEnd"/>
      <w:r w:rsidRPr="00965105">
        <w:rPr>
          <w:rFonts w:ascii="Times New Roman" w:hAnsi="Times New Roman" w:cs="Times New Roman"/>
        </w:rPr>
        <w:t xml:space="preserve">, R. (2015). </w:t>
      </w:r>
      <w:r w:rsidRPr="00965105">
        <w:rPr>
          <w:rFonts w:ascii="Times New Roman" w:hAnsi="Times New Roman" w:cs="Times New Roman"/>
          <w:i/>
          <w:iCs/>
        </w:rPr>
        <w:t>Personal learning environments based on Web 2.0 services in secondary and in higher education.</w:t>
      </w:r>
    </w:p>
    <w:p w14:paraId="76F49AE9"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Valtonen, T., </w:t>
      </w:r>
      <w:proofErr w:type="spellStart"/>
      <w:r w:rsidRPr="00965105">
        <w:rPr>
          <w:rFonts w:ascii="Times New Roman" w:hAnsi="Times New Roman" w:cs="Times New Roman"/>
        </w:rPr>
        <w:t>Hacklin</w:t>
      </w:r>
      <w:proofErr w:type="spellEnd"/>
      <w:r w:rsidRPr="00965105">
        <w:rPr>
          <w:rFonts w:ascii="Times New Roman" w:hAnsi="Times New Roman" w:cs="Times New Roman"/>
        </w:rPr>
        <w:t xml:space="preserve">, S., Dillon, P., </w:t>
      </w:r>
      <w:proofErr w:type="spellStart"/>
      <w:r w:rsidRPr="00965105">
        <w:rPr>
          <w:rFonts w:ascii="Times New Roman" w:hAnsi="Times New Roman" w:cs="Times New Roman"/>
        </w:rPr>
        <w:t>Vesisenaho</w:t>
      </w:r>
      <w:proofErr w:type="spellEnd"/>
      <w:r w:rsidRPr="00965105">
        <w:rPr>
          <w:rFonts w:ascii="Times New Roman" w:hAnsi="Times New Roman" w:cs="Times New Roman"/>
        </w:rPr>
        <w:t>, M., Kukkonen, J., &amp; Hietanen, A. (2012). Perspectives on personal learning environments held by vocational students</w:t>
      </w:r>
      <w:r w:rsidRPr="00965105">
        <w:rPr>
          <w:rFonts w:ascii="Times New Roman" w:hAnsi="Times New Roman" w:cs="Times New Roman"/>
          <w:i/>
          <w:iCs/>
        </w:rPr>
        <w:t>. Computers &amp; Education, 58</w:t>
      </w:r>
      <w:r w:rsidRPr="00965105">
        <w:rPr>
          <w:rFonts w:ascii="Times New Roman" w:hAnsi="Times New Roman" w:cs="Times New Roman"/>
        </w:rPr>
        <w:t>(2), 732–739.</w:t>
      </w:r>
    </w:p>
    <w:p w14:paraId="7852B68C" w14:textId="77777777" w:rsidR="00965105" w:rsidRPr="00965105"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Wankel, C. (2010). </w:t>
      </w:r>
      <w:r w:rsidRPr="0099078C">
        <w:rPr>
          <w:rFonts w:ascii="Times New Roman" w:hAnsi="Times New Roman" w:cs="Times New Roman"/>
          <w:i/>
          <w:iCs/>
        </w:rPr>
        <w:t>Technologies that bring learners collaboratively together in the world.</w:t>
      </w:r>
      <w:r w:rsidRPr="00965105">
        <w:rPr>
          <w:rFonts w:ascii="Times New Roman" w:hAnsi="Times New Roman" w:cs="Times New Roman"/>
        </w:rPr>
        <w:t xml:space="preserve"> In </w:t>
      </w:r>
      <w:r w:rsidRPr="0099078C">
        <w:rPr>
          <w:rFonts w:ascii="Times New Roman" w:hAnsi="Times New Roman" w:cs="Times New Roman"/>
        </w:rPr>
        <w:t>C. Wankel</w:t>
      </w:r>
      <w:r w:rsidRPr="00965105">
        <w:rPr>
          <w:rFonts w:ascii="Times New Roman" w:hAnsi="Times New Roman" w:cs="Times New Roman"/>
        </w:rPr>
        <w:t xml:space="preserve"> (Ed.), Cutting-Edge Social Media Approaches to Business Education (pp. 1–6).</w:t>
      </w:r>
    </w:p>
    <w:p w14:paraId="4C5E4435" w14:textId="77777777" w:rsidR="0099078C" w:rsidRDefault="00965105" w:rsidP="00965105">
      <w:pPr>
        <w:spacing w:line="480" w:lineRule="auto"/>
        <w:rPr>
          <w:rFonts w:ascii="Times New Roman" w:hAnsi="Times New Roman" w:cs="Times New Roman"/>
        </w:rPr>
      </w:pPr>
      <w:r w:rsidRPr="00965105">
        <w:rPr>
          <w:rFonts w:ascii="Times New Roman" w:hAnsi="Times New Roman" w:cs="Times New Roman"/>
        </w:rPr>
        <w:t xml:space="preserve">Wimpenny, K., Jacobs, L., Dawson, M., &amp; </w:t>
      </w:r>
      <w:proofErr w:type="spellStart"/>
      <w:r w:rsidRPr="00965105">
        <w:rPr>
          <w:rFonts w:ascii="Times New Roman" w:hAnsi="Times New Roman" w:cs="Times New Roman"/>
        </w:rPr>
        <w:t>Hagenmeier</w:t>
      </w:r>
      <w:proofErr w:type="spellEnd"/>
      <w:r w:rsidRPr="00965105">
        <w:rPr>
          <w:rFonts w:ascii="Times New Roman" w:hAnsi="Times New Roman" w:cs="Times New Roman"/>
        </w:rPr>
        <w:t xml:space="preserve">, C. (2024). The potential of collaborative online international learning as a border thinking third space for global citizenship education. </w:t>
      </w:r>
      <w:r w:rsidRPr="0099078C">
        <w:rPr>
          <w:rFonts w:ascii="Times New Roman" w:hAnsi="Times New Roman" w:cs="Times New Roman"/>
          <w:i/>
          <w:iCs/>
        </w:rPr>
        <w:t>International Journal of Development Education and Global Learning, 16</w:t>
      </w:r>
      <w:r w:rsidRPr="00965105">
        <w:rPr>
          <w:rFonts w:ascii="Times New Roman" w:hAnsi="Times New Roman" w:cs="Times New Roman"/>
        </w:rPr>
        <w:t>(1), 29–42.</w:t>
      </w:r>
    </w:p>
    <w:p w14:paraId="21342A55" w14:textId="58DDB464" w:rsidR="00965105" w:rsidRPr="003C605A" w:rsidRDefault="00965105" w:rsidP="00965105">
      <w:pPr>
        <w:spacing w:line="480" w:lineRule="auto"/>
        <w:rPr>
          <w:rFonts w:ascii="Times New Roman" w:hAnsi="Times New Roman" w:cs="Times New Roman"/>
        </w:rPr>
      </w:pPr>
      <w:r w:rsidRPr="00965105">
        <w:rPr>
          <w:rFonts w:ascii="Times New Roman" w:hAnsi="Times New Roman" w:cs="Times New Roman"/>
        </w:rPr>
        <w:lastRenderedPageBreak/>
        <w:t xml:space="preserve">Zalli, E. (2024). Globalization and education: Exploring the exchange of ideas, values and traditions in promoting cultural understanding and global citizenship. </w:t>
      </w:r>
      <w:r w:rsidRPr="0099078C">
        <w:rPr>
          <w:rFonts w:ascii="Times New Roman" w:hAnsi="Times New Roman" w:cs="Times New Roman"/>
          <w:i/>
          <w:iCs/>
        </w:rPr>
        <w:t>Interdisciplinary Journal of Research and Development, 11</w:t>
      </w:r>
      <w:r w:rsidRPr="00965105">
        <w:rPr>
          <w:rFonts w:ascii="Times New Roman" w:hAnsi="Times New Roman" w:cs="Times New Roman"/>
        </w:rPr>
        <w:t>(1), 55–55.</w:t>
      </w:r>
    </w:p>
    <w:sectPr w:rsidR="00965105" w:rsidRPr="003C605A" w:rsidSect="0099078C">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E6FC4" w14:textId="77777777" w:rsidR="005E107A" w:rsidRDefault="005E107A" w:rsidP="0099078C">
      <w:pPr>
        <w:spacing w:after="0" w:line="240" w:lineRule="auto"/>
      </w:pPr>
      <w:r>
        <w:separator/>
      </w:r>
    </w:p>
  </w:endnote>
  <w:endnote w:type="continuationSeparator" w:id="0">
    <w:p w14:paraId="3906B612" w14:textId="77777777" w:rsidR="005E107A" w:rsidRDefault="005E107A" w:rsidP="00990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285342"/>
      <w:docPartObj>
        <w:docPartGallery w:val="Page Numbers (Bottom of Page)"/>
        <w:docPartUnique/>
      </w:docPartObj>
    </w:sdtPr>
    <w:sdtEndPr>
      <w:rPr>
        <w:color w:val="7F7F7F" w:themeColor="background1" w:themeShade="7F"/>
        <w:spacing w:val="60"/>
      </w:rPr>
    </w:sdtEndPr>
    <w:sdtContent>
      <w:p w14:paraId="6E1F6F45" w14:textId="65E36D66" w:rsidR="0099078C" w:rsidRDefault="0099078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148196" w14:textId="77777777" w:rsidR="0099078C" w:rsidRDefault="00990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0AEE8" w14:textId="77777777" w:rsidR="005E107A" w:rsidRDefault="005E107A" w:rsidP="0099078C">
      <w:pPr>
        <w:spacing w:after="0" w:line="240" w:lineRule="auto"/>
      </w:pPr>
      <w:r>
        <w:separator/>
      </w:r>
    </w:p>
  </w:footnote>
  <w:footnote w:type="continuationSeparator" w:id="0">
    <w:p w14:paraId="3A641780" w14:textId="77777777" w:rsidR="005E107A" w:rsidRDefault="005E107A" w:rsidP="009907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F5637"/>
    <w:multiLevelType w:val="hybridMultilevel"/>
    <w:tmpl w:val="76087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325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5A"/>
    <w:rsid w:val="003C605A"/>
    <w:rsid w:val="005E107A"/>
    <w:rsid w:val="00965105"/>
    <w:rsid w:val="0099078C"/>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66191"/>
  <w15:chartTrackingRefBased/>
  <w15:docId w15:val="{FE0E759A-2A81-46A5-9F85-1C7B064AC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05A"/>
    <w:rPr>
      <w:rFonts w:eastAsiaTheme="majorEastAsia" w:cstheme="majorBidi"/>
      <w:color w:val="272727" w:themeColor="text1" w:themeTint="D8"/>
    </w:rPr>
  </w:style>
  <w:style w:type="paragraph" w:styleId="Title">
    <w:name w:val="Title"/>
    <w:basedOn w:val="Normal"/>
    <w:next w:val="Normal"/>
    <w:link w:val="TitleChar"/>
    <w:uiPriority w:val="10"/>
    <w:qFormat/>
    <w:rsid w:val="003C6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05A"/>
    <w:pPr>
      <w:spacing w:before="160"/>
      <w:jc w:val="center"/>
    </w:pPr>
    <w:rPr>
      <w:i/>
      <w:iCs/>
      <w:color w:val="404040" w:themeColor="text1" w:themeTint="BF"/>
    </w:rPr>
  </w:style>
  <w:style w:type="character" w:customStyle="1" w:styleId="QuoteChar">
    <w:name w:val="Quote Char"/>
    <w:basedOn w:val="DefaultParagraphFont"/>
    <w:link w:val="Quote"/>
    <w:uiPriority w:val="29"/>
    <w:rsid w:val="003C605A"/>
    <w:rPr>
      <w:i/>
      <w:iCs/>
      <w:color w:val="404040" w:themeColor="text1" w:themeTint="BF"/>
    </w:rPr>
  </w:style>
  <w:style w:type="paragraph" w:styleId="ListParagraph">
    <w:name w:val="List Paragraph"/>
    <w:basedOn w:val="Normal"/>
    <w:uiPriority w:val="34"/>
    <w:qFormat/>
    <w:rsid w:val="003C605A"/>
    <w:pPr>
      <w:ind w:left="720"/>
      <w:contextualSpacing/>
    </w:pPr>
  </w:style>
  <w:style w:type="character" w:styleId="IntenseEmphasis">
    <w:name w:val="Intense Emphasis"/>
    <w:basedOn w:val="DefaultParagraphFont"/>
    <w:uiPriority w:val="21"/>
    <w:qFormat/>
    <w:rsid w:val="003C605A"/>
    <w:rPr>
      <w:i/>
      <w:iCs/>
      <w:color w:val="0F4761" w:themeColor="accent1" w:themeShade="BF"/>
    </w:rPr>
  </w:style>
  <w:style w:type="paragraph" w:styleId="IntenseQuote">
    <w:name w:val="Intense Quote"/>
    <w:basedOn w:val="Normal"/>
    <w:next w:val="Normal"/>
    <w:link w:val="IntenseQuoteChar"/>
    <w:uiPriority w:val="30"/>
    <w:qFormat/>
    <w:rsid w:val="003C6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05A"/>
    <w:rPr>
      <w:i/>
      <w:iCs/>
      <w:color w:val="0F4761" w:themeColor="accent1" w:themeShade="BF"/>
    </w:rPr>
  </w:style>
  <w:style w:type="character" w:styleId="IntenseReference">
    <w:name w:val="Intense Reference"/>
    <w:basedOn w:val="DefaultParagraphFont"/>
    <w:uiPriority w:val="32"/>
    <w:qFormat/>
    <w:rsid w:val="003C605A"/>
    <w:rPr>
      <w:b/>
      <w:bCs/>
      <w:smallCaps/>
      <w:color w:val="0F4761" w:themeColor="accent1" w:themeShade="BF"/>
      <w:spacing w:val="5"/>
    </w:rPr>
  </w:style>
  <w:style w:type="character" w:styleId="Hyperlink">
    <w:name w:val="Hyperlink"/>
    <w:basedOn w:val="DefaultParagraphFont"/>
    <w:uiPriority w:val="99"/>
    <w:unhideWhenUsed/>
    <w:rsid w:val="00965105"/>
    <w:rPr>
      <w:color w:val="467886" w:themeColor="hyperlink"/>
      <w:u w:val="single"/>
    </w:rPr>
  </w:style>
  <w:style w:type="character" w:styleId="UnresolvedMention">
    <w:name w:val="Unresolved Mention"/>
    <w:basedOn w:val="DefaultParagraphFont"/>
    <w:uiPriority w:val="99"/>
    <w:semiHidden/>
    <w:unhideWhenUsed/>
    <w:rsid w:val="00965105"/>
    <w:rPr>
      <w:color w:val="605E5C"/>
      <w:shd w:val="clear" w:color="auto" w:fill="E1DFDD"/>
    </w:rPr>
  </w:style>
  <w:style w:type="paragraph" w:styleId="Header">
    <w:name w:val="header"/>
    <w:basedOn w:val="Normal"/>
    <w:link w:val="HeaderChar"/>
    <w:uiPriority w:val="99"/>
    <w:unhideWhenUsed/>
    <w:rsid w:val="00990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78C"/>
  </w:style>
  <w:style w:type="paragraph" w:styleId="Footer">
    <w:name w:val="footer"/>
    <w:basedOn w:val="Normal"/>
    <w:link w:val="FooterChar"/>
    <w:uiPriority w:val="99"/>
    <w:unhideWhenUsed/>
    <w:rsid w:val="00990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78C"/>
  </w:style>
  <w:style w:type="paragraph" w:styleId="NoSpacing">
    <w:name w:val="No Spacing"/>
    <w:link w:val="NoSpacingChar"/>
    <w:uiPriority w:val="1"/>
    <w:qFormat/>
    <w:rsid w:val="0099078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078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learnspace.org/blo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1987</Words>
  <Characters>11326</Characters>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cp:keywords/>
  <dc:description/>
  <dcterms:created xsi:type="dcterms:W3CDTF">2025-12-10T13:53:00Z</dcterms:created>
  <dcterms:modified xsi:type="dcterms:W3CDTF">2025-12-10T14:18:00Z</dcterms:modified>
</cp:coreProperties>
</file>