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E12F9" w14:textId="30DB23AF" w:rsidR="002E070E" w:rsidRDefault="002E070E" w:rsidP="002E070E">
      <w:pPr>
        <w:jc w:val="center"/>
        <w:rPr>
          <w:rFonts w:ascii="Arial" w:hAnsi="Arial" w:cs="Arial"/>
          <w:sz w:val="34"/>
          <w:szCs w:val="34"/>
        </w:rPr>
      </w:pPr>
    </w:p>
    <w:p w14:paraId="61F4AFE3" w14:textId="77777777" w:rsidR="00A10CE8" w:rsidRDefault="00A10CE8" w:rsidP="002E070E">
      <w:pPr>
        <w:jc w:val="center"/>
        <w:rPr>
          <w:rFonts w:ascii="Arial" w:hAnsi="Arial" w:cs="Arial"/>
          <w:sz w:val="34"/>
          <w:szCs w:val="34"/>
        </w:rPr>
      </w:pPr>
    </w:p>
    <w:p w14:paraId="366A943A" w14:textId="77777777" w:rsidR="002E070E" w:rsidRPr="007E7529" w:rsidRDefault="002E070E" w:rsidP="002E070E">
      <w:pPr>
        <w:jc w:val="center"/>
        <w:rPr>
          <w:rFonts w:ascii="Arial" w:hAnsi="Arial" w:cs="Arial"/>
          <w:sz w:val="34"/>
          <w:szCs w:val="34"/>
        </w:rPr>
      </w:pPr>
      <w:r>
        <w:rPr>
          <w:rFonts w:ascii="Arial" w:hAnsi="Arial" w:cs="Arial"/>
          <w:sz w:val="34"/>
          <w:szCs w:val="34"/>
        </w:rPr>
        <w:t>U</w:t>
      </w:r>
      <w:r w:rsidRPr="007E7529">
        <w:rPr>
          <w:rFonts w:ascii="Arial" w:hAnsi="Arial" w:cs="Arial"/>
          <w:sz w:val="34"/>
          <w:szCs w:val="34"/>
        </w:rPr>
        <w:t xml:space="preserve">niversity of Wales Trinity Saint David </w:t>
      </w:r>
    </w:p>
    <w:p w14:paraId="31C550A2" w14:textId="77777777" w:rsidR="002E070E" w:rsidRPr="00256AAC" w:rsidRDefault="002E070E" w:rsidP="002E070E">
      <w:pPr>
        <w:jc w:val="center"/>
        <w:rPr>
          <w:rFonts w:ascii="Arial" w:hAnsi="Arial" w:cs="Arial"/>
          <w:sz w:val="26"/>
          <w:szCs w:val="26"/>
        </w:rPr>
      </w:pPr>
    </w:p>
    <w:p w14:paraId="79B32F57" w14:textId="77777777" w:rsidR="002E070E" w:rsidRPr="00256AAC" w:rsidRDefault="002E070E" w:rsidP="002E070E">
      <w:pPr>
        <w:jc w:val="center"/>
        <w:rPr>
          <w:rFonts w:ascii="Arial" w:hAnsi="Arial" w:cs="Arial"/>
          <w:b/>
          <w:bCs/>
          <w:sz w:val="26"/>
          <w:szCs w:val="26"/>
        </w:rPr>
      </w:pPr>
    </w:p>
    <w:p w14:paraId="6A2C0A4C" w14:textId="77777777" w:rsidR="002E070E" w:rsidRDefault="002E070E" w:rsidP="002E070E">
      <w:pPr>
        <w:jc w:val="center"/>
        <w:rPr>
          <w:rFonts w:ascii="Arial" w:hAnsi="Arial" w:cs="Arial"/>
          <w:b/>
          <w:bCs/>
          <w:sz w:val="44"/>
          <w:szCs w:val="44"/>
        </w:rPr>
      </w:pPr>
    </w:p>
    <w:p w14:paraId="3494D5D5" w14:textId="67F76A60" w:rsidR="00102F89" w:rsidRPr="00102F89" w:rsidRDefault="00102F89" w:rsidP="00102F89">
      <w:pPr>
        <w:spacing w:after="0" w:line="240" w:lineRule="auto"/>
        <w:rPr>
          <w:rFonts w:ascii="Times New Roman" w:eastAsia="Times New Roman" w:hAnsi="Times New Roman" w:cs="Times New Roman"/>
          <w:kern w:val="36"/>
          <w:sz w:val="48"/>
          <w:szCs w:val="48"/>
          <w:lang w:eastAsia="en-GB"/>
        </w:rPr>
      </w:pPr>
      <w:r w:rsidRPr="00102F89">
        <w:rPr>
          <w:rFonts w:ascii="Times New Roman" w:eastAsia="Times New Roman" w:hAnsi="Times New Roman" w:cs="Times New Roman"/>
          <w:sz w:val="24"/>
          <w:szCs w:val="24"/>
          <w:lang w:eastAsia="en-GB"/>
        </w:rPr>
        <w:fldChar w:fldCharType="begin"/>
      </w:r>
      <w:r w:rsidRPr="00102F89">
        <w:rPr>
          <w:rFonts w:ascii="Times New Roman" w:eastAsia="Times New Roman" w:hAnsi="Times New Roman" w:cs="Times New Roman"/>
          <w:sz w:val="24"/>
          <w:szCs w:val="24"/>
          <w:lang w:eastAsia="en-GB"/>
        </w:rPr>
        <w:instrText xml:space="preserve"> HYPERLINK "https://moodle.uwtsd.ac.uk/course/view.php?id=7826" </w:instrText>
      </w:r>
      <w:r w:rsidRPr="00102F89">
        <w:rPr>
          <w:rFonts w:ascii="Times New Roman" w:eastAsia="Times New Roman" w:hAnsi="Times New Roman" w:cs="Times New Roman"/>
          <w:sz w:val="24"/>
          <w:szCs w:val="24"/>
          <w:lang w:eastAsia="en-GB"/>
        </w:rPr>
        <w:fldChar w:fldCharType="separate"/>
      </w:r>
    </w:p>
    <w:p w14:paraId="369402D1" w14:textId="622B8452" w:rsidR="002E070E" w:rsidRPr="007E7529" w:rsidRDefault="00102F89" w:rsidP="00102F89">
      <w:pPr>
        <w:jc w:val="center"/>
        <w:rPr>
          <w:rFonts w:ascii="Arial" w:hAnsi="Arial" w:cs="Arial"/>
          <w:b/>
          <w:bCs/>
          <w:sz w:val="44"/>
          <w:szCs w:val="44"/>
        </w:rPr>
      </w:pPr>
      <w:r w:rsidRPr="00102F89">
        <w:rPr>
          <w:rFonts w:ascii="Times New Roman" w:eastAsia="Times New Roman" w:hAnsi="Times New Roman" w:cs="Times New Roman"/>
          <w:sz w:val="24"/>
          <w:szCs w:val="24"/>
          <w:lang w:eastAsia="en-GB"/>
        </w:rPr>
        <w:fldChar w:fldCharType="end"/>
      </w:r>
      <w:r>
        <w:rPr>
          <w:rFonts w:ascii="Arial" w:hAnsi="Arial" w:cs="Arial"/>
          <w:b/>
          <w:bCs/>
          <w:sz w:val="44"/>
          <w:szCs w:val="44"/>
        </w:rPr>
        <w:t xml:space="preserve">Knowledge and Information Management Skills for The Workplace </w:t>
      </w:r>
    </w:p>
    <w:p w14:paraId="673CD368" w14:textId="63E875AD" w:rsidR="002E070E" w:rsidRPr="007E7529" w:rsidRDefault="002E070E" w:rsidP="002E070E">
      <w:pPr>
        <w:jc w:val="center"/>
        <w:rPr>
          <w:rFonts w:ascii="Arial" w:hAnsi="Arial" w:cs="Arial"/>
          <w:b/>
          <w:bCs/>
          <w:sz w:val="44"/>
          <w:szCs w:val="44"/>
        </w:rPr>
      </w:pPr>
      <w:r w:rsidRPr="007E7529">
        <w:rPr>
          <w:rFonts w:ascii="Arial" w:hAnsi="Arial" w:cs="Arial"/>
          <w:b/>
          <w:bCs/>
          <w:sz w:val="44"/>
          <w:szCs w:val="44"/>
        </w:rPr>
        <w:t>(BMSW510</w:t>
      </w:r>
      <w:r w:rsidR="00102F89">
        <w:rPr>
          <w:rFonts w:ascii="Arial" w:hAnsi="Arial" w:cs="Arial"/>
          <w:b/>
          <w:bCs/>
          <w:sz w:val="44"/>
          <w:szCs w:val="44"/>
        </w:rPr>
        <w:t>6</w:t>
      </w:r>
      <w:r w:rsidRPr="007E7529">
        <w:rPr>
          <w:rFonts w:ascii="Arial" w:hAnsi="Arial" w:cs="Arial"/>
          <w:b/>
          <w:bCs/>
          <w:sz w:val="44"/>
          <w:szCs w:val="44"/>
        </w:rPr>
        <w:t>_CARD)</w:t>
      </w:r>
    </w:p>
    <w:p w14:paraId="23872190" w14:textId="77777777" w:rsidR="002E070E" w:rsidRPr="00256AAC" w:rsidRDefault="002E070E" w:rsidP="002E070E">
      <w:pPr>
        <w:rPr>
          <w:rFonts w:ascii="Arial" w:hAnsi="Arial" w:cs="Arial"/>
          <w:sz w:val="26"/>
          <w:szCs w:val="26"/>
        </w:rPr>
      </w:pPr>
    </w:p>
    <w:p w14:paraId="121F508E" w14:textId="77777777" w:rsidR="002E070E" w:rsidRPr="00256AAC" w:rsidRDefault="002E070E" w:rsidP="002E070E">
      <w:pPr>
        <w:rPr>
          <w:rFonts w:ascii="Arial" w:hAnsi="Arial" w:cs="Arial"/>
          <w:sz w:val="26"/>
          <w:szCs w:val="26"/>
        </w:rPr>
      </w:pPr>
    </w:p>
    <w:p w14:paraId="566216C0" w14:textId="4C2443A7" w:rsidR="002E070E" w:rsidRPr="00256AAC" w:rsidRDefault="002E070E" w:rsidP="002E070E">
      <w:pPr>
        <w:rPr>
          <w:rFonts w:ascii="Arial" w:hAnsi="Arial" w:cs="Arial"/>
          <w:sz w:val="26"/>
          <w:szCs w:val="26"/>
        </w:rPr>
      </w:pPr>
    </w:p>
    <w:p w14:paraId="0C0FA250" w14:textId="26444C30" w:rsidR="002E070E" w:rsidRPr="00256AAC" w:rsidRDefault="001D7C79" w:rsidP="002E070E">
      <w:pPr>
        <w:rPr>
          <w:rFonts w:ascii="Arial" w:hAnsi="Arial" w:cs="Arial"/>
          <w:sz w:val="26"/>
          <w:szCs w:val="26"/>
        </w:rPr>
      </w:pPr>
      <w:r w:rsidRPr="00256AAC">
        <w:rPr>
          <w:rFonts w:ascii="Arial" w:hAnsi="Arial" w:cs="Arial"/>
          <w:noProof/>
          <w:sz w:val="26"/>
          <w:szCs w:val="26"/>
        </w:rPr>
        <mc:AlternateContent>
          <mc:Choice Requires="wps">
            <w:drawing>
              <wp:anchor distT="0" distB="0" distL="114300" distR="114300" simplePos="0" relativeHeight="251659264" behindDoc="0" locked="0" layoutInCell="1" allowOverlap="1" wp14:anchorId="088A8444" wp14:editId="5387CD9F">
                <wp:simplePos x="0" y="0"/>
                <wp:positionH relativeFrom="margin">
                  <wp:posOffset>837565</wp:posOffset>
                </wp:positionH>
                <wp:positionV relativeFrom="paragraph">
                  <wp:posOffset>91440</wp:posOffset>
                </wp:positionV>
                <wp:extent cx="4940935" cy="461645"/>
                <wp:effectExtent l="0" t="0" r="0" b="0"/>
                <wp:wrapNone/>
                <wp:docPr id="2" name="TextBox 1">
                  <a:extLst xmlns:a="http://schemas.openxmlformats.org/drawingml/2006/main">
                    <a:ext uri="{FF2B5EF4-FFF2-40B4-BE49-F238E27FC236}">
                      <a16:creationId xmlns:a16="http://schemas.microsoft.com/office/drawing/2014/main" id="{3D4801CA-1F3A-4E3A-8139-4759C17EBD05}"/>
                    </a:ext>
                  </a:extLst>
                </wp:docPr>
                <wp:cNvGraphicFramePr/>
                <a:graphic xmlns:a="http://schemas.openxmlformats.org/drawingml/2006/main">
                  <a:graphicData uri="http://schemas.microsoft.com/office/word/2010/wordprocessingShape">
                    <wps:wsp>
                      <wps:cNvSpPr txBox="1"/>
                      <wps:spPr>
                        <a:xfrm>
                          <a:off x="0" y="0"/>
                          <a:ext cx="4940935" cy="461645"/>
                        </a:xfrm>
                        <a:prstGeom prst="rect">
                          <a:avLst/>
                        </a:prstGeom>
                        <a:noFill/>
                      </wps:spPr>
                      <wps:txbx>
                        <w:txbxContent>
                          <w:p w14:paraId="4552E0F0" w14:textId="4B093605" w:rsidR="003053F0" w:rsidRPr="003053F0" w:rsidRDefault="003053F0" w:rsidP="001D7C79">
                            <w:pPr>
                              <w:jc w:val="center"/>
                              <w:rPr>
                                <w:sz w:val="34"/>
                                <w:szCs w:val="34"/>
                              </w:rPr>
                            </w:pPr>
                            <w:r w:rsidRPr="003053F0">
                              <w:rPr>
                                <w:rFonts w:ascii="Arial" w:hAnsi="Arial" w:cs="Arial"/>
                                <w:sz w:val="42"/>
                                <w:szCs w:val="42"/>
                              </w:rPr>
                              <w:t>A critical analysis of Knowledge Management in Amazon</w:t>
                            </w:r>
                          </w:p>
                          <w:p w14:paraId="76282365" w14:textId="56A22FCE" w:rsidR="002E070E" w:rsidRPr="007E7529" w:rsidRDefault="002E070E" w:rsidP="002E070E">
                            <w:pPr>
                              <w:jc w:val="center"/>
                              <w:rPr>
                                <w:sz w:val="14"/>
                                <w:szCs w:val="14"/>
                              </w:rPr>
                            </w:pPr>
                          </w:p>
                        </w:txbxContent>
                      </wps:txbx>
                      <wps:bodyPr wrap="square" rtlCol="0">
                        <a:spAutoFit/>
                      </wps:bodyPr>
                    </wps:wsp>
                  </a:graphicData>
                </a:graphic>
                <wp14:sizeRelH relativeFrom="margin">
                  <wp14:pctWidth>0</wp14:pctWidth>
                </wp14:sizeRelH>
              </wp:anchor>
            </w:drawing>
          </mc:Choice>
          <mc:Fallback>
            <w:pict>
              <v:shapetype w14:anchorId="088A8444" id="_x0000_t202" coordsize="21600,21600" o:spt="202" path="m,l,21600r21600,l21600,xe">
                <v:stroke joinstyle="miter"/>
                <v:path gradientshapeok="t" o:connecttype="rect"/>
              </v:shapetype>
              <v:shape id="TextBox 1" o:spid="_x0000_s1026" type="#_x0000_t202" style="position:absolute;margin-left:65.95pt;margin-top:7.2pt;width:389.05pt;height:36.35pt;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" filled="f" stroked="f">
                <v:textbox style="mso-fit-shape-to-text:t">
                  <w:txbxContent>
                    <w:p w14:paraId="4552E0F0" w14:textId="4B093605" w:rsidR="003053F0" w:rsidRPr="003053F0" w:rsidRDefault="003053F0" w:rsidP="001D7C79">
                      <w:pPr>
                        <w:jc w:val="center"/>
                        <w:rPr>
                          <w:sz w:val="34"/>
                          <w:szCs w:val="34"/>
                        </w:rPr>
                      </w:pPr>
                      <w:r w:rsidRPr="003053F0">
                        <w:rPr>
                          <w:rFonts w:ascii="Arial" w:hAnsi="Arial" w:cs="Arial"/>
                          <w:sz w:val="42"/>
                          <w:szCs w:val="42"/>
                        </w:rPr>
                        <w:t>A critical analysis of Knowledge Management in Amazon</w:t>
                      </w:r>
                    </w:p>
                    <w:p w14:paraId="76282365" w14:textId="56A22FCE" w:rsidR="002E070E" w:rsidRPr="007E7529" w:rsidRDefault="002E070E" w:rsidP="002E070E">
                      <w:pPr>
                        <w:jc w:val="center"/>
                        <w:rPr>
                          <w:sz w:val="14"/>
                          <w:szCs w:val="14"/>
                        </w:rPr>
                      </w:pPr>
                    </w:p>
                  </w:txbxContent>
                </v:textbox>
                <w10:wrap anchorx="margin"/>
              </v:shape>
            </w:pict>
          </mc:Fallback>
        </mc:AlternateContent>
      </w:r>
    </w:p>
    <w:p w14:paraId="4ED29361" w14:textId="77777777" w:rsidR="002E070E" w:rsidRPr="00256AAC" w:rsidRDefault="002E070E" w:rsidP="002E070E">
      <w:pPr>
        <w:jc w:val="center"/>
        <w:rPr>
          <w:rFonts w:ascii="Arial" w:hAnsi="Arial" w:cs="Arial"/>
          <w:b/>
          <w:bCs/>
          <w:sz w:val="26"/>
          <w:szCs w:val="26"/>
        </w:rPr>
      </w:pPr>
    </w:p>
    <w:p w14:paraId="7F6CD28A" w14:textId="77777777" w:rsidR="002E070E" w:rsidRPr="00F24011" w:rsidRDefault="002E070E" w:rsidP="002E070E">
      <w:pPr>
        <w:jc w:val="center"/>
        <w:rPr>
          <w:rFonts w:ascii="Arial" w:hAnsi="Arial" w:cs="Arial"/>
          <w:b/>
          <w:bCs/>
          <w:sz w:val="30"/>
          <w:szCs w:val="30"/>
        </w:rPr>
      </w:pPr>
    </w:p>
    <w:p w14:paraId="0CD60454" w14:textId="4592A835" w:rsidR="002E070E" w:rsidRPr="00F24011" w:rsidRDefault="00F24011" w:rsidP="002E070E">
      <w:pPr>
        <w:jc w:val="center"/>
        <w:rPr>
          <w:rFonts w:ascii="Arial" w:hAnsi="Arial" w:cs="Arial"/>
          <w:b/>
          <w:bCs/>
          <w:sz w:val="30"/>
          <w:szCs w:val="30"/>
        </w:rPr>
      </w:pPr>
      <w:r w:rsidRPr="00F24011">
        <w:rPr>
          <w:rFonts w:ascii="Arial" w:hAnsi="Arial" w:cs="Arial"/>
          <w:b/>
          <w:bCs/>
          <w:sz w:val="30"/>
          <w:szCs w:val="30"/>
        </w:rPr>
        <w:t xml:space="preserve">Supplementary Note </w:t>
      </w:r>
    </w:p>
    <w:p w14:paraId="0970B84D" w14:textId="77777777" w:rsidR="002E070E" w:rsidRPr="00256AAC" w:rsidRDefault="002E070E" w:rsidP="002E070E">
      <w:pPr>
        <w:jc w:val="center"/>
        <w:rPr>
          <w:rFonts w:ascii="Arial" w:hAnsi="Arial" w:cs="Arial"/>
          <w:b/>
          <w:bCs/>
          <w:sz w:val="26"/>
          <w:szCs w:val="26"/>
        </w:rPr>
      </w:pPr>
    </w:p>
    <w:p w14:paraId="445B14C6" w14:textId="77777777" w:rsidR="002E070E" w:rsidRPr="00256AAC" w:rsidRDefault="002E070E" w:rsidP="002E070E">
      <w:pPr>
        <w:jc w:val="center"/>
        <w:rPr>
          <w:rFonts w:ascii="Arial" w:hAnsi="Arial" w:cs="Arial"/>
          <w:b/>
          <w:bCs/>
          <w:sz w:val="26"/>
          <w:szCs w:val="26"/>
        </w:rPr>
      </w:pPr>
    </w:p>
    <w:p w14:paraId="7538CF9C" w14:textId="77777777" w:rsidR="002E070E" w:rsidRPr="00256AAC" w:rsidRDefault="002E070E" w:rsidP="002E070E">
      <w:pPr>
        <w:jc w:val="center"/>
        <w:rPr>
          <w:rFonts w:ascii="Arial" w:hAnsi="Arial" w:cs="Arial"/>
          <w:b/>
          <w:bCs/>
          <w:sz w:val="26"/>
          <w:szCs w:val="26"/>
        </w:rPr>
      </w:pPr>
    </w:p>
    <w:p w14:paraId="1F819227" w14:textId="77777777" w:rsidR="002E070E" w:rsidRPr="007E7529" w:rsidRDefault="002E070E" w:rsidP="002E070E">
      <w:pPr>
        <w:jc w:val="center"/>
        <w:rPr>
          <w:rFonts w:ascii="Arial" w:hAnsi="Arial" w:cs="Arial"/>
          <w:b/>
          <w:bCs/>
          <w:sz w:val="36"/>
          <w:szCs w:val="36"/>
        </w:rPr>
      </w:pPr>
      <w:r w:rsidRPr="007E7529">
        <w:rPr>
          <w:rFonts w:ascii="Arial" w:hAnsi="Arial" w:cs="Arial"/>
          <w:b/>
          <w:bCs/>
          <w:sz w:val="36"/>
          <w:szCs w:val="36"/>
        </w:rPr>
        <w:t>Sarwat Asfi</w:t>
      </w:r>
    </w:p>
    <w:p w14:paraId="5F6B72BD" w14:textId="48D0AD05" w:rsidR="002E070E" w:rsidRDefault="002E070E" w:rsidP="002E070E">
      <w:pPr>
        <w:jc w:val="center"/>
        <w:rPr>
          <w:rFonts w:ascii="Arial" w:hAnsi="Arial" w:cs="Arial"/>
          <w:sz w:val="26"/>
          <w:szCs w:val="26"/>
          <w:lang w:val="en-AU"/>
        </w:rPr>
      </w:pPr>
      <w:r w:rsidRPr="007E7529">
        <w:rPr>
          <w:rFonts w:ascii="Arial" w:hAnsi="Arial" w:cs="Arial"/>
          <w:b/>
          <w:bCs/>
          <w:sz w:val="36"/>
          <w:szCs w:val="36"/>
        </w:rPr>
        <w:t>Student # 1905650</w:t>
      </w:r>
      <w:r>
        <w:rPr>
          <w:rFonts w:ascii="Arial" w:hAnsi="Arial" w:cs="Arial"/>
          <w:sz w:val="26"/>
          <w:szCs w:val="26"/>
          <w:lang w:val="en-AU"/>
        </w:rPr>
        <w:br w:type="page"/>
      </w:r>
    </w:p>
    <w:p w14:paraId="330CB6A9" w14:textId="6016FE4E" w:rsidR="002319C0" w:rsidRPr="002319C0" w:rsidRDefault="002319C0" w:rsidP="002319C0">
      <w:pPr>
        <w:spacing w:line="360" w:lineRule="auto"/>
        <w:jc w:val="center"/>
        <w:rPr>
          <w:rFonts w:ascii="Arial" w:hAnsi="Arial" w:cs="Arial"/>
          <w:b/>
          <w:bCs/>
          <w:sz w:val="26"/>
          <w:szCs w:val="26"/>
          <w:lang w:val="en-AU"/>
        </w:rPr>
      </w:pPr>
      <w:r w:rsidRPr="002319C0">
        <w:rPr>
          <w:rFonts w:ascii="Arial" w:hAnsi="Arial" w:cs="Arial"/>
          <w:b/>
          <w:bCs/>
          <w:sz w:val="26"/>
          <w:szCs w:val="26"/>
          <w:lang w:val="en-AU"/>
        </w:rPr>
        <w:lastRenderedPageBreak/>
        <w:t>Amazon Knowledge Acquisition</w:t>
      </w:r>
    </w:p>
    <w:p w14:paraId="421A19EB" w14:textId="6B15B8E4" w:rsidR="001B678F" w:rsidRPr="001B678F" w:rsidRDefault="001B678F" w:rsidP="001B678F">
      <w:pPr>
        <w:spacing w:line="360" w:lineRule="auto"/>
        <w:jc w:val="both"/>
        <w:rPr>
          <w:rFonts w:ascii="Arial" w:hAnsi="Arial" w:cs="Arial"/>
          <w:sz w:val="26"/>
          <w:szCs w:val="26"/>
          <w:lang w:val="en-AU"/>
        </w:rPr>
      </w:pPr>
      <w:r w:rsidRPr="001B678F">
        <w:rPr>
          <w:rFonts w:ascii="Arial" w:hAnsi="Arial" w:cs="Arial"/>
          <w:sz w:val="26"/>
          <w:szCs w:val="26"/>
          <w:lang w:val="en-AU"/>
        </w:rPr>
        <w:t>Amazon gets its knowledge from several sources</w:t>
      </w:r>
      <w:r w:rsidR="002319C0">
        <w:rPr>
          <w:rFonts w:ascii="Arial" w:hAnsi="Arial" w:cs="Arial"/>
          <w:sz w:val="26"/>
          <w:szCs w:val="26"/>
          <w:lang w:val="en-AU"/>
        </w:rPr>
        <w:t>, s</w:t>
      </w:r>
      <w:r w:rsidRPr="001B678F">
        <w:rPr>
          <w:rFonts w:ascii="Arial" w:hAnsi="Arial" w:cs="Arial"/>
          <w:sz w:val="26"/>
          <w:szCs w:val="26"/>
          <w:lang w:val="en-AU"/>
        </w:rPr>
        <w:t xml:space="preserve">ome primary data acquisition sources are customers, suppliers, competitors, partners /alliances, and other expertise. The type of data acquired by the company is varied depending on the source of acquisition and the intention of use of the data. For example, the knowledge acquired from the customers includes the supplier, </w:t>
      </w:r>
      <w:r w:rsidRPr="001B678F">
        <w:rPr>
          <w:rFonts w:ascii="Arial" w:hAnsi="Arial" w:cs="Arial"/>
          <w:sz w:val="26"/>
          <w:szCs w:val="26"/>
          <w:lang w:val="en-AU"/>
        </w:rPr>
        <w:t>market,</w:t>
      </w:r>
      <w:r w:rsidRPr="001B678F">
        <w:rPr>
          <w:rFonts w:ascii="Arial" w:hAnsi="Arial" w:cs="Arial"/>
          <w:sz w:val="26"/>
          <w:szCs w:val="26"/>
          <w:lang w:val="en-AU"/>
        </w:rPr>
        <w:t xml:space="preserve"> and product data (Zhu &amp; Liu, 2018). </w:t>
      </w:r>
    </w:p>
    <w:p w14:paraId="04A658FF" w14:textId="67DCAB17" w:rsidR="001B678F" w:rsidRPr="001B678F" w:rsidRDefault="001B678F" w:rsidP="001B678F">
      <w:pPr>
        <w:spacing w:line="360" w:lineRule="auto"/>
        <w:jc w:val="both"/>
        <w:rPr>
          <w:rFonts w:ascii="Arial" w:hAnsi="Arial" w:cs="Arial"/>
          <w:sz w:val="26"/>
          <w:szCs w:val="26"/>
        </w:rPr>
      </w:pPr>
      <w:r w:rsidRPr="001B678F">
        <w:rPr>
          <w:rFonts w:ascii="Arial" w:hAnsi="Arial" w:cs="Arial"/>
          <w:sz w:val="26"/>
          <w:szCs w:val="26"/>
          <w:lang w:val="en-AU"/>
        </w:rPr>
        <w:t xml:space="preserve">According to Ritala et al. (2014), this is the type of knowledge that enables the company to better understand its customers and their motivations and respond to them appropriately. This may include purchasing activities, </w:t>
      </w:r>
      <w:r w:rsidR="003C318A" w:rsidRPr="001B678F">
        <w:rPr>
          <w:rFonts w:ascii="Arial" w:hAnsi="Arial" w:cs="Arial"/>
          <w:sz w:val="26"/>
          <w:szCs w:val="26"/>
          <w:lang w:val="en-AU"/>
        </w:rPr>
        <w:t>expectations,</w:t>
      </w:r>
      <w:r w:rsidRPr="001B678F">
        <w:rPr>
          <w:rFonts w:ascii="Arial" w:hAnsi="Arial" w:cs="Arial"/>
          <w:sz w:val="26"/>
          <w:szCs w:val="26"/>
          <w:lang w:val="en-AU"/>
        </w:rPr>
        <w:t xml:space="preserve"> and requirements. Amazon collectively uses this knowledge to improve its product and services. </w:t>
      </w:r>
    </w:p>
    <w:p w14:paraId="5C36AC97" w14:textId="08EFCB2E" w:rsidR="002319C0" w:rsidRPr="002319C0" w:rsidRDefault="002319C0" w:rsidP="002319C0">
      <w:pPr>
        <w:spacing w:line="360" w:lineRule="auto"/>
        <w:jc w:val="center"/>
        <w:rPr>
          <w:rFonts w:ascii="Arial" w:hAnsi="Arial" w:cs="Arial"/>
          <w:b/>
          <w:bCs/>
          <w:sz w:val="26"/>
          <w:szCs w:val="26"/>
          <w:lang w:val="en-AU"/>
        </w:rPr>
      </w:pPr>
      <w:r w:rsidRPr="002319C0">
        <w:rPr>
          <w:rFonts w:ascii="Arial" w:hAnsi="Arial" w:cs="Arial"/>
          <w:b/>
          <w:bCs/>
          <w:sz w:val="26"/>
          <w:szCs w:val="26"/>
          <w:lang w:val="en-AU"/>
        </w:rPr>
        <w:t>Weggeman Model</w:t>
      </w:r>
    </w:p>
    <w:p w14:paraId="7CB0D61F" w14:textId="3B62E6A2" w:rsidR="001B678F" w:rsidRPr="001B678F" w:rsidRDefault="001B678F" w:rsidP="001B678F">
      <w:pPr>
        <w:spacing w:line="360" w:lineRule="auto"/>
        <w:jc w:val="both"/>
        <w:rPr>
          <w:rFonts w:ascii="Arial" w:hAnsi="Arial" w:cs="Arial"/>
          <w:sz w:val="26"/>
          <w:szCs w:val="26"/>
        </w:rPr>
      </w:pPr>
      <w:r w:rsidRPr="001B678F">
        <w:rPr>
          <w:rFonts w:ascii="Arial" w:hAnsi="Arial" w:cs="Arial"/>
          <w:sz w:val="26"/>
          <w:szCs w:val="26"/>
          <w:lang w:val="en-AU"/>
        </w:rPr>
        <w:t>Amazon ensures the accuracy of the knowledge by deploying the Weggeman typology model to organize the information proficiently. The model passes the knowledge through a chronological process, knowledge inventory, development, sharing, application, and evaluation</w:t>
      </w:r>
      <w:r w:rsidR="001D7C79">
        <w:rPr>
          <w:rFonts w:ascii="Arial" w:hAnsi="Arial" w:cs="Arial"/>
          <w:sz w:val="26"/>
          <w:szCs w:val="26"/>
          <w:lang w:val="en-AU"/>
        </w:rPr>
        <w:t xml:space="preserve"> </w:t>
      </w:r>
      <w:r w:rsidR="001D7C79">
        <w:rPr>
          <w:rFonts w:ascii="Arial" w:hAnsi="Arial" w:cs="Arial"/>
          <w:sz w:val="26"/>
          <w:szCs w:val="26"/>
          <w:lang w:val="en-AU"/>
        </w:rPr>
        <w:fldChar w:fldCharType="begin"/>
      </w:r>
      <w:r w:rsidR="001D7C79">
        <w:rPr>
          <w:rFonts w:ascii="Arial" w:hAnsi="Arial" w:cs="Arial"/>
          <w:sz w:val="26"/>
          <w:szCs w:val="26"/>
          <w:lang w:val="en-AU"/>
        </w:rPr>
        <w:instrText xml:space="preserve"> ADDIN ZOTERO_ITEM CSL_CITATION {"citationID":"71AIgscK","properties":{"formattedCitation":"(toolshero, 2014)","plainCitation":"(toolshero, 2014)","noteIndex":0},"citationItems":[{"id":324,"uris":["http://zotero.org/users/local/HmlzM7AJ/items/7HRFWJJW"],"uri":["http://zotero.org/users/local/HmlzM7AJ/items/7HRFWJJW"],"itemData":{"id":324,"type":"webpage","abstract":"The Knowledge Management Value Chain model helps you to understand the structured development, transfer and application of knowledge.","container-title":"toolshero","language":"en","title":"What is the Knowledge Management Value Chain model","URL":"https://www.toolshero.com/management/knowledge-management-value-chain/","accessed":{"date-parts":[["2021",6,6]]},"issued":{"date-parts":[["2014",3,11]]}}}],"schema":"https://github.com/citation-style-language/schema/raw/master/csl-citation.json"} </w:instrText>
      </w:r>
      <w:r w:rsidR="001D7C79">
        <w:rPr>
          <w:rFonts w:ascii="Arial" w:hAnsi="Arial" w:cs="Arial"/>
          <w:sz w:val="26"/>
          <w:szCs w:val="26"/>
          <w:lang w:val="en-AU"/>
        </w:rPr>
        <w:fldChar w:fldCharType="separate"/>
      </w:r>
      <w:r w:rsidR="001D7C79" w:rsidRPr="007335B6">
        <w:rPr>
          <w:rFonts w:ascii="Arial" w:hAnsi="Arial" w:cs="Arial"/>
          <w:sz w:val="26"/>
        </w:rPr>
        <w:t>(toolshero, 2014)</w:t>
      </w:r>
      <w:r w:rsidR="001D7C79">
        <w:rPr>
          <w:rFonts w:ascii="Arial" w:hAnsi="Arial" w:cs="Arial"/>
          <w:sz w:val="26"/>
          <w:szCs w:val="26"/>
          <w:lang w:val="en-AU"/>
        </w:rPr>
        <w:fldChar w:fldCharType="end"/>
      </w:r>
      <w:r w:rsidR="001D7C79">
        <w:rPr>
          <w:rFonts w:ascii="Arial" w:hAnsi="Arial" w:cs="Arial"/>
          <w:sz w:val="26"/>
          <w:szCs w:val="26"/>
          <w:lang w:val="en-AU"/>
        </w:rPr>
        <w:t>.</w:t>
      </w:r>
      <w:r w:rsidR="001D7C79">
        <w:rPr>
          <w:rFonts w:ascii="Arial" w:hAnsi="Arial" w:cs="Arial"/>
          <w:sz w:val="26"/>
          <w:szCs w:val="26"/>
          <w:lang w:val="en-AU"/>
        </w:rPr>
        <w:t xml:space="preserve"> </w:t>
      </w:r>
      <w:r w:rsidRPr="001B678F">
        <w:rPr>
          <w:rFonts w:ascii="Arial" w:hAnsi="Arial" w:cs="Arial"/>
          <w:sz w:val="26"/>
          <w:szCs w:val="26"/>
          <w:lang w:val="en-AU"/>
        </w:rPr>
        <w:t>The processes ensure that that the final knowledge is accurate and reliable</w:t>
      </w:r>
      <w:r w:rsidR="001D7C79">
        <w:rPr>
          <w:rFonts w:ascii="Arial" w:hAnsi="Arial" w:cs="Arial"/>
          <w:sz w:val="26"/>
          <w:szCs w:val="26"/>
          <w:lang w:val="en-AU"/>
        </w:rPr>
        <w:t xml:space="preserve">. </w:t>
      </w:r>
      <w:r w:rsidRPr="001B678F">
        <w:rPr>
          <w:rFonts w:ascii="Arial" w:hAnsi="Arial" w:cs="Arial"/>
          <w:sz w:val="26"/>
          <w:szCs w:val="26"/>
          <w:lang w:val="en-AU"/>
        </w:rPr>
        <w:t>Furthermore, in acquiring knowledge from varied sources, Amazon uses both internal and external sources. For instance, internal sources included sources within the company, whereas external sources include the company’s competitors and customers.</w:t>
      </w:r>
    </w:p>
    <w:p w14:paraId="271358E7" w14:textId="15B0729C" w:rsidR="001B678F" w:rsidRPr="001B678F" w:rsidRDefault="001B678F" w:rsidP="001B678F">
      <w:pPr>
        <w:spacing w:line="360" w:lineRule="auto"/>
        <w:jc w:val="both"/>
        <w:rPr>
          <w:rFonts w:ascii="Arial" w:hAnsi="Arial" w:cs="Arial"/>
          <w:sz w:val="26"/>
          <w:szCs w:val="26"/>
        </w:rPr>
      </w:pPr>
      <w:r w:rsidRPr="001B678F">
        <w:rPr>
          <w:rFonts w:ascii="Arial" w:hAnsi="Arial" w:cs="Arial"/>
          <w:sz w:val="26"/>
          <w:szCs w:val="26"/>
          <w:lang w:val="en-AU"/>
        </w:rPr>
        <w:t xml:space="preserve">Amazon is an e-commerce company with a high level of technology. </w:t>
      </w:r>
      <w:r w:rsidR="002319C0">
        <w:rPr>
          <w:rFonts w:ascii="Arial" w:hAnsi="Arial" w:cs="Arial"/>
          <w:sz w:val="26"/>
          <w:szCs w:val="26"/>
          <w:lang w:val="en-AU"/>
        </w:rPr>
        <w:t>A</w:t>
      </w:r>
      <w:r w:rsidRPr="001B678F">
        <w:rPr>
          <w:rFonts w:ascii="Arial" w:hAnsi="Arial" w:cs="Arial"/>
          <w:sz w:val="26"/>
          <w:szCs w:val="26"/>
          <w:lang w:val="en-AU"/>
        </w:rPr>
        <w:t xml:space="preserve">s a </w:t>
      </w:r>
      <w:r w:rsidR="002319C0">
        <w:rPr>
          <w:rFonts w:ascii="Arial" w:hAnsi="Arial" w:cs="Arial"/>
          <w:sz w:val="26"/>
          <w:szCs w:val="26"/>
          <w:lang w:val="en-AU"/>
        </w:rPr>
        <w:t xml:space="preserve">result, </w:t>
      </w:r>
      <w:r w:rsidRPr="001B678F">
        <w:rPr>
          <w:rFonts w:ascii="Arial" w:hAnsi="Arial" w:cs="Arial"/>
          <w:sz w:val="26"/>
          <w:szCs w:val="26"/>
          <w:lang w:val="en-AU"/>
        </w:rPr>
        <w:t>Amazon does not schedule meetings for knowledge sharing. Instead, the company deploys technological features such as crowdsourcing, modular content, Reminders, Alerts, and Subscriptions (Ramaswamy &amp; Ozcan, 2019). For example, through crowdsourcing, the company creates relevant awareness and knowledge in its customers through features such as images, reviews, customer-provided ratings, and an analysis of what customers previously purchased. Several online shopping stores have imitated this approach by Amazon, the prototype of most of these social features. However, Amazon is doing it well by building a sense of community without formal communities of practice (Lee, 2016).</w:t>
      </w:r>
    </w:p>
    <w:p w14:paraId="448CE123" w14:textId="3ACA1D88" w:rsidR="003C318A" w:rsidRDefault="001B678F" w:rsidP="001B678F">
      <w:pPr>
        <w:spacing w:line="360" w:lineRule="auto"/>
        <w:jc w:val="both"/>
        <w:rPr>
          <w:rFonts w:ascii="Arial" w:hAnsi="Arial" w:cs="Arial"/>
          <w:sz w:val="26"/>
          <w:szCs w:val="26"/>
          <w:lang w:val="en-AU"/>
        </w:rPr>
      </w:pPr>
      <w:r w:rsidRPr="001B678F">
        <w:rPr>
          <w:rFonts w:ascii="Arial" w:hAnsi="Arial" w:cs="Arial"/>
          <w:sz w:val="26"/>
          <w:szCs w:val="26"/>
          <w:lang w:val="en-AU"/>
        </w:rPr>
        <w:t xml:space="preserve">Additionally, through reminders, alerts, and subscriptions, customers </w:t>
      </w:r>
      <w:r w:rsidR="002319C0" w:rsidRPr="001B678F">
        <w:rPr>
          <w:rFonts w:ascii="Arial" w:hAnsi="Arial" w:cs="Arial"/>
          <w:sz w:val="26"/>
          <w:szCs w:val="26"/>
          <w:lang w:val="en-AU"/>
        </w:rPr>
        <w:t>check</w:t>
      </w:r>
      <w:r w:rsidRPr="001B678F">
        <w:rPr>
          <w:rFonts w:ascii="Arial" w:hAnsi="Arial" w:cs="Arial"/>
          <w:sz w:val="26"/>
          <w:szCs w:val="26"/>
          <w:lang w:val="en-AU"/>
        </w:rPr>
        <w:t xml:space="preserve"> through the company’s site daily, searching for a specific service or product, </w:t>
      </w:r>
      <w:r w:rsidR="002319C0">
        <w:rPr>
          <w:rFonts w:ascii="Arial" w:hAnsi="Arial" w:cs="Arial"/>
          <w:sz w:val="26"/>
          <w:szCs w:val="26"/>
          <w:lang w:val="en-AU"/>
        </w:rPr>
        <w:t xml:space="preserve">which are </w:t>
      </w:r>
      <w:r w:rsidRPr="001B678F">
        <w:rPr>
          <w:rFonts w:ascii="Arial" w:hAnsi="Arial" w:cs="Arial"/>
          <w:sz w:val="26"/>
          <w:szCs w:val="26"/>
          <w:lang w:val="en-AU"/>
        </w:rPr>
        <w:t>sorted</w:t>
      </w:r>
      <w:r w:rsidR="002319C0">
        <w:rPr>
          <w:rFonts w:ascii="Arial" w:hAnsi="Arial" w:cs="Arial"/>
          <w:sz w:val="26"/>
          <w:szCs w:val="26"/>
          <w:lang w:val="en-AU"/>
        </w:rPr>
        <w:t xml:space="preserve"> on the </w:t>
      </w:r>
      <w:r w:rsidR="002319C0">
        <w:rPr>
          <w:rFonts w:ascii="Arial" w:hAnsi="Arial" w:cs="Arial"/>
          <w:sz w:val="26"/>
          <w:szCs w:val="26"/>
          <w:lang w:val="en-AU"/>
        </w:rPr>
        <w:lastRenderedPageBreak/>
        <w:t>website</w:t>
      </w:r>
      <w:r w:rsidRPr="001B678F">
        <w:rPr>
          <w:rFonts w:ascii="Arial" w:hAnsi="Arial" w:cs="Arial"/>
          <w:sz w:val="26"/>
          <w:szCs w:val="26"/>
          <w:lang w:val="en-AU"/>
        </w:rPr>
        <w:t>. They only need to request the system for a reminder or subscribe to a list for regular updates. The outcome is that Amazon’s customers are put in the know without them asking a question. Therefore, the supremacy of Amazon over other e-commerce organi</w:t>
      </w:r>
      <w:r w:rsidR="002319C0">
        <w:rPr>
          <w:rFonts w:ascii="Arial" w:hAnsi="Arial" w:cs="Arial"/>
          <w:sz w:val="26"/>
          <w:szCs w:val="26"/>
          <w:lang w:val="en-AU"/>
        </w:rPr>
        <w:t>s</w:t>
      </w:r>
      <w:r w:rsidRPr="001B678F">
        <w:rPr>
          <w:rFonts w:ascii="Arial" w:hAnsi="Arial" w:cs="Arial"/>
          <w:sz w:val="26"/>
          <w:szCs w:val="26"/>
          <w:lang w:val="en-AU"/>
        </w:rPr>
        <w:t xml:space="preserve">ations like eBay and Alibaba in this feature enables the company’s system to search for customers. </w:t>
      </w:r>
    </w:p>
    <w:p w14:paraId="2C46504A" w14:textId="4F3261F0" w:rsidR="001B678F" w:rsidRPr="001B678F" w:rsidRDefault="001B678F" w:rsidP="001B678F">
      <w:pPr>
        <w:spacing w:line="360" w:lineRule="auto"/>
        <w:jc w:val="both"/>
        <w:rPr>
          <w:rFonts w:ascii="Arial" w:hAnsi="Arial" w:cs="Arial"/>
          <w:sz w:val="26"/>
          <w:szCs w:val="26"/>
        </w:rPr>
      </w:pPr>
      <w:r w:rsidRPr="001B678F">
        <w:rPr>
          <w:rFonts w:ascii="Arial" w:hAnsi="Arial" w:cs="Arial"/>
          <w:sz w:val="26"/>
          <w:szCs w:val="26"/>
          <w:lang w:val="en-AU"/>
        </w:rPr>
        <w:t>According to Borjigen (2015), this has improved Amazon’s productivity because the K</w:t>
      </w:r>
      <w:r w:rsidR="002319C0">
        <w:rPr>
          <w:rFonts w:ascii="Arial" w:hAnsi="Arial" w:cs="Arial"/>
          <w:sz w:val="26"/>
          <w:szCs w:val="26"/>
          <w:lang w:val="en-AU"/>
        </w:rPr>
        <w:t xml:space="preserve">nowledge </w:t>
      </w:r>
      <w:r w:rsidRPr="001B678F">
        <w:rPr>
          <w:rFonts w:ascii="Arial" w:hAnsi="Arial" w:cs="Arial"/>
          <w:sz w:val="26"/>
          <w:szCs w:val="26"/>
          <w:lang w:val="en-AU"/>
        </w:rPr>
        <w:t>M</w:t>
      </w:r>
      <w:r w:rsidR="002319C0">
        <w:rPr>
          <w:rFonts w:ascii="Arial" w:hAnsi="Arial" w:cs="Arial"/>
          <w:sz w:val="26"/>
          <w:szCs w:val="26"/>
          <w:lang w:val="en-AU"/>
        </w:rPr>
        <w:t xml:space="preserve">anagement </w:t>
      </w:r>
      <w:r w:rsidRPr="001B678F">
        <w:rPr>
          <w:rFonts w:ascii="Arial" w:hAnsi="Arial" w:cs="Arial"/>
          <w:sz w:val="26"/>
          <w:szCs w:val="26"/>
          <w:lang w:val="en-AU"/>
        </w:rPr>
        <w:t>system, when integrated with personali</w:t>
      </w:r>
      <w:r w:rsidR="002319C0">
        <w:rPr>
          <w:rFonts w:ascii="Arial" w:hAnsi="Arial" w:cs="Arial"/>
          <w:sz w:val="26"/>
          <w:szCs w:val="26"/>
          <w:lang w:val="en-AU"/>
        </w:rPr>
        <w:t>s</w:t>
      </w:r>
      <w:r w:rsidRPr="001B678F">
        <w:rPr>
          <w:rFonts w:ascii="Arial" w:hAnsi="Arial" w:cs="Arial"/>
          <w:sz w:val="26"/>
          <w:szCs w:val="26"/>
          <w:lang w:val="en-AU"/>
        </w:rPr>
        <w:t xml:space="preserve">ation, enhances new information awareness without exhausting and repetitive searches. </w:t>
      </w:r>
    </w:p>
    <w:p w14:paraId="2082ED78" w14:textId="20FED2D0" w:rsidR="001B678F" w:rsidRPr="001B678F" w:rsidRDefault="001B678F" w:rsidP="001B678F">
      <w:pPr>
        <w:spacing w:line="360" w:lineRule="auto"/>
        <w:jc w:val="both"/>
        <w:rPr>
          <w:rFonts w:ascii="Arial" w:hAnsi="Arial" w:cs="Arial"/>
          <w:sz w:val="26"/>
          <w:szCs w:val="26"/>
        </w:rPr>
      </w:pPr>
      <w:r w:rsidRPr="001B678F">
        <w:rPr>
          <w:rFonts w:ascii="Arial" w:hAnsi="Arial" w:cs="Arial"/>
          <w:sz w:val="26"/>
          <w:szCs w:val="26"/>
          <w:lang w:val="en-AU"/>
        </w:rPr>
        <w:t>Amazon has no established community or practice; instead, the company has built a sense of community through crowdsourcing without formal communities of practice. Crowdsourcing ensures that the company disse</w:t>
      </w:r>
      <w:r w:rsidR="00D4349D">
        <w:rPr>
          <w:rFonts w:ascii="Arial" w:hAnsi="Arial" w:cs="Arial"/>
          <w:sz w:val="26"/>
          <w:szCs w:val="26"/>
          <w:lang w:val="en-AU"/>
        </w:rPr>
        <w:t>7</w:t>
      </w:r>
      <w:r w:rsidRPr="001B678F">
        <w:rPr>
          <w:rFonts w:ascii="Arial" w:hAnsi="Arial" w:cs="Arial"/>
          <w:sz w:val="26"/>
          <w:szCs w:val="26"/>
          <w:lang w:val="en-AU"/>
        </w:rPr>
        <w:t>minates relevant awareness and knowledge to its customers through features such as images, reviews, customer-provided ratings, and an analysis of what customers previously purchased.</w:t>
      </w:r>
    </w:p>
    <w:p w14:paraId="5437F7AC" w14:textId="77777777" w:rsidR="003C318A" w:rsidRDefault="001B678F" w:rsidP="001B678F">
      <w:pPr>
        <w:spacing w:line="360" w:lineRule="auto"/>
        <w:jc w:val="both"/>
        <w:rPr>
          <w:rFonts w:ascii="Arial" w:hAnsi="Arial" w:cs="Arial"/>
          <w:sz w:val="26"/>
          <w:szCs w:val="26"/>
          <w:lang w:val="en-AU"/>
        </w:rPr>
      </w:pPr>
      <w:r w:rsidRPr="001B678F">
        <w:rPr>
          <w:rFonts w:ascii="Arial" w:hAnsi="Arial" w:cs="Arial"/>
          <w:sz w:val="26"/>
          <w:szCs w:val="26"/>
          <w:lang w:val="en-AU"/>
        </w:rPr>
        <w:t>Knowledge is highly valued/given high currency in the company. This is evident in the company’s continued investment in knowledge management. As a retail e-commerce giant, Amazon understands the potential of information and the digital economy (Lichtenthaler, 2020).</w:t>
      </w:r>
    </w:p>
    <w:p w14:paraId="51158E57" w14:textId="02255555" w:rsidR="000C715E" w:rsidRDefault="001B678F" w:rsidP="001B678F">
      <w:pPr>
        <w:spacing w:line="360" w:lineRule="auto"/>
        <w:jc w:val="both"/>
        <w:rPr>
          <w:rFonts w:ascii="Arial" w:hAnsi="Arial" w:cs="Arial"/>
          <w:sz w:val="26"/>
          <w:szCs w:val="26"/>
          <w:lang w:val="en-AU"/>
        </w:rPr>
      </w:pPr>
      <w:r w:rsidRPr="001B678F">
        <w:rPr>
          <w:rFonts w:ascii="Arial" w:hAnsi="Arial" w:cs="Arial"/>
          <w:sz w:val="26"/>
          <w:szCs w:val="26"/>
          <w:lang w:val="en-AU"/>
        </w:rPr>
        <w:t>As a result, the company highly values knowledge as a significant source of wealth and prosperity by investing in producing and distributing knowledge and information and increasingly depending on digital technology to promote its business processes and endeavours.</w:t>
      </w:r>
    </w:p>
    <w:p w14:paraId="54A71DD5" w14:textId="77777777" w:rsidR="000C715E" w:rsidRDefault="000C715E">
      <w:pPr>
        <w:rPr>
          <w:rFonts w:ascii="Arial" w:hAnsi="Arial" w:cs="Arial"/>
          <w:sz w:val="26"/>
          <w:szCs w:val="26"/>
          <w:lang w:val="en-AU"/>
        </w:rPr>
      </w:pPr>
      <w:r>
        <w:rPr>
          <w:rFonts w:ascii="Arial" w:hAnsi="Arial" w:cs="Arial"/>
          <w:sz w:val="26"/>
          <w:szCs w:val="26"/>
          <w:lang w:val="en-AU"/>
        </w:rPr>
        <w:br w:type="page"/>
      </w:r>
    </w:p>
    <w:p w14:paraId="00AB84A7" w14:textId="3BE08F02" w:rsidR="00A10CE8" w:rsidRPr="00A10CE8" w:rsidRDefault="00A10CE8" w:rsidP="00A10CE8">
      <w:pPr>
        <w:spacing w:line="360" w:lineRule="auto"/>
        <w:jc w:val="both"/>
        <w:rPr>
          <w:rFonts w:ascii="Arial" w:hAnsi="Arial" w:cs="Arial"/>
          <w:b/>
          <w:bCs/>
          <w:sz w:val="34"/>
          <w:szCs w:val="34"/>
        </w:rPr>
      </w:pPr>
      <w:r w:rsidRPr="00A10CE8">
        <w:rPr>
          <w:rFonts w:ascii="Arial" w:hAnsi="Arial" w:cs="Arial"/>
          <w:b/>
          <w:bCs/>
          <w:sz w:val="34"/>
          <w:szCs w:val="34"/>
        </w:rPr>
        <w:lastRenderedPageBreak/>
        <w:t>References</w:t>
      </w:r>
    </w:p>
    <w:p w14:paraId="66598416" w14:textId="4FD3853E" w:rsidR="000C715E" w:rsidRPr="000C715E" w:rsidRDefault="000C715E" w:rsidP="000C715E">
      <w:pPr>
        <w:numPr>
          <w:ilvl w:val="0"/>
          <w:numId w:val="1"/>
        </w:numPr>
        <w:spacing w:line="360" w:lineRule="auto"/>
        <w:jc w:val="both"/>
        <w:rPr>
          <w:rFonts w:ascii="Arial" w:hAnsi="Arial" w:cs="Arial"/>
          <w:sz w:val="26"/>
          <w:szCs w:val="26"/>
        </w:rPr>
      </w:pPr>
      <w:r w:rsidRPr="000C715E">
        <w:rPr>
          <w:rFonts w:ascii="Arial" w:hAnsi="Arial" w:cs="Arial"/>
          <w:sz w:val="26"/>
          <w:szCs w:val="26"/>
          <w:lang w:val="en-US"/>
        </w:rPr>
        <w:t>Borjigen, C., 2015. Mass collaborative knowledge management. </w:t>
      </w:r>
      <w:r w:rsidRPr="000C715E">
        <w:rPr>
          <w:rFonts w:ascii="Arial" w:hAnsi="Arial" w:cs="Arial"/>
          <w:i/>
          <w:iCs/>
          <w:sz w:val="26"/>
          <w:szCs w:val="26"/>
          <w:lang w:val="en-US"/>
        </w:rPr>
        <w:t>Program</w:t>
      </w:r>
      <w:r w:rsidRPr="000C715E">
        <w:rPr>
          <w:rFonts w:ascii="Arial" w:hAnsi="Arial" w:cs="Arial"/>
          <w:sz w:val="26"/>
          <w:szCs w:val="26"/>
          <w:lang w:val="en-US"/>
        </w:rPr>
        <w:t>, </w:t>
      </w:r>
      <w:r w:rsidRPr="000C715E">
        <w:rPr>
          <w:rFonts w:ascii="Arial" w:hAnsi="Arial" w:cs="Arial"/>
          <w:i/>
          <w:iCs/>
          <w:sz w:val="26"/>
          <w:szCs w:val="26"/>
          <w:lang w:val="en-US"/>
        </w:rPr>
        <w:t>49</w:t>
      </w:r>
      <w:r w:rsidRPr="000C715E">
        <w:rPr>
          <w:rFonts w:ascii="Arial" w:hAnsi="Arial" w:cs="Arial"/>
          <w:sz w:val="26"/>
          <w:szCs w:val="26"/>
          <w:lang w:val="en-US"/>
        </w:rPr>
        <w:t xml:space="preserve">(3), pp. 325-342.  </w:t>
      </w:r>
    </w:p>
    <w:p w14:paraId="132D2D64" w14:textId="77777777" w:rsidR="000C715E" w:rsidRPr="000C715E" w:rsidRDefault="000C715E" w:rsidP="000C715E">
      <w:pPr>
        <w:numPr>
          <w:ilvl w:val="0"/>
          <w:numId w:val="1"/>
        </w:numPr>
        <w:spacing w:line="360" w:lineRule="auto"/>
        <w:jc w:val="both"/>
        <w:rPr>
          <w:rFonts w:ascii="Arial" w:hAnsi="Arial" w:cs="Arial"/>
          <w:sz w:val="26"/>
          <w:szCs w:val="26"/>
        </w:rPr>
      </w:pPr>
      <w:r w:rsidRPr="000C715E">
        <w:rPr>
          <w:rFonts w:ascii="Arial" w:hAnsi="Arial" w:cs="Arial"/>
          <w:sz w:val="26"/>
          <w:szCs w:val="26"/>
          <w:lang w:val="en-US"/>
        </w:rPr>
        <w:t>Ferreira, P. J., Almeida, A., and Bernardino, J., 2017. Data warehousing in the cloud: Amazon Redshift vs Microsoft Azure SQL. </w:t>
      </w:r>
      <w:r w:rsidRPr="000C715E">
        <w:rPr>
          <w:rFonts w:ascii="Arial" w:hAnsi="Arial" w:cs="Arial"/>
          <w:i/>
          <w:iCs/>
          <w:sz w:val="26"/>
          <w:szCs w:val="26"/>
          <w:lang w:val="en-US"/>
        </w:rPr>
        <w:t>Proceedings of the 9th International Joint Conference on Knowledge Discovery, Knowledge Engineering and Knowledge Management</w:t>
      </w:r>
      <w:r w:rsidRPr="000C715E">
        <w:rPr>
          <w:rFonts w:ascii="Arial" w:hAnsi="Arial" w:cs="Arial"/>
          <w:sz w:val="26"/>
          <w:szCs w:val="26"/>
          <w:lang w:val="en-US"/>
        </w:rPr>
        <w:t xml:space="preserve">.  </w:t>
      </w:r>
    </w:p>
    <w:p w14:paraId="4733104C" w14:textId="77777777" w:rsidR="000C715E" w:rsidRPr="000C715E" w:rsidRDefault="000C715E" w:rsidP="000C715E">
      <w:pPr>
        <w:numPr>
          <w:ilvl w:val="0"/>
          <w:numId w:val="1"/>
        </w:numPr>
        <w:spacing w:line="360" w:lineRule="auto"/>
        <w:jc w:val="both"/>
        <w:rPr>
          <w:rFonts w:ascii="Arial" w:hAnsi="Arial" w:cs="Arial"/>
          <w:sz w:val="26"/>
          <w:szCs w:val="26"/>
        </w:rPr>
      </w:pPr>
      <w:r w:rsidRPr="000C715E">
        <w:rPr>
          <w:rFonts w:ascii="Arial" w:hAnsi="Arial" w:cs="Arial"/>
          <w:sz w:val="26"/>
          <w:szCs w:val="26"/>
          <w:lang w:val="en-US"/>
        </w:rPr>
        <w:t>Knowledge management in culture - A flight of fancy, or a stroke of genius? 2013. </w:t>
      </w:r>
      <w:r w:rsidRPr="000C715E">
        <w:rPr>
          <w:rFonts w:ascii="Arial" w:hAnsi="Arial" w:cs="Arial"/>
          <w:i/>
          <w:iCs/>
          <w:sz w:val="26"/>
          <w:szCs w:val="26"/>
          <w:lang w:val="en-US"/>
        </w:rPr>
        <w:t>Proceedings of the International Conference on Knowledge Discovery and Information Retrieval and the International Conference on Knowledge Management and Information Sharing</w:t>
      </w:r>
      <w:r w:rsidRPr="000C715E">
        <w:rPr>
          <w:rFonts w:ascii="Arial" w:hAnsi="Arial" w:cs="Arial"/>
          <w:sz w:val="26"/>
          <w:szCs w:val="26"/>
          <w:lang w:val="en-US"/>
        </w:rPr>
        <w:t xml:space="preserve">.  </w:t>
      </w:r>
    </w:p>
    <w:p w14:paraId="0D050B94" w14:textId="77777777" w:rsidR="000C715E" w:rsidRPr="000C715E" w:rsidRDefault="000C715E" w:rsidP="000C715E">
      <w:pPr>
        <w:numPr>
          <w:ilvl w:val="0"/>
          <w:numId w:val="1"/>
        </w:numPr>
        <w:spacing w:line="360" w:lineRule="auto"/>
        <w:jc w:val="both"/>
        <w:rPr>
          <w:rFonts w:ascii="Arial" w:hAnsi="Arial" w:cs="Arial"/>
          <w:sz w:val="26"/>
          <w:szCs w:val="26"/>
        </w:rPr>
      </w:pPr>
      <w:r w:rsidRPr="000C715E">
        <w:rPr>
          <w:rFonts w:ascii="Arial" w:hAnsi="Arial" w:cs="Arial"/>
          <w:sz w:val="26"/>
          <w:szCs w:val="26"/>
          <w:lang w:val="en-US"/>
        </w:rPr>
        <w:t>Lee, M. C., 2016. Knowledge management and innovation management: Best practices in knowledge sharing and knowledge value chain. </w:t>
      </w:r>
      <w:r w:rsidRPr="000C715E">
        <w:rPr>
          <w:rFonts w:ascii="Arial" w:hAnsi="Arial" w:cs="Arial"/>
          <w:i/>
          <w:iCs/>
          <w:sz w:val="26"/>
          <w:szCs w:val="26"/>
          <w:lang w:val="en-US"/>
        </w:rPr>
        <w:t>International Journal of Innovation and Learning</w:t>
      </w:r>
      <w:r w:rsidRPr="000C715E">
        <w:rPr>
          <w:rFonts w:ascii="Arial" w:hAnsi="Arial" w:cs="Arial"/>
          <w:sz w:val="26"/>
          <w:szCs w:val="26"/>
          <w:lang w:val="en-US"/>
        </w:rPr>
        <w:t>, </w:t>
      </w:r>
      <w:r w:rsidRPr="000C715E">
        <w:rPr>
          <w:rFonts w:ascii="Arial" w:hAnsi="Arial" w:cs="Arial"/>
          <w:i/>
          <w:iCs/>
          <w:sz w:val="26"/>
          <w:szCs w:val="26"/>
          <w:lang w:val="en-US"/>
        </w:rPr>
        <w:t>19</w:t>
      </w:r>
      <w:r w:rsidRPr="000C715E">
        <w:rPr>
          <w:rFonts w:ascii="Arial" w:hAnsi="Arial" w:cs="Arial"/>
          <w:sz w:val="26"/>
          <w:szCs w:val="26"/>
          <w:lang w:val="en-US"/>
        </w:rPr>
        <w:t xml:space="preserve">(2), pp. 206.  </w:t>
      </w:r>
    </w:p>
    <w:p w14:paraId="1599E9AF" w14:textId="77777777" w:rsidR="000C715E" w:rsidRPr="000C715E" w:rsidRDefault="000C715E" w:rsidP="000C715E">
      <w:pPr>
        <w:numPr>
          <w:ilvl w:val="0"/>
          <w:numId w:val="1"/>
        </w:numPr>
        <w:spacing w:line="360" w:lineRule="auto"/>
        <w:jc w:val="both"/>
        <w:rPr>
          <w:rFonts w:ascii="Arial" w:hAnsi="Arial" w:cs="Arial"/>
          <w:sz w:val="26"/>
          <w:szCs w:val="26"/>
        </w:rPr>
      </w:pPr>
      <w:r w:rsidRPr="000C715E">
        <w:rPr>
          <w:rFonts w:ascii="Arial" w:hAnsi="Arial" w:cs="Arial"/>
          <w:sz w:val="26"/>
          <w:szCs w:val="26"/>
          <w:lang w:val="en-US"/>
        </w:rPr>
        <w:t>Lichtenthaler, U., 2020. Building blocks of successful digital transformation: Complementing technology and market issues. </w:t>
      </w:r>
      <w:r w:rsidRPr="000C715E">
        <w:rPr>
          <w:rFonts w:ascii="Arial" w:hAnsi="Arial" w:cs="Arial"/>
          <w:i/>
          <w:iCs/>
          <w:sz w:val="26"/>
          <w:szCs w:val="26"/>
          <w:lang w:val="en-US"/>
        </w:rPr>
        <w:t>International Journal of Innovation and Technology Management</w:t>
      </w:r>
      <w:r w:rsidRPr="000C715E">
        <w:rPr>
          <w:rFonts w:ascii="Arial" w:hAnsi="Arial" w:cs="Arial"/>
          <w:sz w:val="26"/>
          <w:szCs w:val="26"/>
          <w:lang w:val="en-US"/>
        </w:rPr>
        <w:t>, </w:t>
      </w:r>
      <w:r w:rsidRPr="000C715E">
        <w:rPr>
          <w:rFonts w:ascii="Arial" w:hAnsi="Arial" w:cs="Arial"/>
          <w:i/>
          <w:iCs/>
          <w:sz w:val="26"/>
          <w:szCs w:val="26"/>
          <w:lang w:val="en-US"/>
        </w:rPr>
        <w:t>17</w:t>
      </w:r>
      <w:r w:rsidRPr="000C715E">
        <w:rPr>
          <w:rFonts w:ascii="Arial" w:hAnsi="Arial" w:cs="Arial"/>
          <w:sz w:val="26"/>
          <w:szCs w:val="26"/>
          <w:lang w:val="en-US"/>
        </w:rPr>
        <w:t xml:space="preserve">(01), pp. 2050004.  </w:t>
      </w:r>
    </w:p>
    <w:p w14:paraId="4CA6ABE6" w14:textId="77777777" w:rsidR="000C715E" w:rsidRPr="000C715E" w:rsidRDefault="000C715E" w:rsidP="000C715E">
      <w:pPr>
        <w:numPr>
          <w:ilvl w:val="0"/>
          <w:numId w:val="1"/>
        </w:numPr>
        <w:spacing w:line="360" w:lineRule="auto"/>
        <w:jc w:val="both"/>
        <w:rPr>
          <w:rFonts w:ascii="Arial" w:hAnsi="Arial" w:cs="Arial"/>
          <w:sz w:val="26"/>
          <w:szCs w:val="26"/>
        </w:rPr>
      </w:pPr>
      <w:r w:rsidRPr="000C715E">
        <w:rPr>
          <w:rFonts w:ascii="Arial" w:hAnsi="Arial" w:cs="Arial"/>
          <w:sz w:val="26"/>
          <w:szCs w:val="26"/>
          <w:lang w:val="en-US"/>
        </w:rPr>
        <w:t>Ramaswamy, V., and Ozcan, K., 2019. Digitalized interactive platforms: Turning goods and services into retail Co-creation experiences. </w:t>
      </w:r>
      <w:r w:rsidRPr="000C715E">
        <w:rPr>
          <w:rFonts w:ascii="Arial" w:hAnsi="Arial" w:cs="Arial"/>
          <w:i/>
          <w:iCs/>
          <w:sz w:val="26"/>
          <w:szCs w:val="26"/>
          <w:lang w:val="en-US"/>
        </w:rPr>
        <w:t>NIM Marketing Intelligence Review</w:t>
      </w:r>
      <w:r w:rsidRPr="000C715E">
        <w:rPr>
          <w:rFonts w:ascii="Arial" w:hAnsi="Arial" w:cs="Arial"/>
          <w:sz w:val="26"/>
          <w:szCs w:val="26"/>
          <w:lang w:val="en-US"/>
        </w:rPr>
        <w:t>, </w:t>
      </w:r>
      <w:r w:rsidRPr="000C715E">
        <w:rPr>
          <w:rFonts w:ascii="Arial" w:hAnsi="Arial" w:cs="Arial"/>
          <w:i/>
          <w:iCs/>
          <w:sz w:val="26"/>
          <w:szCs w:val="26"/>
          <w:lang w:val="en-US"/>
        </w:rPr>
        <w:t>11</w:t>
      </w:r>
      <w:r w:rsidRPr="000C715E">
        <w:rPr>
          <w:rFonts w:ascii="Arial" w:hAnsi="Arial" w:cs="Arial"/>
          <w:sz w:val="26"/>
          <w:szCs w:val="26"/>
          <w:lang w:val="en-US"/>
        </w:rPr>
        <w:t xml:space="preserve">(1), pp. 18-23.  </w:t>
      </w:r>
    </w:p>
    <w:p w14:paraId="311D81C7" w14:textId="4AB39813" w:rsidR="000C715E" w:rsidRPr="007335B6" w:rsidRDefault="000C715E" w:rsidP="000C715E">
      <w:pPr>
        <w:numPr>
          <w:ilvl w:val="0"/>
          <w:numId w:val="1"/>
        </w:numPr>
        <w:spacing w:line="360" w:lineRule="auto"/>
        <w:jc w:val="both"/>
        <w:rPr>
          <w:rFonts w:ascii="Arial" w:hAnsi="Arial" w:cs="Arial"/>
          <w:sz w:val="26"/>
          <w:szCs w:val="26"/>
        </w:rPr>
      </w:pPr>
      <w:r w:rsidRPr="000C715E">
        <w:rPr>
          <w:rFonts w:ascii="Arial" w:hAnsi="Arial" w:cs="Arial"/>
          <w:sz w:val="26"/>
          <w:szCs w:val="26"/>
          <w:lang w:val="en-US"/>
        </w:rPr>
        <w:t>Ritala, P., Golnam, A., and Wegmann, A., 2014. Coopetition-based business models: The case of Amazon.com. </w:t>
      </w:r>
      <w:r w:rsidRPr="000C715E">
        <w:rPr>
          <w:rFonts w:ascii="Arial" w:hAnsi="Arial" w:cs="Arial"/>
          <w:i/>
          <w:iCs/>
          <w:sz w:val="26"/>
          <w:szCs w:val="26"/>
          <w:lang w:val="en-US"/>
        </w:rPr>
        <w:t>Industrial Marketing Management</w:t>
      </w:r>
      <w:r w:rsidRPr="000C715E">
        <w:rPr>
          <w:rFonts w:ascii="Arial" w:hAnsi="Arial" w:cs="Arial"/>
          <w:sz w:val="26"/>
          <w:szCs w:val="26"/>
          <w:lang w:val="en-US"/>
        </w:rPr>
        <w:t>, </w:t>
      </w:r>
      <w:r w:rsidRPr="000C715E">
        <w:rPr>
          <w:rFonts w:ascii="Arial" w:hAnsi="Arial" w:cs="Arial"/>
          <w:i/>
          <w:iCs/>
          <w:sz w:val="26"/>
          <w:szCs w:val="26"/>
          <w:lang w:val="en-US"/>
        </w:rPr>
        <w:t>43</w:t>
      </w:r>
      <w:r w:rsidRPr="000C715E">
        <w:rPr>
          <w:rFonts w:ascii="Arial" w:hAnsi="Arial" w:cs="Arial"/>
          <w:sz w:val="26"/>
          <w:szCs w:val="26"/>
          <w:lang w:val="en-US"/>
        </w:rPr>
        <w:t xml:space="preserve">(2), pp. 236-249.  </w:t>
      </w:r>
    </w:p>
    <w:p w14:paraId="66DDE68B" w14:textId="6EC9219A" w:rsidR="000C715E" w:rsidRPr="000C715E" w:rsidRDefault="007335B6" w:rsidP="000C715E">
      <w:pPr>
        <w:numPr>
          <w:ilvl w:val="0"/>
          <w:numId w:val="1"/>
        </w:numPr>
        <w:spacing w:line="360" w:lineRule="auto"/>
        <w:jc w:val="both"/>
        <w:rPr>
          <w:rFonts w:ascii="Arial" w:hAnsi="Arial" w:cs="Arial"/>
          <w:sz w:val="26"/>
          <w:szCs w:val="26"/>
        </w:rPr>
      </w:pPr>
      <w:r>
        <w:rPr>
          <w:rFonts w:ascii="Arial" w:hAnsi="Arial" w:cs="Arial"/>
          <w:sz w:val="26"/>
        </w:rPr>
        <w:t>T</w:t>
      </w:r>
      <w:r w:rsidRPr="007335B6">
        <w:rPr>
          <w:rFonts w:ascii="Arial" w:hAnsi="Arial" w:cs="Arial"/>
          <w:sz w:val="26"/>
        </w:rPr>
        <w:t xml:space="preserve">oolshero (2014) </w:t>
      </w:r>
      <w:r w:rsidRPr="007335B6">
        <w:rPr>
          <w:rFonts w:ascii="Arial" w:hAnsi="Arial" w:cs="Arial"/>
          <w:i/>
          <w:iCs/>
          <w:sz w:val="26"/>
        </w:rPr>
        <w:t>What is the Knowledge Management Value Chain model</w:t>
      </w:r>
      <w:r w:rsidRPr="007335B6">
        <w:rPr>
          <w:rFonts w:ascii="Arial" w:hAnsi="Arial" w:cs="Arial"/>
          <w:sz w:val="26"/>
        </w:rPr>
        <w:t xml:space="preserve"> [Online]. Available at https://www.toolshero.com/management/knowledge-management-value-chain/ (Accessed </w:t>
      </w:r>
      <w:r>
        <w:rPr>
          <w:rFonts w:ascii="Arial" w:hAnsi="Arial" w:cs="Arial"/>
          <w:sz w:val="26"/>
        </w:rPr>
        <w:t xml:space="preserve">6 </w:t>
      </w:r>
      <w:r w:rsidRPr="007335B6">
        <w:rPr>
          <w:rFonts w:ascii="Arial" w:hAnsi="Arial" w:cs="Arial"/>
          <w:sz w:val="26"/>
        </w:rPr>
        <w:t>June 2021).</w:t>
      </w:r>
    </w:p>
    <w:p w14:paraId="24FB4821" w14:textId="1D4611E0" w:rsidR="00EA3799" w:rsidRPr="007335B6" w:rsidRDefault="000C715E" w:rsidP="00E0410F">
      <w:pPr>
        <w:numPr>
          <w:ilvl w:val="0"/>
          <w:numId w:val="1"/>
        </w:numPr>
        <w:spacing w:line="360" w:lineRule="auto"/>
        <w:jc w:val="both"/>
        <w:rPr>
          <w:rFonts w:ascii="Arial" w:hAnsi="Arial" w:cs="Arial"/>
          <w:sz w:val="26"/>
          <w:szCs w:val="26"/>
        </w:rPr>
      </w:pPr>
      <w:r w:rsidRPr="000C715E">
        <w:rPr>
          <w:rFonts w:ascii="Arial" w:hAnsi="Arial" w:cs="Arial"/>
          <w:sz w:val="26"/>
          <w:szCs w:val="26"/>
          <w:lang w:val="en-US"/>
        </w:rPr>
        <w:t>Zhu, F., and Liu, Q., 2018. Competing with complementors: An empirical look at Amazon.com. </w:t>
      </w:r>
      <w:r w:rsidRPr="000C715E">
        <w:rPr>
          <w:rFonts w:ascii="Arial" w:hAnsi="Arial" w:cs="Arial"/>
          <w:i/>
          <w:iCs/>
          <w:sz w:val="26"/>
          <w:szCs w:val="26"/>
          <w:lang w:val="en-US"/>
        </w:rPr>
        <w:t>Strategic Management Journal</w:t>
      </w:r>
      <w:r w:rsidRPr="000C715E">
        <w:rPr>
          <w:rFonts w:ascii="Arial" w:hAnsi="Arial" w:cs="Arial"/>
          <w:sz w:val="26"/>
          <w:szCs w:val="26"/>
          <w:lang w:val="en-US"/>
        </w:rPr>
        <w:t>, </w:t>
      </w:r>
      <w:r w:rsidRPr="000C715E">
        <w:rPr>
          <w:rFonts w:ascii="Arial" w:hAnsi="Arial" w:cs="Arial"/>
          <w:i/>
          <w:iCs/>
          <w:sz w:val="26"/>
          <w:szCs w:val="26"/>
          <w:lang w:val="en-US"/>
        </w:rPr>
        <w:t>39</w:t>
      </w:r>
      <w:r w:rsidRPr="000C715E">
        <w:rPr>
          <w:rFonts w:ascii="Arial" w:hAnsi="Arial" w:cs="Arial"/>
          <w:sz w:val="26"/>
          <w:szCs w:val="26"/>
          <w:lang w:val="en-US"/>
        </w:rPr>
        <w:t xml:space="preserve">(10), pp. 2618-2642.  </w:t>
      </w:r>
    </w:p>
    <w:sectPr w:rsidR="00EA3799" w:rsidRPr="007335B6" w:rsidSect="001B678F">
      <w:pgSz w:w="11906" w:h="16838"/>
      <w:pgMar w:top="1134" w:right="851" w:bottom="1134"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E4585"/>
    <w:multiLevelType w:val="hybridMultilevel"/>
    <w:tmpl w:val="6DE09D68"/>
    <w:lvl w:ilvl="0" w:tplc="4CBE84F8">
      <w:start w:val="1"/>
      <w:numFmt w:val="bullet"/>
      <w:lvlText w:val="•"/>
      <w:lvlJc w:val="left"/>
      <w:pPr>
        <w:tabs>
          <w:tab w:val="num" w:pos="720"/>
        </w:tabs>
        <w:ind w:left="720" w:hanging="360"/>
      </w:pPr>
      <w:rPr>
        <w:rFonts w:ascii="Arial" w:hAnsi="Arial" w:hint="default"/>
      </w:rPr>
    </w:lvl>
    <w:lvl w:ilvl="1" w:tplc="A7EC9212" w:tentative="1">
      <w:start w:val="1"/>
      <w:numFmt w:val="bullet"/>
      <w:lvlText w:val="•"/>
      <w:lvlJc w:val="left"/>
      <w:pPr>
        <w:tabs>
          <w:tab w:val="num" w:pos="1440"/>
        </w:tabs>
        <w:ind w:left="1440" w:hanging="360"/>
      </w:pPr>
      <w:rPr>
        <w:rFonts w:ascii="Arial" w:hAnsi="Arial" w:hint="default"/>
      </w:rPr>
    </w:lvl>
    <w:lvl w:ilvl="2" w:tplc="3F40D780" w:tentative="1">
      <w:start w:val="1"/>
      <w:numFmt w:val="bullet"/>
      <w:lvlText w:val="•"/>
      <w:lvlJc w:val="left"/>
      <w:pPr>
        <w:tabs>
          <w:tab w:val="num" w:pos="2160"/>
        </w:tabs>
        <w:ind w:left="2160" w:hanging="360"/>
      </w:pPr>
      <w:rPr>
        <w:rFonts w:ascii="Arial" w:hAnsi="Arial" w:hint="default"/>
      </w:rPr>
    </w:lvl>
    <w:lvl w:ilvl="3" w:tplc="D5AEEAAA" w:tentative="1">
      <w:start w:val="1"/>
      <w:numFmt w:val="bullet"/>
      <w:lvlText w:val="•"/>
      <w:lvlJc w:val="left"/>
      <w:pPr>
        <w:tabs>
          <w:tab w:val="num" w:pos="2880"/>
        </w:tabs>
        <w:ind w:left="2880" w:hanging="360"/>
      </w:pPr>
      <w:rPr>
        <w:rFonts w:ascii="Arial" w:hAnsi="Arial" w:hint="default"/>
      </w:rPr>
    </w:lvl>
    <w:lvl w:ilvl="4" w:tplc="1D303786" w:tentative="1">
      <w:start w:val="1"/>
      <w:numFmt w:val="bullet"/>
      <w:lvlText w:val="•"/>
      <w:lvlJc w:val="left"/>
      <w:pPr>
        <w:tabs>
          <w:tab w:val="num" w:pos="3600"/>
        </w:tabs>
        <w:ind w:left="3600" w:hanging="360"/>
      </w:pPr>
      <w:rPr>
        <w:rFonts w:ascii="Arial" w:hAnsi="Arial" w:hint="default"/>
      </w:rPr>
    </w:lvl>
    <w:lvl w:ilvl="5" w:tplc="6F686E20" w:tentative="1">
      <w:start w:val="1"/>
      <w:numFmt w:val="bullet"/>
      <w:lvlText w:val="•"/>
      <w:lvlJc w:val="left"/>
      <w:pPr>
        <w:tabs>
          <w:tab w:val="num" w:pos="4320"/>
        </w:tabs>
        <w:ind w:left="4320" w:hanging="360"/>
      </w:pPr>
      <w:rPr>
        <w:rFonts w:ascii="Arial" w:hAnsi="Arial" w:hint="default"/>
      </w:rPr>
    </w:lvl>
    <w:lvl w:ilvl="6" w:tplc="4C48BE06" w:tentative="1">
      <w:start w:val="1"/>
      <w:numFmt w:val="bullet"/>
      <w:lvlText w:val="•"/>
      <w:lvlJc w:val="left"/>
      <w:pPr>
        <w:tabs>
          <w:tab w:val="num" w:pos="5040"/>
        </w:tabs>
        <w:ind w:left="5040" w:hanging="360"/>
      </w:pPr>
      <w:rPr>
        <w:rFonts w:ascii="Arial" w:hAnsi="Arial" w:hint="default"/>
      </w:rPr>
    </w:lvl>
    <w:lvl w:ilvl="7" w:tplc="97B814A8" w:tentative="1">
      <w:start w:val="1"/>
      <w:numFmt w:val="bullet"/>
      <w:lvlText w:val="•"/>
      <w:lvlJc w:val="left"/>
      <w:pPr>
        <w:tabs>
          <w:tab w:val="num" w:pos="5760"/>
        </w:tabs>
        <w:ind w:left="5760" w:hanging="360"/>
      </w:pPr>
      <w:rPr>
        <w:rFonts w:ascii="Arial" w:hAnsi="Arial" w:hint="default"/>
      </w:rPr>
    </w:lvl>
    <w:lvl w:ilvl="8" w:tplc="E3CA574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78F"/>
    <w:rsid w:val="000361C2"/>
    <w:rsid w:val="000C715E"/>
    <w:rsid w:val="00102F89"/>
    <w:rsid w:val="001B678F"/>
    <w:rsid w:val="001D7C79"/>
    <w:rsid w:val="002319C0"/>
    <w:rsid w:val="002E070E"/>
    <w:rsid w:val="003053F0"/>
    <w:rsid w:val="003C318A"/>
    <w:rsid w:val="007335B6"/>
    <w:rsid w:val="009B2C36"/>
    <w:rsid w:val="00A10CE8"/>
    <w:rsid w:val="00D4349D"/>
    <w:rsid w:val="00E21962"/>
    <w:rsid w:val="00EA3799"/>
    <w:rsid w:val="00F24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E4C0C"/>
  <w15:chartTrackingRefBased/>
  <w15:docId w15:val="{74E164FC-0DF4-4C9E-8521-268C70967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02F8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F8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102F89"/>
    <w:rPr>
      <w:color w:val="0000FF"/>
      <w:u w:val="single"/>
    </w:rPr>
  </w:style>
  <w:style w:type="paragraph" w:styleId="Bibliography">
    <w:name w:val="Bibliography"/>
    <w:basedOn w:val="Normal"/>
    <w:next w:val="Normal"/>
    <w:uiPriority w:val="37"/>
    <w:unhideWhenUsed/>
    <w:rsid w:val="007335B6"/>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836997">
      <w:bodyDiv w:val="1"/>
      <w:marLeft w:val="0"/>
      <w:marRight w:val="0"/>
      <w:marTop w:val="0"/>
      <w:marBottom w:val="0"/>
      <w:divBdr>
        <w:top w:val="none" w:sz="0" w:space="0" w:color="auto"/>
        <w:left w:val="none" w:sz="0" w:space="0" w:color="auto"/>
        <w:bottom w:val="none" w:sz="0" w:space="0" w:color="auto"/>
        <w:right w:val="none" w:sz="0" w:space="0" w:color="auto"/>
      </w:divBdr>
      <w:divsChild>
        <w:div w:id="803353142">
          <w:marLeft w:val="0"/>
          <w:marRight w:val="0"/>
          <w:marTop w:val="0"/>
          <w:marBottom w:val="0"/>
          <w:divBdr>
            <w:top w:val="none" w:sz="0" w:space="0" w:color="auto"/>
            <w:left w:val="none" w:sz="0" w:space="0" w:color="auto"/>
            <w:bottom w:val="none" w:sz="0" w:space="0" w:color="auto"/>
            <w:right w:val="none" w:sz="0" w:space="0" w:color="auto"/>
          </w:divBdr>
          <w:divsChild>
            <w:div w:id="19635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251190">
      <w:bodyDiv w:val="1"/>
      <w:marLeft w:val="0"/>
      <w:marRight w:val="0"/>
      <w:marTop w:val="0"/>
      <w:marBottom w:val="0"/>
      <w:divBdr>
        <w:top w:val="none" w:sz="0" w:space="0" w:color="auto"/>
        <w:left w:val="none" w:sz="0" w:space="0" w:color="auto"/>
        <w:bottom w:val="none" w:sz="0" w:space="0" w:color="auto"/>
        <w:right w:val="none" w:sz="0" w:space="0" w:color="auto"/>
      </w:divBdr>
    </w:div>
    <w:div w:id="1909071918">
      <w:bodyDiv w:val="1"/>
      <w:marLeft w:val="0"/>
      <w:marRight w:val="0"/>
      <w:marTop w:val="0"/>
      <w:marBottom w:val="0"/>
      <w:divBdr>
        <w:top w:val="none" w:sz="0" w:space="0" w:color="auto"/>
        <w:left w:val="none" w:sz="0" w:space="0" w:color="auto"/>
        <w:bottom w:val="none" w:sz="0" w:space="0" w:color="auto"/>
        <w:right w:val="none" w:sz="0" w:space="0" w:color="auto"/>
      </w:divBdr>
      <w:divsChild>
        <w:div w:id="753478115">
          <w:marLeft w:val="720"/>
          <w:marRight w:val="72"/>
          <w:marTop w:val="0"/>
          <w:marBottom w:val="120"/>
          <w:divBdr>
            <w:top w:val="none" w:sz="0" w:space="0" w:color="auto"/>
            <w:left w:val="none" w:sz="0" w:space="0" w:color="auto"/>
            <w:bottom w:val="none" w:sz="0" w:space="0" w:color="auto"/>
            <w:right w:val="none" w:sz="0" w:space="0" w:color="auto"/>
          </w:divBdr>
        </w:div>
        <w:div w:id="1641299814">
          <w:marLeft w:val="720"/>
          <w:marRight w:val="72"/>
          <w:marTop w:val="0"/>
          <w:marBottom w:val="120"/>
          <w:divBdr>
            <w:top w:val="none" w:sz="0" w:space="0" w:color="auto"/>
            <w:left w:val="none" w:sz="0" w:space="0" w:color="auto"/>
            <w:bottom w:val="none" w:sz="0" w:space="0" w:color="auto"/>
            <w:right w:val="none" w:sz="0" w:space="0" w:color="auto"/>
          </w:divBdr>
        </w:div>
        <w:div w:id="647325448">
          <w:marLeft w:val="720"/>
          <w:marRight w:val="72"/>
          <w:marTop w:val="0"/>
          <w:marBottom w:val="120"/>
          <w:divBdr>
            <w:top w:val="none" w:sz="0" w:space="0" w:color="auto"/>
            <w:left w:val="none" w:sz="0" w:space="0" w:color="auto"/>
            <w:bottom w:val="none" w:sz="0" w:space="0" w:color="auto"/>
            <w:right w:val="none" w:sz="0" w:space="0" w:color="auto"/>
          </w:divBdr>
        </w:div>
        <w:div w:id="2010936985">
          <w:marLeft w:val="720"/>
          <w:marRight w:val="72"/>
          <w:marTop w:val="0"/>
          <w:marBottom w:val="120"/>
          <w:divBdr>
            <w:top w:val="none" w:sz="0" w:space="0" w:color="auto"/>
            <w:left w:val="none" w:sz="0" w:space="0" w:color="auto"/>
            <w:bottom w:val="none" w:sz="0" w:space="0" w:color="auto"/>
            <w:right w:val="none" w:sz="0" w:space="0" w:color="auto"/>
          </w:divBdr>
        </w:div>
        <w:div w:id="1369144849">
          <w:marLeft w:val="720"/>
          <w:marRight w:val="72"/>
          <w:marTop w:val="0"/>
          <w:marBottom w:val="120"/>
          <w:divBdr>
            <w:top w:val="none" w:sz="0" w:space="0" w:color="auto"/>
            <w:left w:val="none" w:sz="0" w:space="0" w:color="auto"/>
            <w:bottom w:val="none" w:sz="0" w:space="0" w:color="auto"/>
            <w:right w:val="none" w:sz="0" w:space="0" w:color="auto"/>
          </w:divBdr>
        </w:div>
        <w:div w:id="664474554">
          <w:marLeft w:val="720"/>
          <w:marRight w:val="72"/>
          <w:marTop w:val="0"/>
          <w:marBottom w:val="120"/>
          <w:divBdr>
            <w:top w:val="none" w:sz="0" w:space="0" w:color="auto"/>
            <w:left w:val="none" w:sz="0" w:space="0" w:color="auto"/>
            <w:bottom w:val="none" w:sz="0" w:space="0" w:color="auto"/>
            <w:right w:val="none" w:sz="0" w:space="0" w:color="auto"/>
          </w:divBdr>
        </w:div>
        <w:div w:id="1790851455">
          <w:marLeft w:val="720"/>
          <w:marRight w:val="72"/>
          <w:marTop w:val="0"/>
          <w:marBottom w:val="120"/>
          <w:divBdr>
            <w:top w:val="none" w:sz="0" w:space="0" w:color="auto"/>
            <w:left w:val="none" w:sz="0" w:space="0" w:color="auto"/>
            <w:bottom w:val="none" w:sz="0" w:space="0" w:color="auto"/>
            <w:right w:val="none" w:sz="0" w:space="0" w:color="auto"/>
          </w:divBdr>
        </w:div>
        <w:div w:id="1275478747">
          <w:marLeft w:val="720"/>
          <w:marRight w:val="72"/>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996</Words>
  <Characters>5683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Sarwat</dc:creator>
  <cp:keywords/>
  <dc:description/>
  <cp:lastModifiedBy>Sarwat Asfi</cp:lastModifiedBy>
  <cp:revision>4</cp:revision>
  <dcterms:created xsi:type="dcterms:W3CDTF">2021-06-08T10:21:00Z</dcterms:created>
  <dcterms:modified xsi:type="dcterms:W3CDTF">2021-06-08T10:24:00Z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id="hFsXqXS7"/&gt;&lt;style id="http://www.zotero.org/styles/the-open-university-harvard" hasBibliography="1" bibliographyStyleHasBeenSet="1"/&gt;&lt;prefs&gt;&lt;pref name="fieldType" value="Field"/&gt;&lt;/prefs&gt;&lt;/data&gt;</vt:lpwstr>
  </property>
</Properties>
</file>