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A2B7B" w14:textId="77777777" w:rsidR="004540C2" w:rsidRPr="00E65DA9" w:rsidRDefault="004540C2" w:rsidP="004540C2">
      <w:pPr>
        <w:jc w:val="right"/>
        <w:rPr>
          <w:rFonts w:ascii="Arial" w:hAnsi="Arial" w:cs="Arial"/>
          <w:color w:val="000000" w:themeColor="text1"/>
        </w:rPr>
      </w:pPr>
      <w:r w:rsidRPr="00A0270A">
        <w:rPr>
          <w:rFonts w:ascii="Arial" w:hAnsi="Arial" w:cs="Arial"/>
          <w:noProof/>
          <w:color w:val="000000" w:themeColor="text1"/>
        </w:rPr>
        <w:drawing>
          <wp:inline distT="0" distB="0" distL="0" distR="0" wp14:anchorId="4111E15F" wp14:editId="117C51EA">
            <wp:extent cx="3156688" cy="1405054"/>
            <wp:effectExtent l="0" t="0" r="0" b="508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5432" cy="1484614"/>
                    </a:xfrm>
                    <a:prstGeom prst="rect">
                      <a:avLst/>
                    </a:prstGeom>
                    <a:noFill/>
                  </pic:spPr>
                </pic:pic>
              </a:graphicData>
            </a:graphic>
          </wp:inline>
        </w:drawing>
      </w:r>
    </w:p>
    <w:p w14:paraId="7992FC0D" w14:textId="77777777" w:rsidR="004540C2" w:rsidRDefault="004540C2" w:rsidP="004540C2">
      <w:pPr>
        <w:rPr>
          <w:rFonts w:ascii="Arial" w:hAnsi="Arial" w:cs="Arial"/>
          <w:b/>
          <w:bCs/>
          <w:color w:val="000000" w:themeColor="text1"/>
          <w:sz w:val="28"/>
          <w:szCs w:val="28"/>
        </w:rPr>
      </w:pPr>
    </w:p>
    <w:p w14:paraId="16DC6DFE" w14:textId="578DAC36" w:rsidR="004540C2" w:rsidRPr="00203B22" w:rsidRDefault="004540C2" w:rsidP="004540C2">
      <w:pPr>
        <w:rPr>
          <w:rFonts w:ascii="Arial" w:hAnsi="Arial" w:cs="Arial"/>
          <w:color w:val="000000" w:themeColor="text1"/>
          <w:sz w:val="28"/>
          <w:szCs w:val="28"/>
        </w:rPr>
      </w:pPr>
      <w:r w:rsidRPr="00116157">
        <w:rPr>
          <w:rFonts w:ascii="Arial" w:hAnsi="Arial" w:cs="Arial"/>
          <w:b/>
          <w:bCs/>
          <w:color w:val="000000" w:themeColor="text1"/>
          <w:sz w:val="28"/>
          <w:szCs w:val="28"/>
        </w:rPr>
        <w:t>N</w:t>
      </w:r>
      <w:r w:rsidRPr="00203B22">
        <w:rPr>
          <w:rFonts w:ascii="Arial" w:hAnsi="Arial" w:cs="Arial"/>
          <w:b/>
          <w:bCs/>
          <w:color w:val="000000" w:themeColor="text1"/>
          <w:sz w:val="28"/>
          <w:szCs w:val="28"/>
        </w:rPr>
        <w:t>ame</w:t>
      </w:r>
      <w:r w:rsidRPr="00203B22">
        <w:rPr>
          <w:rFonts w:ascii="Arial" w:hAnsi="Arial" w:cs="Arial"/>
          <w:color w:val="000000" w:themeColor="text1"/>
          <w:sz w:val="28"/>
          <w:szCs w:val="28"/>
        </w:rPr>
        <w:t xml:space="preserve">: </w:t>
      </w:r>
      <w:r w:rsidR="006224CC" w:rsidRPr="00203B22">
        <w:rPr>
          <w:rFonts w:ascii="Arial" w:hAnsi="Arial" w:cs="Arial"/>
          <w:color w:val="000000" w:themeColor="text1"/>
          <w:sz w:val="28"/>
          <w:szCs w:val="28"/>
        </w:rPr>
        <w:t>Ruby Ana Geli</w:t>
      </w:r>
    </w:p>
    <w:p w14:paraId="21747913" w14:textId="60752CDB" w:rsidR="004540C2" w:rsidRPr="00203B22" w:rsidRDefault="004540C2" w:rsidP="004540C2">
      <w:pPr>
        <w:rPr>
          <w:rFonts w:ascii="Arial" w:hAnsi="Arial" w:cs="Arial"/>
          <w:sz w:val="28"/>
          <w:szCs w:val="28"/>
        </w:rPr>
      </w:pPr>
      <w:r w:rsidRPr="00203B22">
        <w:rPr>
          <w:rFonts w:ascii="Arial" w:hAnsi="Arial" w:cs="Arial"/>
          <w:b/>
          <w:bCs/>
          <w:sz w:val="28"/>
          <w:szCs w:val="28"/>
        </w:rPr>
        <w:t>Student ID</w:t>
      </w:r>
      <w:r w:rsidRPr="00203B22">
        <w:rPr>
          <w:rFonts w:ascii="Arial" w:hAnsi="Arial" w:cs="Arial"/>
          <w:sz w:val="28"/>
          <w:szCs w:val="28"/>
        </w:rPr>
        <w:t xml:space="preserve">: </w:t>
      </w:r>
      <w:r w:rsidR="00634C05" w:rsidRPr="00203B22">
        <w:rPr>
          <w:rFonts w:ascii="Arial" w:hAnsi="Arial" w:cs="Arial"/>
          <w:sz w:val="28"/>
          <w:szCs w:val="28"/>
        </w:rPr>
        <w:t>2515868</w:t>
      </w:r>
    </w:p>
    <w:p w14:paraId="0C55928A" w14:textId="4BA4B9D6" w:rsidR="004540C2" w:rsidRDefault="004540C2" w:rsidP="00203B22">
      <w:pPr>
        <w:pStyle w:val="p1"/>
        <w:rPr>
          <w:rFonts w:ascii="Arial" w:eastAsia="Times New Roman" w:hAnsi="Arial" w:cs="Arial"/>
          <w:b/>
          <w:bCs/>
          <w:color w:val="000000"/>
          <w:sz w:val="28"/>
          <w:szCs w:val="28"/>
        </w:rPr>
      </w:pPr>
      <w:r w:rsidRPr="00203B22">
        <w:rPr>
          <w:rFonts w:ascii="Arial" w:hAnsi="Arial" w:cs="Arial"/>
          <w:b/>
          <w:bCs/>
          <w:sz w:val="28"/>
          <w:szCs w:val="28"/>
        </w:rPr>
        <w:t>Module Code</w:t>
      </w:r>
      <w:r w:rsidRPr="00203B22">
        <w:rPr>
          <w:rFonts w:ascii="Arial" w:hAnsi="Arial" w:cs="Arial"/>
          <w:sz w:val="28"/>
          <w:szCs w:val="28"/>
        </w:rPr>
        <w:t xml:space="preserve">: </w:t>
      </w:r>
      <w:r w:rsidR="00203B22" w:rsidRPr="00203B22">
        <w:rPr>
          <w:rFonts w:ascii="Arial" w:eastAsia="Times New Roman" w:hAnsi="Arial" w:cs="Arial"/>
          <w:color w:val="000000"/>
          <w:sz w:val="28"/>
          <w:szCs w:val="28"/>
        </w:rPr>
        <w:t>LCHS 4008</w:t>
      </w:r>
      <w:r w:rsidR="00203B22" w:rsidRPr="00203B22">
        <w:rPr>
          <w:rFonts w:ascii="Arial" w:eastAsia="Times New Roman" w:hAnsi="Arial" w:cs="Arial"/>
          <w:b/>
          <w:bCs/>
          <w:color w:val="000000"/>
          <w:sz w:val="28"/>
          <w:szCs w:val="28"/>
        </w:rPr>
        <w:t> </w:t>
      </w:r>
    </w:p>
    <w:p w14:paraId="2D3F3BA2" w14:textId="77777777" w:rsidR="00203B22" w:rsidRPr="00203B22" w:rsidRDefault="00203B22" w:rsidP="00203B22">
      <w:pPr>
        <w:pStyle w:val="p1"/>
        <w:rPr>
          <w:rFonts w:ascii="Arial" w:eastAsia="Times New Roman" w:hAnsi="Arial" w:cs="Arial"/>
          <w:color w:val="000000"/>
          <w:sz w:val="28"/>
          <w:szCs w:val="28"/>
        </w:rPr>
      </w:pPr>
    </w:p>
    <w:p w14:paraId="49E37A4B" w14:textId="72F32D38" w:rsidR="004540C2" w:rsidRPr="00203B22" w:rsidRDefault="004540C2" w:rsidP="00203B22">
      <w:pPr>
        <w:pStyle w:val="p1"/>
        <w:rPr>
          <w:rFonts w:ascii="Arial" w:eastAsia="Times New Roman" w:hAnsi="Arial" w:cs="Arial"/>
          <w:color w:val="000000"/>
          <w:sz w:val="28"/>
          <w:szCs w:val="28"/>
        </w:rPr>
      </w:pPr>
      <w:r w:rsidRPr="00203B22">
        <w:rPr>
          <w:rFonts w:ascii="Arial" w:hAnsi="Arial" w:cs="Arial"/>
          <w:b/>
          <w:bCs/>
          <w:sz w:val="28"/>
          <w:szCs w:val="28"/>
        </w:rPr>
        <w:t>Module</w:t>
      </w:r>
      <w:r w:rsidRPr="00203B22">
        <w:rPr>
          <w:rFonts w:ascii="Arial" w:hAnsi="Arial" w:cs="Arial"/>
          <w:sz w:val="28"/>
          <w:szCs w:val="28"/>
        </w:rPr>
        <w:t xml:space="preserve">: </w:t>
      </w:r>
      <w:r w:rsidR="00203B22" w:rsidRPr="00203B22">
        <w:rPr>
          <w:rFonts w:ascii="Arial" w:eastAsia="Times New Roman" w:hAnsi="Arial" w:cs="Arial"/>
          <w:color w:val="000000"/>
          <w:sz w:val="28"/>
          <w:szCs w:val="28"/>
        </w:rPr>
        <w:t>Introduction to Public Health</w:t>
      </w:r>
    </w:p>
    <w:p w14:paraId="32DD9EE4" w14:textId="77777777" w:rsidR="00203B22" w:rsidRPr="00203B22" w:rsidRDefault="00203B22" w:rsidP="00203B22">
      <w:pPr>
        <w:pStyle w:val="p1"/>
        <w:rPr>
          <w:rFonts w:ascii="Arial" w:eastAsia="Times New Roman" w:hAnsi="Arial" w:cs="Arial"/>
          <w:color w:val="000000"/>
          <w:sz w:val="28"/>
          <w:szCs w:val="28"/>
        </w:rPr>
      </w:pPr>
    </w:p>
    <w:p w14:paraId="1FDC2FF0" w14:textId="62C812D4" w:rsidR="00203B22" w:rsidRPr="00203B22" w:rsidRDefault="00203B22" w:rsidP="00203B22">
      <w:pPr>
        <w:pStyle w:val="p1"/>
        <w:rPr>
          <w:rFonts w:ascii="Arial" w:eastAsia="Times New Roman" w:hAnsi="Arial" w:cs="Arial"/>
          <w:color w:val="000000"/>
          <w:sz w:val="28"/>
          <w:szCs w:val="28"/>
        </w:rPr>
      </w:pPr>
      <w:r w:rsidRPr="00203B22">
        <w:rPr>
          <w:rFonts w:ascii="Arial" w:hAnsi="Arial" w:cs="Arial"/>
          <w:b/>
          <w:bCs/>
          <w:sz w:val="28"/>
          <w:szCs w:val="28"/>
        </w:rPr>
        <w:t>Assignment Title</w:t>
      </w:r>
      <w:r w:rsidR="004540C2" w:rsidRPr="00203B22">
        <w:rPr>
          <w:rFonts w:ascii="Arial" w:hAnsi="Arial" w:cs="Arial"/>
          <w:sz w:val="28"/>
          <w:szCs w:val="28"/>
        </w:rPr>
        <w:t xml:space="preserve">: </w:t>
      </w:r>
      <w:r w:rsidRPr="00203B22">
        <w:rPr>
          <w:rFonts w:ascii="Arial" w:eastAsia="Times New Roman" w:hAnsi="Arial" w:cs="Arial"/>
          <w:color w:val="000000"/>
          <w:sz w:val="28"/>
          <w:szCs w:val="28"/>
        </w:rPr>
        <w:t>Assessment 2 -</w:t>
      </w:r>
      <w:r w:rsidRPr="00203B22">
        <w:rPr>
          <w:rFonts w:ascii="Arial" w:eastAsia="Times New Roman" w:hAnsi="Arial" w:cs="Arial"/>
          <w:color w:val="000000"/>
          <w:sz w:val="28"/>
          <w:szCs w:val="28"/>
        </w:rPr>
        <w:t xml:space="preserve"> </w:t>
      </w:r>
      <w:r w:rsidRPr="00203B22">
        <w:rPr>
          <w:rFonts w:ascii="Arial" w:eastAsia="Times New Roman" w:hAnsi="Arial" w:cs="Arial"/>
          <w:color w:val="000000"/>
          <w:sz w:val="28"/>
          <w:szCs w:val="28"/>
        </w:rPr>
        <w:t>Report on a Health Issue</w:t>
      </w:r>
    </w:p>
    <w:p w14:paraId="36D777FF" w14:textId="5D27DACF" w:rsidR="004540C2" w:rsidRPr="00203B22" w:rsidRDefault="004540C2" w:rsidP="004540C2">
      <w:pPr>
        <w:rPr>
          <w:rFonts w:ascii="Arial" w:hAnsi="Arial" w:cs="Arial"/>
          <w:sz w:val="28"/>
          <w:szCs w:val="28"/>
        </w:rPr>
      </w:pPr>
    </w:p>
    <w:p w14:paraId="7C2C9B0E" w14:textId="28FC0BE1" w:rsidR="004540C2" w:rsidRPr="00203B22" w:rsidRDefault="00203B22" w:rsidP="004540C2">
      <w:pPr>
        <w:rPr>
          <w:rFonts w:ascii="Arial" w:hAnsi="Arial" w:cs="Arial"/>
          <w:sz w:val="28"/>
          <w:szCs w:val="28"/>
        </w:rPr>
      </w:pPr>
      <w:r>
        <w:rPr>
          <w:rFonts w:ascii="Arial" w:hAnsi="Arial" w:cs="Arial"/>
          <w:b/>
          <w:bCs/>
          <w:sz w:val="28"/>
          <w:szCs w:val="28"/>
        </w:rPr>
        <w:t xml:space="preserve">Word Count: </w:t>
      </w:r>
      <w:r w:rsidRPr="00203B22">
        <w:rPr>
          <w:rFonts w:ascii="Arial" w:hAnsi="Arial" w:cs="Arial"/>
          <w:sz w:val="28"/>
          <w:szCs w:val="28"/>
        </w:rPr>
        <w:t>1517</w:t>
      </w:r>
    </w:p>
    <w:p w14:paraId="56457121" w14:textId="46B36D4E" w:rsidR="004540C2" w:rsidRPr="00203B22" w:rsidRDefault="004540C2" w:rsidP="004540C2">
      <w:pPr>
        <w:rPr>
          <w:rFonts w:ascii="Arial" w:hAnsi="Arial" w:cs="Arial"/>
          <w:sz w:val="28"/>
          <w:szCs w:val="28"/>
        </w:rPr>
      </w:pPr>
      <w:r w:rsidRPr="00203B22">
        <w:rPr>
          <w:rFonts w:ascii="Arial" w:hAnsi="Arial" w:cs="Arial"/>
          <w:b/>
          <w:bCs/>
          <w:sz w:val="28"/>
          <w:szCs w:val="28"/>
        </w:rPr>
        <w:t>Submitted on</w:t>
      </w:r>
      <w:r w:rsidRPr="00203B22">
        <w:rPr>
          <w:rFonts w:ascii="Arial" w:hAnsi="Arial" w:cs="Arial"/>
          <w:sz w:val="28"/>
          <w:szCs w:val="28"/>
        </w:rPr>
        <w:t xml:space="preserve">: </w:t>
      </w:r>
      <w:r w:rsidR="00AD7A78" w:rsidRPr="00203B22">
        <w:rPr>
          <w:rFonts w:ascii="Arial" w:hAnsi="Arial" w:cs="Arial"/>
          <w:sz w:val="28"/>
          <w:szCs w:val="28"/>
        </w:rPr>
        <w:t>14</w:t>
      </w:r>
      <w:r w:rsidR="004E442E" w:rsidRPr="00203B22">
        <w:rPr>
          <w:rFonts w:ascii="Arial" w:hAnsi="Arial" w:cs="Arial"/>
          <w:sz w:val="28"/>
          <w:szCs w:val="28"/>
        </w:rPr>
        <w:t>/04/2026</w:t>
      </w:r>
    </w:p>
    <w:p w14:paraId="7D5EC00D" w14:textId="77777777" w:rsidR="004540C2" w:rsidRPr="00116157" w:rsidRDefault="004540C2">
      <w:pPr>
        <w:rPr>
          <w:rFonts w:ascii="Arial" w:hAnsi="Arial" w:cs="Arial"/>
          <w:b/>
          <w:bCs/>
          <w:kern w:val="0"/>
          <w:sz w:val="26"/>
          <w:szCs w:val="26"/>
        </w:rPr>
      </w:pPr>
    </w:p>
    <w:p w14:paraId="4C8F0A2C" w14:textId="77777777" w:rsidR="004540C2" w:rsidRPr="00116157" w:rsidRDefault="004540C2">
      <w:pPr>
        <w:rPr>
          <w:rFonts w:ascii="Arial" w:hAnsi="Arial" w:cs="Arial"/>
          <w:b/>
          <w:bCs/>
          <w:kern w:val="0"/>
          <w:sz w:val="26"/>
          <w:szCs w:val="26"/>
        </w:rPr>
      </w:pPr>
      <w:r w:rsidRPr="00116157">
        <w:rPr>
          <w:rFonts w:ascii="Arial" w:hAnsi="Arial" w:cs="Arial"/>
          <w:b/>
          <w:bCs/>
          <w:kern w:val="0"/>
          <w:sz w:val="26"/>
          <w:szCs w:val="26"/>
        </w:rPr>
        <w:br w:type="page"/>
      </w:r>
    </w:p>
    <w:p w14:paraId="3A5B78C9"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lastRenderedPageBreak/>
        <w:t>Lung cancer is a malignant disease characterised by the uncontrolled growth of abnormal cells within the lungs, often leading to tumour formation and potential metastasis to other parts of the body. It is broadly classified into non-small cell lung cancer and small cell lung cancer, each differing in progression and treatment approaches (Cancer Research UK, 2023). Common signs and symptoms include a persistent cough, chest pain, breathlessness, haemoptysis, fatigue, and unexplained weight loss. However, symptoms frequently present at a later stage, contributing to delayed diagnosis and poor prognosis.</w:t>
      </w:r>
    </w:p>
    <w:p w14:paraId="3FEC15FF" w14:textId="77777777" w:rsidR="006224CC" w:rsidRDefault="006224CC" w:rsidP="006224CC">
      <w:pPr>
        <w:spacing w:after="0" w:line="360" w:lineRule="auto"/>
        <w:rPr>
          <w:rFonts w:ascii="Arial" w:eastAsia="Times New Roman" w:hAnsi="Arial" w:cs="Arial"/>
          <w:color w:val="000000"/>
          <w:kern w:val="0"/>
          <w:sz w:val="22"/>
          <w:szCs w:val="22"/>
          <w:lang w:eastAsia="en-GB"/>
          <w14:ligatures w14:val="none"/>
        </w:rPr>
      </w:pPr>
    </w:p>
    <w:p w14:paraId="62357775" w14:textId="23A9B0B0"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Lung cancer is a major global health issue, with approximately 2.2 million new diagnoses annually and significant prevalence in the United Kingdom (around 48,000 new cases yearly), where it remains the leading cause of cancer-related deaths (World Health Organisation, 2023; Cancer Research UK, 2023). This report will first explore the approaches used to measure and monitor lung cancer, then discuss current control methods, examine the consequences of the disease for individuals and communities, and finally assess the health and social care support services available to those affected.</w:t>
      </w:r>
    </w:p>
    <w:p w14:paraId="3DD07CF7" w14:textId="77777777" w:rsid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p>
    <w:p w14:paraId="3834A570" w14:textId="7A417FCB" w:rsidR="006224CC" w:rsidRP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r w:rsidRPr="006224CC">
        <w:rPr>
          <w:rFonts w:ascii="Arial" w:eastAsia="Times New Roman" w:hAnsi="Arial" w:cs="Arial"/>
          <w:b/>
          <w:bCs/>
          <w:color w:val="000000"/>
          <w:kern w:val="0"/>
          <w:sz w:val="22"/>
          <w:szCs w:val="22"/>
          <w:lang w:eastAsia="en-GB"/>
          <w14:ligatures w14:val="none"/>
        </w:rPr>
        <w:t>Approaches to Measure and Monitor Lung Cancer</w:t>
      </w:r>
    </w:p>
    <w:p w14:paraId="56BB7CAC"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A range of approaches is used to measure and monitor lung cancer, combining diagnostic techniques, screening programmes, and public health surveillance systems. Early detection plays a crucial role in improving survival rates, as lung cancer is often diagnosed at an advanced stage when treatment options are limited.</w:t>
      </w:r>
    </w:p>
    <w:p w14:paraId="08E711FC" w14:textId="77777777" w:rsidR="006224CC" w:rsidRDefault="006224CC" w:rsidP="006224CC">
      <w:pPr>
        <w:spacing w:after="0" w:line="360" w:lineRule="auto"/>
        <w:rPr>
          <w:rFonts w:ascii="Arial" w:eastAsia="Times New Roman" w:hAnsi="Arial" w:cs="Arial"/>
          <w:color w:val="000000"/>
          <w:kern w:val="0"/>
          <w:sz w:val="22"/>
          <w:szCs w:val="22"/>
          <w:lang w:eastAsia="en-GB"/>
          <w14:ligatures w14:val="none"/>
        </w:rPr>
      </w:pPr>
    </w:p>
    <w:p w14:paraId="71AABB28" w14:textId="377E71F8"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One key approach is the use of screening programmes, particularly low-dose computed tomography (CT) scans for individuals at high risk, such as long-term smokers. In the United Kingdom, the NHS Targeted Lung Health Check programme aims to identify lung cancer at an earlier stage, thereby improving patient outcomes and reducing the rate of late-stage diagnoses (NHS England, 2022).</w:t>
      </w:r>
    </w:p>
    <w:p w14:paraId="6C4282FB" w14:textId="77777777" w:rsidR="006224CC" w:rsidRDefault="006224CC" w:rsidP="006224CC">
      <w:pPr>
        <w:spacing w:after="0" w:line="360" w:lineRule="auto"/>
        <w:rPr>
          <w:rFonts w:ascii="Arial" w:eastAsia="Times New Roman" w:hAnsi="Arial" w:cs="Arial"/>
          <w:color w:val="000000"/>
          <w:kern w:val="0"/>
          <w:sz w:val="22"/>
          <w:szCs w:val="22"/>
          <w:lang w:eastAsia="en-GB"/>
          <w14:ligatures w14:val="none"/>
        </w:rPr>
      </w:pPr>
    </w:p>
    <w:p w14:paraId="3DDAE438" w14:textId="3289D1CD"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 xml:space="preserve">Diagnostic tests are essential for measuring and confirming lung cancer. Initial investigations usually begin with a chest X-ray, followed by more detailed imaging such as CT or PET scans to assess tumour size and metastasis. Diagnosis is confirmed by biopsy, in which tissue samples are examined histologically to determine cancer type and stage (NICE, 2019). The TNM staging </w:t>
      </w:r>
      <w:r w:rsidRPr="006224CC">
        <w:rPr>
          <w:rFonts w:ascii="Arial" w:eastAsia="Times New Roman" w:hAnsi="Arial" w:cs="Arial"/>
          <w:color w:val="000000"/>
          <w:kern w:val="0"/>
          <w:sz w:val="22"/>
          <w:szCs w:val="22"/>
          <w:lang w:eastAsia="en-GB"/>
          <w14:ligatures w14:val="none"/>
        </w:rPr>
        <w:lastRenderedPageBreak/>
        <w:t>system (Tumour, Node, Metastasis) is used to classify disease severity and guide treatment planning and monitoring.</w:t>
      </w:r>
    </w:p>
    <w:p w14:paraId="47DA66F7"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11720765" w14:textId="3CC40AAD"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At a population level, monitoring is conducted through cancer registries such as the UK National Cancer Registration and Analysis Service. These systems track incidence, survival rates, and mortality trends, enabling healthcare professionals and policymakers to evaluate public health interventions and identify inequalities in outcomes (ONS, 2023).</w:t>
      </w:r>
    </w:p>
    <w:p w14:paraId="22972B94"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5E92795E" w14:textId="20ACDC96"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Although these approaches are essential, they have important limitations. Screening is not universally accessible, particularly in deprived areas where uptake may be reduced due to socioeconomic barriers, reduced health literacy, and limited awareness. Furthermore, screening programmes may generate false-positive results, which can lead to unnecessary anxiety, additional diagnostic procedures, and increased pressure on healthcare services. These issues highlight persistent inequalities in access and demonstrate the complexity of delivering equitable early detection strategies. Despite these limitations, early detection and systematic monitoring remain fundamental to improving survival outcomes in lung cancer.</w:t>
      </w:r>
    </w:p>
    <w:p w14:paraId="41C15FED" w14:textId="77777777" w:rsid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p>
    <w:p w14:paraId="3446F686" w14:textId="7474D94D" w:rsidR="006224CC" w:rsidRP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r w:rsidRPr="006224CC">
        <w:rPr>
          <w:rFonts w:ascii="Arial" w:eastAsia="Times New Roman" w:hAnsi="Arial" w:cs="Arial"/>
          <w:b/>
          <w:bCs/>
          <w:color w:val="000000"/>
          <w:kern w:val="0"/>
          <w:sz w:val="22"/>
          <w:szCs w:val="22"/>
          <w:lang w:eastAsia="en-GB"/>
          <w14:ligatures w14:val="none"/>
        </w:rPr>
        <w:t>How Lung Cancer is Controlled</w:t>
      </w:r>
    </w:p>
    <w:p w14:paraId="216C3152"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The control of lung cancer involves a combination of primary, secondary, and tertiary prevention strategies aimed at reducing incidence, improving early detection, and enhancing treatment outcomes.</w:t>
      </w:r>
    </w:p>
    <w:p w14:paraId="7F4F3CE5"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4EACEAEF" w14:textId="1C6F9260"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Primary prevention focuses on reducing exposure to risk factors, with smoking cessation being the most significant intervention, as tobacco use remains the leading cause of lung cancer. Public health policies, including increased taxation on tobacco products, smoking bans in public places, and national health promotion campaigns, have been implemented across the United Kingdom to reduce smoking prevalence (Public Health England, 2019). Additionally, reducing exposure to occupational hazards such as asbestos and environmental pollutants also contributes to risk reduction.</w:t>
      </w:r>
    </w:p>
    <w:p w14:paraId="39C8FDF5"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5ABDABFD" w14:textId="1DE01D19"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 xml:space="preserve">Secondary prevention focuses on early detection through initiatives such as the NHS Targeted Lung Health Checks, which utilise low-dose CT screening for high-risk populations (NHS </w:t>
      </w:r>
      <w:r w:rsidRPr="006224CC">
        <w:rPr>
          <w:rFonts w:ascii="Arial" w:eastAsia="Times New Roman" w:hAnsi="Arial" w:cs="Arial"/>
          <w:color w:val="000000"/>
          <w:kern w:val="0"/>
          <w:sz w:val="22"/>
          <w:szCs w:val="22"/>
          <w:lang w:eastAsia="en-GB"/>
          <w14:ligatures w14:val="none"/>
        </w:rPr>
        <w:lastRenderedPageBreak/>
        <w:t>England, 2022). Earlier detection significantly improves treatment options and survival outcomes, particularly when cancer is identified at a localised stage.</w:t>
      </w:r>
    </w:p>
    <w:p w14:paraId="59D8DFA7"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397BE898" w14:textId="6EC36A7B"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Tertiary prevention involves the management of diagnosed cases to slow disease progression, reduce symptoms, and improve quality of life. Treatment options include surgery, chemotherapy, radiotherapy, and more recently immunotherapy, which enhances the immune system’s ability to target cancer cells (NICE, 2019). Treatment plans are increasingly individualised based on cancer type, stage, and patient health status.</w:t>
      </w:r>
    </w:p>
    <w:p w14:paraId="201E0320"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6196E755" w14:textId="7008E3F4"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Despite these strategies, significant challenges remain in controlling lung cancer effectively. Behavioural factors, particularly nicotine addiction, make smoking cessation difficult and require long-term, multifaceted interventions addressing psychological and social determinants of health. In addition, health inequalities continue to exacerbate outcomes, as individuals from lower socioeconomic groups are more likely to be exposed to risk factors and face barriers to accessing both preventive and treatment services.</w:t>
      </w:r>
    </w:p>
    <w:p w14:paraId="28071E5C"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75359918" w14:textId="3A6AA34A"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These challenges indicate that effective lung cancer control requires more than population-wide strategies alone. Targeted smoking cessation programmes, tailored health education, and culturally sensitive interventions are essential for high-risk groups. Furthermore, expanding access to screening through mobile units and community-based services may help reduce structural barriers. Collaboration between primary care, public health organisations, and community services is therefore essential to deliver a more integrated and equitable approach to lung cancer prevention and management.</w:t>
      </w:r>
    </w:p>
    <w:p w14:paraId="5299578D" w14:textId="77777777" w:rsidR="009A1BEB" w:rsidRDefault="009A1BEB"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p>
    <w:p w14:paraId="243F192B" w14:textId="4EDB6AB4" w:rsidR="006224CC" w:rsidRP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r w:rsidRPr="006224CC">
        <w:rPr>
          <w:rFonts w:ascii="Arial" w:eastAsia="Times New Roman" w:hAnsi="Arial" w:cs="Arial"/>
          <w:b/>
          <w:bCs/>
          <w:color w:val="000000"/>
          <w:kern w:val="0"/>
          <w:sz w:val="22"/>
          <w:szCs w:val="22"/>
          <w:lang w:eastAsia="en-GB"/>
          <w14:ligatures w14:val="none"/>
        </w:rPr>
        <w:t>Consequences of Lung Cancer on Individuals and the Community</w:t>
      </w:r>
    </w:p>
    <w:p w14:paraId="23B54C3B"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Lung cancer significantly affects individuals’ physical, psychological, social, and economic well-being, while also placing a substantial burden on the wider community.</w:t>
      </w:r>
    </w:p>
    <w:p w14:paraId="7D3A4374"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 xml:space="preserve">Physically, symptoms such as chronic cough, breathlessness, fatigue, and pain progressively </w:t>
      </w:r>
      <w:proofErr w:type="spellStart"/>
      <w:r w:rsidRPr="006224CC">
        <w:rPr>
          <w:rFonts w:ascii="Arial" w:eastAsia="Times New Roman" w:hAnsi="Arial" w:cs="Arial"/>
          <w:color w:val="000000"/>
          <w:kern w:val="0"/>
          <w:sz w:val="22"/>
          <w:szCs w:val="22"/>
          <w:lang w:eastAsia="en-GB"/>
          <w14:ligatures w14:val="none"/>
        </w:rPr>
        <w:t>worsen</w:t>
      </w:r>
      <w:proofErr w:type="spellEnd"/>
      <w:r w:rsidRPr="006224CC">
        <w:rPr>
          <w:rFonts w:ascii="Arial" w:eastAsia="Times New Roman" w:hAnsi="Arial" w:cs="Arial"/>
          <w:color w:val="000000"/>
          <w:kern w:val="0"/>
          <w:sz w:val="22"/>
          <w:szCs w:val="22"/>
          <w:lang w:eastAsia="en-GB"/>
          <w14:ligatures w14:val="none"/>
        </w:rPr>
        <w:t>, significantly reducing quality of life and daily functioning (Macmillan Cancer Support, 2022).</w:t>
      </w:r>
    </w:p>
    <w:p w14:paraId="736B9DCB"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3F3AB90B" w14:textId="3424660C"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lastRenderedPageBreak/>
        <w:t>Psychologically, lung cancer can result in anxiety, depression, and emotional distress following diagnosis. This is often influenced by uncertainty regarding prognosis and treatment outcomes, as well as stigma associated with smoking-related disease. These psychological effects also extend to families and caregivers, who may experience emotional strain and anticipatory grief.</w:t>
      </w:r>
    </w:p>
    <w:p w14:paraId="4AD9B73C"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 xml:space="preserve">Socially, lung cancer can lead to isolation, reduced social participation, and loss of employment due to physical limitations and treatment demands. This contributes to financial instability and </w:t>
      </w:r>
      <w:proofErr w:type="gramStart"/>
      <w:r w:rsidRPr="006224CC">
        <w:rPr>
          <w:rFonts w:ascii="Arial" w:eastAsia="Times New Roman" w:hAnsi="Arial" w:cs="Arial"/>
          <w:color w:val="000000"/>
          <w:kern w:val="0"/>
          <w:sz w:val="22"/>
          <w:szCs w:val="22"/>
          <w:lang w:eastAsia="en-GB"/>
          <w14:ligatures w14:val="none"/>
        </w:rPr>
        <w:t>impacts</w:t>
      </w:r>
      <w:proofErr w:type="gramEnd"/>
      <w:r w:rsidRPr="006224CC">
        <w:rPr>
          <w:rFonts w:ascii="Arial" w:eastAsia="Times New Roman" w:hAnsi="Arial" w:cs="Arial"/>
          <w:color w:val="000000"/>
          <w:kern w:val="0"/>
          <w:sz w:val="22"/>
          <w:szCs w:val="22"/>
          <w:lang w:eastAsia="en-GB"/>
          <w14:ligatures w14:val="none"/>
        </w:rPr>
        <w:t xml:space="preserve"> identity and social roles. At a wider level, the economic burden includes increased healthcare costs related to hospital admissions, long-term treatment, and palliative care, which place significant pressure on the National Health Service and social care systems.</w:t>
      </w:r>
    </w:p>
    <w:p w14:paraId="1E3E02B0"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1D574347" w14:textId="029160DF"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At a community level, lung cancer reinforces existing health inequalities, with higher incidence and mortality rates observed in more deprived populations. This pattern reflects underlying social determinants of health, including reduced access to healthcare services, lower health literacy, and increased exposure to risk factors such as smoking and environmental pollutants. These inequalities highlight the need for targeted public health interventions and more equitable resource allocation. Therefore, the consequences of lung cancer extend beyond the individual, requiring systemic and equity-focused responses at both healthcare and policy levels.</w:t>
      </w:r>
    </w:p>
    <w:p w14:paraId="490DE6E6" w14:textId="77777777" w:rsidR="005207A7" w:rsidRDefault="005207A7"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p>
    <w:p w14:paraId="37BCC366" w14:textId="4BF9CBD7" w:rsidR="006224CC" w:rsidRP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r w:rsidRPr="006224CC">
        <w:rPr>
          <w:rFonts w:ascii="Arial" w:eastAsia="Times New Roman" w:hAnsi="Arial" w:cs="Arial"/>
          <w:b/>
          <w:bCs/>
          <w:color w:val="000000"/>
          <w:kern w:val="0"/>
          <w:sz w:val="22"/>
          <w:szCs w:val="22"/>
          <w:lang w:eastAsia="en-GB"/>
          <w14:ligatures w14:val="none"/>
        </w:rPr>
        <w:t>Health and Social Care Support Services</w:t>
      </w:r>
    </w:p>
    <w:p w14:paraId="5FA0FA44"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People with lung cancer require a wide range of integrated support services. Care is typically delivered by multidisciplinary teams including oncologists, respiratory specialists, nurses, radiographers, and palliative care professionals who coordinate care according to individual patient needs (NICE, 2019).</w:t>
      </w:r>
    </w:p>
    <w:p w14:paraId="3A1576D9"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3DADF738" w14:textId="355FDFB2"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Within the community, primary care services such as general practitioners (GPs) and district nurses play an important role in ongoing monitoring, symptom management, and continuity of care following hospital treatment. Palliative care services are also essential, particularly for individuals with advanced lung cancer, focusing on pain relief, symptom control, and improving quality of life. These services may be delivered in hospices, hospitals, or at home depending on patient preference and clinical need.</w:t>
      </w:r>
    </w:p>
    <w:p w14:paraId="3103C163"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55F1E420" w14:textId="647D2BBC"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lastRenderedPageBreak/>
        <w:t>Voluntary and charitable organisations such as Macmillan Cancer Support and the Roy Castle Lung Cancer Foundation provide additional support, including financial advice, counselling, information services, and peer support groups for patients and families (Macmillan Cancer Support, 2022).</w:t>
      </w:r>
    </w:p>
    <w:p w14:paraId="4C6AFD22"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3BC99616" w14:textId="781EB0A1"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Social care services assist individuals who have lost independence due to illness, including home care support, mobility aids, and personal care assistance. Informal carers and family members also play a crucial role and often require additional training, emotional support, and respite care.</w:t>
      </w:r>
    </w:p>
    <w:p w14:paraId="5C7C5F62"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3F8FAA80" w14:textId="3F7DE9BA"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 xml:space="preserve">However, access to these services is not always equitable. Individuals in deprived areas may face barriers due to </w:t>
      </w:r>
      <w:proofErr w:type="gramStart"/>
      <w:r w:rsidRPr="006224CC">
        <w:rPr>
          <w:rFonts w:ascii="Arial" w:eastAsia="Times New Roman" w:hAnsi="Arial" w:cs="Arial"/>
          <w:color w:val="000000"/>
          <w:kern w:val="0"/>
          <w:sz w:val="22"/>
          <w:szCs w:val="22"/>
          <w:lang w:eastAsia="en-GB"/>
          <w14:ligatures w14:val="none"/>
        </w:rPr>
        <w:t>limited service</w:t>
      </w:r>
      <w:proofErr w:type="gramEnd"/>
      <w:r w:rsidRPr="006224CC">
        <w:rPr>
          <w:rFonts w:ascii="Arial" w:eastAsia="Times New Roman" w:hAnsi="Arial" w:cs="Arial"/>
          <w:color w:val="000000"/>
          <w:kern w:val="0"/>
          <w:sz w:val="22"/>
          <w:szCs w:val="22"/>
          <w:lang w:eastAsia="en-GB"/>
          <w14:ligatures w14:val="none"/>
        </w:rPr>
        <w:t xml:space="preserve"> availability, financial constraints, or reduced health literacy. Addressing these inequalities remains a significant challenge and requires coordinated, system-wide efforts to improve accessibility, integration, and service provision across health and social care sectors.</w:t>
      </w:r>
    </w:p>
    <w:p w14:paraId="5C1892E4" w14:textId="77777777" w:rsidR="005207A7" w:rsidRDefault="005207A7"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p>
    <w:p w14:paraId="058CC88B" w14:textId="2A641223" w:rsidR="006224CC" w:rsidRPr="006224CC" w:rsidRDefault="006224CC" w:rsidP="006224CC">
      <w:pPr>
        <w:spacing w:before="240" w:after="120" w:line="360" w:lineRule="auto"/>
        <w:outlineLvl w:val="1"/>
        <w:rPr>
          <w:rFonts w:ascii="Arial" w:eastAsia="Times New Roman" w:hAnsi="Arial" w:cs="Arial"/>
          <w:b/>
          <w:bCs/>
          <w:color w:val="000000"/>
          <w:kern w:val="0"/>
          <w:sz w:val="22"/>
          <w:szCs w:val="22"/>
          <w:lang w:eastAsia="en-GB"/>
          <w14:ligatures w14:val="none"/>
        </w:rPr>
      </w:pPr>
      <w:r w:rsidRPr="006224CC">
        <w:rPr>
          <w:rFonts w:ascii="Arial" w:eastAsia="Times New Roman" w:hAnsi="Arial" w:cs="Arial"/>
          <w:b/>
          <w:bCs/>
          <w:color w:val="000000"/>
          <w:kern w:val="0"/>
          <w:sz w:val="22"/>
          <w:szCs w:val="22"/>
          <w:lang w:eastAsia="en-GB"/>
          <w14:ligatures w14:val="none"/>
        </w:rPr>
        <w:t>Conclusion</w:t>
      </w:r>
    </w:p>
    <w:p w14:paraId="04F64063"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In conclusion, lung cancer remains a major public health concern both globally and within the United Kingdom, with high incidence and mortality rates highlighting its severity. The disease is often diagnosed at a late stage due to non-specific symptoms, making early detection through screening programmes and effective monitoring approaches essential.</w:t>
      </w:r>
    </w:p>
    <w:p w14:paraId="39485282"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7610B8CE" w14:textId="5363DDFF"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A combination of primary, secondary, and tertiary prevention strategies plays a key role in controlling lung cancer, particularly through smoking cessation initiatives and advances in treatment. However, behavioural factors such as nicotine addiction and persistent health inequalities continue to limit the effectiveness of these strategies.</w:t>
      </w:r>
    </w:p>
    <w:p w14:paraId="7A8EA26E"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t>The impact of lung cancer extends beyond physical health, affecting individuals psychologically, socially, and economically, while also placing a significant burden on healthcare systems and communities. Comprehensive health and social care support services, including multidisciplinary care, community-based support, and voluntary organisations, are therefore essential.</w:t>
      </w:r>
    </w:p>
    <w:p w14:paraId="5BA49137" w14:textId="77777777" w:rsidR="005207A7" w:rsidRDefault="005207A7" w:rsidP="006224CC">
      <w:pPr>
        <w:spacing w:after="0" w:line="360" w:lineRule="auto"/>
        <w:rPr>
          <w:rFonts w:ascii="Arial" w:eastAsia="Times New Roman" w:hAnsi="Arial" w:cs="Arial"/>
          <w:color w:val="000000"/>
          <w:kern w:val="0"/>
          <w:sz w:val="22"/>
          <w:szCs w:val="22"/>
          <w:lang w:eastAsia="en-GB"/>
          <w14:ligatures w14:val="none"/>
        </w:rPr>
      </w:pPr>
    </w:p>
    <w:p w14:paraId="4CFA4FDE" w14:textId="35C82E4A"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r w:rsidRPr="006224CC">
        <w:rPr>
          <w:rFonts w:ascii="Arial" w:eastAsia="Times New Roman" w:hAnsi="Arial" w:cs="Arial"/>
          <w:color w:val="000000"/>
          <w:kern w:val="0"/>
          <w:sz w:val="22"/>
          <w:szCs w:val="22"/>
          <w:lang w:eastAsia="en-GB"/>
          <w14:ligatures w14:val="none"/>
        </w:rPr>
        <w:lastRenderedPageBreak/>
        <w:t>Ultimately, improving early diagnosis, reducing health inequalities, and ensuring equitable access to prevention, treatment, and support services are critical to enhancing outcomes and quality of life for individuals affected by lung cancer.</w:t>
      </w:r>
    </w:p>
    <w:p w14:paraId="39D6E5DE" w14:textId="77777777" w:rsidR="006224CC" w:rsidRPr="006224CC" w:rsidRDefault="006224CC" w:rsidP="006224CC">
      <w:pPr>
        <w:spacing w:after="0" w:line="360" w:lineRule="auto"/>
        <w:rPr>
          <w:rFonts w:ascii="Arial" w:eastAsia="Times New Roman" w:hAnsi="Arial" w:cs="Arial"/>
          <w:color w:val="000000"/>
          <w:kern w:val="0"/>
          <w:sz w:val="22"/>
          <w:szCs w:val="22"/>
          <w:lang w:eastAsia="en-GB"/>
          <w14:ligatures w14:val="none"/>
        </w:rPr>
      </w:pPr>
    </w:p>
    <w:p w14:paraId="043D56E9" w14:textId="77777777" w:rsidR="006224CC" w:rsidRPr="006224CC" w:rsidRDefault="006224CC" w:rsidP="006224CC">
      <w:pPr>
        <w:spacing w:after="0" w:line="360" w:lineRule="auto"/>
        <w:rPr>
          <w:rFonts w:ascii="Arial" w:eastAsia="Times New Roman" w:hAnsi="Arial" w:cs="Arial"/>
          <w:kern w:val="0"/>
          <w:sz w:val="22"/>
          <w:szCs w:val="22"/>
          <w:lang w:eastAsia="en-GB"/>
          <w14:ligatures w14:val="none"/>
        </w:rPr>
      </w:pPr>
    </w:p>
    <w:p w14:paraId="0A8A367B" w14:textId="39A37D10" w:rsidR="006224CC" w:rsidRPr="006224CC" w:rsidRDefault="006224CC" w:rsidP="006224CC">
      <w:pPr>
        <w:spacing w:line="360" w:lineRule="auto"/>
        <w:rPr>
          <w:rFonts w:ascii="Arial" w:hAnsi="Arial" w:cs="Arial"/>
          <w:sz w:val="22"/>
          <w:szCs w:val="22"/>
        </w:rPr>
      </w:pPr>
      <w:r w:rsidRPr="006224CC">
        <w:rPr>
          <w:rFonts w:ascii="Arial" w:hAnsi="Arial" w:cs="Arial"/>
          <w:sz w:val="22"/>
          <w:szCs w:val="22"/>
        </w:rPr>
        <w:br w:type="page"/>
      </w:r>
    </w:p>
    <w:p w14:paraId="3F5CEBA3" w14:textId="4E2367D5" w:rsidR="006224CC" w:rsidRPr="005207A7" w:rsidRDefault="006224CC" w:rsidP="006224CC">
      <w:pPr>
        <w:pStyle w:val="Heading2"/>
        <w:spacing w:line="360" w:lineRule="auto"/>
        <w:rPr>
          <w:rFonts w:ascii="Arial" w:hAnsi="Arial" w:cs="Arial"/>
          <w:color w:val="000000"/>
          <w:sz w:val="22"/>
          <w:szCs w:val="22"/>
        </w:rPr>
      </w:pPr>
      <w:r w:rsidRPr="005207A7">
        <w:rPr>
          <w:rStyle w:val="Strong"/>
          <w:rFonts w:ascii="Arial" w:hAnsi="Arial" w:cs="Arial"/>
          <w:color w:val="000000"/>
          <w:sz w:val="22"/>
          <w:szCs w:val="22"/>
        </w:rPr>
        <w:lastRenderedPageBreak/>
        <w:t xml:space="preserve">Reference List </w:t>
      </w:r>
    </w:p>
    <w:p w14:paraId="6AC892F2" w14:textId="77777777"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Cancer Research UK (2022)</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Lung cancer survival statistics</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9" w:history="1">
        <w:r w:rsidRPr="006224CC">
          <w:rPr>
            <w:rStyle w:val="Hyperlink"/>
            <w:rFonts w:ascii="Arial" w:eastAsiaTheme="majorEastAsia" w:hAnsi="Arial" w:cs="Arial"/>
            <w:sz w:val="22"/>
            <w:szCs w:val="22"/>
          </w:rPr>
          <w:t>https://www.cancerresearchuk.org</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(Accessed: 14 April 2026).</w:t>
      </w:r>
    </w:p>
    <w:p w14:paraId="2BBA39BD" w14:textId="70E5C253"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Cancer Research UK (2023)</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Lung cancer statistics</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0" w:history="1">
        <w:r w:rsidRPr="006224CC">
          <w:rPr>
            <w:rStyle w:val="Hyperlink"/>
            <w:rFonts w:ascii="Arial" w:eastAsiaTheme="majorEastAsia" w:hAnsi="Arial" w:cs="Arial"/>
            <w:sz w:val="22"/>
            <w:szCs w:val="22"/>
          </w:rPr>
          <w:t>https://www.cancerresearchuk.org</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 xml:space="preserve">(Accessed: </w:t>
      </w:r>
      <w:r w:rsidR="00F31A06">
        <w:rPr>
          <w:rFonts w:ascii="Arial" w:hAnsi="Arial" w:cs="Arial"/>
          <w:color w:val="000000"/>
          <w:sz w:val="22"/>
          <w:szCs w:val="22"/>
        </w:rPr>
        <w:t>13</w:t>
      </w:r>
      <w:r w:rsidRPr="006224CC">
        <w:rPr>
          <w:rFonts w:ascii="Arial" w:hAnsi="Arial" w:cs="Arial"/>
          <w:color w:val="000000"/>
          <w:sz w:val="22"/>
          <w:szCs w:val="22"/>
        </w:rPr>
        <w:t xml:space="preserve"> April 2026).</w:t>
      </w:r>
    </w:p>
    <w:p w14:paraId="2245C9D3" w14:textId="6F609A26"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Macmillan Cancer Support (2022)</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The impact of cancer on patients and families</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1" w:history="1">
        <w:r w:rsidRPr="006224CC">
          <w:rPr>
            <w:rStyle w:val="Hyperlink"/>
            <w:rFonts w:ascii="Arial" w:eastAsiaTheme="majorEastAsia" w:hAnsi="Arial" w:cs="Arial"/>
            <w:sz w:val="22"/>
            <w:szCs w:val="22"/>
          </w:rPr>
          <w:t>https://www.macmillan.org.uk</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 xml:space="preserve">(Accessed: </w:t>
      </w:r>
      <w:r w:rsidR="00F31A06">
        <w:rPr>
          <w:rFonts w:ascii="Arial" w:hAnsi="Arial" w:cs="Arial"/>
          <w:color w:val="000000"/>
          <w:sz w:val="22"/>
          <w:szCs w:val="22"/>
        </w:rPr>
        <w:t>13</w:t>
      </w:r>
      <w:r w:rsidRPr="006224CC">
        <w:rPr>
          <w:rFonts w:ascii="Arial" w:hAnsi="Arial" w:cs="Arial"/>
          <w:color w:val="000000"/>
          <w:sz w:val="22"/>
          <w:szCs w:val="22"/>
        </w:rPr>
        <w:t xml:space="preserve"> April 2026).</w:t>
      </w:r>
    </w:p>
    <w:p w14:paraId="6A5C6609" w14:textId="77777777"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National Institute for Health and Care Excellence (NICE) (2019)</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Lung cancer: diagnosis and management</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2" w:history="1">
        <w:r w:rsidRPr="006224CC">
          <w:rPr>
            <w:rStyle w:val="Hyperlink"/>
            <w:rFonts w:ascii="Arial" w:eastAsiaTheme="majorEastAsia" w:hAnsi="Arial" w:cs="Arial"/>
            <w:sz w:val="22"/>
            <w:szCs w:val="22"/>
          </w:rPr>
          <w:t>https://www.nice.org.uk</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(Accessed: 14 April 2026).</w:t>
      </w:r>
    </w:p>
    <w:p w14:paraId="75C364EC" w14:textId="7B0DF4E2"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NHS England (2022)</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Targeted Lung Health Checks Programme</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3" w:history="1">
        <w:r w:rsidRPr="006224CC">
          <w:rPr>
            <w:rStyle w:val="Hyperlink"/>
            <w:rFonts w:ascii="Arial" w:eastAsiaTheme="majorEastAsia" w:hAnsi="Arial" w:cs="Arial"/>
            <w:sz w:val="22"/>
            <w:szCs w:val="22"/>
          </w:rPr>
          <w:t>https://www.england.nhs.uk</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 xml:space="preserve">(Accessed: </w:t>
      </w:r>
      <w:r w:rsidR="00F31A06">
        <w:rPr>
          <w:rFonts w:ascii="Arial" w:hAnsi="Arial" w:cs="Arial"/>
          <w:color w:val="000000"/>
          <w:sz w:val="22"/>
          <w:szCs w:val="22"/>
        </w:rPr>
        <w:t>09</w:t>
      </w:r>
      <w:r w:rsidRPr="006224CC">
        <w:rPr>
          <w:rFonts w:ascii="Arial" w:hAnsi="Arial" w:cs="Arial"/>
          <w:color w:val="000000"/>
          <w:sz w:val="22"/>
          <w:szCs w:val="22"/>
        </w:rPr>
        <w:t xml:space="preserve"> April 2026).</w:t>
      </w:r>
    </w:p>
    <w:p w14:paraId="6403A306" w14:textId="77777777"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Office for National Statistics (ONS) (2023)</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Cancer registration statistics, UK</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4" w:history="1">
        <w:r w:rsidRPr="006224CC">
          <w:rPr>
            <w:rStyle w:val="Hyperlink"/>
            <w:rFonts w:ascii="Arial" w:eastAsiaTheme="majorEastAsia" w:hAnsi="Arial" w:cs="Arial"/>
            <w:sz w:val="22"/>
            <w:szCs w:val="22"/>
          </w:rPr>
          <w:t>https://www.ons.gov.uk</w:t>
        </w:r>
      </w:hyperlink>
      <w:r w:rsidRPr="006224CC">
        <w:rPr>
          <w:rFonts w:ascii="Arial" w:hAnsi="Arial" w:cs="Arial"/>
          <w:color w:val="000000"/>
          <w:sz w:val="22"/>
          <w:szCs w:val="22"/>
        </w:rPr>
        <w:t>(Accessed: 14 April 2026).</w:t>
      </w:r>
    </w:p>
    <w:p w14:paraId="7A920F98" w14:textId="1A2D8D84"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Public Health England (2019)</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Tobacco control plan for England</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5" w:history="1">
        <w:r w:rsidRPr="006224CC">
          <w:rPr>
            <w:rStyle w:val="Hyperlink"/>
            <w:rFonts w:ascii="Arial" w:eastAsiaTheme="majorEastAsia" w:hAnsi="Arial" w:cs="Arial"/>
            <w:sz w:val="22"/>
            <w:szCs w:val="22"/>
          </w:rPr>
          <w:t>https://www.gov.uk</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 xml:space="preserve">(Accessed: </w:t>
      </w:r>
      <w:r w:rsidR="00F31A06">
        <w:rPr>
          <w:rFonts w:ascii="Arial" w:hAnsi="Arial" w:cs="Arial"/>
          <w:color w:val="000000"/>
          <w:sz w:val="22"/>
          <w:szCs w:val="22"/>
        </w:rPr>
        <w:t>09</w:t>
      </w:r>
      <w:r w:rsidRPr="006224CC">
        <w:rPr>
          <w:rFonts w:ascii="Arial" w:hAnsi="Arial" w:cs="Arial"/>
          <w:color w:val="000000"/>
          <w:sz w:val="22"/>
          <w:szCs w:val="22"/>
        </w:rPr>
        <w:t xml:space="preserve"> April 2026).</w:t>
      </w:r>
    </w:p>
    <w:p w14:paraId="506D2212" w14:textId="77777777"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Royal College of Physicians (2020)</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Smoking and health report</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6" w:history="1">
        <w:r w:rsidRPr="006224CC">
          <w:rPr>
            <w:rStyle w:val="Hyperlink"/>
            <w:rFonts w:ascii="Arial" w:eastAsiaTheme="majorEastAsia" w:hAnsi="Arial" w:cs="Arial"/>
            <w:sz w:val="22"/>
            <w:szCs w:val="22"/>
          </w:rPr>
          <w:t>https://www.rcplondon.ac.uk</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(Accessed: 14 April 2026).</w:t>
      </w:r>
    </w:p>
    <w:p w14:paraId="05C0DCF1" w14:textId="2F901D7E"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Roy Castle Lung Cancer Foundation (2021)</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Understanding lung cancer</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7" w:history="1">
        <w:r w:rsidRPr="006224CC">
          <w:rPr>
            <w:rStyle w:val="Hyperlink"/>
            <w:rFonts w:ascii="Arial" w:eastAsiaTheme="majorEastAsia" w:hAnsi="Arial" w:cs="Arial"/>
            <w:sz w:val="22"/>
            <w:szCs w:val="22"/>
          </w:rPr>
          <w:t>https://www.roycastle.org</w:t>
        </w:r>
      </w:hyperlink>
      <w:r w:rsidRPr="006224CC">
        <w:rPr>
          <w:rFonts w:ascii="Arial" w:hAnsi="Arial" w:cs="Arial"/>
          <w:color w:val="000000"/>
          <w:sz w:val="22"/>
          <w:szCs w:val="22"/>
        </w:rPr>
        <w:t xml:space="preserve">(Accessed: </w:t>
      </w:r>
      <w:r w:rsidR="00F31A06">
        <w:rPr>
          <w:rFonts w:ascii="Arial" w:hAnsi="Arial" w:cs="Arial"/>
          <w:color w:val="000000"/>
          <w:sz w:val="22"/>
          <w:szCs w:val="22"/>
        </w:rPr>
        <w:t>09</w:t>
      </w:r>
      <w:r w:rsidRPr="006224CC">
        <w:rPr>
          <w:rFonts w:ascii="Arial" w:hAnsi="Arial" w:cs="Arial"/>
          <w:color w:val="000000"/>
          <w:sz w:val="22"/>
          <w:szCs w:val="22"/>
        </w:rPr>
        <w:t xml:space="preserve"> April 2026).</w:t>
      </w:r>
    </w:p>
    <w:p w14:paraId="52E8B934" w14:textId="3105BD0C" w:rsidR="006224CC" w:rsidRPr="006224CC" w:rsidRDefault="006224CC" w:rsidP="006224CC">
      <w:pPr>
        <w:pStyle w:val="NormalWeb"/>
        <w:spacing w:line="360" w:lineRule="auto"/>
        <w:rPr>
          <w:rFonts w:ascii="Arial" w:hAnsi="Arial" w:cs="Arial"/>
          <w:color w:val="000000"/>
          <w:sz w:val="22"/>
          <w:szCs w:val="22"/>
        </w:rPr>
      </w:pPr>
      <w:r w:rsidRPr="006224CC">
        <w:rPr>
          <w:rFonts w:ascii="Arial" w:hAnsi="Arial" w:cs="Arial"/>
          <w:color w:val="000000"/>
          <w:sz w:val="22"/>
          <w:szCs w:val="22"/>
        </w:rPr>
        <w:t>World Health Organization (2023)</w:t>
      </w:r>
      <w:r w:rsidRPr="006224CC">
        <w:rPr>
          <w:rStyle w:val="apple-converted-space"/>
          <w:rFonts w:ascii="Arial" w:eastAsiaTheme="majorEastAsia" w:hAnsi="Arial" w:cs="Arial"/>
          <w:color w:val="000000"/>
          <w:sz w:val="22"/>
          <w:szCs w:val="22"/>
        </w:rPr>
        <w:t> </w:t>
      </w:r>
      <w:r w:rsidRPr="006224CC">
        <w:rPr>
          <w:rStyle w:val="Emphasis"/>
          <w:rFonts w:ascii="Arial" w:eastAsiaTheme="majorEastAsia" w:hAnsi="Arial" w:cs="Arial"/>
          <w:color w:val="000000"/>
          <w:sz w:val="22"/>
          <w:szCs w:val="22"/>
        </w:rPr>
        <w:t>Cancer fact sheets: Lung cancer</w:t>
      </w:r>
      <w:r w:rsidRPr="006224CC">
        <w:rPr>
          <w:rFonts w:ascii="Arial" w:hAnsi="Arial" w:cs="Arial"/>
          <w:color w:val="000000"/>
          <w:sz w:val="22"/>
          <w:szCs w:val="22"/>
        </w:rPr>
        <w:t>. Available at:</w:t>
      </w:r>
      <w:r w:rsidRPr="006224CC">
        <w:rPr>
          <w:rStyle w:val="apple-converted-space"/>
          <w:rFonts w:ascii="Arial" w:eastAsiaTheme="majorEastAsia" w:hAnsi="Arial" w:cs="Arial"/>
          <w:color w:val="000000"/>
          <w:sz w:val="22"/>
          <w:szCs w:val="22"/>
        </w:rPr>
        <w:t> </w:t>
      </w:r>
      <w:hyperlink r:id="rId18" w:history="1">
        <w:r w:rsidRPr="006224CC">
          <w:rPr>
            <w:rStyle w:val="Hyperlink"/>
            <w:rFonts w:ascii="Arial" w:eastAsiaTheme="majorEastAsia" w:hAnsi="Arial" w:cs="Arial"/>
            <w:sz w:val="22"/>
            <w:szCs w:val="22"/>
          </w:rPr>
          <w:t>https://www.who.int</w:t>
        </w:r>
      </w:hyperlink>
      <w:r w:rsidRPr="006224CC">
        <w:rPr>
          <w:rStyle w:val="apple-converted-space"/>
          <w:rFonts w:ascii="Arial" w:eastAsiaTheme="majorEastAsia" w:hAnsi="Arial" w:cs="Arial"/>
          <w:color w:val="000000"/>
          <w:sz w:val="22"/>
          <w:szCs w:val="22"/>
        </w:rPr>
        <w:t> </w:t>
      </w:r>
      <w:r w:rsidRPr="006224CC">
        <w:rPr>
          <w:rFonts w:ascii="Arial" w:hAnsi="Arial" w:cs="Arial"/>
          <w:color w:val="000000"/>
          <w:sz w:val="22"/>
          <w:szCs w:val="22"/>
        </w:rPr>
        <w:t xml:space="preserve">(Accessed: </w:t>
      </w:r>
      <w:r w:rsidR="00F31A06">
        <w:rPr>
          <w:rFonts w:ascii="Arial" w:hAnsi="Arial" w:cs="Arial"/>
          <w:color w:val="000000"/>
          <w:sz w:val="22"/>
          <w:szCs w:val="22"/>
        </w:rPr>
        <w:t>09</w:t>
      </w:r>
      <w:r w:rsidRPr="006224CC">
        <w:rPr>
          <w:rFonts w:ascii="Arial" w:hAnsi="Arial" w:cs="Arial"/>
          <w:color w:val="000000"/>
          <w:sz w:val="22"/>
          <w:szCs w:val="22"/>
        </w:rPr>
        <w:t xml:space="preserve"> April 2026).</w:t>
      </w:r>
    </w:p>
    <w:p w14:paraId="50019A1D" w14:textId="77777777" w:rsidR="00043004" w:rsidRPr="00043004" w:rsidRDefault="00043004" w:rsidP="00043004"/>
    <w:sectPr w:rsidR="00043004" w:rsidRPr="00043004" w:rsidSect="004540C2">
      <w:footerReference w:type="even" r:id="rId19"/>
      <w:footerReference w:type="default" r:id="rId2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0DCB3" w14:textId="77777777" w:rsidR="00941CEF" w:rsidRDefault="00941CEF" w:rsidP="004540C2">
      <w:pPr>
        <w:spacing w:after="0" w:line="240" w:lineRule="auto"/>
      </w:pPr>
      <w:r>
        <w:separator/>
      </w:r>
    </w:p>
  </w:endnote>
  <w:endnote w:type="continuationSeparator" w:id="0">
    <w:p w14:paraId="63DBC9DA" w14:textId="77777777" w:rsidR="00941CEF" w:rsidRDefault="00941CEF" w:rsidP="00454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1481550"/>
      <w:docPartObj>
        <w:docPartGallery w:val="Page Numbers (Bottom of Page)"/>
        <w:docPartUnique/>
      </w:docPartObj>
    </w:sdtPr>
    <w:sdtContent>
      <w:p w14:paraId="2EFB527B" w14:textId="33E9746F" w:rsidR="004540C2" w:rsidRDefault="004540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BA90A42" w14:textId="77777777" w:rsidR="004540C2" w:rsidRDefault="004540C2" w:rsidP="004540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CE871" w14:textId="77777777" w:rsidR="004540C2" w:rsidRDefault="004540C2" w:rsidP="004540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BC26C" w14:textId="77777777" w:rsidR="00941CEF" w:rsidRDefault="00941CEF" w:rsidP="004540C2">
      <w:pPr>
        <w:spacing w:after="0" w:line="240" w:lineRule="auto"/>
      </w:pPr>
      <w:r>
        <w:separator/>
      </w:r>
    </w:p>
  </w:footnote>
  <w:footnote w:type="continuationSeparator" w:id="0">
    <w:p w14:paraId="1707C41B" w14:textId="77777777" w:rsidR="00941CEF" w:rsidRDefault="00941CEF" w:rsidP="004540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510229"/>
    <w:multiLevelType w:val="hybridMultilevel"/>
    <w:tmpl w:val="0BB47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3653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0C2"/>
    <w:rsid w:val="00006B88"/>
    <w:rsid w:val="00043004"/>
    <w:rsid w:val="000E097D"/>
    <w:rsid w:val="000E6280"/>
    <w:rsid w:val="0011510F"/>
    <w:rsid w:val="00116157"/>
    <w:rsid w:val="00142BE9"/>
    <w:rsid w:val="00203B22"/>
    <w:rsid w:val="00261A31"/>
    <w:rsid w:val="002726E2"/>
    <w:rsid w:val="003520A8"/>
    <w:rsid w:val="00383D4A"/>
    <w:rsid w:val="003A4A66"/>
    <w:rsid w:val="003E73CD"/>
    <w:rsid w:val="004008B3"/>
    <w:rsid w:val="00442DF6"/>
    <w:rsid w:val="004540C2"/>
    <w:rsid w:val="0047065A"/>
    <w:rsid w:val="004C659F"/>
    <w:rsid w:val="004E442E"/>
    <w:rsid w:val="005207A7"/>
    <w:rsid w:val="005207E2"/>
    <w:rsid w:val="00536DBD"/>
    <w:rsid w:val="005A1625"/>
    <w:rsid w:val="005C3E11"/>
    <w:rsid w:val="005D3872"/>
    <w:rsid w:val="006224CC"/>
    <w:rsid w:val="0063391C"/>
    <w:rsid w:val="00634C05"/>
    <w:rsid w:val="006630E0"/>
    <w:rsid w:val="006A7611"/>
    <w:rsid w:val="006B2108"/>
    <w:rsid w:val="00757F19"/>
    <w:rsid w:val="007B7143"/>
    <w:rsid w:val="007F384B"/>
    <w:rsid w:val="00886DF5"/>
    <w:rsid w:val="008A173C"/>
    <w:rsid w:val="008F62F8"/>
    <w:rsid w:val="00926CB7"/>
    <w:rsid w:val="00926FD5"/>
    <w:rsid w:val="00941CEF"/>
    <w:rsid w:val="00956806"/>
    <w:rsid w:val="009744CF"/>
    <w:rsid w:val="009A1BEB"/>
    <w:rsid w:val="009A3605"/>
    <w:rsid w:val="00A26B3B"/>
    <w:rsid w:val="00AD7A78"/>
    <w:rsid w:val="00AF3E01"/>
    <w:rsid w:val="00B06EB5"/>
    <w:rsid w:val="00B871B0"/>
    <w:rsid w:val="00BC0CFC"/>
    <w:rsid w:val="00C44216"/>
    <w:rsid w:val="00C77E4A"/>
    <w:rsid w:val="00CA727E"/>
    <w:rsid w:val="00D10EAB"/>
    <w:rsid w:val="00D65782"/>
    <w:rsid w:val="00DA2D56"/>
    <w:rsid w:val="00DC48CE"/>
    <w:rsid w:val="00E74EB7"/>
    <w:rsid w:val="00E93F78"/>
    <w:rsid w:val="00EE1898"/>
    <w:rsid w:val="00F06921"/>
    <w:rsid w:val="00F31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9272CD"/>
  <w15:chartTrackingRefBased/>
  <w15:docId w15:val="{76319E8F-5B6C-41FD-AEB5-524F8D68A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0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40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40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0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0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0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0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0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0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0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40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40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0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0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0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0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0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0C2"/>
    <w:rPr>
      <w:rFonts w:eastAsiaTheme="majorEastAsia" w:cstheme="majorBidi"/>
      <w:color w:val="272727" w:themeColor="text1" w:themeTint="D8"/>
    </w:rPr>
  </w:style>
  <w:style w:type="paragraph" w:styleId="Title">
    <w:name w:val="Title"/>
    <w:basedOn w:val="Normal"/>
    <w:next w:val="Normal"/>
    <w:link w:val="TitleChar"/>
    <w:uiPriority w:val="10"/>
    <w:qFormat/>
    <w:rsid w:val="004540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0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0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0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0C2"/>
    <w:pPr>
      <w:spacing w:before="160"/>
      <w:jc w:val="center"/>
    </w:pPr>
    <w:rPr>
      <w:i/>
      <w:iCs/>
      <w:color w:val="404040" w:themeColor="text1" w:themeTint="BF"/>
    </w:rPr>
  </w:style>
  <w:style w:type="character" w:customStyle="1" w:styleId="QuoteChar">
    <w:name w:val="Quote Char"/>
    <w:basedOn w:val="DefaultParagraphFont"/>
    <w:link w:val="Quote"/>
    <w:uiPriority w:val="29"/>
    <w:rsid w:val="004540C2"/>
    <w:rPr>
      <w:i/>
      <w:iCs/>
      <w:color w:val="404040" w:themeColor="text1" w:themeTint="BF"/>
    </w:rPr>
  </w:style>
  <w:style w:type="paragraph" w:styleId="ListParagraph">
    <w:name w:val="List Paragraph"/>
    <w:basedOn w:val="Normal"/>
    <w:uiPriority w:val="34"/>
    <w:qFormat/>
    <w:rsid w:val="004540C2"/>
    <w:pPr>
      <w:ind w:left="720"/>
      <w:contextualSpacing/>
    </w:pPr>
  </w:style>
  <w:style w:type="character" w:styleId="IntenseEmphasis">
    <w:name w:val="Intense Emphasis"/>
    <w:basedOn w:val="DefaultParagraphFont"/>
    <w:uiPriority w:val="21"/>
    <w:qFormat/>
    <w:rsid w:val="004540C2"/>
    <w:rPr>
      <w:i/>
      <w:iCs/>
      <w:color w:val="0F4761" w:themeColor="accent1" w:themeShade="BF"/>
    </w:rPr>
  </w:style>
  <w:style w:type="paragraph" w:styleId="IntenseQuote">
    <w:name w:val="Intense Quote"/>
    <w:basedOn w:val="Normal"/>
    <w:next w:val="Normal"/>
    <w:link w:val="IntenseQuoteChar"/>
    <w:uiPriority w:val="30"/>
    <w:qFormat/>
    <w:rsid w:val="004540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0C2"/>
    <w:rPr>
      <w:i/>
      <w:iCs/>
      <w:color w:val="0F4761" w:themeColor="accent1" w:themeShade="BF"/>
    </w:rPr>
  </w:style>
  <w:style w:type="character" w:styleId="IntenseReference">
    <w:name w:val="Intense Reference"/>
    <w:basedOn w:val="DefaultParagraphFont"/>
    <w:uiPriority w:val="32"/>
    <w:qFormat/>
    <w:rsid w:val="004540C2"/>
    <w:rPr>
      <w:b/>
      <w:bCs/>
      <w:smallCaps/>
      <w:color w:val="0F4761" w:themeColor="accent1" w:themeShade="BF"/>
      <w:spacing w:val="5"/>
    </w:rPr>
  </w:style>
  <w:style w:type="character" w:styleId="Hyperlink">
    <w:name w:val="Hyperlink"/>
    <w:basedOn w:val="DefaultParagraphFont"/>
    <w:uiPriority w:val="99"/>
    <w:unhideWhenUsed/>
    <w:rsid w:val="004540C2"/>
    <w:rPr>
      <w:color w:val="467886" w:themeColor="hyperlink"/>
      <w:u w:val="single"/>
    </w:rPr>
  </w:style>
  <w:style w:type="character" w:styleId="UnresolvedMention">
    <w:name w:val="Unresolved Mention"/>
    <w:basedOn w:val="DefaultParagraphFont"/>
    <w:uiPriority w:val="99"/>
    <w:semiHidden/>
    <w:unhideWhenUsed/>
    <w:rsid w:val="004540C2"/>
    <w:rPr>
      <w:color w:val="605E5C"/>
      <w:shd w:val="clear" w:color="auto" w:fill="E1DFDD"/>
    </w:rPr>
  </w:style>
  <w:style w:type="paragraph" w:styleId="Footer">
    <w:name w:val="footer"/>
    <w:basedOn w:val="Normal"/>
    <w:link w:val="FooterChar"/>
    <w:uiPriority w:val="99"/>
    <w:unhideWhenUsed/>
    <w:rsid w:val="00454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0C2"/>
  </w:style>
  <w:style w:type="character" w:styleId="PageNumber">
    <w:name w:val="page number"/>
    <w:basedOn w:val="DefaultParagraphFont"/>
    <w:uiPriority w:val="99"/>
    <w:semiHidden/>
    <w:unhideWhenUsed/>
    <w:rsid w:val="004540C2"/>
  </w:style>
  <w:style w:type="paragraph" w:styleId="TOCHeading">
    <w:name w:val="TOC Heading"/>
    <w:basedOn w:val="Heading1"/>
    <w:next w:val="Normal"/>
    <w:uiPriority w:val="39"/>
    <w:unhideWhenUsed/>
    <w:qFormat/>
    <w:rsid w:val="004540C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540C2"/>
    <w:pPr>
      <w:spacing w:before="120" w:after="120"/>
    </w:pPr>
    <w:rPr>
      <w:b/>
      <w:bCs/>
      <w:caps/>
      <w:sz w:val="20"/>
      <w:szCs w:val="20"/>
    </w:rPr>
  </w:style>
  <w:style w:type="paragraph" w:styleId="TOC2">
    <w:name w:val="toc 2"/>
    <w:basedOn w:val="Normal"/>
    <w:next w:val="Normal"/>
    <w:autoRedefine/>
    <w:uiPriority w:val="39"/>
    <w:semiHidden/>
    <w:unhideWhenUsed/>
    <w:rsid w:val="004540C2"/>
    <w:pPr>
      <w:spacing w:after="0"/>
      <w:ind w:left="240"/>
    </w:pPr>
    <w:rPr>
      <w:smallCaps/>
      <w:sz w:val="20"/>
      <w:szCs w:val="20"/>
    </w:rPr>
  </w:style>
  <w:style w:type="paragraph" w:styleId="TOC3">
    <w:name w:val="toc 3"/>
    <w:basedOn w:val="Normal"/>
    <w:next w:val="Normal"/>
    <w:autoRedefine/>
    <w:uiPriority w:val="39"/>
    <w:semiHidden/>
    <w:unhideWhenUsed/>
    <w:rsid w:val="004540C2"/>
    <w:pPr>
      <w:spacing w:after="0"/>
      <w:ind w:left="480"/>
    </w:pPr>
    <w:rPr>
      <w:i/>
      <w:iCs/>
      <w:sz w:val="20"/>
      <w:szCs w:val="20"/>
    </w:rPr>
  </w:style>
  <w:style w:type="paragraph" w:styleId="TOC4">
    <w:name w:val="toc 4"/>
    <w:basedOn w:val="Normal"/>
    <w:next w:val="Normal"/>
    <w:autoRedefine/>
    <w:uiPriority w:val="39"/>
    <w:semiHidden/>
    <w:unhideWhenUsed/>
    <w:rsid w:val="004540C2"/>
    <w:pPr>
      <w:spacing w:after="0"/>
      <w:ind w:left="720"/>
    </w:pPr>
    <w:rPr>
      <w:sz w:val="18"/>
      <w:szCs w:val="18"/>
    </w:rPr>
  </w:style>
  <w:style w:type="paragraph" w:styleId="TOC5">
    <w:name w:val="toc 5"/>
    <w:basedOn w:val="Normal"/>
    <w:next w:val="Normal"/>
    <w:autoRedefine/>
    <w:uiPriority w:val="39"/>
    <w:semiHidden/>
    <w:unhideWhenUsed/>
    <w:rsid w:val="004540C2"/>
    <w:pPr>
      <w:spacing w:after="0"/>
      <w:ind w:left="960"/>
    </w:pPr>
    <w:rPr>
      <w:sz w:val="18"/>
      <w:szCs w:val="18"/>
    </w:rPr>
  </w:style>
  <w:style w:type="paragraph" w:styleId="TOC6">
    <w:name w:val="toc 6"/>
    <w:basedOn w:val="Normal"/>
    <w:next w:val="Normal"/>
    <w:autoRedefine/>
    <w:uiPriority w:val="39"/>
    <w:semiHidden/>
    <w:unhideWhenUsed/>
    <w:rsid w:val="004540C2"/>
    <w:pPr>
      <w:spacing w:after="0"/>
      <w:ind w:left="1200"/>
    </w:pPr>
    <w:rPr>
      <w:sz w:val="18"/>
      <w:szCs w:val="18"/>
    </w:rPr>
  </w:style>
  <w:style w:type="paragraph" w:styleId="TOC7">
    <w:name w:val="toc 7"/>
    <w:basedOn w:val="Normal"/>
    <w:next w:val="Normal"/>
    <w:autoRedefine/>
    <w:uiPriority w:val="39"/>
    <w:semiHidden/>
    <w:unhideWhenUsed/>
    <w:rsid w:val="004540C2"/>
    <w:pPr>
      <w:spacing w:after="0"/>
      <w:ind w:left="1440"/>
    </w:pPr>
    <w:rPr>
      <w:sz w:val="18"/>
      <w:szCs w:val="18"/>
    </w:rPr>
  </w:style>
  <w:style w:type="paragraph" w:styleId="TOC8">
    <w:name w:val="toc 8"/>
    <w:basedOn w:val="Normal"/>
    <w:next w:val="Normal"/>
    <w:autoRedefine/>
    <w:uiPriority w:val="39"/>
    <w:semiHidden/>
    <w:unhideWhenUsed/>
    <w:rsid w:val="004540C2"/>
    <w:pPr>
      <w:spacing w:after="0"/>
      <w:ind w:left="1680"/>
    </w:pPr>
    <w:rPr>
      <w:sz w:val="18"/>
      <w:szCs w:val="18"/>
    </w:rPr>
  </w:style>
  <w:style w:type="paragraph" w:styleId="TOC9">
    <w:name w:val="toc 9"/>
    <w:basedOn w:val="Normal"/>
    <w:next w:val="Normal"/>
    <w:autoRedefine/>
    <w:uiPriority w:val="39"/>
    <w:semiHidden/>
    <w:unhideWhenUsed/>
    <w:rsid w:val="004540C2"/>
    <w:pPr>
      <w:spacing w:after="0"/>
      <w:ind w:left="1920"/>
    </w:pPr>
    <w:rPr>
      <w:sz w:val="18"/>
      <w:szCs w:val="18"/>
    </w:rPr>
  </w:style>
  <w:style w:type="paragraph" w:styleId="Header">
    <w:name w:val="header"/>
    <w:basedOn w:val="Normal"/>
    <w:link w:val="HeaderChar"/>
    <w:uiPriority w:val="99"/>
    <w:unhideWhenUsed/>
    <w:rsid w:val="00454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0C2"/>
  </w:style>
  <w:style w:type="paragraph" w:customStyle="1" w:styleId="p1">
    <w:name w:val="p1"/>
    <w:basedOn w:val="Normal"/>
    <w:rsid w:val="009A3605"/>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9A3605"/>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9A3605"/>
    <w:rPr>
      <w:rFonts w:ascii="UICTFontTextStyleEmphasizedBody" w:hAnsi="UICTFontTextStyleEmphasizedBody" w:hint="default"/>
      <w:b/>
      <w:bCs/>
      <w:i w:val="0"/>
      <w:iCs w:val="0"/>
      <w:sz w:val="26"/>
      <w:szCs w:val="26"/>
    </w:rPr>
  </w:style>
  <w:style w:type="character" w:customStyle="1" w:styleId="s2">
    <w:name w:val="s2"/>
    <w:basedOn w:val="DefaultParagraphFont"/>
    <w:rsid w:val="009A3605"/>
    <w:rPr>
      <w:rFonts w:ascii="UICTFontTextStyleBody" w:hAnsi="UICTFontTextStyleBody" w:hint="default"/>
      <w:b w:val="0"/>
      <w:bCs w:val="0"/>
      <w:i w:val="0"/>
      <w:iCs w:val="0"/>
      <w:sz w:val="26"/>
      <w:szCs w:val="26"/>
    </w:rPr>
  </w:style>
  <w:style w:type="character" w:customStyle="1" w:styleId="s3">
    <w:name w:val="s3"/>
    <w:basedOn w:val="DefaultParagraphFont"/>
    <w:rsid w:val="009A3605"/>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C44216"/>
  </w:style>
  <w:style w:type="paragraph" w:customStyle="1" w:styleId="p3">
    <w:name w:val="p3"/>
    <w:basedOn w:val="Normal"/>
    <w:rsid w:val="00E74EB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C3E11"/>
    <w:rPr>
      <w:color w:val="96607D" w:themeColor="followedHyperlink"/>
      <w:u w:val="single"/>
    </w:rPr>
  </w:style>
  <w:style w:type="character" w:styleId="Strong">
    <w:name w:val="Strong"/>
    <w:basedOn w:val="DefaultParagraphFont"/>
    <w:uiPriority w:val="22"/>
    <w:qFormat/>
    <w:rsid w:val="00C77E4A"/>
    <w:rPr>
      <w:b/>
      <w:bCs/>
    </w:rPr>
  </w:style>
  <w:style w:type="paragraph" w:styleId="NormalWeb">
    <w:name w:val="Normal (Web)"/>
    <w:basedOn w:val="Normal"/>
    <w:uiPriority w:val="99"/>
    <w:semiHidden/>
    <w:unhideWhenUsed/>
    <w:rsid w:val="00C77E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224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 TargetMode="External"/><Relationship Id="rId18" Type="http://schemas.openxmlformats.org/officeDocument/2006/relationships/hyperlink" Target="https://www.who.i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ice.org.uk/" TargetMode="External"/><Relationship Id="rId17" Type="http://schemas.openxmlformats.org/officeDocument/2006/relationships/hyperlink" Target="https://www.roycastle.org/" TargetMode="External"/><Relationship Id="rId2" Type="http://schemas.openxmlformats.org/officeDocument/2006/relationships/numbering" Target="numbering.xml"/><Relationship Id="rId16" Type="http://schemas.openxmlformats.org/officeDocument/2006/relationships/hyperlink" Target="https://www.rcplondon.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cmillan.org.uk/"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hyperlink" Target="https://www.cancerresearchuk.or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ncerresearchuk.org/" TargetMode="External"/><Relationship Id="rId14" Type="http://schemas.openxmlformats.org/officeDocument/2006/relationships/hyperlink" Target="https://www.ons.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56AFD-CF57-4445-B64F-084033B92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1987</Words>
  <Characters>11326</Characters>
  <Application>Microsoft Office Word</Application>
  <DocSecurity>0</DocSecurity>
  <Lines>94</Lines>
  <Paragraphs>26</Paragraphs>
  <ScaleCrop>false</ScaleCrop>
  <Company/>
  <LinksUpToDate>false</LinksUpToDate>
  <CharactersWithSpaces>13287</CharactersWithSpaces>
  <SharedDoc>false</SharedDoc>
  <HLinks>
    <vt:vector size="48" baseType="variant">
      <vt:variant>
        <vt:i4>7929895</vt:i4>
      </vt:variant>
      <vt:variant>
        <vt:i4>21</vt:i4>
      </vt:variant>
      <vt:variant>
        <vt:i4>0</vt:i4>
      </vt:variant>
      <vt:variant>
        <vt:i4>5</vt:i4>
      </vt:variant>
      <vt:variant>
        <vt:lpwstr>https://arxiv.org/</vt:lpwstr>
      </vt:variant>
      <vt:variant>
        <vt:lpwstr/>
      </vt:variant>
      <vt:variant>
        <vt:i4>3211368</vt:i4>
      </vt:variant>
      <vt:variant>
        <vt:i4>18</vt:i4>
      </vt:variant>
      <vt:variant>
        <vt:i4>0</vt:i4>
      </vt:variant>
      <vt:variant>
        <vt:i4>5</vt:i4>
      </vt:variant>
      <vt:variant>
        <vt:lpwstr>https://www.who.int/news-room/fact-sheets/detail/stroke</vt:lpwstr>
      </vt:variant>
      <vt:variant>
        <vt:lpwstr/>
      </vt:variant>
      <vt:variant>
        <vt:i4>6553651</vt:i4>
      </vt:variant>
      <vt:variant>
        <vt:i4>15</vt:i4>
      </vt:variant>
      <vt:variant>
        <vt:i4>0</vt:i4>
      </vt:variant>
      <vt:variant>
        <vt:i4>5</vt:i4>
      </vt:variant>
      <vt:variant>
        <vt:lpwstr>https://www.stroke.org.uk/</vt:lpwstr>
      </vt:variant>
      <vt:variant>
        <vt:lpwstr/>
      </vt:variant>
      <vt:variant>
        <vt:i4>2555951</vt:i4>
      </vt:variant>
      <vt:variant>
        <vt:i4>12</vt:i4>
      </vt:variant>
      <vt:variant>
        <vt:i4>0</vt:i4>
      </vt:variant>
      <vt:variant>
        <vt:i4>5</vt:i4>
      </vt:variant>
      <vt:variant>
        <vt:lpwstr>https://www.england.nhs.uk/</vt:lpwstr>
      </vt:variant>
      <vt:variant>
        <vt:lpwstr/>
      </vt:variant>
      <vt:variant>
        <vt:i4>1441876</vt:i4>
      </vt:variant>
      <vt:variant>
        <vt:i4>9</vt:i4>
      </vt:variant>
      <vt:variant>
        <vt:i4>0</vt:i4>
      </vt:variant>
      <vt:variant>
        <vt:i4>5</vt:i4>
      </vt:variant>
      <vt:variant>
        <vt:lpwstr>https://www.nice.org.uk/</vt:lpwstr>
      </vt:variant>
      <vt:variant>
        <vt:lpwstr/>
      </vt:variant>
      <vt:variant>
        <vt:i4>5701646</vt:i4>
      </vt:variant>
      <vt:variant>
        <vt:i4>6</vt:i4>
      </vt:variant>
      <vt:variant>
        <vt:i4>0</vt:i4>
      </vt:variant>
      <vt:variant>
        <vt:i4>5</vt:i4>
      </vt:variant>
      <vt:variant>
        <vt:lpwstr>https://www.nhs.uk/conditions/stroke</vt:lpwstr>
      </vt:variant>
      <vt:variant>
        <vt:lpwstr/>
      </vt:variant>
      <vt:variant>
        <vt:i4>3932194</vt:i4>
      </vt:variant>
      <vt:variant>
        <vt:i4>3</vt:i4>
      </vt:variant>
      <vt:variant>
        <vt:i4>0</vt:i4>
      </vt:variant>
      <vt:variant>
        <vt:i4>5</vt:i4>
      </vt:variant>
      <vt:variant>
        <vt:lpwstr>https://www.hriuk.org/</vt:lpwstr>
      </vt:variant>
      <vt:variant>
        <vt:lpwstr/>
      </vt:variant>
      <vt:variant>
        <vt:i4>3932193</vt:i4>
      </vt:variant>
      <vt:variant>
        <vt:i4>0</vt:i4>
      </vt:variant>
      <vt:variant>
        <vt:i4>0</vt:i4>
      </vt:variant>
      <vt:variant>
        <vt:i4>5</vt:i4>
      </vt:variant>
      <vt:variant>
        <vt:lpwstr>https://www.brainresearchuk.org.uk/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Ana Geli (2515868)</dc:creator>
  <cp:keywords/>
  <dc:description/>
  <cp:lastModifiedBy>Ruby Ana Geli (2515868)</cp:lastModifiedBy>
  <cp:revision>2</cp:revision>
  <dcterms:created xsi:type="dcterms:W3CDTF">2026-04-14T11:24:00Z</dcterms:created>
  <dcterms:modified xsi:type="dcterms:W3CDTF">2026-04-14T11:24:00Z</dcterms:modified>
</cp:coreProperties>
</file>