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22D22"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MEMORANDUM</w:t>
      </w:r>
    </w:p>
    <w:p w14:paraId="2E3A6977" w14:textId="76DD734E" w:rsidR="008B017C" w:rsidRDefault="007E4BFE">
      <w:pPr>
        <w:spacing w:line="480" w:lineRule="auto"/>
        <w:rPr>
          <w:rFonts w:ascii="Times New Roman" w:hAnsi="Times New Roman" w:cs="Times New Roman"/>
          <w:sz w:val="24"/>
          <w:szCs w:val="24"/>
        </w:rPr>
      </w:pPr>
      <w:r>
        <w:rPr>
          <w:rFonts w:ascii="Times New Roman" w:hAnsi="Times New Roman" w:cs="Times New Roman"/>
          <w:b/>
          <w:sz w:val="24"/>
          <w:szCs w:val="24"/>
        </w:rPr>
        <w:t>Date</w:t>
      </w:r>
      <w:r>
        <w:rPr>
          <w:rFonts w:ascii="Times New Roman" w:hAnsi="Times New Roman" w:cs="Times New Roman"/>
          <w:sz w:val="24"/>
          <w:szCs w:val="24"/>
        </w:rPr>
        <w:t>: March 1</w:t>
      </w:r>
      <w:r w:rsidR="005A7F21">
        <w:rPr>
          <w:rFonts w:ascii="Times New Roman" w:hAnsi="Times New Roman" w:cs="Times New Roman"/>
          <w:sz w:val="24"/>
          <w:szCs w:val="24"/>
        </w:rPr>
        <w:t>5,</w:t>
      </w:r>
      <w:r>
        <w:rPr>
          <w:rFonts w:ascii="Times New Roman" w:hAnsi="Times New Roman" w:cs="Times New Roman"/>
          <w:sz w:val="24"/>
          <w:szCs w:val="24"/>
        </w:rPr>
        <w:t xml:space="preserve"> 202</w:t>
      </w:r>
      <w:r w:rsidR="005A7F21">
        <w:rPr>
          <w:rFonts w:ascii="Times New Roman" w:hAnsi="Times New Roman" w:cs="Times New Roman"/>
          <w:sz w:val="24"/>
          <w:szCs w:val="24"/>
        </w:rPr>
        <w:t>4</w:t>
      </w:r>
    </w:p>
    <w:p w14:paraId="11ECB43A" w14:textId="4CF1BFED" w:rsidR="008B017C" w:rsidRDefault="007E4BFE">
      <w:pPr>
        <w:spacing w:line="480" w:lineRule="auto"/>
        <w:rPr>
          <w:rFonts w:ascii="Times New Roman" w:hAnsi="Times New Roman" w:cs="Times New Roman"/>
          <w:sz w:val="24"/>
          <w:szCs w:val="24"/>
        </w:rPr>
      </w:pPr>
      <w:r>
        <w:rPr>
          <w:rFonts w:ascii="Times New Roman" w:hAnsi="Times New Roman" w:cs="Times New Roman"/>
          <w:b/>
          <w:sz w:val="24"/>
          <w:szCs w:val="24"/>
        </w:rPr>
        <w:t>From</w:t>
      </w:r>
      <w:r>
        <w:rPr>
          <w:rFonts w:ascii="Times New Roman" w:hAnsi="Times New Roman" w:cs="Times New Roman"/>
          <w:sz w:val="24"/>
          <w:szCs w:val="24"/>
        </w:rPr>
        <w:t xml:space="preserve">: </w:t>
      </w:r>
      <w:r w:rsidR="003841C0">
        <w:rPr>
          <w:rFonts w:ascii="Times New Roman" w:hAnsi="Times New Roman" w:cs="Times New Roman"/>
          <w:sz w:val="24"/>
          <w:szCs w:val="24"/>
        </w:rPr>
        <w:t xml:space="preserve">Saad Mohamed </w:t>
      </w:r>
    </w:p>
    <w:p w14:paraId="40CADF2D" w14:textId="77777777" w:rsidR="008B017C" w:rsidRDefault="007E4BFE">
      <w:pPr>
        <w:spacing w:line="480" w:lineRule="auto"/>
        <w:rPr>
          <w:rFonts w:ascii="Times New Roman" w:hAnsi="Times New Roman" w:cs="Times New Roman"/>
          <w:sz w:val="24"/>
          <w:szCs w:val="24"/>
        </w:rPr>
      </w:pPr>
      <w:r>
        <w:rPr>
          <w:rFonts w:ascii="Times New Roman" w:hAnsi="Times New Roman" w:cs="Times New Roman"/>
          <w:b/>
          <w:sz w:val="24"/>
          <w:szCs w:val="24"/>
        </w:rPr>
        <w:t>To</w:t>
      </w:r>
      <w:r>
        <w:rPr>
          <w:rFonts w:ascii="Times New Roman" w:hAnsi="Times New Roman" w:cs="Times New Roman"/>
          <w:sz w:val="24"/>
          <w:szCs w:val="24"/>
        </w:rPr>
        <w:t xml:space="preserve">: Ada </w:t>
      </w:r>
      <w:proofErr w:type="spellStart"/>
      <w:r>
        <w:rPr>
          <w:rFonts w:ascii="Times New Roman" w:hAnsi="Times New Roman" w:cs="Times New Roman"/>
          <w:sz w:val="24"/>
          <w:szCs w:val="24"/>
        </w:rPr>
        <w:t>Adebayo</w:t>
      </w:r>
      <w:proofErr w:type="spellEnd"/>
      <w:r>
        <w:rPr>
          <w:rFonts w:ascii="Times New Roman" w:hAnsi="Times New Roman" w:cs="Times New Roman"/>
          <w:sz w:val="24"/>
          <w:szCs w:val="24"/>
        </w:rPr>
        <w:t>, Principal</w:t>
      </w:r>
    </w:p>
    <w:p w14:paraId="41E08D7A" w14:textId="77777777" w:rsidR="008B017C" w:rsidRDefault="007E4BFE">
      <w:pPr>
        <w:spacing w:line="480" w:lineRule="auto"/>
        <w:rPr>
          <w:rFonts w:ascii="Times New Roman" w:hAnsi="Times New Roman" w:cs="Times New Roman"/>
          <w:sz w:val="24"/>
          <w:szCs w:val="24"/>
        </w:rPr>
      </w:pPr>
      <w:r>
        <w:rPr>
          <w:rFonts w:ascii="Times New Roman" w:hAnsi="Times New Roman" w:cs="Times New Roman"/>
          <w:b/>
          <w:sz w:val="24"/>
          <w:szCs w:val="24"/>
        </w:rPr>
        <w:t>Subject</w:t>
      </w:r>
      <w:r>
        <w:rPr>
          <w:rFonts w:ascii="Times New Roman" w:hAnsi="Times New Roman" w:cs="Times New Roman"/>
          <w:sz w:val="24"/>
          <w:szCs w:val="24"/>
        </w:rPr>
        <w:t>: Advice to Kim Cottrell regarding her criminal charge</w:t>
      </w:r>
    </w:p>
    <w:p w14:paraId="5EA049C6" w14:textId="3884A2F9"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Substantive law for the </w:t>
      </w:r>
      <w:r w:rsidR="005A7F21">
        <w:rPr>
          <w:rFonts w:ascii="Times New Roman" w:hAnsi="Times New Roman" w:cs="Times New Roman"/>
          <w:b/>
          <w:sz w:val="24"/>
          <w:szCs w:val="24"/>
        </w:rPr>
        <w:t>offense</w:t>
      </w:r>
    </w:p>
    <w:p w14:paraId="463B2392" w14:textId="494F5502"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Causing actual bodily harm is a serious crime which is dealt with by the </w:t>
      </w:r>
      <w:r w:rsidR="005A7F21">
        <w:rPr>
          <w:rFonts w:ascii="Times New Roman" w:hAnsi="Times New Roman" w:cs="Times New Roman"/>
          <w:sz w:val="24"/>
          <w:szCs w:val="24"/>
        </w:rPr>
        <w:t>Offenses</w:t>
      </w:r>
      <w:r>
        <w:rPr>
          <w:rFonts w:ascii="Times New Roman" w:hAnsi="Times New Roman" w:cs="Times New Roman"/>
          <w:sz w:val="24"/>
          <w:szCs w:val="24"/>
        </w:rPr>
        <w:t xml:space="preserve"> Against the Person Act 1861, Criminal Justice Act 1988, and the Crime and Disorder Act 1998. This offense carries a maximum penalty of five years imprisonment under the </w:t>
      </w:r>
      <w:r w:rsidR="00D76579">
        <w:rPr>
          <w:rFonts w:ascii="Times New Roman" w:hAnsi="Times New Roman" w:cs="Times New Roman"/>
          <w:sz w:val="24"/>
          <w:szCs w:val="24"/>
        </w:rPr>
        <w:t>Offense</w:t>
      </w:r>
      <w:r>
        <w:rPr>
          <w:rFonts w:ascii="Times New Roman" w:hAnsi="Times New Roman" w:cs="Times New Roman"/>
          <w:sz w:val="24"/>
          <w:szCs w:val="24"/>
        </w:rPr>
        <w:t xml:space="preserve"> Against the Person Act 1861, Section 47, while the Crime and Disorder Act 1998 permits up to seven years of jail time if the crime is deemed to be racially or religiously motivated.</w:t>
      </w:r>
    </w:p>
    <w:p w14:paraId="65D06E6E"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order to prove a defendant guilty of assault causing actual bodily harm, the prosecution must prove intent and physical activity on the part of the defendant (Crown Prosecution Service, 2022). Thus, the defendant will be held responsible if he/she intended the harm or knew that his/her actions would cause the harm. Furthermore, prosecution will have to prove that the defendant's conduct prompted the victim to fear immediate and unlawful violence and that this fear ended up in the bodily harm of the victi</w:t>
      </w:r>
      <w:r>
        <w:rPr>
          <w:rFonts w:ascii="Times New Roman" w:hAnsi="Times New Roman" w:cs="Times New Roman"/>
          <w:sz w:val="24"/>
          <w:szCs w:val="24"/>
        </w:rPr>
        <w:t>m. Real bodily harm indicates harm that impairs the well-being of the victim, and it must be more than skin deep and temporary.</w:t>
      </w:r>
    </w:p>
    <w:p w14:paraId="08295C5D"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seriousness of this offense and the corresponding sentence depends on the degree of the damage inflicted. The court shall consider the magnitude of the injury, with addition to any aggravating factors like the defendant's past criminal record, usage of weapons or the victim's </w:t>
      </w:r>
      <w:r>
        <w:rPr>
          <w:rFonts w:ascii="Times New Roman" w:hAnsi="Times New Roman" w:cs="Times New Roman"/>
          <w:sz w:val="24"/>
          <w:szCs w:val="24"/>
        </w:rPr>
        <w:lastRenderedPageBreak/>
        <w:t>vulnerability. When the defendant deliberately intended to cause wounding or grievous bodily harm, the offense may be considered as more serious and bring sentence of life imprisonment.</w:t>
      </w:r>
    </w:p>
    <w:p w14:paraId="35C90C90" w14:textId="77777777" w:rsidR="008B017C" w:rsidRDefault="007E4BFE">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important to note that this offense has a broad definition of harm which was also established in the case of </w:t>
      </w:r>
      <w:r>
        <w:rPr>
          <w:rFonts w:ascii="Times New Roman" w:hAnsi="Times New Roman" w:cs="Times New Roman"/>
          <w:i/>
          <w:sz w:val="24"/>
          <w:szCs w:val="24"/>
        </w:rPr>
        <w:t xml:space="preserve">R v </w:t>
      </w:r>
      <w:proofErr w:type="spellStart"/>
      <w:r>
        <w:rPr>
          <w:rFonts w:ascii="Times New Roman" w:hAnsi="Times New Roman" w:cs="Times New Roman"/>
          <w:i/>
          <w:sz w:val="24"/>
          <w:szCs w:val="24"/>
        </w:rPr>
        <w:t>Chan-Fook</w:t>
      </w:r>
      <w:proofErr w:type="spellEnd"/>
      <w:r>
        <w:rPr>
          <w:rFonts w:ascii="Times New Roman" w:hAnsi="Times New Roman" w:cs="Times New Roman"/>
          <w:sz w:val="24"/>
          <w:szCs w:val="24"/>
        </w:rPr>
        <w:t xml:space="preserve"> [1994]. The court found out that psychological stress or anxiety can also be viewed as actual bodily harm. It implies that the defendant may be found to have caused damage even if it is not physical. Additionally, the Prosecution must prove that the injury caused was not trivia and it was more than trivia or ephemeral which was established in </w:t>
      </w:r>
      <w:r>
        <w:rPr>
          <w:rFonts w:ascii="Times New Roman" w:hAnsi="Times New Roman" w:cs="Times New Roman"/>
          <w:i/>
          <w:sz w:val="24"/>
          <w:szCs w:val="24"/>
        </w:rPr>
        <w:t>R v Donovan</w:t>
      </w:r>
      <w:r>
        <w:rPr>
          <w:rFonts w:ascii="Times New Roman" w:hAnsi="Times New Roman" w:cs="Times New Roman"/>
          <w:sz w:val="24"/>
          <w:szCs w:val="24"/>
        </w:rPr>
        <w:t xml:space="preserve"> (1934). The court, in its assessment of level of harm, will take into account whether the victim still enjoys good health or wellbeing.</w:t>
      </w:r>
    </w:p>
    <w:p w14:paraId="7CF3D3AA"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Procedure for allocation of the case for trial</w:t>
      </w:r>
    </w:p>
    <w:p w14:paraId="310C1B6B" w14:textId="1B33588D"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Assault causing actual bodily harm is a serious crime. Whether this case is tried at the Magistrates' Court or Crown Court can affect the seriousness of the </w:t>
      </w:r>
      <w:r w:rsidR="00D76579">
        <w:rPr>
          <w:rFonts w:ascii="Times New Roman" w:hAnsi="Times New Roman" w:cs="Times New Roman"/>
          <w:sz w:val="24"/>
          <w:szCs w:val="24"/>
        </w:rPr>
        <w:t>offense</w:t>
      </w:r>
      <w:r>
        <w:rPr>
          <w:rFonts w:ascii="Times New Roman" w:hAnsi="Times New Roman" w:cs="Times New Roman"/>
          <w:sz w:val="24"/>
          <w:szCs w:val="24"/>
        </w:rPr>
        <w:t xml:space="preserve"> and the penalty (Sentencing Council, 2023). The Criminal Justice and Public Order Act 1994 considers several variables when determining crime gravity. The </w:t>
      </w:r>
      <w:r w:rsidR="00D76579">
        <w:rPr>
          <w:rFonts w:ascii="Times New Roman" w:hAnsi="Times New Roman" w:cs="Times New Roman"/>
          <w:sz w:val="24"/>
          <w:szCs w:val="24"/>
        </w:rPr>
        <w:t>offense</w:t>
      </w:r>
      <w:r>
        <w:rPr>
          <w:rFonts w:ascii="Times New Roman" w:hAnsi="Times New Roman" w:cs="Times New Roman"/>
          <w:sz w:val="24"/>
          <w:szCs w:val="24"/>
        </w:rPr>
        <w:t>, victim harm, perpetrator guilt, and aggravating considerations are considered.</w:t>
      </w:r>
    </w:p>
    <w:p w14:paraId="388498AF"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Before the court decides the trial mode for Kim, they will take all these factors into consideration. Provided that offense is minor, the Magistrates' Court will deal with it summarily. If the crime is serious, the court will deal with it at the Crown Court. It all depends on the nature of the offense to what extent one will be penalized (Herbert, 2002). If an assault results in bodily harm, it's more serious than a simple assault or battery. If the damage or impairment was serious, the court will also eval</w:t>
      </w:r>
      <w:r>
        <w:rPr>
          <w:rFonts w:ascii="Times New Roman" w:hAnsi="Times New Roman" w:cs="Times New Roman"/>
          <w:sz w:val="24"/>
          <w:szCs w:val="24"/>
        </w:rPr>
        <w:t>uate the harm which has been inflicted.</w:t>
      </w:r>
    </w:p>
    <w:p w14:paraId="51E24FFC" w14:textId="6A2B7E6D"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Offender culpability will also be considered. If the criminal used a weapon or intended to, the offense is more serious. Aggravating circumstances like weapon use or victim susceptibility will make the </w:t>
      </w:r>
      <w:r w:rsidR="00D76579">
        <w:rPr>
          <w:rFonts w:ascii="Times New Roman" w:hAnsi="Times New Roman" w:cs="Times New Roman"/>
          <w:sz w:val="24"/>
          <w:szCs w:val="24"/>
        </w:rPr>
        <w:t>offense</w:t>
      </w:r>
      <w:r>
        <w:rPr>
          <w:rFonts w:ascii="Times New Roman" w:hAnsi="Times New Roman" w:cs="Times New Roman"/>
          <w:sz w:val="24"/>
          <w:szCs w:val="24"/>
        </w:rPr>
        <w:t xml:space="preserve"> worse. The court may choose Kim's trial mode based on these criteria. If the offense is minor, the Magistrates' Court may hold a summary trial. The court may also transfer the case to the Crown Court if it is too serious for the Magistrates' Court to handle (Crown Prosecution Service, 2023). After a summary trial, the court may commit the matter for sentence, especially if there are prior convictions or a suspended sentence order.</w:t>
      </w:r>
    </w:p>
    <w:p w14:paraId="72234B4A"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Advantages and disadvantages of mode of trial</w:t>
      </w:r>
    </w:p>
    <w:p w14:paraId="4F0C406E"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defendant and prosecution may be affected by trial mode. It's crucial to weigh the pros and cons of each trial mode. The Magistrates' Court and Crown Court are England's principal courts. Each has pros and cons, and a defendant's trial venue can considerably affect the outcome. Time and cost savings are important benefits of Magistrates' Court trials. Without a jury, processes are faster and cheaper than Crown Court trials (</w:t>
      </w:r>
      <w:proofErr w:type="spellStart"/>
      <w:r>
        <w:rPr>
          <w:rFonts w:ascii="Times New Roman" w:hAnsi="Times New Roman" w:cs="Times New Roman"/>
          <w:sz w:val="24"/>
          <w:szCs w:val="24"/>
        </w:rPr>
        <w:t>Mori</w:t>
      </w:r>
      <w:proofErr w:type="spellEnd"/>
      <w:r>
        <w:rPr>
          <w:rFonts w:ascii="Times New Roman" w:hAnsi="Times New Roman" w:cs="Times New Roman"/>
          <w:sz w:val="24"/>
          <w:szCs w:val="24"/>
        </w:rPr>
        <w:t>, 2013). This can be a huge comfort for defendants, especially the poor. As Crown Court jurors are more impartial, Magistrates' Court acquittals are likewise more likely.</w:t>
      </w:r>
    </w:p>
    <w:p w14:paraId="2410A10B"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Magistrates' Court defendants can receive legal help. This is especially important for unemployed benefit recipients like Kim. The Magistrates' Court offers more legal aid than the Crown Court, allowing defendants to consult with a lawyer before pleading and constructing a solid defense. However, the Magistrates' Court has drawbacks. Restricted sentencing authority may result in a lenient or inadequate sentence for the defendant's crime (Denning, 2023). A Magistrates' Court conviction will also result in a </w:t>
      </w:r>
      <w:r>
        <w:rPr>
          <w:rFonts w:ascii="Times New Roman" w:hAnsi="Times New Roman" w:cs="Times New Roman"/>
          <w:sz w:val="24"/>
          <w:szCs w:val="24"/>
        </w:rPr>
        <w:t>criminal record, which might hurt the defendant's future.</w:t>
      </w:r>
    </w:p>
    <w:p w14:paraId="2CFED7BF"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On the other hand, the Crown Court can sentence major crimes longer. Barristers can help defendants in difficult situations. The Crown Court's longer trial process allows for additional preparation time and a lesser punishment if the defendant pleads guilty (Theobald, 2023). However, these benefits have downsides. Defendants without legal help may find Crown Court trials costly and time-consuming. Crown Court cases also garner media attention, which can stress and invade the defendant's family. The Crown Co</w:t>
      </w:r>
      <w:r>
        <w:rPr>
          <w:rFonts w:ascii="Times New Roman" w:hAnsi="Times New Roman" w:cs="Times New Roman"/>
          <w:sz w:val="24"/>
          <w:szCs w:val="24"/>
        </w:rPr>
        <w:t>urt may impose a longer term than the Magistrates' Court, which might have major ramifications for defendants like Kim with no criminal record.</w:t>
      </w:r>
    </w:p>
    <w:p w14:paraId="47A78F6E"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Kim may benefit from a Magistrates' Court summary trial. Crown Court trials may be expensive and stressful for her due to her limited income and legal assistance. Her case may benefit from the Magistrates' Court's greater acquittal rate and legal aid. However, the Crown Court's higher sentencing authority may benefit the prosecution seeking a longer sentence, emphasizing the significance of weighing both courts' pros and drawbacks in any legal matter.</w:t>
      </w:r>
    </w:p>
    <w:p w14:paraId="02364F06"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Legal aid entitlement</w:t>
      </w:r>
    </w:p>
    <w:p w14:paraId="78824768"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Kim, who is unemployed and receiving assistance, may qualify for legal help. Financial aid from the state helps people get legal advice and counsel. Legal aid eligibility depends on the applicant's financial resources and the case's seriousness, according to the Legal Aid, Sentencing, and Punishment of Offenders Act 2012.</w:t>
      </w:r>
    </w:p>
    <w:p w14:paraId="38FA63C2"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If the means test is met and the case is serious, legal help may be offered for assault causing actual bodily harm. As her monthly salary is below £2657, Kim may qualify for legal aid. The review will also consider her expenses, and if she can afford her own legal representation, she may not receive legal aid.</w:t>
      </w:r>
    </w:p>
    <w:p w14:paraId="78D1E75C"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When providing legal aid, the Legal Aid Agency must also consider justice. Since Kim has a shoplifting conviction, she may not be a credible or deserving applicant for legal help. Legal help for criminal cases is also limited. Free pre-trial legal aid may not cover all parts of the case. In restricted cases and depending on financial capabilities, a solicitor or barrister may represent you. Kim's case may only receive pre-trial legal aid because the charge is small and may be tried before the Magistrates' C</w:t>
      </w:r>
      <w:r>
        <w:rPr>
          <w:rFonts w:ascii="Times New Roman" w:hAnsi="Times New Roman" w:cs="Times New Roman"/>
          <w:sz w:val="24"/>
          <w:szCs w:val="24"/>
        </w:rPr>
        <w:t>ourt. She may be requested to pay her legal fees if her financial evaluation reveals she can.</w:t>
      </w:r>
    </w:p>
    <w:p w14:paraId="27A5A51E"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Relevance of complaint about fingerprints and solicitor consultation</w:t>
      </w:r>
    </w:p>
    <w:p w14:paraId="18BC2A92"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Kim is concerned about her detention and incarceration, including being fingerprinted without authorization and without being notified of her right to a lawyer. These problems affect evidence admissibility and defendant rights during arrest and custody. Police suspect treatment is governed by the Police and Criminal Evidence Act 1984 (PACE). PACE allows police to take fingerprints and DNA samples from suspects if they suspect a crime (</w:t>
      </w:r>
      <w:proofErr w:type="spellStart"/>
      <w:r>
        <w:rPr>
          <w:rFonts w:ascii="Times New Roman" w:hAnsi="Times New Roman" w:cs="Times New Roman"/>
          <w:sz w:val="24"/>
          <w:szCs w:val="24"/>
        </w:rPr>
        <w:t>Mccartney</w:t>
      </w:r>
      <w:proofErr w:type="spellEnd"/>
      <w:r>
        <w:rPr>
          <w:rFonts w:ascii="Times New Roman" w:hAnsi="Times New Roman" w:cs="Times New Roman"/>
          <w:sz w:val="24"/>
          <w:szCs w:val="24"/>
        </w:rPr>
        <w:t>, 2004). As the police were within their powers, Kim's complaint regarding the forced fingerprinting may be illegal.</w:t>
      </w:r>
    </w:p>
    <w:p w14:paraId="05B9DF23"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PACE also requires police to warn suspects of their right to a lawyer before taking fingerprints or DNA samples (McCartney, 2006). Kim's claim that she didn't know about this right calls into doubt whether the police informed her. This may also affect court fingerprint admissibility. Moreover, the Human Rights Act 1998 also provides the right to privacy and physical integrity. Kim's fingerprint allegation might have violated her privacy rights. Kim's statement is corroborated by the Court of Appeal's decisi</w:t>
      </w:r>
      <w:r>
        <w:rPr>
          <w:rFonts w:ascii="Times New Roman" w:hAnsi="Times New Roman" w:cs="Times New Roman"/>
          <w:sz w:val="24"/>
          <w:szCs w:val="24"/>
        </w:rPr>
        <w:t>on that privacy intrusion shall be justified &amp; reasonable.</w:t>
      </w:r>
    </w:p>
    <w:p w14:paraId="46B1E8C1"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Kim's assertion that she was unaware that she had any rights tends to raise the questions of police custody's legal representation. PACE sets forth the requirement for police to inform suspects of their right to seek and obtain legal counsel before interrogation. Kim may raise a question concerning the validity of her interview answers by pointing out that she would have hired a lawyer had she known of her rights. As laid out in the Bail Act 1976, Police should release a person on bail unless they have a go</w:t>
      </w:r>
      <w:r>
        <w:rPr>
          <w:rFonts w:ascii="Times New Roman" w:hAnsi="Times New Roman" w:cs="Times New Roman"/>
          <w:sz w:val="24"/>
          <w:szCs w:val="24"/>
        </w:rPr>
        <w:t>od reason to keep them back in jail. Her ignorance of her rights could have influenced Kim's decision to go free on bail without even entering a plea and could pose doubts about Kim's judgment.</w:t>
      </w:r>
    </w:p>
    <w:p w14:paraId="323AFFF1" w14:textId="77777777" w:rsidR="008B017C" w:rsidRDefault="007E4BF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Conclusion</w:t>
      </w:r>
    </w:p>
    <w:p w14:paraId="1C799380" w14:textId="77777777" w:rsidR="008B017C" w:rsidRDefault="007E4B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Summing up, the case against Kim involving assault causing actual bodily harm elicits key issues concerning the crime, the allocation of the case for trial, the advantages and </w:t>
      </w:r>
      <w:r>
        <w:rPr>
          <w:rFonts w:ascii="Times New Roman" w:hAnsi="Times New Roman" w:cs="Times New Roman"/>
          <w:sz w:val="24"/>
          <w:szCs w:val="24"/>
        </w:rPr>
        <w:t>disadvantages of each mode of trial, legal aid entitlement, and the use of her complaints about fingerprinting and the lack of rights knowledge. The court should take these factors into account while ruling on Kim's case and further handing out the punishment.</w:t>
      </w:r>
    </w:p>
    <w:p w14:paraId="7F1C4BE5" w14:textId="77777777" w:rsidR="008B017C" w:rsidRDefault="007E4BFE">
      <w:pPr>
        <w:rPr>
          <w:rFonts w:ascii="Times New Roman" w:hAnsi="Times New Roman" w:cs="Times New Roman"/>
          <w:sz w:val="24"/>
          <w:szCs w:val="24"/>
        </w:rPr>
      </w:pPr>
      <w:r>
        <w:rPr>
          <w:rFonts w:ascii="Times New Roman" w:hAnsi="Times New Roman" w:cs="Times New Roman"/>
          <w:sz w:val="24"/>
          <w:szCs w:val="24"/>
        </w:rPr>
        <w:br w:type="page"/>
      </w:r>
    </w:p>
    <w:p w14:paraId="7B988B72" w14:textId="77777777" w:rsidR="008B017C" w:rsidRDefault="007E4BFE">
      <w:pPr>
        <w:spacing w:after="240" w:line="360" w:lineRule="auto"/>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Reference list</w:t>
      </w:r>
    </w:p>
    <w:p w14:paraId="262A8CFA" w14:textId="77777777" w:rsidR="008B017C" w:rsidRDefault="007E4BF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R v Donovan</w:t>
      </w:r>
      <w:r>
        <w:rPr>
          <w:rFonts w:ascii="Times New Roman" w:eastAsia="Times New Roman" w:hAnsi="Times New Roman" w:cs="Times New Roman"/>
          <w:sz w:val="24"/>
          <w:szCs w:val="24"/>
        </w:rPr>
        <w:t xml:space="preserve"> [1934] 2 KB 498 at 509.</w:t>
      </w:r>
    </w:p>
    <w:p w14:paraId="496F1056" w14:textId="77777777" w:rsidR="008B017C" w:rsidRDefault="007E4BF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Bail Act 1976</w:t>
      </w:r>
      <w:r>
        <w:rPr>
          <w:rFonts w:ascii="Times New Roman" w:eastAsia="Times New Roman" w:hAnsi="Times New Roman" w:cs="Times New Roman"/>
          <w:sz w:val="24"/>
          <w:szCs w:val="24"/>
        </w:rPr>
        <w:t>.</w:t>
      </w:r>
    </w:p>
    <w:p w14:paraId="44D291F4" w14:textId="77777777" w:rsidR="008B017C" w:rsidRDefault="007E4BF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Criminal Justice Act 1988</w:t>
      </w:r>
      <w:r>
        <w:rPr>
          <w:rFonts w:ascii="Times New Roman" w:eastAsia="Times New Roman" w:hAnsi="Times New Roman" w:cs="Times New Roman"/>
          <w:sz w:val="24"/>
          <w:szCs w:val="24"/>
        </w:rPr>
        <w:t>.</w:t>
      </w:r>
    </w:p>
    <w:p w14:paraId="5D3607E5" w14:textId="77777777" w:rsidR="008B017C" w:rsidRDefault="007E4BFE">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Criminal Justice and Public Order Act 1994 </w:t>
      </w:r>
      <w:r>
        <w:rPr>
          <w:rFonts w:ascii="Times New Roman" w:eastAsia="Times New Roman" w:hAnsi="Times New Roman" w:cs="Times New Roman"/>
          <w:sz w:val="24"/>
          <w:szCs w:val="24"/>
        </w:rPr>
        <w:t>.</w:t>
      </w:r>
    </w:p>
    <w:p w14:paraId="7CD9B640"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Crown Prosecution Service (2022). </w:t>
      </w:r>
      <w:proofErr w:type="spellStart"/>
      <w:r>
        <w:rPr>
          <w:rFonts w:ascii="Times New Roman" w:eastAsia="Times New Roman" w:hAnsi="Times New Roman" w:cs="Times New Roman"/>
          <w:i/>
          <w:iCs/>
          <w:sz w:val="24"/>
          <w:szCs w:val="24"/>
        </w:rPr>
        <w:t>Offences</w:t>
      </w:r>
      <w:proofErr w:type="spellEnd"/>
      <w:r>
        <w:rPr>
          <w:rFonts w:ascii="Times New Roman" w:eastAsia="Times New Roman" w:hAnsi="Times New Roman" w:cs="Times New Roman"/>
          <w:i/>
          <w:iCs/>
          <w:sz w:val="24"/>
          <w:szCs w:val="24"/>
        </w:rPr>
        <w:t xml:space="preserve"> against the Person, incorporating the Charging Standard | The </w:t>
      </w:r>
      <w:r>
        <w:rPr>
          <w:rFonts w:ascii="Times New Roman" w:eastAsia="Times New Roman" w:hAnsi="Times New Roman" w:cs="Times New Roman"/>
          <w:i/>
          <w:iCs/>
          <w:sz w:val="24"/>
          <w:szCs w:val="24"/>
        </w:rPr>
        <w:t>Crown Prosecution Service</w:t>
      </w:r>
      <w:r>
        <w:rPr>
          <w:rFonts w:ascii="Times New Roman" w:eastAsia="Times New Roman" w:hAnsi="Times New Roman" w:cs="Times New Roman"/>
          <w:sz w:val="24"/>
          <w:szCs w:val="24"/>
        </w:rPr>
        <w:t>. [online] Cps.gov.uk. Available at: https://www.cps.gov.uk/legal-guidance/offences-against-person-incorporating-charging-standard.</w:t>
      </w:r>
    </w:p>
    <w:p w14:paraId="4731C231"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Crown Prosecution Service (2023). </w:t>
      </w:r>
      <w:r>
        <w:rPr>
          <w:rFonts w:ascii="Times New Roman" w:eastAsia="Times New Roman" w:hAnsi="Times New Roman" w:cs="Times New Roman"/>
          <w:i/>
          <w:iCs/>
          <w:sz w:val="24"/>
          <w:szCs w:val="24"/>
        </w:rPr>
        <w:t>Allocation, Sending and Committal for Sentence | The Crown Prosecution Service</w:t>
      </w:r>
      <w:r>
        <w:rPr>
          <w:rFonts w:ascii="Times New Roman" w:eastAsia="Times New Roman" w:hAnsi="Times New Roman" w:cs="Times New Roman"/>
          <w:sz w:val="24"/>
          <w:szCs w:val="24"/>
        </w:rPr>
        <w:t>. [online] www.cps.gov.uk. Available at: https://www.cps.gov.uk/legal-guidance/allocation-sending-and-committal-sentence.</w:t>
      </w:r>
    </w:p>
    <w:p w14:paraId="5AF39EE7"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Denning, H. (2023). </w:t>
      </w:r>
      <w:r>
        <w:rPr>
          <w:rFonts w:ascii="Times New Roman" w:eastAsia="Times New Roman" w:hAnsi="Times New Roman" w:cs="Times New Roman"/>
          <w:i/>
          <w:iCs/>
          <w:sz w:val="24"/>
          <w:szCs w:val="24"/>
        </w:rPr>
        <w:t xml:space="preserve">What Are Either Way </w:t>
      </w:r>
      <w:proofErr w:type="spellStart"/>
      <w:r>
        <w:rPr>
          <w:rFonts w:ascii="Times New Roman" w:eastAsia="Times New Roman" w:hAnsi="Times New Roman" w:cs="Times New Roman"/>
          <w:i/>
          <w:iCs/>
          <w:sz w:val="24"/>
          <w:szCs w:val="24"/>
        </w:rPr>
        <w:t>Offence</w:t>
      </w:r>
      <w:proofErr w:type="spellEnd"/>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[online] SMQ Legal Services. Available at: https://smqlegal.co.uk/the-choice-of-court-either-way-offences/#:~:text=Disadvantages%20of%20a%20Magistrates [Accessed 12 Mar. 2024].</w:t>
      </w:r>
    </w:p>
    <w:p w14:paraId="4F23DA3C"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Disorder Act 1998</w:t>
      </w:r>
      <w:r>
        <w:rPr>
          <w:rFonts w:ascii="Times New Roman" w:eastAsia="Times New Roman" w:hAnsi="Times New Roman" w:cs="Times New Roman"/>
          <w:sz w:val="24"/>
          <w:szCs w:val="24"/>
        </w:rPr>
        <w:t>.</w:t>
      </w:r>
    </w:p>
    <w:p w14:paraId="2D78133A"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Herbert, A. (2002). </w:t>
      </w:r>
      <w:r>
        <w:rPr>
          <w:rFonts w:ascii="Times New Roman" w:eastAsia="Times New Roman" w:hAnsi="Times New Roman" w:cs="Times New Roman"/>
          <w:i/>
          <w:iCs/>
          <w:sz w:val="24"/>
          <w:szCs w:val="24"/>
        </w:rPr>
        <w:t>Crown court or magistrates’ court: a study of magistrates in action - ProQuest</w:t>
      </w:r>
      <w:r>
        <w:rPr>
          <w:rFonts w:ascii="Times New Roman" w:eastAsia="Times New Roman" w:hAnsi="Times New Roman" w:cs="Times New Roman"/>
          <w:sz w:val="24"/>
          <w:szCs w:val="24"/>
        </w:rPr>
        <w:t>. [online] www.proquest.com. Available at: https://search.proquest.com/openview/27764228ee91eb8a0db112be663556d7/1?pq-origsite=gscholar&amp;cbl=51922&amp;diss=y [Accessed 12 Mar. 2024].</w:t>
      </w:r>
    </w:p>
    <w:p w14:paraId="72867355"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Legal Aid, Sentencing, and Punishment of Offenders Act 2012</w:t>
      </w:r>
      <w:r>
        <w:rPr>
          <w:rFonts w:ascii="Times New Roman" w:eastAsia="Times New Roman" w:hAnsi="Times New Roman" w:cs="Times New Roman"/>
          <w:sz w:val="24"/>
          <w:szCs w:val="24"/>
        </w:rPr>
        <w:t>.</w:t>
      </w:r>
    </w:p>
    <w:p w14:paraId="2B0366DC"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McCartney, C. (2006). The DNA Expansion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Criminal Investigation. </w:t>
      </w:r>
      <w:r>
        <w:rPr>
          <w:rFonts w:ascii="Times New Roman" w:eastAsia="Times New Roman" w:hAnsi="Times New Roman" w:cs="Times New Roman"/>
          <w:i/>
          <w:iCs/>
          <w:sz w:val="24"/>
          <w:szCs w:val="24"/>
        </w:rPr>
        <w:t>The British Journal of Criminology</w:t>
      </w:r>
      <w:r>
        <w:rPr>
          <w:rFonts w:ascii="Times New Roman" w:eastAsia="Times New Roman" w:hAnsi="Times New Roman" w:cs="Times New Roman"/>
          <w:sz w:val="24"/>
          <w:szCs w:val="24"/>
        </w:rPr>
        <w:t xml:space="preserve">, 46(2), pp.175–192.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://doi.org/10.1093/bjc/azi094.</w:t>
      </w:r>
    </w:p>
    <w:p w14:paraId="3C8DDDD0" w14:textId="77777777" w:rsidR="008B017C" w:rsidRDefault="007E4BFE">
      <w:pPr>
        <w:spacing w:after="24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Mccartney</w:t>
      </w:r>
      <w:proofErr w:type="spellEnd"/>
      <w:r>
        <w:rPr>
          <w:rFonts w:ascii="Times New Roman" w:eastAsia="Times New Roman" w:hAnsi="Times New Roman" w:cs="Times New Roman"/>
          <w:sz w:val="24"/>
          <w:szCs w:val="24"/>
        </w:rPr>
        <w:t xml:space="preserve">, C. (2004). Forensic DNA Sampling and the England and Wales National DNA Database: A </w:t>
      </w:r>
      <w:proofErr w:type="spellStart"/>
      <w:r>
        <w:rPr>
          <w:rFonts w:ascii="Times New Roman" w:eastAsia="Times New Roman" w:hAnsi="Times New Roman" w:cs="Times New Roman"/>
          <w:sz w:val="24"/>
          <w:szCs w:val="24"/>
        </w:rPr>
        <w:t>Sceptical</w:t>
      </w:r>
      <w:proofErr w:type="spellEnd"/>
      <w:r>
        <w:rPr>
          <w:rFonts w:ascii="Times New Roman" w:eastAsia="Times New Roman" w:hAnsi="Times New Roman" w:cs="Times New Roman"/>
          <w:sz w:val="24"/>
          <w:szCs w:val="24"/>
        </w:rPr>
        <w:t xml:space="preserve"> Approach. </w:t>
      </w:r>
      <w:r>
        <w:rPr>
          <w:rFonts w:ascii="Times New Roman" w:eastAsia="Times New Roman" w:hAnsi="Times New Roman" w:cs="Times New Roman"/>
          <w:i/>
          <w:iCs/>
          <w:sz w:val="24"/>
          <w:szCs w:val="24"/>
        </w:rPr>
        <w:t>Critical Criminology</w:t>
      </w:r>
      <w:r>
        <w:rPr>
          <w:rFonts w:ascii="Times New Roman" w:eastAsia="Times New Roman" w:hAnsi="Times New Roman" w:cs="Times New Roman"/>
          <w:sz w:val="24"/>
          <w:szCs w:val="24"/>
        </w:rPr>
        <w:t xml:space="preserve">, 12(2), pp.157–178.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://doi.org/10.1023/b:crit.0000040255.29101.7a.</w:t>
      </w:r>
    </w:p>
    <w:p w14:paraId="298350E0" w14:textId="77777777" w:rsidR="008B017C" w:rsidRDefault="007E4BFE">
      <w:pPr>
        <w:spacing w:after="24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Mori</w:t>
      </w:r>
      <w:proofErr w:type="spellEnd"/>
      <w:r>
        <w:rPr>
          <w:rFonts w:ascii="Times New Roman" w:eastAsia="Times New Roman" w:hAnsi="Times New Roman" w:cs="Times New Roman"/>
          <w:sz w:val="24"/>
          <w:szCs w:val="24"/>
        </w:rPr>
        <w:t xml:space="preserve">, I. (2013). </w:t>
      </w:r>
      <w:r>
        <w:rPr>
          <w:rFonts w:ascii="Times New Roman" w:eastAsia="Times New Roman" w:hAnsi="Times New Roman" w:cs="Times New Roman"/>
          <w:i/>
          <w:iCs/>
          <w:sz w:val="24"/>
          <w:szCs w:val="24"/>
        </w:rPr>
        <w:t>The strengths and skills of the Judiciary in the Magistrates’ Courts</w:t>
      </w:r>
      <w:r>
        <w:rPr>
          <w:rFonts w:ascii="Times New Roman" w:eastAsia="Times New Roman" w:hAnsi="Times New Roman" w:cs="Times New Roman"/>
          <w:sz w:val="24"/>
          <w:szCs w:val="24"/>
        </w:rPr>
        <w:t>. [online] Available at: https://assets.publishing.service.gov.uk/media/5a7cae53e5274a2f304ef70e/strengths-skills-judiciary-2.pdf.</w:t>
      </w:r>
    </w:p>
    <w:p w14:paraId="2DC272D3" w14:textId="77777777" w:rsidR="008B017C" w:rsidRDefault="007E4BFE">
      <w:pPr>
        <w:spacing w:after="24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i/>
          <w:iCs/>
          <w:sz w:val="24"/>
          <w:szCs w:val="24"/>
        </w:rPr>
        <w:t>Offences</w:t>
      </w:r>
      <w:proofErr w:type="spellEnd"/>
      <w:r>
        <w:rPr>
          <w:rFonts w:ascii="Times New Roman" w:eastAsia="Times New Roman" w:hAnsi="Times New Roman" w:cs="Times New Roman"/>
          <w:i/>
          <w:iCs/>
          <w:sz w:val="24"/>
          <w:szCs w:val="24"/>
        </w:rPr>
        <w:t xml:space="preserve"> Against the Person Act 1861</w:t>
      </w:r>
      <w:r>
        <w:rPr>
          <w:rFonts w:ascii="Times New Roman" w:eastAsia="Times New Roman" w:hAnsi="Times New Roman" w:cs="Times New Roman"/>
          <w:sz w:val="24"/>
          <w:szCs w:val="24"/>
        </w:rPr>
        <w:t>.</w:t>
      </w:r>
    </w:p>
    <w:p w14:paraId="17BBCD24"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Police and Criminal Evidence Act 1984 (PACE)</w:t>
      </w:r>
      <w:r>
        <w:rPr>
          <w:rFonts w:ascii="Times New Roman" w:eastAsia="Times New Roman" w:hAnsi="Times New Roman" w:cs="Times New Roman"/>
          <w:sz w:val="24"/>
          <w:szCs w:val="24"/>
        </w:rPr>
        <w:t>.</w:t>
      </w:r>
    </w:p>
    <w:p w14:paraId="1AB9924E"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R v </w:t>
      </w:r>
      <w:proofErr w:type="spellStart"/>
      <w:r>
        <w:rPr>
          <w:rFonts w:ascii="Times New Roman" w:eastAsia="Times New Roman" w:hAnsi="Times New Roman" w:cs="Times New Roman"/>
          <w:i/>
          <w:iCs/>
          <w:sz w:val="24"/>
          <w:szCs w:val="24"/>
        </w:rPr>
        <w:t>Chan-Fook</w:t>
      </w:r>
      <w:proofErr w:type="spellEnd"/>
      <w:r>
        <w:rPr>
          <w:rFonts w:ascii="Times New Roman" w:eastAsia="Times New Roman" w:hAnsi="Times New Roman" w:cs="Times New Roman"/>
          <w:sz w:val="24"/>
          <w:szCs w:val="24"/>
        </w:rPr>
        <w:t xml:space="preserve"> [1994] 1 WLR 689.</w:t>
      </w:r>
    </w:p>
    <w:p w14:paraId="5C2E84F7"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Sentencing Council (2023). </w:t>
      </w:r>
      <w:r>
        <w:rPr>
          <w:rFonts w:ascii="Times New Roman" w:eastAsia="Times New Roman" w:hAnsi="Times New Roman" w:cs="Times New Roman"/>
          <w:i/>
          <w:iCs/>
          <w:sz w:val="24"/>
          <w:szCs w:val="24"/>
        </w:rPr>
        <w:t>Which court will a case be heard in? – Sentencing</w:t>
      </w:r>
      <w:r>
        <w:rPr>
          <w:rFonts w:ascii="Times New Roman" w:eastAsia="Times New Roman" w:hAnsi="Times New Roman" w:cs="Times New Roman"/>
          <w:sz w:val="24"/>
          <w:szCs w:val="24"/>
        </w:rPr>
        <w:t>. [online] Sentencing Council. Available at: https://www.sentencingcouncil.org.uk/going-to-court/which-court-will-a-case-be-heard-in/.</w:t>
      </w:r>
    </w:p>
    <w:p w14:paraId="7FAFCE45" w14:textId="77777777" w:rsidR="008B017C" w:rsidRDefault="007E4BFE">
      <w:pPr>
        <w:spacing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Theobald, S. (2023). </w:t>
      </w:r>
      <w:r>
        <w:rPr>
          <w:rFonts w:ascii="Times New Roman" w:eastAsia="Times New Roman" w:hAnsi="Times New Roman" w:cs="Times New Roman"/>
          <w:i/>
          <w:iCs/>
          <w:sz w:val="24"/>
          <w:szCs w:val="24"/>
        </w:rPr>
        <w:t>What to do if you have been sent to the Crown Court</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Gepp</w:t>
      </w:r>
      <w:proofErr w:type="spellEnd"/>
      <w:r>
        <w:rPr>
          <w:rFonts w:ascii="Times New Roman" w:eastAsia="Times New Roman" w:hAnsi="Times New Roman" w:cs="Times New Roman"/>
          <w:sz w:val="24"/>
          <w:szCs w:val="24"/>
        </w:rPr>
        <w:t xml:space="preserve"> Solicitors. Available at: https://geppsolicitors.co.uk/site/blog/criminal-law-news/what-to-do-if-you-have-been-sent-to-the-crown-court/ [Accessed 12 Mar. 2024].</w:t>
      </w:r>
    </w:p>
    <w:p w14:paraId="16892567" w14:textId="77777777" w:rsidR="008B017C" w:rsidRDefault="008B017C">
      <w:pPr>
        <w:spacing w:line="480" w:lineRule="auto"/>
        <w:ind w:left="720" w:hanging="720"/>
        <w:rPr>
          <w:rFonts w:ascii="Times New Roman" w:hAnsi="Times New Roman" w:cs="Times New Roman"/>
          <w:sz w:val="24"/>
          <w:szCs w:val="24"/>
        </w:rPr>
      </w:pPr>
    </w:p>
    <w:sectPr w:rsidR="008B01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C"/>
    <w:rsid w:val="003841C0"/>
    <w:rsid w:val="005A7F21"/>
    <w:rsid w:val="007E4BFE"/>
    <w:rsid w:val="008B017C"/>
    <w:rsid w:val="00D76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CB20A9"/>
  <w15:docId w15:val="{5E6E0E79-D549-A447-870F-62504CA4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EE015-C4D4-4102-8764-4C29456DF6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1843</Words>
  <Characters>10506</Characters>
  <Application>Microsoft Office Word</Application>
  <DocSecurity>0</DocSecurity>
  <Lines>87</Lines>
  <Paragraphs>24</Paragraphs>
  <ScaleCrop>false</ScaleCrop>
  <Company>Oprekin</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AYOO</dc:creator>
  <cp:lastModifiedBy>Maayal Rizwan</cp:lastModifiedBy>
  <cp:revision>2</cp:revision>
  <dcterms:created xsi:type="dcterms:W3CDTF">2024-03-15T22:22:00Z</dcterms:created>
  <dcterms:modified xsi:type="dcterms:W3CDTF">2024-03-15T22:22:00Z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041d70c69fe14c4b8285105925e3c605</vt:lpwstr>
  </property>
</Properties>
</file>