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217A63" w14:textId="77777777" w:rsidR="00E35657" w:rsidRDefault="00E35657">
      <w:pPr>
        <w:jc w:val="center"/>
      </w:pPr>
    </w:p>
    <w:p w14:paraId="6E60F85C" w14:textId="77777777" w:rsidR="00E35657" w:rsidRDefault="00000000">
      <w:pPr>
        <w:jc w:val="center"/>
        <w:rPr>
          <w:b/>
          <w:i/>
          <w:sz w:val="44"/>
          <w:szCs w:val="44"/>
          <w:u w:val="single"/>
        </w:rPr>
      </w:pPr>
      <w:r>
        <w:rPr>
          <w:b/>
          <w:i/>
          <w:sz w:val="44"/>
          <w:szCs w:val="44"/>
          <w:u w:val="single"/>
        </w:rPr>
        <w:t xml:space="preserve">Supporting Paper </w:t>
      </w:r>
    </w:p>
    <w:p w14:paraId="1924DDCE" w14:textId="77777777" w:rsidR="00E35657" w:rsidRDefault="00E35657">
      <w:pPr>
        <w:jc w:val="center"/>
      </w:pPr>
    </w:p>
    <w:p w14:paraId="365DEF65" w14:textId="77777777" w:rsidR="00E35657" w:rsidRDefault="00000000">
      <w:r>
        <w:rPr>
          <w:b/>
        </w:rPr>
        <w:t>Module name &amp; code</w:t>
      </w:r>
      <w:r>
        <w:t>: Children, Young People and Families (BMHP5004)</w:t>
      </w:r>
    </w:p>
    <w:p w14:paraId="4CB5BB13" w14:textId="77777777" w:rsidR="00E35657" w:rsidRDefault="00E35657">
      <w:pPr>
        <w:rPr>
          <w:b/>
        </w:rPr>
      </w:pPr>
    </w:p>
    <w:p w14:paraId="72D6A962" w14:textId="77777777" w:rsidR="00E35657" w:rsidRDefault="00000000">
      <w:pPr>
        <w:rPr>
          <w:b/>
        </w:rPr>
      </w:pPr>
      <w:r>
        <w:rPr>
          <w:b/>
        </w:rPr>
        <w:t xml:space="preserve">Lecture’s name: </w:t>
      </w:r>
      <w:r>
        <w:t>Joanna Fender</w:t>
      </w:r>
      <w:r>
        <w:rPr>
          <w:b/>
        </w:rPr>
        <w:t xml:space="preserve"> </w:t>
      </w:r>
    </w:p>
    <w:p w14:paraId="302CFA81" w14:textId="77777777" w:rsidR="00E35657" w:rsidRDefault="00E35657">
      <w:pPr>
        <w:rPr>
          <w:b/>
        </w:rPr>
      </w:pPr>
    </w:p>
    <w:p w14:paraId="489301E7" w14:textId="77777777" w:rsidR="00E35657" w:rsidRDefault="00000000">
      <w:r>
        <w:rPr>
          <w:b/>
        </w:rPr>
        <w:t>Student name</w:t>
      </w:r>
      <w:r>
        <w:t xml:space="preserve">: </w:t>
      </w:r>
      <w:proofErr w:type="spellStart"/>
      <w:r>
        <w:t>Shkurte</w:t>
      </w:r>
      <w:proofErr w:type="spellEnd"/>
      <w:r>
        <w:t xml:space="preserve"> Koka</w:t>
      </w:r>
    </w:p>
    <w:p w14:paraId="4ABCC8FE" w14:textId="77777777" w:rsidR="00E35657" w:rsidRDefault="00E35657">
      <w:pPr>
        <w:rPr>
          <w:b/>
        </w:rPr>
      </w:pPr>
    </w:p>
    <w:p w14:paraId="47779C74" w14:textId="77777777" w:rsidR="00E35657" w:rsidRDefault="00000000">
      <w:r>
        <w:rPr>
          <w:b/>
        </w:rPr>
        <w:t>Student number</w:t>
      </w:r>
      <w:r>
        <w:t>: 2105498</w:t>
      </w:r>
    </w:p>
    <w:p w14:paraId="52B9E25C" w14:textId="77777777" w:rsidR="00E35657" w:rsidRDefault="00E35657">
      <w:pPr>
        <w:jc w:val="center"/>
      </w:pPr>
    </w:p>
    <w:p w14:paraId="402DC38E" w14:textId="77777777" w:rsidR="00E35657" w:rsidRDefault="00000000">
      <w:pPr>
        <w:jc w:val="center"/>
      </w:pPr>
      <w:r>
        <w:rPr>
          <w:noProof/>
        </w:rPr>
        <w:drawing>
          <wp:inline distT="114300" distB="114300" distL="114300" distR="114300" wp14:anchorId="062528D9" wp14:editId="5A9CB3B8">
            <wp:extent cx="3967425" cy="358721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967425" cy="3587214"/>
                    </a:xfrm>
                    <a:prstGeom prst="rect">
                      <a:avLst/>
                    </a:prstGeom>
                    <a:ln/>
                  </pic:spPr>
                </pic:pic>
              </a:graphicData>
            </a:graphic>
          </wp:inline>
        </w:drawing>
      </w:r>
    </w:p>
    <w:p w14:paraId="36B3FA26" w14:textId="77777777" w:rsidR="00E35657" w:rsidRDefault="00000000">
      <w:pPr>
        <w:jc w:val="right"/>
      </w:pPr>
      <w:r>
        <w:t>(Author Services, 2022)</w:t>
      </w:r>
    </w:p>
    <w:p w14:paraId="31905C4C" w14:textId="77777777" w:rsidR="00E35657" w:rsidRDefault="00E35657">
      <w:pPr>
        <w:jc w:val="center"/>
      </w:pPr>
    </w:p>
    <w:p w14:paraId="0A3196F2" w14:textId="77777777" w:rsidR="00E35657" w:rsidRDefault="00E35657">
      <w:pPr>
        <w:jc w:val="center"/>
      </w:pPr>
    </w:p>
    <w:p w14:paraId="2B787265" w14:textId="77777777" w:rsidR="00E35657" w:rsidRDefault="00E35657">
      <w:pPr>
        <w:jc w:val="center"/>
      </w:pPr>
    </w:p>
    <w:p w14:paraId="46C9542C" w14:textId="77777777" w:rsidR="00E35657" w:rsidRDefault="00E35657">
      <w:pPr>
        <w:jc w:val="center"/>
      </w:pPr>
    </w:p>
    <w:p w14:paraId="34AF00C4" w14:textId="77777777" w:rsidR="00E35657" w:rsidRDefault="00E35657">
      <w:pPr>
        <w:jc w:val="center"/>
      </w:pPr>
    </w:p>
    <w:p w14:paraId="38BD1E72" w14:textId="77777777" w:rsidR="00E35657" w:rsidRDefault="00E35657">
      <w:pPr>
        <w:jc w:val="center"/>
      </w:pPr>
    </w:p>
    <w:p w14:paraId="4A45BA94" w14:textId="77777777" w:rsidR="00E35657" w:rsidRDefault="00E35657">
      <w:pPr>
        <w:jc w:val="center"/>
      </w:pPr>
    </w:p>
    <w:p w14:paraId="70139E53" w14:textId="77777777" w:rsidR="00E35657" w:rsidRDefault="00E35657">
      <w:pPr>
        <w:jc w:val="center"/>
      </w:pPr>
    </w:p>
    <w:p w14:paraId="3BADB8D5" w14:textId="77777777" w:rsidR="00E35657" w:rsidRDefault="00E35657">
      <w:pPr>
        <w:jc w:val="center"/>
      </w:pPr>
    </w:p>
    <w:p w14:paraId="1298A5C3" w14:textId="77777777" w:rsidR="00E35657" w:rsidRDefault="00E35657">
      <w:pPr>
        <w:jc w:val="center"/>
      </w:pPr>
    </w:p>
    <w:p w14:paraId="051BF047" w14:textId="77777777" w:rsidR="00E35657" w:rsidRDefault="00E35657">
      <w:pPr>
        <w:jc w:val="center"/>
      </w:pPr>
    </w:p>
    <w:p w14:paraId="1BDD7D61" w14:textId="77777777" w:rsidR="00E35657" w:rsidRDefault="00E35657">
      <w:pPr>
        <w:jc w:val="center"/>
      </w:pPr>
    </w:p>
    <w:p w14:paraId="1B1FC4D0" w14:textId="77777777" w:rsidR="00E35657" w:rsidRDefault="00E35657">
      <w:pPr>
        <w:jc w:val="center"/>
      </w:pPr>
    </w:p>
    <w:p w14:paraId="2CCE197C" w14:textId="77777777" w:rsidR="00E35657" w:rsidRDefault="00E35657">
      <w:pPr>
        <w:jc w:val="center"/>
      </w:pPr>
    </w:p>
    <w:p w14:paraId="79B46D2E" w14:textId="77777777" w:rsidR="00E35657" w:rsidRDefault="00E35657">
      <w:pPr>
        <w:jc w:val="center"/>
      </w:pPr>
    </w:p>
    <w:p w14:paraId="19CD7453" w14:textId="77777777" w:rsidR="00E35657" w:rsidRDefault="00E35657">
      <w:pPr>
        <w:jc w:val="center"/>
      </w:pPr>
    </w:p>
    <w:p w14:paraId="79F45C4E" w14:textId="77777777" w:rsidR="00E35657" w:rsidRDefault="00E35657">
      <w:pPr>
        <w:jc w:val="center"/>
      </w:pPr>
    </w:p>
    <w:p w14:paraId="2E861978" w14:textId="77777777" w:rsidR="00E35657" w:rsidRDefault="00E35657">
      <w:pPr>
        <w:jc w:val="center"/>
      </w:pPr>
    </w:p>
    <w:p w14:paraId="698BD141" w14:textId="77777777" w:rsidR="00E35657" w:rsidRDefault="00000000">
      <w:r>
        <w:rPr>
          <w:b/>
        </w:rPr>
        <w:t>Introduction</w:t>
      </w:r>
      <w:r>
        <w:t xml:space="preserve"> </w:t>
      </w:r>
    </w:p>
    <w:p w14:paraId="33E7A173" w14:textId="78EF6400" w:rsidR="00E35657" w:rsidRDefault="00000000">
      <w:r>
        <w:t xml:space="preserve">This assignment will be a supporting paper with a focus on critically examining and evaluating the effectiveness of the health and social care agencies </w:t>
      </w:r>
      <w:r w:rsidR="00FE783C">
        <w:t>involved</w:t>
      </w:r>
      <w:r>
        <w:t xml:space="preserve"> in the case study that was presented as a group in the form of a formal seminar. This supporting paper will list every relevant </w:t>
      </w:r>
      <w:r w:rsidR="00FE783C">
        <w:t>policy</w:t>
      </w:r>
      <w:r>
        <w:t xml:space="preserve"> which apply to the presented case as well as make 3 recommendations about what would have prevented or reduced the risk factors and the level of vulnerability occurrence to Aiden and his family. </w:t>
      </w:r>
    </w:p>
    <w:p w14:paraId="582995C3" w14:textId="77777777" w:rsidR="00E35657" w:rsidRDefault="00E35657"/>
    <w:p w14:paraId="4E6343A3" w14:textId="297D41E1" w:rsidR="00E35657" w:rsidRDefault="00000000">
      <w:r>
        <w:t xml:space="preserve">The case that this supporting paper will be focusing on, is an independent review carried out by the Child Safeguarding Practise Review, as part of an incident which happened to a 1 ½ child named Aiden, as he was admitted to the hospital with severe burns on his stomach and hand. This independent review compiled a multi-agency chronology by choosing the agencies that had the most contact with Aiden and his family. The health and social care agencies that were most </w:t>
      </w:r>
      <w:r w:rsidR="00FE783C">
        <w:t>involved</w:t>
      </w:r>
      <w:r>
        <w:t xml:space="preserve"> in this case are: </w:t>
      </w:r>
    </w:p>
    <w:p w14:paraId="5126B056" w14:textId="77777777" w:rsidR="00E35657" w:rsidRDefault="00000000">
      <w:pPr>
        <w:numPr>
          <w:ilvl w:val="0"/>
          <w:numId w:val="1"/>
        </w:numPr>
      </w:pPr>
      <w:r>
        <w:t>Children’s services</w:t>
      </w:r>
    </w:p>
    <w:p w14:paraId="5447B134" w14:textId="77777777" w:rsidR="00E35657" w:rsidRDefault="00000000">
      <w:pPr>
        <w:numPr>
          <w:ilvl w:val="0"/>
          <w:numId w:val="1"/>
        </w:numPr>
      </w:pPr>
      <w:r>
        <w:t xml:space="preserve">Local GP Practise </w:t>
      </w:r>
    </w:p>
    <w:p w14:paraId="5D65E930" w14:textId="77777777" w:rsidR="00E35657" w:rsidRDefault="00000000">
      <w:pPr>
        <w:numPr>
          <w:ilvl w:val="0"/>
          <w:numId w:val="1"/>
        </w:numPr>
      </w:pPr>
      <w:r>
        <w:t xml:space="preserve">YMCA </w:t>
      </w:r>
    </w:p>
    <w:p w14:paraId="29AFB35A" w14:textId="77777777" w:rsidR="00E35657" w:rsidRDefault="00000000">
      <w:pPr>
        <w:numPr>
          <w:ilvl w:val="0"/>
          <w:numId w:val="1"/>
        </w:numPr>
      </w:pPr>
      <w:r>
        <w:t xml:space="preserve">Berkshire women’s aid </w:t>
      </w:r>
    </w:p>
    <w:p w14:paraId="54804029" w14:textId="77777777" w:rsidR="00E35657" w:rsidRDefault="00000000">
      <w:pPr>
        <w:numPr>
          <w:ilvl w:val="0"/>
          <w:numId w:val="1"/>
        </w:numPr>
      </w:pPr>
      <w:r>
        <w:t>West Berkshire Healthcare Foundation Trust</w:t>
      </w:r>
    </w:p>
    <w:p w14:paraId="572A5523" w14:textId="77777777" w:rsidR="00E35657" w:rsidRDefault="00000000">
      <w:pPr>
        <w:numPr>
          <w:ilvl w:val="0"/>
          <w:numId w:val="1"/>
        </w:numPr>
      </w:pPr>
      <w:r>
        <w:t xml:space="preserve">Ambulance service </w:t>
      </w:r>
    </w:p>
    <w:p w14:paraId="0E10FD4E" w14:textId="77777777" w:rsidR="00E35657" w:rsidRDefault="00000000">
      <w:pPr>
        <w:numPr>
          <w:ilvl w:val="0"/>
          <w:numId w:val="1"/>
        </w:numPr>
      </w:pPr>
      <w:r>
        <w:t>Midwifery services</w:t>
      </w:r>
    </w:p>
    <w:p w14:paraId="3CD247CB" w14:textId="77777777" w:rsidR="00E35657" w:rsidRDefault="00000000">
      <w:pPr>
        <w:numPr>
          <w:ilvl w:val="0"/>
          <w:numId w:val="1"/>
        </w:numPr>
      </w:pPr>
      <w:r>
        <w:t>Health visiting services</w:t>
      </w:r>
    </w:p>
    <w:p w14:paraId="6A1901E6" w14:textId="7787073C" w:rsidR="00E35657" w:rsidRDefault="00000000">
      <w:r>
        <w:t xml:space="preserve">These healthcare care agencies and organisation were involved in Aiden’s case to provide support, health care and guidance, throughout the time that Aiden’s mother was pregnant with Aiden, and afterwards. The midwifery services were involved and played an important role in helping the mother throughout her pregnancy. After Aiden’s birth, the case was then passed on to the health visiting services, for regular </w:t>
      </w:r>
      <w:r w:rsidR="00FE783C">
        <w:t>appointments</w:t>
      </w:r>
      <w:r>
        <w:t xml:space="preserve"> to be seen by the health visitor to ensure that Aiden’s development was normal. </w:t>
      </w:r>
    </w:p>
    <w:p w14:paraId="5C6AB583" w14:textId="29A47CD4" w:rsidR="00E35657" w:rsidRDefault="00000000">
      <w:r>
        <w:t xml:space="preserve">The midwifery services and the health visiting services made repeated requests for a thorough and robust assessment for Aiden’s mother capacity to care for a young child, due to there being </w:t>
      </w:r>
      <w:r w:rsidR="00FE783C">
        <w:t>several</w:t>
      </w:r>
      <w:r>
        <w:t xml:space="preserve"> pre-disposing risk factors by the mother. Despite these repeated requests, the assessment that the Children’s Services carried out was very limited. According to the (National Society for the Prevention of Cruelty to Children, 2014), a parenting capacity assessment is carried out when ‘concerns about a child’s welfare are raised’ as part of three elements. It also states that a </w:t>
      </w:r>
      <w:r w:rsidR="00FE783C">
        <w:t>parenting capacity assessment</w:t>
      </w:r>
      <w:r>
        <w:t xml:space="preserve"> focuses on </w:t>
      </w:r>
      <w:r w:rsidR="00FE783C">
        <w:t>identifying</w:t>
      </w:r>
      <w:r>
        <w:t xml:space="preserve"> strengths and weaknesses in relation to dimensions of parenting such as ‘basic care, emotional stability and care, ensuring safety, housing, income and social integration and community </w:t>
      </w:r>
      <w:r w:rsidR="00FE783C">
        <w:t>resources</w:t>
      </w:r>
      <w:r>
        <w:t xml:space="preserve">. Aiden’s mother was raised in an abusive household, her parents were constantly misusing substances, and was also diagnosed with mental health problems. Similar </w:t>
      </w:r>
      <w:r w:rsidR="00FE783C">
        <w:t>circumstances</w:t>
      </w:r>
      <w:r>
        <w:t xml:space="preserve"> refer to Aiden’s father too, as well he also has some learning disabilities. According to a study carried out by (Hughes et al., 2016), adverse childhood experiences have the potential to become serious risk factors which can lead to vulnerability, neglect and physical abuse. </w:t>
      </w:r>
    </w:p>
    <w:p w14:paraId="04C23E15" w14:textId="4DC4CDB7" w:rsidR="00E35657" w:rsidRDefault="00000000">
      <w:r>
        <w:t xml:space="preserve">The </w:t>
      </w:r>
      <w:r w:rsidR="00FE783C">
        <w:t>effectiveness</w:t>
      </w:r>
      <w:r>
        <w:t xml:space="preserve"> of the agencies involved to this case is subjective to a certain extend. That is because Aiden and his mother had 8 different Social Workers between February 2018 to </w:t>
      </w:r>
      <w:r>
        <w:lastRenderedPageBreak/>
        <w:t xml:space="preserve">October 2019. A social worker aims to ‘help with social and interpersonal difficulties promoting human rights and wellbeing by protecting children and adults with support needs from harm’, (The Professional Association for Social Work and Social Workers, 2022). The fact that Aiden and his mother were seen by 8 different social workers and 3 different managers, and not by 1 social worker instead, shows a lack of continuity as effectiveness as a result due to the lack of robustness in assessment and support. Being seen and supported by one social worker throughout the supporting plan is important because it gives the opportunity for the social worker to build a trusting </w:t>
      </w:r>
      <w:r w:rsidR="00FE783C">
        <w:t>relationship</w:t>
      </w:r>
      <w:r>
        <w:t xml:space="preserve"> with the parents and assess their parenting capacity effectively (National Society for the Prevention of Cruelty to Children, 2022). It also is important to be seen by one social worker because ‘it demonstrates a consistent management oversight’, helping the social worker further understand the factors that could have led to Aiden experiencing the incidents in the way he did. </w:t>
      </w:r>
    </w:p>
    <w:p w14:paraId="2AD456CA" w14:textId="2F864D16" w:rsidR="00E35657" w:rsidRDefault="00000000">
      <w:r>
        <w:t xml:space="preserve">Every child in the United Kingdom is protected by the law from any type of abuse or exploitation. According to the (National Society for the Prevention of Cruelty to Children, 2022), in the United Kingdom the Equality Act 2010 has been put in place to protect every child against any kind of harm. (NSPCC, 2022) also states that ‘the United Nations Convention on the Rights of the Child defines a child as everyone under 18 years of age’. There are also many policies and procedures which have been put in place to protect children and their well-being wherever they are; as a result, each childcare setting should have policies which are in favour of child protection. Some relevant polices which apply to this case review is the Safeguarding Policy which according to (GOV.UK, 2021) it breaks down to ‘recognising and responding to abuse policy’, </w:t>
      </w:r>
      <w:r w:rsidR="00FE783C">
        <w:t>whistleblowing</w:t>
      </w:r>
      <w:r>
        <w:t xml:space="preserve"> policy, ‘recruiting the right people to work and volunteer with children’, and ‘responding to allegations of abuse made against a child’, all which directly apply to this case review. </w:t>
      </w:r>
    </w:p>
    <w:p w14:paraId="2F124ED6" w14:textId="77777777" w:rsidR="00E35657" w:rsidRDefault="00E35657"/>
    <w:p w14:paraId="6C673E35" w14:textId="77777777" w:rsidR="00E35657" w:rsidRDefault="00000000">
      <w:r>
        <w:rPr>
          <w:b/>
        </w:rPr>
        <w:t>Recommendations</w:t>
      </w:r>
      <w:r>
        <w:t xml:space="preserve">: </w:t>
      </w:r>
    </w:p>
    <w:p w14:paraId="4FCA689F" w14:textId="77777777" w:rsidR="00E35657" w:rsidRDefault="00000000">
      <w:r>
        <w:t xml:space="preserve">This supporting paper will rise three recommendations which I think would have been beneficial in reducing the risk factors for the incidents that happened in the way they did. The three recommendations are: </w:t>
      </w:r>
    </w:p>
    <w:p w14:paraId="231C6EDC" w14:textId="6662E034" w:rsidR="00E35657" w:rsidRDefault="00000000">
      <w:pPr>
        <w:numPr>
          <w:ilvl w:val="0"/>
          <w:numId w:val="3"/>
        </w:numPr>
      </w:pPr>
      <w:r>
        <w:t xml:space="preserve">Inter-agency working. Social services should have completed the parenting capacity assessment when the Health Visiting and Midwifery Services </w:t>
      </w:r>
      <w:r w:rsidR="00FE783C">
        <w:t>repeatedly</w:t>
      </w:r>
      <w:r>
        <w:t xml:space="preserve"> requested it to be carried out. Inter-agency working is very important in healthcare, and for this specific case of Aiden too, as it promotes safeguarding and security to the welfare and wellbeing of children, states (His Majesty’s Government, 2018). </w:t>
      </w:r>
    </w:p>
    <w:p w14:paraId="14D5B242" w14:textId="77777777" w:rsidR="00E35657" w:rsidRDefault="00000000">
      <w:pPr>
        <w:numPr>
          <w:ilvl w:val="0"/>
          <w:numId w:val="3"/>
        </w:numPr>
      </w:pPr>
      <w:r>
        <w:t xml:space="preserve">An arrangement should have been made by the health visiting services to discuss with Aiden’s mother on developing and maintaining healthy relationships. This is because one of the 4 principles of Health Visiting services is ‘the facilitation of health-enhancing activities’, states the (Institute of Health Visiting&amp; Excellence in Practise, 2022). </w:t>
      </w:r>
    </w:p>
    <w:p w14:paraId="65245AA0" w14:textId="0E88188B" w:rsidR="00E35657" w:rsidRDefault="00000000">
      <w:pPr>
        <w:numPr>
          <w:ilvl w:val="0"/>
          <w:numId w:val="3"/>
        </w:numPr>
      </w:pPr>
      <w:r>
        <w:t xml:space="preserve">A follow up plan should have been prepared by the Social Worker since the mother of Aiden was transferred from a high support network from the YMCA, to living on her own. This is especially important because she was diagnosed with mental </w:t>
      </w:r>
      <w:r w:rsidR="00FE783C">
        <w:t>health</w:t>
      </w:r>
      <w:r>
        <w:t xml:space="preserve"> </w:t>
      </w:r>
      <w:r w:rsidR="00FE783C">
        <w:t>issues and</w:t>
      </w:r>
      <w:r>
        <w:t xml:space="preserve"> had a child prior Aiden was taken away from her responsibility. </w:t>
      </w:r>
    </w:p>
    <w:p w14:paraId="3EB5A55C" w14:textId="77777777" w:rsidR="00E35657" w:rsidRDefault="00E35657"/>
    <w:p w14:paraId="59959037" w14:textId="2AE55119" w:rsidR="00E35657" w:rsidRDefault="00000000">
      <w:r>
        <w:t xml:space="preserve">In conclusion, this supportive paper can conclude that a more thorough inter-agency work would have benefited Aiden and his </w:t>
      </w:r>
      <w:r w:rsidR="00FE783C">
        <w:t>family and</w:t>
      </w:r>
      <w:r>
        <w:t xml:space="preserve"> could have potentially led to a safer environment for Aiden. That is because, areas and things </w:t>
      </w:r>
      <w:r w:rsidR="00610EEB">
        <w:t>that Aiden’s family</w:t>
      </w:r>
      <w:r>
        <w:t xml:space="preserve"> struggled with </w:t>
      </w:r>
      <w:r>
        <w:lastRenderedPageBreak/>
        <w:t xml:space="preserve">would have been identified and support would have been given on time, whether that is mental health support, developing health relationship advice or guidance on parenting skills. </w:t>
      </w:r>
    </w:p>
    <w:p w14:paraId="59CA66FE" w14:textId="77777777" w:rsidR="00E35657" w:rsidRDefault="00E35657"/>
    <w:p w14:paraId="44DE1662" w14:textId="77777777" w:rsidR="00E35657" w:rsidRDefault="00E35657"/>
    <w:p w14:paraId="170D8DF6" w14:textId="77777777" w:rsidR="00E35657" w:rsidRDefault="00E35657"/>
    <w:p w14:paraId="7E0BE078" w14:textId="77777777" w:rsidR="00E35657" w:rsidRDefault="00E35657"/>
    <w:p w14:paraId="28AF4E16" w14:textId="77777777" w:rsidR="00E35657" w:rsidRDefault="00E35657"/>
    <w:p w14:paraId="68536A72" w14:textId="77777777" w:rsidR="00E35657" w:rsidRDefault="00E35657">
      <w:pPr>
        <w:rPr>
          <w:b/>
        </w:rPr>
      </w:pPr>
    </w:p>
    <w:p w14:paraId="63278A0D" w14:textId="77777777" w:rsidR="00E35657" w:rsidRDefault="00E35657">
      <w:pPr>
        <w:rPr>
          <w:b/>
        </w:rPr>
      </w:pPr>
    </w:p>
    <w:p w14:paraId="7EE8117A" w14:textId="77777777" w:rsidR="00E35657" w:rsidRDefault="00E35657">
      <w:pPr>
        <w:rPr>
          <w:b/>
        </w:rPr>
      </w:pPr>
    </w:p>
    <w:p w14:paraId="27F35FB8" w14:textId="77777777" w:rsidR="00E35657" w:rsidRDefault="00E35657">
      <w:pPr>
        <w:rPr>
          <w:b/>
        </w:rPr>
      </w:pPr>
    </w:p>
    <w:p w14:paraId="3EABECFC" w14:textId="77777777" w:rsidR="00E35657" w:rsidRDefault="00E35657">
      <w:pPr>
        <w:rPr>
          <w:b/>
        </w:rPr>
      </w:pPr>
    </w:p>
    <w:p w14:paraId="64AF62E6" w14:textId="77777777" w:rsidR="00E35657" w:rsidRDefault="00E35657">
      <w:pPr>
        <w:rPr>
          <w:b/>
        </w:rPr>
      </w:pPr>
    </w:p>
    <w:p w14:paraId="37720C37" w14:textId="77777777" w:rsidR="00E35657" w:rsidRDefault="00E35657">
      <w:pPr>
        <w:rPr>
          <w:b/>
        </w:rPr>
      </w:pPr>
    </w:p>
    <w:p w14:paraId="2D4B5AB8" w14:textId="77777777" w:rsidR="00E35657" w:rsidRDefault="00E35657">
      <w:pPr>
        <w:rPr>
          <w:b/>
        </w:rPr>
      </w:pPr>
    </w:p>
    <w:p w14:paraId="3EE41C49" w14:textId="77777777" w:rsidR="00E35657" w:rsidRDefault="00E35657">
      <w:pPr>
        <w:rPr>
          <w:b/>
        </w:rPr>
      </w:pPr>
    </w:p>
    <w:p w14:paraId="501DF562" w14:textId="77777777" w:rsidR="00E35657" w:rsidRDefault="00E35657">
      <w:pPr>
        <w:rPr>
          <w:b/>
        </w:rPr>
      </w:pPr>
    </w:p>
    <w:p w14:paraId="285B9AC7" w14:textId="77777777" w:rsidR="00E35657" w:rsidRDefault="00E35657">
      <w:pPr>
        <w:rPr>
          <w:b/>
        </w:rPr>
      </w:pPr>
    </w:p>
    <w:p w14:paraId="5D4D8687" w14:textId="77777777" w:rsidR="00E35657" w:rsidRDefault="00E35657">
      <w:pPr>
        <w:rPr>
          <w:b/>
        </w:rPr>
      </w:pPr>
    </w:p>
    <w:p w14:paraId="022ED8C4" w14:textId="77777777" w:rsidR="00E35657" w:rsidRDefault="00E35657">
      <w:pPr>
        <w:rPr>
          <w:b/>
        </w:rPr>
      </w:pPr>
    </w:p>
    <w:p w14:paraId="5A3E8402" w14:textId="77777777" w:rsidR="00E35657" w:rsidRDefault="00E35657">
      <w:pPr>
        <w:rPr>
          <w:b/>
        </w:rPr>
      </w:pPr>
    </w:p>
    <w:p w14:paraId="2B5B3266" w14:textId="77777777" w:rsidR="00E35657" w:rsidRDefault="00E35657">
      <w:pPr>
        <w:rPr>
          <w:b/>
        </w:rPr>
      </w:pPr>
    </w:p>
    <w:p w14:paraId="64A92C39" w14:textId="77777777" w:rsidR="00E35657" w:rsidRDefault="00E35657">
      <w:pPr>
        <w:rPr>
          <w:b/>
        </w:rPr>
      </w:pPr>
    </w:p>
    <w:p w14:paraId="49127740" w14:textId="77777777" w:rsidR="00E35657" w:rsidRDefault="00E35657">
      <w:pPr>
        <w:rPr>
          <w:b/>
        </w:rPr>
      </w:pPr>
    </w:p>
    <w:p w14:paraId="6475A558" w14:textId="77777777" w:rsidR="00E35657" w:rsidRDefault="00E35657">
      <w:pPr>
        <w:rPr>
          <w:b/>
        </w:rPr>
      </w:pPr>
    </w:p>
    <w:p w14:paraId="10550BAB" w14:textId="77777777" w:rsidR="00E35657" w:rsidRDefault="00E35657">
      <w:pPr>
        <w:rPr>
          <w:b/>
        </w:rPr>
      </w:pPr>
    </w:p>
    <w:p w14:paraId="29AD6BC6" w14:textId="77777777" w:rsidR="00E35657" w:rsidRDefault="00E35657">
      <w:pPr>
        <w:rPr>
          <w:b/>
        </w:rPr>
      </w:pPr>
    </w:p>
    <w:p w14:paraId="7D0C5DCC" w14:textId="77777777" w:rsidR="00E35657" w:rsidRDefault="00E35657">
      <w:pPr>
        <w:rPr>
          <w:b/>
        </w:rPr>
      </w:pPr>
    </w:p>
    <w:p w14:paraId="5E775744" w14:textId="77777777" w:rsidR="00E35657" w:rsidRDefault="00E35657">
      <w:pPr>
        <w:rPr>
          <w:b/>
        </w:rPr>
      </w:pPr>
    </w:p>
    <w:p w14:paraId="235BA4CC" w14:textId="77777777" w:rsidR="00E35657" w:rsidRDefault="00E35657">
      <w:pPr>
        <w:rPr>
          <w:b/>
        </w:rPr>
      </w:pPr>
    </w:p>
    <w:p w14:paraId="0DCDD877" w14:textId="77777777" w:rsidR="00E35657" w:rsidRDefault="00E35657">
      <w:pPr>
        <w:rPr>
          <w:b/>
        </w:rPr>
      </w:pPr>
    </w:p>
    <w:p w14:paraId="2CF6031B" w14:textId="77777777" w:rsidR="00E35657" w:rsidRDefault="00E35657">
      <w:pPr>
        <w:rPr>
          <w:b/>
        </w:rPr>
      </w:pPr>
    </w:p>
    <w:p w14:paraId="74E1ED49" w14:textId="77777777" w:rsidR="00E35657" w:rsidRDefault="00E35657">
      <w:pPr>
        <w:rPr>
          <w:b/>
        </w:rPr>
      </w:pPr>
    </w:p>
    <w:p w14:paraId="1A58F87E" w14:textId="77777777" w:rsidR="00E35657" w:rsidRDefault="00E35657">
      <w:pPr>
        <w:rPr>
          <w:b/>
        </w:rPr>
      </w:pPr>
    </w:p>
    <w:p w14:paraId="6241ADB2" w14:textId="77777777" w:rsidR="00E35657" w:rsidRDefault="00E35657">
      <w:pPr>
        <w:rPr>
          <w:b/>
        </w:rPr>
      </w:pPr>
    </w:p>
    <w:p w14:paraId="0CB18126" w14:textId="77777777" w:rsidR="00E35657" w:rsidRDefault="00E35657">
      <w:pPr>
        <w:rPr>
          <w:b/>
        </w:rPr>
      </w:pPr>
    </w:p>
    <w:p w14:paraId="10B44F79" w14:textId="77777777" w:rsidR="00E35657" w:rsidRDefault="00E35657">
      <w:pPr>
        <w:rPr>
          <w:b/>
        </w:rPr>
      </w:pPr>
    </w:p>
    <w:p w14:paraId="70597F10" w14:textId="77777777" w:rsidR="00E35657" w:rsidRDefault="00E35657">
      <w:pPr>
        <w:rPr>
          <w:b/>
        </w:rPr>
      </w:pPr>
    </w:p>
    <w:p w14:paraId="346C8C2A" w14:textId="77777777" w:rsidR="00E35657" w:rsidRDefault="00E35657">
      <w:pPr>
        <w:rPr>
          <w:b/>
        </w:rPr>
      </w:pPr>
    </w:p>
    <w:p w14:paraId="4349EAC5" w14:textId="77777777" w:rsidR="00E35657" w:rsidRDefault="00E35657">
      <w:pPr>
        <w:rPr>
          <w:b/>
        </w:rPr>
      </w:pPr>
    </w:p>
    <w:p w14:paraId="05C0544C" w14:textId="77777777" w:rsidR="00E35657" w:rsidRDefault="00E35657">
      <w:pPr>
        <w:rPr>
          <w:b/>
        </w:rPr>
      </w:pPr>
    </w:p>
    <w:p w14:paraId="3E6E9B16" w14:textId="77777777" w:rsidR="00E35657" w:rsidRDefault="00E35657">
      <w:pPr>
        <w:rPr>
          <w:b/>
        </w:rPr>
      </w:pPr>
    </w:p>
    <w:p w14:paraId="34406CAA" w14:textId="77777777" w:rsidR="00E35657" w:rsidRDefault="00E35657">
      <w:pPr>
        <w:rPr>
          <w:b/>
        </w:rPr>
      </w:pPr>
    </w:p>
    <w:p w14:paraId="26958F26" w14:textId="77777777" w:rsidR="00E35657" w:rsidRDefault="00E35657">
      <w:pPr>
        <w:rPr>
          <w:b/>
        </w:rPr>
      </w:pPr>
    </w:p>
    <w:p w14:paraId="52A17307" w14:textId="77777777" w:rsidR="00E35657" w:rsidRDefault="00E35657">
      <w:pPr>
        <w:rPr>
          <w:b/>
        </w:rPr>
      </w:pPr>
    </w:p>
    <w:p w14:paraId="16C6C5A9" w14:textId="77777777" w:rsidR="00E35657" w:rsidRDefault="00E35657">
      <w:pPr>
        <w:rPr>
          <w:b/>
        </w:rPr>
      </w:pPr>
    </w:p>
    <w:p w14:paraId="6299B05F" w14:textId="77777777" w:rsidR="00E35657" w:rsidRDefault="00E35657">
      <w:pPr>
        <w:rPr>
          <w:b/>
        </w:rPr>
      </w:pPr>
    </w:p>
    <w:p w14:paraId="191ADD43" w14:textId="77777777" w:rsidR="00E35657" w:rsidRDefault="00E35657">
      <w:pPr>
        <w:rPr>
          <w:b/>
        </w:rPr>
      </w:pPr>
    </w:p>
    <w:p w14:paraId="36A71E6B" w14:textId="77777777" w:rsidR="00E35657" w:rsidRDefault="00000000">
      <w:r>
        <w:rPr>
          <w:b/>
        </w:rPr>
        <w:lastRenderedPageBreak/>
        <w:t>References</w:t>
      </w:r>
      <w:r>
        <w:t xml:space="preserve"> </w:t>
      </w:r>
    </w:p>
    <w:p w14:paraId="4446C8DC" w14:textId="77777777" w:rsidR="00E35657" w:rsidRDefault="00E35657"/>
    <w:p w14:paraId="6A947F87" w14:textId="77777777" w:rsidR="00E35657" w:rsidRDefault="00000000">
      <w:pPr>
        <w:numPr>
          <w:ilvl w:val="0"/>
          <w:numId w:val="2"/>
        </w:numPr>
      </w:pPr>
      <w:r>
        <w:t xml:space="preserve">Author Services (2022). </w:t>
      </w:r>
      <w:r>
        <w:rPr>
          <w:i/>
        </w:rPr>
        <w:t>Supporting you through every step of your research publishing journey.</w:t>
      </w:r>
      <w:r>
        <w:t xml:space="preserve"> Available at: </w:t>
      </w:r>
      <w:hyperlink r:id="rId6">
        <w:r>
          <w:rPr>
            <w:u w:val="single"/>
          </w:rPr>
          <w:t>https://authorservices.taylorandfrancis.com/#</w:t>
        </w:r>
      </w:hyperlink>
      <w:r>
        <w:t xml:space="preserve"> (Accessed 1 December 2022) </w:t>
      </w:r>
    </w:p>
    <w:p w14:paraId="5DED558D" w14:textId="77777777" w:rsidR="00E35657" w:rsidRDefault="00E35657">
      <w:pPr>
        <w:ind w:left="720"/>
      </w:pPr>
    </w:p>
    <w:p w14:paraId="74F7F78F" w14:textId="77777777" w:rsidR="00E35657" w:rsidRDefault="00000000">
      <w:pPr>
        <w:numPr>
          <w:ilvl w:val="0"/>
          <w:numId w:val="2"/>
        </w:numPr>
      </w:pPr>
      <w:r>
        <w:t xml:space="preserve">GOV.UK (2021). </w:t>
      </w:r>
      <w:r>
        <w:rPr>
          <w:i/>
        </w:rPr>
        <w:t xml:space="preserve">Ofsted Safeguarding Policy. </w:t>
      </w:r>
      <w:r>
        <w:t xml:space="preserve">Available at:  </w:t>
      </w:r>
      <w:hyperlink r:id="rId7">
        <w:r>
          <w:rPr>
            <w:u w:val="single"/>
          </w:rPr>
          <w:t>https://www.gov.uk/government/publications/ofsted-safeguarding-policy/ofsted-safeguarding-policy</w:t>
        </w:r>
      </w:hyperlink>
      <w:r>
        <w:t xml:space="preserve"> (Accessed 29 November 2022). </w:t>
      </w:r>
    </w:p>
    <w:p w14:paraId="67E11405" w14:textId="77777777" w:rsidR="00E35657" w:rsidRDefault="00E35657">
      <w:pPr>
        <w:ind w:left="720"/>
      </w:pPr>
    </w:p>
    <w:p w14:paraId="40C9F363" w14:textId="77777777" w:rsidR="00E35657" w:rsidRDefault="00000000">
      <w:pPr>
        <w:numPr>
          <w:ilvl w:val="0"/>
          <w:numId w:val="2"/>
        </w:numPr>
      </w:pPr>
      <w:r>
        <w:t xml:space="preserve">His Majesty’s Government (2018). </w:t>
      </w:r>
      <w:r>
        <w:rPr>
          <w:i/>
        </w:rPr>
        <w:t>Working Together to Safeguard Children</w:t>
      </w:r>
      <w:r>
        <w:t xml:space="preserve">. Available at:  </w:t>
      </w:r>
      <w:hyperlink r:id="rId8">
        <w:r>
          <w:rPr>
            <w:u w:val="single"/>
          </w:rPr>
          <w:t>https://assets.publishing.service.gov.uk/government/uploads/system/uploads/attachment_data/file/942454/Working_together_to_safeguard_children_inter_agency_guidance.pdf</w:t>
        </w:r>
      </w:hyperlink>
      <w:r>
        <w:t xml:space="preserve"> (Accessed 30 November 2022). </w:t>
      </w:r>
    </w:p>
    <w:p w14:paraId="1E8AE233" w14:textId="77777777" w:rsidR="00E35657" w:rsidRDefault="00E35657">
      <w:pPr>
        <w:ind w:left="720"/>
      </w:pPr>
    </w:p>
    <w:p w14:paraId="51149212" w14:textId="77777777" w:rsidR="00E35657" w:rsidRDefault="00000000">
      <w:pPr>
        <w:numPr>
          <w:ilvl w:val="0"/>
          <w:numId w:val="2"/>
        </w:numPr>
      </w:pPr>
      <w:r>
        <w:t xml:space="preserve">Hughes, K., Lowey, H., </w:t>
      </w:r>
      <w:proofErr w:type="spellStart"/>
      <w:r>
        <w:t>Quigg</w:t>
      </w:r>
      <w:proofErr w:type="spellEnd"/>
      <w:r>
        <w:t xml:space="preserve">, Z., Bellis, M., (2016). ‘The Relationship between adverse childhood experiences and adult mental well-being: results from an English national household survey. </w:t>
      </w:r>
      <w:r>
        <w:rPr>
          <w:i/>
        </w:rPr>
        <w:t xml:space="preserve">BMC Public Health. </w:t>
      </w:r>
      <w:r>
        <w:rPr>
          <w:b/>
        </w:rPr>
        <w:t>16</w:t>
      </w:r>
      <w:r>
        <w:t xml:space="preserve">, 222. </w:t>
      </w:r>
      <w:r>
        <w:rPr>
          <w:rFonts w:ascii="Roboto" w:eastAsia="Roboto" w:hAnsi="Roboto" w:cs="Roboto"/>
        </w:rPr>
        <w:t>https://doi.org/10.1186/s12889-016-2906-3</w:t>
      </w:r>
    </w:p>
    <w:p w14:paraId="1D34AAB0" w14:textId="77777777" w:rsidR="00E35657" w:rsidRDefault="00E35657">
      <w:pPr>
        <w:ind w:left="720"/>
      </w:pPr>
    </w:p>
    <w:p w14:paraId="0884D5DE" w14:textId="77777777" w:rsidR="00E35657" w:rsidRDefault="00000000">
      <w:pPr>
        <w:numPr>
          <w:ilvl w:val="0"/>
          <w:numId w:val="2"/>
        </w:numPr>
      </w:pPr>
      <w:r>
        <w:t xml:space="preserve">Institute of Health Visiting &amp; Excellence in Practise (2022). </w:t>
      </w:r>
      <w:r>
        <w:rPr>
          <w:i/>
        </w:rPr>
        <w:t xml:space="preserve">Principles of Health Visiting. </w:t>
      </w:r>
      <w:r>
        <w:t xml:space="preserve">Available at: </w:t>
      </w:r>
      <w:hyperlink r:id="rId9">
        <w:r>
          <w:rPr>
            <w:u w:val="single"/>
          </w:rPr>
          <w:t>https://ihv.org.uk/about-us/principles-of-health-visiting/</w:t>
        </w:r>
      </w:hyperlink>
      <w:r>
        <w:t xml:space="preserve"> (Accessed 30 November 2022).</w:t>
      </w:r>
    </w:p>
    <w:p w14:paraId="6B0D5467" w14:textId="77777777" w:rsidR="00E35657" w:rsidRDefault="00E35657">
      <w:pPr>
        <w:ind w:left="720"/>
      </w:pPr>
    </w:p>
    <w:p w14:paraId="796BDA71" w14:textId="77777777" w:rsidR="00E35657" w:rsidRDefault="00000000">
      <w:pPr>
        <w:numPr>
          <w:ilvl w:val="0"/>
          <w:numId w:val="2"/>
        </w:numPr>
      </w:pPr>
      <w:r>
        <w:t xml:space="preserve">National Society for the Prevention of Cruelty to Children. (2014). </w:t>
      </w:r>
      <w:r>
        <w:rPr>
          <w:i/>
        </w:rPr>
        <w:t xml:space="preserve">Assessing parenting capability. </w:t>
      </w:r>
      <w:r>
        <w:t>Available at:</w:t>
      </w:r>
      <w:hyperlink r:id="rId10">
        <w:r>
          <w:rPr>
            <w:u w:val="single"/>
          </w:rPr>
          <w:t>https://www.theministryofparenting.com/wp-content/uploads/2015/08/factsheet-assessing-parenting-capacity8.pdf</w:t>
        </w:r>
      </w:hyperlink>
      <w:r>
        <w:t xml:space="preserve"> (Accessed 28 November 2022)</w:t>
      </w:r>
    </w:p>
    <w:p w14:paraId="39A817F6" w14:textId="77777777" w:rsidR="00E35657" w:rsidRDefault="00E35657">
      <w:pPr>
        <w:ind w:left="720"/>
      </w:pPr>
    </w:p>
    <w:p w14:paraId="00AC1C67" w14:textId="77777777" w:rsidR="00E35657" w:rsidRDefault="00000000">
      <w:pPr>
        <w:numPr>
          <w:ilvl w:val="0"/>
          <w:numId w:val="2"/>
        </w:numPr>
      </w:pPr>
      <w:r>
        <w:t xml:space="preserve">National Society for the Prevention of Cruelty to Children (2022). </w:t>
      </w:r>
      <w:r>
        <w:rPr>
          <w:i/>
        </w:rPr>
        <w:t xml:space="preserve">Children and the Law. </w:t>
      </w:r>
      <w:r>
        <w:t xml:space="preserve">Available at:  </w:t>
      </w:r>
      <w:hyperlink r:id="rId11" w:anchor="skip-to-content">
        <w:r>
          <w:rPr>
            <w:u w:val="single"/>
          </w:rPr>
          <w:t>https://learning.nspcc.org.uk/child-protection-system/children-the-law#skip-to-content</w:t>
        </w:r>
      </w:hyperlink>
      <w:r>
        <w:t xml:space="preserve"> (Accessed 29 November 2022). </w:t>
      </w:r>
    </w:p>
    <w:p w14:paraId="65CA3B56" w14:textId="77777777" w:rsidR="00E35657" w:rsidRDefault="00E35657">
      <w:pPr>
        <w:ind w:left="720"/>
      </w:pPr>
    </w:p>
    <w:p w14:paraId="1A533A9F" w14:textId="77777777" w:rsidR="00E35657" w:rsidRDefault="00000000">
      <w:pPr>
        <w:numPr>
          <w:ilvl w:val="0"/>
          <w:numId w:val="2"/>
        </w:numPr>
      </w:pPr>
      <w:r>
        <w:t xml:space="preserve">The Professional Association for Social Work and Social Workers (2022). </w:t>
      </w:r>
      <w:r>
        <w:rPr>
          <w:i/>
        </w:rPr>
        <w:t xml:space="preserve">What do social workers do? </w:t>
      </w:r>
      <w:r>
        <w:t xml:space="preserve">Available at:  </w:t>
      </w:r>
      <w:hyperlink r:id="rId12">
        <w:r>
          <w:rPr>
            <w:u w:val="single"/>
          </w:rPr>
          <w:t>https://www.basw.co.uk/resources/become-social-worker/what-do-social-workers-do</w:t>
        </w:r>
      </w:hyperlink>
      <w:r>
        <w:t xml:space="preserve"> (Accessed 28 November 2022)</w:t>
      </w:r>
    </w:p>
    <w:p w14:paraId="05FCA5AE" w14:textId="77777777" w:rsidR="00E35657" w:rsidRDefault="00E35657">
      <w:pPr>
        <w:ind w:left="720"/>
      </w:pPr>
    </w:p>
    <w:p w14:paraId="486CB55D" w14:textId="77777777" w:rsidR="00E35657" w:rsidRDefault="00E35657"/>
    <w:p w14:paraId="0D76909F" w14:textId="77777777" w:rsidR="00E35657" w:rsidRDefault="00E35657"/>
    <w:p w14:paraId="1896E374" w14:textId="77777777" w:rsidR="00E35657" w:rsidRDefault="00E35657"/>
    <w:p w14:paraId="6FA09BC0" w14:textId="77777777" w:rsidR="00E35657" w:rsidRDefault="00E35657"/>
    <w:p w14:paraId="7F8400F1" w14:textId="77777777" w:rsidR="00E35657" w:rsidRDefault="00E35657">
      <w:pPr>
        <w:jc w:val="center"/>
      </w:pPr>
    </w:p>
    <w:sectPr w:rsidR="00E3565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30829"/>
    <w:multiLevelType w:val="multilevel"/>
    <w:tmpl w:val="8D6AC3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F9378E4"/>
    <w:multiLevelType w:val="multilevel"/>
    <w:tmpl w:val="1C2C04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0CB4FDF"/>
    <w:multiLevelType w:val="multilevel"/>
    <w:tmpl w:val="AEC8CA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7521062">
    <w:abstractNumId w:val="2"/>
  </w:num>
  <w:num w:numId="2" w16cid:durableId="1021979049">
    <w:abstractNumId w:val="0"/>
  </w:num>
  <w:num w:numId="3" w16cid:durableId="710955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657"/>
    <w:rsid w:val="00610EEB"/>
    <w:rsid w:val="00E35657"/>
    <w:rsid w:val="00EE543A"/>
    <w:rsid w:val="00FE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D6045"/>
  <w15:docId w15:val="{96378084-AF59-4D42-A2FF-84230D0F9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42454/Working_together_to_safeguard_children_inter_agency_guidance.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ofsted-safeguarding-policy/ofsted-safeguarding-policy" TargetMode="External"/><Relationship Id="rId12" Type="http://schemas.openxmlformats.org/officeDocument/2006/relationships/hyperlink" Target="https://www.basw.co.uk/resources/become-social-worker/what-do-social-workers-d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uthorservices.taylorandfrancis.com/" TargetMode="External"/><Relationship Id="rId11" Type="http://schemas.openxmlformats.org/officeDocument/2006/relationships/hyperlink" Target="https://learning.nspcc.org.uk/child-protection-system/children-the-law" TargetMode="External"/><Relationship Id="rId5" Type="http://schemas.openxmlformats.org/officeDocument/2006/relationships/image" Target="media/image1.png"/><Relationship Id="rId10" Type="http://schemas.openxmlformats.org/officeDocument/2006/relationships/hyperlink" Target="https://www.theministryofparenting.com/wp-content/uploads/2015/08/factsheet-assessing-parenting-capacity8.pdf" TargetMode="External"/><Relationship Id="rId4" Type="http://schemas.openxmlformats.org/officeDocument/2006/relationships/webSettings" Target="webSettings.xml"/><Relationship Id="rId9" Type="http://schemas.openxmlformats.org/officeDocument/2006/relationships/hyperlink" Target="https://ihv.org.uk/about-us/principles-of-health-visi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1475</Words>
  <Characters>8412</Characters>
  <Application>Microsoft Office Word</Application>
  <DocSecurity>0</DocSecurity>
  <Lines>70</Lines>
  <Paragraphs>19</Paragraphs>
  <ScaleCrop>false</ScaleCrop>
  <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Rudina Koka</cp:lastModifiedBy>
  <cp:revision>2</cp:revision>
  <dcterms:created xsi:type="dcterms:W3CDTF">2022-12-02T18:32:00Z</dcterms:created>
  <dcterms:modified xsi:type="dcterms:W3CDTF">2022-12-02T18:32:00Z</dcterms:modified>
</cp:coreProperties>
</file>