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7FC3B" w14:textId="77777777" w:rsidR="000E512D" w:rsidRDefault="00000000">
      <w:pPr>
        <w:spacing w:after="240" w:line="360" w:lineRule="auto"/>
        <w:jc w:val="center"/>
        <w:rPr>
          <w:b/>
          <w:bCs/>
          <w:sz w:val="28"/>
          <w:szCs w:val="28"/>
        </w:rPr>
      </w:pPr>
      <w:r>
        <w:rPr>
          <w:noProof/>
        </w:rPr>
        <w:drawing>
          <wp:inline distT="0" distB="0" distL="0" distR="0" wp14:anchorId="3CE2BE92" wp14:editId="61B5CA3E">
            <wp:extent cx="1810474" cy="1006251"/>
            <wp:effectExtent l="0" t="0" r="0" b="0"/>
            <wp:docPr id="1" name="image1.png" descr="university-of-wales-trinity-saint-david-logo-vector | ESRC Wales Doctoral  Training Partnership"/>
            <wp:cNvGraphicFramePr/>
            <a:graphic xmlns:a="http://schemas.openxmlformats.org/drawingml/2006/main">
              <a:graphicData uri="http://schemas.openxmlformats.org/drawingml/2006/picture">
                <pic:pic xmlns:pic="http://schemas.openxmlformats.org/drawingml/2006/picture">
                  <pic:nvPicPr>
                    <pic:cNvPr id="0" name="image1.png" descr="university-of-wales-trinity-saint-david-logo-vector | ESRC Wales Doctoral  Training Partnership"/>
                    <pic:cNvPicPr preferRelativeResize="0"/>
                  </pic:nvPicPr>
                  <pic:blipFill>
                    <a:blip r:embed="rId7"/>
                    <a:srcRect/>
                    <a:stretch>
                      <a:fillRect/>
                    </a:stretch>
                  </pic:blipFill>
                  <pic:spPr>
                    <a:xfrm>
                      <a:off x="0" y="0"/>
                      <a:ext cx="1810474" cy="1006251"/>
                    </a:xfrm>
                    <a:prstGeom prst="rect">
                      <a:avLst/>
                    </a:prstGeom>
                    <a:ln/>
                  </pic:spPr>
                </pic:pic>
              </a:graphicData>
            </a:graphic>
          </wp:inline>
        </w:drawing>
      </w:r>
    </w:p>
    <w:p w14:paraId="1F443808" w14:textId="77777777" w:rsidR="000E512D" w:rsidRDefault="00000000">
      <w:pPr>
        <w:spacing w:after="240" w:line="360" w:lineRule="auto"/>
        <w:jc w:val="center"/>
        <w:rPr>
          <w:b/>
          <w:bCs/>
          <w:sz w:val="28"/>
          <w:szCs w:val="28"/>
        </w:rPr>
      </w:pPr>
      <w:r>
        <w:rPr>
          <w:b/>
          <w:bCs/>
          <w:sz w:val="28"/>
          <w:szCs w:val="28"/>
        </w:rPr>
        <w:t>Programme: MSc Public Health and Social Care in Practice</w:t>
      </w:r>
    </w:p>
    <w:p w14:paraId="17264128" w14:textId="77777777" w:rsidR="000E512D" w:rsidRDefault="00000000">
      <w:pPr>
        <w:spacing w:after="240" w:line="360" w:lineRule="auto"/>
        <w:jc w:val="center"/>
        <w:rPr>
          <w:b/>
          <w:bCs/>
          <w:sz w:val="28"/>
          <w:szCs w:val="28"/>
        </w:rPr>
      </w:pPr>
      <w:r>
        <w:rPr>
          <w:b/>
          <w:bCs/>
          <w:sz w:val="28"/>
          <w:szCs w:val="28"/>
        </w:rPr>
        <w:t>Module: Health Care System Organisation and Leadership</w:t>
      </w:r>
    </w:p>
    <w:p w14:paraId="319E627D" w14:textId="77777777" w:rsidR="000E512D" w:rsidRDefault="00000000">
      <w:pPr>
        <w:spacing w:after="240" w:line="360" w:lineRule="auto"/>
        <w:jc w:val="center"/>
        <w:rPr>
          <w:b/>
          <w:bCs/>
          <w:sz w:val="28"/>
          <w:szCs w:val="28"/>
        </w:rPr>
      </w:pPr>
      <w:r>
        <w:rPr>
          <w:b/>
          <w:bCs/>
          <w:sz w:val="28"/>
          <w:szCs w:val="28"/>
        </w:rPr>
        <w:t>Module code: LCHS7002</w:t>
      </w:r>
    </w:p>
    <w:p w14:paraId="24352FC7" w14:textId="67ABCA78" w:rsidR="000E512D" w:rsidRDefault="00000000">
      <w:pPr>
        <w:spacing w:after="240" w:line="360" w:lineRule="auto"/>
        <w:jc w:val="center"/>
        <w:rPr>
          <w:b/>
          <w:bCs/>
          <w:sz w:val="28"/>
          <w:szCs w:val="28"/>
        </w:rPr>
      </w:pPr>
      <w:r>
        <w:rPr>
          <w:b/>
          <w:bCs/>
          <w:sz w:val="28"/>
          <w:szCs w:val="28"/>
        </w:rPr>
        <w:t xml:space="preserve">Lecturer: Shaila Hussain </w:t>
      </w:r>
    </w:p>
    <w:p w14:paraId="0C25CB5D" w14:textId="61BDB858" w:rsidR="000E512D" w:rsidRDefault="00000000" w:rsidP="00B16094">
      <w:pPr>
        <w:spacing w:after="240" w:line="360" w:lineRule="auto"/>
        <w:jc w:val="center"/>
        <w:rPr>
          <w:b/>
          <w:bCs/>
          <w:sz w:val="28"/>
          <w:szCs w:val="28"/>
        </w:rPr>
      </w:pPr>
      <w:r>
        <w:rPr>
          <w:b/>
          <w:bCs/>
          <w:sz w:val="28"/>
          <w:szCs w:val="28"/>
        </w:rPr>
        <w:t>Assignment Title: Case Study Analysis Repor</w:t>
      </w:r>
      <w:r w:rsidR="00B16094">
        <w:rPr>
          <w:b/>
          <w:bCs/>
          <w:sz w:val="28"/>
          <w:szCs w:val="28"/>
        </w:rPr>
        <w:t>t</w:t>
      </w:r>
    </w:p>
    <w:p w14:paraId="20F75946" w14:textId="6348B10F" w:rsidR="000E512D" w:rsidRDefault="00000000">
      <w:pPr>
        <w:spacing w:after="240" w:line="360" w:lineRule="auto"/>
        <w:jc w:val="center"/>
        <w:rPr>
          <w:b/>
          <w:bCs/>
          <w:sz w:val="28"/>
          <w:szCs w:val="28"/>
        </w:rPr>
      </w:pPr>
      <w:bookmarkStart w:id="0" w:name="_aoo7uef3rrtj" w:colFirst="0" w:colLast="0"/>
      <w:bookmarkEnd w:id="0"/>
      <w:r>
        <w:rPr>
          <w:b/>
          <w:bCs/>
          <w:sz w:val="28"/>
          <w:szCs w:val="28"/>
        </w:rPr>
        <w:t>Student Name:</w:t>
      </w:r>
      <w:r w:rsidR="00B16094">
        <w:rPr>
          <w:b/>
          <w:bCs/>
          <w:sz w:val="28"/>
          <w:szCs w:val="28"/>
        </w:rPr>
        <w:t xml:space="preserve"> </w:t>
      </w:r>
      <w:proofErr w:type="spellStart"/>
      <w:r w:rsidR="00B16094">
        <w:rPr>
          <w:b/>
          <w:bCs/>
          <w:sz w:val="28"/>
          <w:szCs w:val="28"/>
        </w:rPr>
        <w:t>Zakiyabanu</w:t>
      </w:r>
      <w:proofErr w:type="spellEnd"/>
      <w:r w:rsidR="00B16094">
        <w:rPr>
          <w:b/>
          <w:bCs/>
          <w:sz w:val="28"/>
          <w:szCs w:val="28"/>
        </w:rPr>
        <w:t xml:space="preserve"> Zakirhusen Malek</w:t>
      </w:r>
    </w:p>
    <w:p w14:paraId="4C288588" w14:textId="2B212FE2" w:rsidR="000E512D" w:rsidRDefault="00000000">
      <w:pPr>
        <w:spacing w:after="240" w:line="360" w:lineRule="auto"/>
        <w:jc w:val="center"/>
        <w:rPr>
          <w:b/>
          <w:bCs/>
          <w:sz w:val="28"/>
          <w:szCs w:val="28"/>
        </w:rPr>
      </w:pPr>
      <w:r>
        <w:rPr>
          <w:b/>
          <w:bCs/>
          <w:sz w:val="28"/>
          <w:szCs w:val="28"/>
        </w:rPr>
        <w:t>Student ID:</w:t>
      </w:r>
      <w:r w:rsidR="00B16094">
        <w:rPr>
          <w:b/>
          <w:bCs/>
          <w:sz w:val="28"/>
          <w:szCs w:val="28"/>
        </w:rPr>
        <w:t xml:space="preserve"> 2531983</w:t>
      </w:r>
    </w:p>
    <w:p w14:paraId="49978799" w14:textId="77777777" w:rsidR="000E512D" w:rsidRDefault="00000000">
      <w:pPr>
        <w:spacing w:after="240" w:line="360" w:lineRule="auto"/>
        <w:rPr>
          <w:b/>
          <w:bCs/>
          <w:sz w:val="28"/>
          <w:szCs w:val="28"/>
        </w:rPr>
      </w:pPr>
      <w:r>
        <w:br w:type="page"/>
      </w:r>
    </w:p>
    <w:p w14:paraId="5539E693" w14:textId="77777777" w:rsidR="000E512D" w:rsidRDefault="00000000">
      <w:pPr>
        <w:keepNext/>
        <w:keepLines/>
        <w:pBdr>
          <w:top w:val="nil"/>
          <w:left w:val="nil"/>
          <w:bottom w:val="nil"/>
          <w:right w:val="nil"/>
          <w:between w:val="nil"/>
        </w:pBdr>
        <w:spacing w:before="240" w:after="240" w:line="360" w:lineRule="auto"/>
        <w:jc w:val="center"/>
        <w:rPr>
          <w:b/>
          <w:bCs/>
        </w:rPr>
      </w:pPr>
      <w:r>
        <w:rPr>
          <w:b/>
          <w:bCs/>
        </w:rPr>
        <w:lastRenderedPageBreak/>
        <w:t>Table of Contents</w:t>
      </w:r>
    </w:p>
    <w:sdt>
      <w:sdtPr>
        <w:id w:val="1668834988"/>
        <w:docPartObj>
          <w:docPartGallery w:val="Table of Contents"/>
          <w:docPartUnique/>
        </w:docPartObj>
      </w:sdtPr>
      <w:sdtContent>
        <w:p w14:paraId="294F881F" w14:textId="77777777" w:rsidR="000E512D" w:rsidRDefault="00000000">
          <w:pPr>
            <w:pBdr>
              <w:top w:val="nil"/>
              <w:left w:val="nil"/>
              <w:bottom w:val="nil"/>
              <w:right w:val="nil"/>
              <w:between w:val="nil"/>
            </w:pBdr>
            <w:tabs>
              <w:tab w:val="right" w:leader="dot" w:pos="9350"/>
            </w:tabs>
            <w:spacing w:after="100"/>
            <w:rPr>
              <w:rFonts w:ascii="Cambria" w:eastAsia="Cambria" w:hAnsi="Cambria" w:cs="Cambria"/>
            </w:rPr>
          </w:pPr>
          <w:r>
            <w:fldChar w:fldCharType="begin"/>
          </w:r>
          <w:r>
            <w:instrText xml:space="preserve"> TOC \h \u \z \t "Heading 1,1,Heading 2,2,Heading 3,3,"</w:instrText>
          </w:r>
          <w:r>
            <w:fldChar w:fldCharType="separate"/>
          </w:r>
          <w:hyperlink w:anchor="_vpa44j2yaz2d">
            <w:r>
              <w:t>1. Introduction</w:t>
            </w:r>
            <w:r>
              <w:tab/>
              <w:t>3</w:t>
            </w:r>
          </w:hyperlink>
        </w:p>
        <w:p w14:paraId="6B25C442" w14:textId="77777777" w:rsidR="000E512D" w:rsidRDefault="00000000">
          <w:pPr>
            <w:pBdr>
              <w:top w:val="nil"/>
              <w:left w:val="nil"/>
              <w:bottom w:val="nil"/>
              <w:right w:val="nil"/>
              <w:between w:val="nil"/>
            </w:pBdr>
            <w:tabs>
              <w:tab w:val="right" w:leader="dot" w:pos="9350"/>
            </w:tabs>
            <w:spacing w:after="100"/>
            <w:rPr>
              <w:rFonts w:ascii="Cambria" w:eastAsia="Cambria" w:hAnsi="Cambria" w:cs="Cambria"/>
            </w:rPr>
          </w:pPr>
          <w:hyperlink w:anchor="_ftgi8fc7u7hy">
            <w:r>
              <w:t>2. Main Body</w:t>
            </w:r>
            <w:r>
              <w:tab/>
              <w:t>4</w:t>
            </w:r>
          </w:hyperlink>
        </w:p>
        <w:p w14:paraId="22E6FE41" w14:textId="77777777" w:rsidR="000E512D" w:rsidRDefault="00000000">
          <w:pPr>
            <w:pBdr>
              <w:top w:val="nil"/>
              <w:left w:val="nil"/>
              <w:bottom w:val="nil"/>
              <w:right w:val="nil"/>
              <w:between w:val="nil"/>
            </w:pBdr>
            <w:tabs>
              <w:tab w:val="right" w:leader="dot" w:pos="9350"/>
            </w:tabs>
            <w:spacing w:after="100"/>
            <w:ind w:left="220"/>
            <w:rPr>
              <w:rFonts w:ascii="Cambria" w:eastAsia="Cambria" w:hAnsi="Cambria" w:cs="Cambria"/>
            </w:rPr>
          </w:pPr>
          <w:hyperlink w:anchor="_y2k7uepi57e9">
            <w:r>
              <w:t>2.1 Identifying the Problem Using Systems Thinking</w:t>
            </w:r>
            <w:r>
              <w:tab/>
              <w:t>4</w:t>
            </w:r>
          </w:hyperlink>
        </w:p>
        <w:p w14:paraId="12B4DB35"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lcf1a7705x9c">
            <w:r>
              <w:t>2.1.1 Key Issue in the Case Study</w:t>
            </w:r>
            <w:r>
              <w:tab/>
              <w:t>4</w:t>
            </w:r>
          </w:hyperlink>
        </w:p>
        <w:p w14:paraId="3F4A40B1"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lualt65adafv">
            <w:r>
              <w:t>2.1.2 International statistics on Medication errors</w:t>
            </w:r>
            <w:r>
              <w:tab/>
              <w:t>5</w:t>
            </w:r>
          </w:hyperlink>
        </w:p>
        <w:p w14:paraId="1EA0A83C"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7venjrrh6id">
            <w:r>
              <w:t>2.1.3 Medication Japan Statistics on Medication error</w:t>
            </w:r>
            <w:r>
              <w:tab/>
              <w:t>6</w:t>
            </w:r>
          </w:hyperlink>
        </w:p>
        <w:p w14:paraId="1462C8C9"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rhsf7h33lngp">
            <w:r>
              <w:t>2.1.4 International Patient Safety Organisational Evidence</w:t>
            </w:r>
            <w:r>
              <w:tab/>
              <w:t>6</w:t>
            </w:r>
          </w:hyperlink>
        </w:p>
        <w:p w14:paraId="2CBD8955"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plskqmguh4dc">
            <w:r>
              <w:t>2.1.5 General Systemic Weaknesses that Have Contributed to the Problem</w:t>
            </w:r>
            <w:r>
              <w:tab/>
              <w:t>6</w:t>
            </w:r>
          </w:hyperlink>
        </w:p>
        <w:p w14:paraId="7E4A5233"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cvgh0zbzgzbt">
            <w:r>
              <w:t>2.1.6 Levels of governance that have an impact on the incident</w:t>
            </w:r>
            <w:r>
              <w:tab/>
              <w:t>7</w:t>
            </w:r>
          </w:hyperlink>
        </w:p>
        <w:p w14:paraId="044063F2"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v4oyrcjtisfo">
            <w:r>
              <w:t>2.1.7 Systemic Problems in the Healthcare System</w:t>
            </w:r>
            <w:r>
              <w:tab/>
              <w:t>7</w:t>
            </w:r>
          </w:hyperlink>
        </w:p>
        <w:p w14:paraId="3546E04E"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mqag366mufx5">
            <w:r>
              <w:t>2.1.8 Rich Picture</w:t>
            </w:r>
            <w:r>
              <w:tab/>
              <w:t>7</w:t>
            </w:r>
          </w:hyperlink>
        </w:p>
        <w:p w14:paraId="7B17DC4F" w14:textId="77777777" w:rsidR="000E512D" w:rsidRDefault="00000000">
          <w:pPr>
            <w:pBdr>
              <w:top w:val="nil"/>
              <w:left w:val="nil"/>
              <w:bottom w:val="nil"/>
              <w:right w:val="nil"/>
              <w:between w:val="nil"/>
            </w:pBdr>
            <w:tabs>
              <w:tab w:val="right" w:leader="dot" w:pos="9350"/>
            </w:tabs>
            <w:spacing w:after="100"/>
            <w:ind w:left="220"/>
            <w:rPr>
              <w:rFonts w:ascii="Cambria" w:eastAsia="Cambria" w:hAnsi="Cambria" w:cs="Cambria"/>
            </w:rPr>
          </w:pPr>
          <w:hyperlink w:anchor="_tl6virwtk6j">
            <w:r>
              <w:t>2.2 Centralisation vs. Decentralisation</w:t>
            </w:r>
            <w:r>
              <w:tab/>
              <w:t>8</w:t>
            </w:r>
          </w:hyperlink>
        </w:p>
        <w:p w14:paraId="5D6BC9F1"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75wgh7zb0f40">
            <w:r>
              <w:t>2.2.1 Centralised System in Healthcare Governance</w:t>
            </w:r>
            <w:r>
              <w:tab/>
              <w:t>8</w:t>
            </w:r>
          </w:hyperlink>
        </w:p>
        <w:p w14:paraId="0B2F1D83"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qr2u5k31iqp7">
            <w:r>
              <w:t>2.2.2 Healthcare Governance with decentralised Systems</w:t>
            </w:r>
            <w:r>
              <w:tab/>
              <w:t>9</w:t>
            </w:r>
          </w:hyperlink>
        </w:p>
        <w:p w14:paraId="298BE0D7" w14:textId="77777777" w:rsidR="000E512D" w:rsidRDefault="00000000">
          <w:pPr>
            <w:pBdr>
              <w:top w:val="nil"/>
              <w:left w:val="nil"/>
              <w:bottom w:val="nil"/>
              <w:right w:val="nil"/>
              <w:between w:val="nil"/>
            </w:pBdr>
            <w:tabs>
              <w:tab w:val="right" w:leader="dot" w:pos="9350"/>
            </w:tabs>
            <w:spacing w:after="100"/>
            <w:ind w:left="220"/>
            <w:rPr>
              <w:rFonts w:ascii="Cambria" w:eastAsia="Cambria" w:hAnsi="Cambria" w:cs="Cambria"/>
            </w:rPr>
          </w:pPr>
          <w:hyperlink w:anchor="_cp0hp7lbf15r">
            <w:r>
              <w:t>2.3 Leadership Theory Application</w:t>
            </w:r>
            <w:r>
              <w:tab/>
              <w:t>10</w:t>
            </w:r>
          </w:hyperlink>
        </w:p>
        <w:p w14:paraId="763D5F0F"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lvmaekjjgay6">
            <w:r>
              <w:t>2.3.1 Transformational Leadership</w:t>
            </w:r>
            <w:r>
              <w:tab/>
              <w:t>10</w:t>
            </w:r>
          </w:hyperlink>
        </w:p>
        <w:p w14:paraId="2B74C32D"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mm6xzqrhwblk">
            <w:r>
              <w:t>2.3.2 Transactional Leadership</w:t>
            </w:r>
            <w:r>
              <w:tab/>
              <w:t>12</w:t>
            </w:r>
          </w:hyperlink>
        </w:p>
        <w:p w14:paraId="39707196" w14:textId="77777777" w:rsidR="000E512D" w:rsidRDefault="00000000">
          <w:pPr>
            <w:pBdr>
              <w:top w:val="nil"/>
              <w:left w:val="nil"/>
              <w:bottom w:val="nil"/>
              <w:right w:val="nil"/>
              <w:between w:val="nil"/>
            </w:pBdr>
            <w:tabs>
              <w:tab w:val="right" w:leader="dot" w:pos="9350"/>
            </w:tabs>
            <w:spacing w:after="100"/>
            <w:ind w:left="440"/>
            <w:rPr>
              <w:rFonts w:ascii="Cambria" w:eastAsia="Cambria" w:hAnsi="Cambria" w:cs="Cambria"/>
            </w:rPr>
          </w:pPr>
          <w:hyperlink w:anchor="_tqen9518fynq">
            <w:r>
              <w:t>2.3.3 Situational Leadership</w:t>
            </w:r>
            <w:r>
              <w:tab/>
              <w:t>13</w:t>
            </w:r>
          </w:hyperlink>
        </w:p>
        <w:p w14:paraId="29C251F9" w14:textId="77777777" w:rsidR="000E512D" w:rsidRDefault="00000000">
          <w:pPr>
            <w:pBdr>
              <w:top w:val="nil"/>
              <w:left w:val="nil"/>
              <w:bottom w:val="nil"/>
              <w:right w:val="nil"/>
              <w:between w:val="nil"/>
            </w:pBdr>
            <w:tabs>
              <w:tab w:val="right" w:leader="dot" w:pos="9350"/>
            </w:tabs>
            <w:spacing w:after="100"/>
            <w:ind w:left="220"/>
            <w:rPr>
              <w:rFonts w:ascii="Cambria" w:eastAsia="Cambria" w:hAnsi="Cambria" w:cs="Cambria"/>
            </w:rPr>
          </w:pPr>
          <w:hyperlink w:anchor="_cyn1jebxlb8o">
            <w:r>
              <w:t>2.4 Critique, Improvements, and Lessons Learned</w:t>
            </w:r>
            <w:r>
              <w:tab/>
              <w:t>14</w:t>
            </w:r>
          </w:hyperlink>
        </w:p>
        <w:p w14:paraId="1ECF8611" w14:textId="77777777" w:rsidR="000E512D" w:rsidRDefault="00000000">
          <w:pPr>
            <w:pBdr>
              <w:top w:val="nil"/>
              <w:left w:val="nil"/>
              <w:bottom w:val="nil"/>
              <w:right w:val="nil"/>
              <w:between w:val="nil"/>
            </w:pBdr>
            <w:tabs>
              <w:tab w:val="right" w:leader="dot" w:pos="9350"/>
            </w:tabs>
            <w:spacing w:after="100"/>
            <w:rPr>
              <w:rFonts w:ascii="Cambria" w:eastAsia="Cambria" w:hAnsi="Cambria" w:cs="Cambria"/>
            </w:rPr>
          </w:pPr>
          <w:hyperlink w:anchor="_i627qmslrods">
            <w:r>
              <w:t>3. Conclusion</w:t>
            </w:r>
            <w:r>
              <w:tab/>
              <w:t>17</w:t>
            </w:r>
          </w:hyperlink>
        </w:p>
        <w:p w14:paraId="1A56EE07" w14:textId="77777777" w:rsidR="000E512D" w:rsidRDefault="00000000">
          <w:pPr>
            <w:pBdr>
              <w:top w:val="nil"/>
              <w:left w:val="nil"/>
              <w:bottom w:val="nil"/>
              <w:right w:val="nil"/>
              <w:between w:val="nil"/>
            </w:pBdr>
            <w:tabs>
              <w:tab w:val="right" w:leader="dot" w:pos="9350"/>
            </w:tabs>
            <w:spacing w:after="100"/>
            <w:rPr>
              <w:rFonts w:ascii="Cambria" w:eastAsia="Cambria" w:hAnsi="Cambria" w:cs="Cambria"/>
            </w:rPr>
          </w:pPr>
          <w:hyperlink w:anchor="_lqbshhukq102">
            <w:r>
              <w:t>4. Recommendations</w:t>
            </w:r>
            <w:r>
              <w:tab/>
              <w:t>18</w:t>
            </w:r>
          </w:hyperlink>
        </w:p>
        <w:p w14:paraId="13F650B2" w14:textId="77777777" w:rsidR="000E512D" w:rsidRDefault="00000000">
          <w:pPr>
            <w:pBdr>
              <w:top w:val="nil"/>
              <w:left w:val="nil"/>
              <w:bottom w:val="nil"/>
              <w:right w:val="nil"/>
              <w:between w:val="nil"/>
            </w:pBdr>
            <w:tabs>
              <w:tab w:val="right" w:leader="dot" w:pos="9350"/>
            </w:tabs>
            <w:spacing w:after="100"/>
            <w:rPr>
              <w:rFonts w:ascii="Cambria" w:eastAsia="Cambria" w:hAnsi="Cambria" w:cs="Cambria"/>
            </w:rPr>
          </w:pPr>
          <w:hyperlink w:anchor="_qfyhgnrapa7b">
            <w:r>
              <w:t>Reference List</w:t>
            </w:r>
            <w:r>
              <w:tab/>
              <w:t>20</w:t>
            </w:r>
          </w:hyperlink>
        </w:p>
        <w:p w14:paraId="6B828172" w14:textId="77777777" w:rsidR="000E512D" w:rsidRDefault="00000000">
          <w:pPr>
            <w:spacing w:line="240" w:lineRule="auto"/>
            <w:jc w:val="both"/>
          </w:pPr>
          <w:r>
            <w:fldChar w:fldCharType="end"/>
          </w:r>
        </w:p>
      </w:sdtContent>
    </w:sdt>
    <w:p w14:paraId="08ACE8E1" w14:textId="77777777" w:rsidR="000E512D" w:rsidRDefault="00000000">
      <w:pPr>
        <w:spacing w:after="240" w:line="360" w:lineRule="auto"/>
        <w:jc w:val="center"/>
        <w:rPr>
          <w:b/>
          <w:bCs/>
        </w:rPr>
      </w:pPr>
      <w:r>
        <w:br w:type="page"/>
      </w:r>
    </w:p>
    <w:p w14:paraId="6C6EB9F5" w14:textId="77777777" w:rsidR="000E512D" w:rsidRDefault="00000000">
      <w:pPr>
        <w:pStyle w:val="Heading1"/>
        <w:spacing w:after="240"/>
      </w:pPr>
      <w:bookmarkStart w:id="1" w:name="_vpa44j2yaz2d" w:colFirst="0" w:colLast="0"/>
      <w:bookmarkEnd w:id="1"/>
      <w:r>
        <w:lastRenderedPageBreak/>
        <w:t xml:space="preserve">1. Introduction </w:t>
      </w:r>
    </w:p>
    <w:p w14:paraId="6EE0CB03" w14:textId="77777777" w:rsidR="000E512D" w:rsidRDefault="00000000">
      <w:pPr>
        <w:spacing w:after="240" w:line="360" w:lineRule="auto"/>
        <w:jc w:val="both"/>
      </w:pPr>
      <w:r>
        <w:t xml:space="preserve">The case study report will discuss “Case Number 1: Serious Incident Case Study: Infant Morphine Overdose Investigation Summary &amp; Learning”. Medication errors are a critical health and social care system concern, and patient safety is one of its priorities, although the problem continues to pose severe threats to patients across the world (Anjum, Din and ASHRAF, 2024). The case study that has been examined in this report involves a four-week-old baby in the </w:t>
      </w:r>
      <w:proofErr w:type="gramStart"/>
      <w:r>
        <w:t>North East</w:t>
      </w:r>
      <w:proofErr w:type="gramEnd"/>
      <w:r>
        <w:t xml:space="preserve"> and Yorkshire area, who overdosed on the oral dose of morphine sulphate by about twenty times the recommended dose </w:t>
      </w:r>
      <w:proofErr w:type="gramStart"/>
      <w:r>
        <w:t>as a result of</w:t>
      </w:r>
      <w:proofErr w:type="gramEnd"/>
      <w:r>
        <w:t xml:space="preserve"> a dispensing error (Northyorkshireccg.nhs.uk, 2023). The baby received a bottle of morphine 10 mg/5 ml solution, which should not have been replaced by a 100 micrograms/ml one as per the prescription made. Even though the baby survived because of the treatment with naloxone, the data provided by the national incidents show that it was the fifth similar case since 2018, and at least one of the former cases caused the death. This event raises serious issues </w:t>
      </w:r>
      <w:proofErr w:type="gramStart"/>
      <w:r>
        <w:t>in the area of</w:t>
      </w:r>
      <w:proofErr w:type="gramEnd"/>
      <w:r>
        <w:t xml:space="preserve"> medication safety, system management and leadership in the healthcare organisations (Northyorkshireccg.nhs.uk, 2023).</w:t>
      </w:r>
    </w:p>
    <w:p w14:paraId="40D91838" w14:textId="77777777" w:rsidR="000E512D" w:rsidRDefault="00000000">
      <w:pPr>
        <w:spacing w:after="240" w:line="360" w:lineRule="auto"/>
        <w:jc w:val="both"/>
      </w:pPr>
      <w:r>
        <w:t xml:space="preserve">According to the concepts of </w:t>
      </w:r>
      <w:proofErr w:type="spellStart"/>
      <w:r>
        <w:t>Ciekanowski</w:t>
      </w:r>
      <w:proofErr w:type="spellEnd"/>
      <w:r>
        <w:t xml:space="preserve"> et al., (2025), leadership contributes highly to avoiding such occurrences, and safe healthcare provision. The concept of leadership can be defined in health and social care as a capacity to manage people or teams </w:t>
      </w:r>
      <w:proofErr w:type="gramStart"/>
      <w:r>
        <w:t>in order to</w:t>
      </w:r>
      <w:proofErr w:type="gramEnd"/>
      <w:r>
        <w:t xml:space="preserve"> accomplish organizational goals in a form of patient safety, quality improvement, and delivery of services. Good leaders promote teamwork, maintain responsibility and develop systems that reduce risk and improve performance of an organisation.</w:t>
      </w:r>
    </w:p>
    <w:p w14:paraId="6382E5FF" w14:textId="77777777" w:rsidR="000E512D" w:rsidRDefault="00000000">
      <w:pPr>
        <w:spacing w:after="240" w:line="360" w:lineRule="auto"/>
        <w:jc w:val="both"/>
      </w:pPr>
      <w:r>
        <w:t>Centralisation puts the decision-making in the hands of the highest level of organisation in position, as well as policies are uniform, and strict control is maintained. Decentralisation, on the other hand, sharing of authority among various levels, gives lower-level managers the ability to respond swiftly. There is also impact of organisational structures on effectiveness of leadership. Centralisation causes the decision-making power to be centralised to a bigger position in the management level, which may encourage the discipline of consistency, uniform policies and good governance. Decentralisation, conversely, transfers decision-making power to various tiers of the organisation, allowing professionals in the front line to act fast in responding to local problems and enhancing responsiveness (</w:t>
      </w:r>
      <w:proofErr w:type="spellStart"/>
      <w:r>
        <w:t>Ohrling</w:t>
      </w:r>
      <w:proofErr w:type="spellEnd"/>
      <w:r>
        <w:t xml:space="preserve">, Solberg Carlsson and </w:t>
      </w:r>
      <w:proofErr w:type="spellStart"/>
      <w:r>
        <w:t>Brommels</w:t>
      </w:r>
      <w:proofErr w:type="spellEnd"/>
      <w:r>
        <w:t>, 2022). The two strategies may have positive and negative ends in the circumstances related to healthcare provision and crisis management.</w:t>
      </w:r>
    </w:p>
    <w:p w14:paraId="2FBE56AF" w14:textId="77777777" w:rsidR="000E512D" w:rsidRDefault="00000000">
      <w:pPr>
        <w:spacing w:after="240" w:line="360" w:lineRule="auto"/>
        <w:jc w:val="both"/>
      </w:pPr>
      <w:r>
        <w:lastRenderedPageBreak/>
        <w:t xml:space="preserve">Various leadership theories offer theories in explaining the way leaders react to the difficult healthcare problems. Dong (2023) represented that transformational leadership orientation is dedicated to staff inspiration based on vision and motivation to introduce organisational enhancement, and transactional leadership orientation is devoted to structured and definite frameworks, check-ups, and compensation systems. According to situational leadership, </w:t>
      </w:r>
      <w:proofErr w:type="spellStart"/>
      <w:r>
        <w:t>Jerab</w:t>
      </w:r>
      <w:proofErr w:type="spellEnd"/>
      <w:r>
        <w:t xml:space="preserve"> (2023) opined that a competent leader can vary their leadership style based on the competency of the team members and the urgency of the situation. The choice of an adequate leadership style could be important especially during crisis or a changing situation as unsuccessful decisions to adopt leadership can result in increased failures of the systems, and successful leadership decisions can lead to learning, responsibility, and safer patient care environments.</w:t>
      </w:r>
    </w:p>
    <w:p w14:paraId="34103265" w14:textId="77777777" w:rsidR="000E512D" w:rsidRDefault="00000000">
      <w:pPr>
        <w:spacing w:after="240" w:line="360" w:lineRule="auto"/>
        <w:jc w:val="both"/>
      </w:pPr>
      <w:r>
        <w:t>The case study will be analysed based on systems thinking in this report to identify the underlying problems in the healthcare system. It will discuss the centralisation and decentralisation at the incident, use of relevant theories of leadership to make sense of leadership reactions and critically make judgements on the lessons learned. Lastly, evidence-based recommendations will be proposed in the report to enhance leadership practices, governance arrangements and patient safety outcomes in healthcare organisations.</w:t>
      </w:r>
    </w:p>
    <w:p w14:paraId="6C6A16B8" w14:textId="77777777" w:rsidR="000E512D" w:rsidRDefault="00000000">
      <w:pPr>
        <w:pStyle w:val="Heading1"/>
        <w:spacing w:after="240"/>
      </w:pPr>
      <w:bookmarkStart w:id="2" w:name="_ftgi8fc7u7hy" w:colFirst="0" w:colLast="0"/>
      <w:bookmarkEnd w:id="2"/>
      <w:r>
        <w:t xml:space="preserve">2. Main Body </w:t>
      </w:r>
    </w:p>
    <w:p w14:paraId="3CF67C5E" w14:textId="77777777" w:rsidR="000E512D" w:rsidRDefault="00000000">
      <w:pPr>
        <w:pStyle w:val="Heading2"/>
        <w:spacing w:after="240"/>
      </w:pPr>
      <w:bookmarkStart w:id="3" w:name="_y2k7uepi57e9" w:colFirst="0" w:colLast="0"/>
      <w:bookmarkEnd w:id="3"/>
      <w:r>
        <w:t xml:space="preserve">2.1 Identifying the Problem Using Systems Thinking </w:t>
      </w:r>
    </w:p>
    <w:p w14:paraId="570DEECD" w14:textId="77777777" w:rsidR="000E512D" w:rsidRDefault="00000000">
      <w:pPr>
        <w:pStyle w:val="Heading3"/>
      </w:pPr>
      <w:bookmarkStart w:id="4" w:name="_lcf1a7705x9c" w:colFirst="0" w:colLast="0"/>
      <w:bookmarkEnd w:id="4"/>
      <w:r>
        <w:t>2.1.1 Key Issue in the Case Study</w:t>
      </w:r>
    </w:p>
    <w:p w14:paraId="4C8F0158" w14:textId="77777777" w:rsidR="000E512D" w:rsidRDefault="00000000">
      <w:pPr>
        <w:spacing w:after="240" w:line="360" w:lineRule="auto"/>
        <w:jc w:val="both"/>
      </w:pPr>
      <w:r>
        <w:t xml:space="preserve">The main problem in the chosen case study is a critical medication dispensing error which comprised morphine sulphate administered on a four-week-old child in the Northeast and Yorkshire part of England. Morphine sulphate 100 micrograms/ml was ordered as the </w:t>
      </w:r>
      <w:proofErr w:type="gramStart"/>
      <w:r>
        <w:t>baby</w:t>
      </w:r>
      <w:proofErr w:type="gramEnd"/>
      <w:r>
        <w:t xml:space="preserve"> but morphine 10 mg/5 ml solution was dispensed by the pharmacy leading to overdose, which was about twenty times of the desired dose. The baby had to be provided with emergency care with a naloxone to overcome the opioid impact and luckily survived. Nevertheless, incident reports show that this was the fifth similar case of morphine overdose in infants since 2018 to have been reported in England, and at least one of them had resulted in a fatal outcome (BMJ, 2020). The given incident signifies a severe defect in the medication management system and brings up the issues of leadership control, safety protocols, and organisational regulation in healthcare organisations. These kinds of medication safety errors indicate that the organisation and the </w:t>
      </w:r>
      <w:r>
        <w:lastRenderedPageBreak/>
        <w:t>system may have areas of weaknesses in belonging to the processes of prescribing, dispensing, and administration, and thus, the problem should be analysed at both levels.</w:t>
      </w:r>
    </w:p>
    <w:p w14:paraId="253362C3" w14:textId="77777777" w:rsidR="000E512D" w:rsidRDefault="00000000">
      <w:pPr>
        <w:pStyle w:val="Heading3"/>
      </w:pPr>
      <w:bookmarkStart w:id="5" w:name="_lualt65adafv" w:colFirst="0" w:colLast="0"/>
      <w:bookmarkEnd w:id="5"/>
      <w:r>
        <w:t>2.1.2 International statistics on Medication errors</w:t>
      </w:r>
    </w:p>
    <w:p w14:paraId="3F60ABDB" w14:textId="77777777" w:rsidR="000E512D" w:rsidRDefault="00000000">
      <w:pPr>
        <w:spacing w:after="240" w:line="360" w:lineRule="auto"/>
        <w:jc w:val="center"/>
        <w:rPr>
          <w:b/>
          <w:bCs/>
          <w:i/>
          <w:iCs/>
        </w:rPr>
      </w:pPr>
      <w:r>
        <w:rPr>
          <w:b/>
          <w:bCs/>
          <w:i/>
          <w:iCs/>
          <w:noProof/>
        </w:rPr>
        <w:drawing>
          <wp:inline distT="0" distB="0" distL="0" distR="0" wp14:anchorId="161C993F" wp14:editId="622FCEDD">
            <wp:extent cx="3935294" cy="2935854"/>
            <wp:effectExtent l="38100" t="38100" r="38100" b="381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935294" cy="2935854"/>
                    </a:xfrm>
                    <a:prstGeom prst="rect">
                      <a:avLst/>
                    </a:prstGeom>
                    <a:ln w="38100">
                      <a:solidFill>
                        <a:srgbClr val="000000"/>
                      </a:solidFill>
                      <a:prstDash val="solid"/>
                    </a:ln>
                  </pic:spPr>
                </pic:pic>
              </a:graphicData>
            </a:graphic>
          </wp:inline>
        </w:drawing>
      </w:r>
    </w:p>
    <w:p w14:paraId="7AADC24D" w14:textId="77777777" w:rsidR="000E512D" w:rsidRDefault="00000000">
      <w:pPr>
        <w:spacing w:after="240" w:line="360" w:lineRule="auto"/>
        <w:jc w:val="center"/>
        <w:rPr>
          <w:b/>
          <w:bCs/>
        </w:rPr>
      </w:pPr>
      <w:r>
        <w:rPr>
          <w:b/>
          <w:bCs/>
        </w:rPr>
        <w:t>Figure 1: Patient safety on medication</w:t>
      </w:r>
    </w:p>
    <w:p w14:paraId="77040AB1" w14:textId="77777777" w:rsidR="000E512D" w:rsidRDefault="00000000">
      <w:pPr>
        <w:spacing w:after="240" w:line="360" w:lineRule="auto"/>
        <w:jc w:val="center"/>
      </w:pPr>
      <w:r>
        <w:t>(Source: World Health Organization, 2017)</w:t>
      </w:r>
    </w:p>
    <w:p w14:paraId="711B18EA" w14:textId="77777777" w:rsidR="000E512D" w:rsidRDefault="00000000">
      <w:pPr>
        <w:spacing w:after="240" w:line="360" w:lineRule="auto"/>
        <w:jc w:val="both"/>
      </w:pPr>
      <w:r>
        <w:t>It is well known that medication errors are a significant patient safety issue on the global level. Referring to Figure 1, The World Health Organisation (WHO) reports that medication-related harm kills at least one person daily and harms about 1.3 million people every year all over the world (World Health Organization, 2017). According to the estimation of the WHO, medication errors cost the world about US 42 billion annually, which is close to 1% of the worldwide spending on health (WHO, 2022). These data points demonstrate how big of an issue this is on a global scale in healthcare systems. Medication errors are made at various points in healthcare provision among them being prescription, dispensing, and administration and monitoring. Studies indicate that paediatrics patients are prone to this as the doses of their medications are subject to calculation based on their body weight and hence this predisposes them to dosage errors or dispensing mistakes (D’Errico, 2022). The case of morphine overdose thus represents a bigger patient safety issue on a global scale, with medication management systems still reported to jeopardise health of patients.</w:t>
      </w:r>
    </w:p>
    <w:p w14:paraId="3797C983" w14:textId="77777777" w:rsidR="000E512D" w:rsidRDefault="00000000">
      <w:pPr>
        <w:pStyle w:val="Heading3"/>
      </w:pPr>
      <w:bookmarkStart w:id="6" w:name="_7venjrrh6id" w:colFirst="0" w:colLast="0"/>
      <w:bookmarkEnd w:id="6"/>
      <w:r>
        <w:lastRenderedPageBreak/>
        <w:t>2.1.3 Medication Japan Statistics on Medication error</w:t>
      </w:r>
    </w:p>
    <w:p w14:paraId="551A6DD8" w14:textId="77777777" w:rsidR="000E512D" w:rsidRDefault="00000000">
      <w:pPr>
        <w:spacing w:after="240" w:line="360" w:lineRule="auto"/>
        <w:jc w:val="both"/>
      </w:pPr>
      <w:r>
        <w:t>In the UK, medication errors are an important patient safety issue in the National Health Service (NHS). A study commissioned by the UK government had estimated that approximately 237 million medication errors are taking place every year in England, with a significant portion being minor with no harm caused (BMJ, 2020). However, some 237 million of the incidents are believed to be potentially clinically significant, which means that it can harm patients (Cattell et al., 2023). It has also been emphasised by the NHS Patient Safety Strategy that there are thousands of medication incidents reported annually in paediatric and neonatal services, where accurate dosing is crucial throughout the service (Alghamdi et al., 2021). Infants and neonates are especially susceptible since a minute change in dosage would endanger the baby with severe side effects (Anbalagan, Mendez and Falkowitz, 2024). The morphine overdose case can thus serve as a wider issue on the country level where the medication safety systems need to perform efficiently to avoid casualties especially during the high-risk position in neonatal care.</w:t>
      </w:r>
    </w:p>
    <w:p w14:paraId="71F4EDB4" w14:textId="77777777" w:rsidR="000E512D" w:rsidRDefault="00000000">
      <w:pPr>
        <w:pStyle w:val="Heading3"/>
      </w:pPr>
      <w:bookmarkStart w:id="7" w:name="_rhsf7h33lngp" w:colFirst="0" w:colLast="0"/>
      <w:bookmarkEnd w:id="7"/>
      <w:r>
        <w:t>2.1.4 International Patient Safety Organisational Evidence</w:t>
      </w:r>
    </w:p>
    <w:p w14:paraId="5C50045B" w14:textId="77777777" w:rsidR="000E512D" w:rsidRDefault="00000000">
      <w:pPr>
        <w:spacing w:after="240" w:line="360" w:lineRule="auto"/>
        <w:jc w:val="both"/>
      </w:pPr>
      <w:r>
        <w:t>The international patient safety organisations also shed lighter on the extent of medication-related injury. According to the reports of the Institute of Healthcare Improvement (IHI), an adverse drug event occurs in between 5 and 10 per cent of hospital stay and most can be avoided with the improved safety systems and implementation of leadership (WHO, 2026). The IHI focuses on highlighting the fact that medication errors are often predetermined by weaknesses in the system, including the ineffective communication between medical workers and the absence of the verification mechanisms and the insufficiency of the monitoring process (</w:t>
      </w:r>
      <w:proofErr w:type="spellStart"/>
      <w:r>
        <w:t>Mutair</w:t>
      </w:r>
      <w:proofErr w:type="spellEnd"/>
      <w:r>
        <w:t xml:space="preserve"> et al., 2021). Comparing these findings to that available in the NHS, it can be stated that the morphine overdose case is not a driving example of a local </w:t>
      </w:r>
      <w:proofErr w:type="gramStart"/>
      <w:r>
        <w:t>failure</w:t>
      </w:r>
      <w:proofErr w:type="gramEnd"/>
      <w:r>
        <w:t xml:space="preserve"> but it is a subset of a broader trend of medication safety concerns encountered by healthcare organisations globally.</w:t>
      </w:r>
    </w:p>
    <w:p w14:paraId="04C3FB8B" w14:textId="77777777" w:rsidR="000E512D" w:rsidRDefault="00000000">
      <w:pPr>
        <w:pStyle w:val="Heading3"/>
      </w:pPr>
      <w:bookmarkStart w:id="8" w:name="_plskqmguh4dc" w:colFirst="0" w:colLast="0"/>
      <w:bookmarkEnd w:id="8"/>
      <w:r>
        <w:t>2.1.5 General Systemic Weaknesses that Have Contributed to the Problem</w:t>
      </w:r>
    </w:p>
    <w:p w14:paraId="6D95A6DC" w14:textId="77777777" w:rsidR="000E512D" w:rsidRDefault="00000000">
      <w:pPr>
        <w:spacing w:after="240" w:line="360" w:lineRule="auto"/>
        <w:jc w:val="both"/>
      </w:pPr>
      <w:r>
        <w:t xml:space="preserve">The case study is representative of </w:t>
      </w:r>
      <w:proofErr w:type="gramStart"/>
      <w:r>
        <w:t>a number of</w:t>
      </w:r>
      <w:proofErr w:type="gramEnd"/>
      <w:r>
        <w:t xml:space="preserve"> weaknesses in the healthcare systems. Communication and verification processes between the professionals in the medication pathway is one of the most severe problems that became broken. The related clinician, the pharmacy personnel that dispenses the medicine and the medical staff that administers the drug all have significant roles in verification of medication safe time (Tariq et al., 2024). In case there is not enough verification or communication between professionals, an error may be transmitted through several cycles of the system and go unnoticed. Besides, the fact that almost the same morphine-</w:t>
      </w:r>
      <w:r>
        <w:lastRenderedPageBreak/>
        <w:t>related cases have occurred in the past already indicates that learning of past safety events might not be in full practise in the entire healthcare sector (Reader and Gillespie, 2026). This reflects organisation accountability and knowledge-sharing systems that are weak and that are aimed at enhancing patient safety.</w:t>
      </w:r>
    </w:p>
    <w:p w14:paraId="212F3BF0" w14:textId="77777777" w:rsidR="000E512D" w:rsidRDefault="00000000">
      <w:pPr>
        <w:pStyle w:val="Heading3"/>
      </w:pPr>
      <w:bookmarkStart w:id="9" w:name="_cvgh0zbzgzbt" w:colFirst="0" w:colLast="0"/>
      <w:bookmarkEnd w:id="9"/>
      <w:r>
        <w:t>2.1.6 Levels of governance that have an impact on the incident</w:t>
      </w:r>
    </w:p>
    <w:p w14:paraId="2C1B1CF6" w14:textId="77777777" w:rsidR="000E512D" w:rsidRDefault="00000000">
      <w:pPr>
        <w:spacing w:after="240" w:line="360" w:lineRule="auto"/>
        <w:jc w:val="both"/>
      </w:pPr>
      <w:r>
        <w:t xml:space="preserve">Governance structures that existed at various levels in the healthcare system contributed to the medication error. The local level of the incident entailed the breakdowns in the pharmacy dispensing system, </w:t>
      </w:r>
      <w:proofErr w:type="gramStart"/>
      <w:r>
        <w:t>as well as,</w:t>
      </w:r>
      <w:proofErr w:type="gramEnd"/>
      <w:r>
        <w:t xml:space="preserve"> the process of medication verification (Tariq et al., 2024b). On the regional level, governance bodies of healthcare </w:t>
      </w:r>
      <w:proofErr w:type="gramStart"/>
      <w:r>
        <w:t>in the area of</w:t>
      </w:r>
      <w:proofErr w:type="gramEnd"/>
      <w:r>
        <w:t xml:space="preserve"> the </w:t>
      </w:r>
      <w:proofErr w:type="gramStart"/>
      <w:r>
        <w:t>North East</w:t>
      </w:r>
      <w:proofErr w:type="gramEnd"/>
      <w:r>
        <w:t xml:space="preserve"> and Yorkshire address the systems of incident reporting and monitoring of patient safety (</w:t>
      </w:r>
      <w:proofErr w:type="gramStart"/>
      <w:r>
        <w:t>north east</w:t>
      </w:r>
      <w:proofErr w:type="gramEnd"/>
      <w:r>
        <w:t xml:space="preserve">, 2023). The national level includes the design of patient safety policies, medication safety-related regulations, and incident reporting systems by the NHS and other associated regulatory agencies (NHS England, 2022). The fact that the incidents in this case, as well as the ones that have happened before, are similar, may imply that the mechanisms of governance </w:t>
      </w:r>
      <w:proofErr w:type="gramStart"/>
      <w:r>
        <w:t>are in need of</w:t>
      </w:r>
      <w:proofErr w:type="gramEnd"/>
      <w:r>
        <w:t xml:space="preserve"> reinforcement to ensure that recurrent medication errors are avoided.</w:t>
      </w:r>
    </w:p>
    <w:p w14:paraId="2732DABE" w14:textId="77777777" w:rsidR="000E512D" w:rsidRDefault="00000000">
      <w:pPr>
        <w:pStyle w:val="Heading3"/>
      </w:pPr>
      <w:bookmarkStart w:id="10" w:name="_v4oyrcjtisfo" w:colFirst="0" w:colLast="0"/>
      <w:bookmarkEnd w:id="10"/>
      <w:r>
        <w:t>2.1.7 Systemic Problems in the Healthcare System</w:t>
      </w:r>
    </w:p>
    <w:p w14:paraId="64FE688A" w14:textId="77777777" w:rsidR="000E512D" w:rsidRDefault="00000000">
      <w:pPr>
        <w:spacing w:after="240" w:line="360" w:lineRule="auto"/>
        <w:jc w:val="both"/>
      </w:pPr>
      <w:r>
        <w:t>Healthcare systems are faced with some structural issues that predispose them to medication errors. Staffing shortages constitute a significant challenge in the NHS and recent workforce reports have found tens of thousands of staffing gaps in clinical posts, such as nurses, pharmacists and so on (Khan, 2023). Staffing problems may also cause higher workloads, fatigue, and time pressure, which are all identified risk factors of medication errors. Moreover, healthcare organisations tend to work with tight financial resources and contend with the growing patient’s pressure that may strain organisational safety procedures and resources. These issues underscore the role that organisational and structural factors may play towards safety risks in a healthcare setting (Pool et al., 2024).</w:t>
      </w:r>
    </w:p>
    <w:p w14:paraId="0EFD54D8" w14:textId="77777777" w:rsidR="000E512D" w:rsidRDefault="00000000">
      <w:pPr>
        <w:pStyle w:val="Heading3"/>
      </w:pPr>
      <w:bookmarkStart w:id="11" w:name="_mqag366mufx5" w:colFirst="0" w:colLast="0"/>
      <w:bookmarkEnd w:id="11"/>
      <w:r>
        <w:t>2.1.8 Rich Picture</w:t>
      </w:r>
    </w:p>
    <w:p w14:paraId="27ACACB9" w14:textId="77777777" w:rsidR="000E512D" w:rsidRDefault="00000000">
      <w:pPr>
        <w:spacing w:after="240" w:line="360" w:lineRule="auto"/>
        <w:jc w:val="center"/>
      </w:pPr>
      <w:r>
        <w:rPr>
          <w:noProof/>
        </w:rPr>
        <w:lastRenderedPageBreak/>
        <w:drawing>
          <wp:inline distT="0" distB="0" distL="0" distR="0" wp14:anchorId="5F1FF157" wp14:editId="677A7683">
            <wp:extent cx="4140123" cy="2266894"/>
            <wp:effectExtent l="38100" t="38100" r="38100" b="381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140123" cy="2266894"/>
                    </a:xfrm>
                    <a:prstGeom prst="rect">
                      <a:avLst/>
                    </a:prstGeom>
                    <a:ln w="38100">
                      <a:solidFill>
                        <a:srgbClr val="000000"/>
                      </a:solidFill>
                      <a:prstDash val="solid"/>
                    </a:ln>
                  </pic:spPr>
                </pic:pic>
              </a:graphicData>
            </a:graphic>
          </wp:inline>
        </w:drawing>
      </w:r>
    </w:p>
    <w:p w14:paraId="266B0F46" w14:textId="77777777" w:rsidR="000E512D" w:rsidRDefault="00000000">
      <w:pPr>
        <w:spacing w:after="240" w:line="360" w:lineRule="auto"/>
        <w:jc w:val="center"/>
        <w:rPr>
          <w:b/>
          <w:bCs/>
        </w:rPr>
      </w:pPr>
      <w:r>
        <w:rPr>
          <w:b/>
          <w:bCs/>
        </w:rPr>
        <w:t>Figure 2: Rich picture</w:t>
      </w:r>
    </w:p>
    <w:p w14:paraId="7435B0A4" w14:textId="77777777" w:rsidR="000E512D" w:rsidRDefault="00000000">
      <w:pPr>
        <w:spacing w:after="240" w:line="360" w:lineRule="auto"/>
        <w:jc w:val="center"/>
      </w:pPr>
      <w:r>
        <w:t>(Source: Self-developed)</w:t>
      </w:r>
    </w:p>
    <w:p w14:paraId="4AC676F8" w14:textId="77777777" w:rsidR="000E512D" w:rsidRDefault="00000000">
      <w:pPr>
        <w:spacing w:after="240" w:line="360" w:lineRule="auto"/>
        <w:jc w:val="both"/>
      </w:pPr>
      <w:r>
        <w:t>The rich picture highlights how medication dispensing has been influenced by different interconnected elements such as hierarchical policies, healthcare actors, IT systems, and monitoring systems. It also reflects how system weaknesses such as limited audits, poor communication, and organisational pressures can create emotional responses such as staff anxiety and patient fear that can also affect patient safety outcomes.</w:t>
      </w:r>
    </w:p>
    <w:p w14:paraId="3ACED772" w14:textId="77777777" w:rsidR="000E512D" w:rsidRDefault="00000000">
      <w:pPr>
        <w:pStyle w:val="Heading2"/>
        <w:spacing w:after="240"/>
      </w:pPr>
      <w:bookmarkStart w:id="12" w:name="_tl6virwtk6j" w:colFirst="0" w:colLast="0"/>
      <w:bookmarkEnd w:id="12"/>
      <w:r>
        <w:t>2.2 Centralisation vs. Decentralisation</w:t>
      </w:r>
    </w:p>
    <w:p w14:paraId="2C2BF19A" w14:textId="77777777" w:rsidR="000E512D" w:rsidRDefault="00000000">
      <w:pPr>
        <w:spacing w:after="240" w:line="360" w:lineRule="auto"/>
        <w:jc w:val="both"/>
      </w:pPr>
      <w:r>
        <w:t>Knowles (2024) explains how different governance systems within the health care can influence the decision-making, sharing of responsibility and safety practices. Centralisation gives power to the national leaders or seniors in the program and decentralization gives power to the local teams and front-line workers. The UK NHS has shown evidence of centralised oversight decreasing the number of prescribing errors by 15% since 2018 reforms (Rodgers et al., 2022) but 22% more are reported by decentralised trusts in a 2022 audit since no uniform protocols (Care Quality Commission). An example of such interaction between local autonomy and central directions that compromised medication safety and responsibility is a 2017 infant diamorphine overdose at a Midlands hospital.</w:t>
      </w:r>
    </w:p>
    <w:p w14:paraId="2CE07BD6" w14:textId="77777777" w:rsidR="000E512D" w:rsidRDefault="00000000">
      <w:pPr>
        <w:pStyle w:val="Heading3"/>
      </w:pPr>
      <w:bookmarkStart w:id="13" w:name="_75wgh7zb0f40" w:colFirst="0" w:colLast="0"/>
      <w:bookmarkEnd w:id="13"/>
      <w:r>
        <w:t>2.2.1 Centralised System in Healthcare Governance</w:t>
      </w:r>
    </w:p>
    <w:p w14:paraId="3AFB80E2" w14:textId="77777777" w:rsidR="000E512D" w:rsidRDefault="00000000">
      <w:pPr>
        <w:spacing w:after="240" w:line="360" w:lineRule="auto"/>
        <w:jc w:val="both"/>
      </w:pPr>
      <w:r>
        <w:t xml:space="preserve">Centralised healthcare systems have a hierarchical decision-making framework in which the authorities at the national or regional levels make decisions on policies, protocols, and regulations </w:t>
      </w:r>
      <w:r>
        <w:lastRenderedPageBreak/>
        <w:t>(Shishkin et al., 2025). The NHS in the United Kingdom follows a comparatively centralised system of governance, with the national patient safety, medication prescription, and pharmacy practice guidelines recommended by the organisations of NHS England, Care Quality Commission (CQC) or National Institute of Health and Care Excellence (NICE) (McLeod et al., 2014). These organisations established uniform policies to provide uniform healthcare delivery and safety of patients throughout the nation.</w:t>
      </w:r>
    </w:p>
    <w:p w14:paraId="5D8C2428" w14:textId="77777777" w:rsidR="000E512D" w:rsidRDefault="00000000">
      <w:pPr>
        <w:spacing w:after="240" w:line="360" w:lineRule="auto"/>
        <w:jc w:val="both"/>
      </w:pPr>
      <w:r>
        <w:t>According to Cordero-Pérez et al. (2026), one advantage when using a centralised method is that safety procedures have been standardised; this minimises clinical practice variations but make sure that high-risk drugs, including morphine, are handled in the same way across health care systems. It assists in making sure the safety of the patients as it presents distinct national guidelines and accountability mechanisms. Nevertheless, one of the biggest minuses can be noticed in this case study where the centralised policies failed to communicate to safe local practice. The dispensing error indicates that the frontline personnel might have used policy presence as opposed to active checking. In addition, centralisation may constrain responsiveness and flexibility, because decision-making is no longer carried out by frontline professionals, which may slow down crucial checks and make locally own safety process.</w:t>
      </w:r>
    </w:p>
    <w:p w14:paraId="64540C5D" w14:textId="77777777" w:rsidR="000E512D" w:rsidRDefault="00000000">
      <w:pPr>
        <w:pStyle w:val="Heading3"/>
      </w:pPr>
      <w:bookmarkStart w:id="14" w:name="_qr2u5k31iqp7" w:colFirst="0" w:colLast="0"/>
      <w:bookmarkEnd w:id="14"/>
      <w:r>
        <w:t>2.2.2 Healthcare Governance with decentralised Systems</w:t>
      </w:r>
    </w:p>
    <w:p w14:paraId="076B32F7" w14:textId="77777777" w:rsidR="000E512D" w:rsidRDefault="00000000">
      <w:pPr>
        <w:spacing w:after="240" w:line="360" w:lineRule="auto"/>
        <w:jc w:val="both"/>
      </w:pPr>
      <w:r>
        <w:t xml:space="preserve">Decentralised healthcare systems spread decision-making of the organisation to diverse levels so that the front-line professionals </w:t>
      </w:r>
      <w:proofErr w:type="gramStart"/>
      <w:r>
        <w:t>are able to</w:t>
      </w:r>
      <w:proofErr w:type="gramEnd"/>
      <w:r>
        <w:t xml:space="preserve"> make operational decisions regarding the treatment of patients (Sujata Sapkota et al., 2023). The NHS is a part of the sector where the most clinical choices are made at the local level within hospital trusts, and pharmacy departments, whereas policy and safety standards are established at a national level. In the morphine overdose scenario, it was the local pharmacy staff who had a responsibility of dispensing and verifying the drug, besides prescription being made by a clinician. This shows there is decentralisation whereby the frontline staff make decisions regarding the medication processes depending on their professional judgement and local practises.</w:t>
      </w:r>
    </w:p>
    <w:p w14:paraId="368EE5C7" w14:textId="77777777" w:rsidR="000E512D" w:rsidRDefault="00000000">
      <w:pPr>
        <w:spacing w:after="240" w:line="360" w:lineRule="auto"/>
        <w:jc w:val="both"/>
      </w:pPr>
      <w:r>
        <w:t>The benefit of decentralised systems is that the response will be faster and flexible in decision-making. Doctors who can have direct contact with patients can change care based on requests and need of the patient. According to the reports by NHS workforce and clinical practise, indicates that more than 70 percent of drug-associated resolutions are being implemented at the ward or the department level, thus presenting the significance of a frontline authority in healthcare delivery (</w:t>
      </w:r>
      <w:proofErr w:type="spellStart"/>
      <w:r>
        <w:t>Åhlin</w:t>
      </w:r>
      <w:proofErr w:type="spellEnd"/>
      <w:r>
        <w:t xml:space="preserve">, 2026). In this way, decentralisation will enhance efficiency and accountability in the clinical </w:t>
      </w:r>
      <w:r>
        <w:lastRenderedPageBreak/>
        <w:t>settings. Nonetheless, decentralisation may also pose a problem in terms of same safety practises. Decentralisation of authority can make errors in staff more likely since different staff with varied experience, as well as training and local processes, may be active. Such statistics imply that the weaknesses in the local checking procedures and communication can permit medication errors. In the case of morphine overdose, the wrong concentration of morphine was dispensed which was not identified and this implies lack of effective local checking procedures.</w:t>
      </w:r>
    </w:p>
    <w:p w14:paraId="2311D80A" w14:textId="77777777" w:rsidR="000E512D" w:rsidRDefault="00000000">
      <w:pPr>
        <w:pStyle w:val="Heading2"/>
        <w:spacing w:after="240"/>
      </w:pPr>
      <w:bookmarkStart w:id="15" w:name="_cp0hp7lbf15r" w:colFirst="0" w:colLast="0"/>
      <w:bookmarkEnd w:id="15"/>
      <w:r>
        <w:t xml:space="preserve">2.3 Leadership Theory Application </w:t>
      </w:r>
    </w:p>
    <w:p w14:paraId="7E99BBD0" w14:textId="77777777" w:rsidR="000E512D" w:rsidRDefault="00000000">
      <w:pPr>
        <w:spacing w:after="240" w:line="360" w:lineRule="auto"/>
        <w:jc w:val="both"/>
      </w:pPr>
      <w:r>
        <w:t>According to the concepts of Kyei et al. (2024), the case of infant morphine overdose suggests the role of leadership decisions in the issue of patients, communication, and responsibility within health systems. The estimated number of medication errors every year in England alone is 237 million, which causes about 1,708 deaths and costs the NHS approximately 98.5 million annually (BMJ, 2020). There are three theories of leadership that are especially applicable to the case under analysis: transformational leadership, transactional leadership, and situational leadership. The usefulness of these leadership styles will, however, be determined by their suitability to the high-risk clinical scenarios like medication management. The role of leadership, in this case, was manifested half-heartedly, as the operational level of safety systems failed.</w:t>
      </w:r>
    </w:p>
    <w:p w14:paraId="6AC72600" w14:textId="77777777" w:rsidR="000E512D" w:rsidRDefault="00000000">
      <w:pPr>
        <w:pStyle w:val="Heading3"/>
        <w:spacing w:after="240"/>
      </w:pPr>
      <w:bookmarkStart w:id="16" w:name="_lvmaekjjgay6" w:colFirst="0" w:colLast="0"/>
      <w:bookmarkEnd w:id="16"/>
      <w:r>
        <w:t>2.3.1 Transformational Leadership</w:t>
      </w:r>
    </w:p>
    <w:p w14:paraId="7509CF8C" w14:textId="77777777" w:rsidR="000E512D" w:rsidRDefault="00000000">
      <w:pPr>
        <w:spacing w:after="240" w:line="360" w:lineRule="auto"/>
        <w:jc w:val="both"/>
      </w:pPr>
      <w:r>
        <w:t xml:space="preserve">According to Gupta (2025), transformational leadership is founded on the motivation of employees, innovation and learning in the organisation. Such leadership was not particularly conspicuous in the context of the given case since the organisational culture was lacking in complete proactive questioning and issue-escalation. Studies such as </w:t>
      </w:r>
      <w:proofErr w:type="spellStart"/>
      <w:r>
        <w:t>Slil</w:t>
      </w:r>
      <w:proofErr w:type="spellEnd"/>
      <w:r>
        <w:t xml:space="preserve"> et al. (2025) indicate that organisations that have a high transformational leadership score attain positive scores in safety culture and staff morale. This implies that leadership was reactive and not proactive as it entailed counter action to the incidences instead of preclusion. NHS staff surveys suggest that organisations that engage their staff more report improved patient safety outcomes and reduced rates of incidents, demonstrating the need to have proactive, purpose-oriented leadership. Transformational leadership would have played a key role in the situation of the morphine overdose case to avert the accident. </w:t>
      </w:r>
    </w:p>
    <w:p w14:paraId="146C3050" w14:textId="77777777" w:rsidR="000E512D" w:rsidRDefault="00000000">
      <w:pPr>
        <w:spacing w:after="240" w:line="360" w:lineRule="auto"/>
        <w:jc w:val="center"/>
      </w:pPr>
      <w:r>
        <w:rPr>
          <w:noProof/>
        </w:rPr>
        <w:lastRenderedPageBreak/>
        <w:drawing>
          <wp:inline distT="114300" distB="114300" distL="114300" distR="114300" wp14:anchorId="60216C9C" wp14:editId="7D508186">
            <wp:extent cx="3266066" cy="3426099"/>
            <wp:effectExtent l="38100" t="38100" r="38100" b="381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266066" cy="3426099"/>
                    </a:xfrm>
                    <a:prstGeom prst="rect">
                      <a:avLst/>
                    </a:prstGeom>
                    <a:ln w="38100">
                      <a:solidFill>
                        <a:srgbClr val="000000"/>
                      </a:solidFill>
                      <a:prstDash val="solid"/>
                    </a:ln>
                  </pic:spPr>
                </pic:pic>
              </a:graphicData>
            </a:graphic>
          </wp:inline>
        </w:drawing>
      </w:r>
    </w:p>
    <w:p w14:paraId="158629AF" w14:textId="77777777" w:rsidR="000E512D" w:rsidRDefault="00000000">
      <w:pPr>
        <w:spacing w:after="240" w:line="360" w:lineRule="auto"/>
        <w:jc w:val="center"/>
        <w:rPr>
          <w:b/>
          <w:bCs/>
        </w:rPr>
      </w:pPr>
      <w:r>
        <w:rPr>
          <w:b/>
          <w:bCs/>
        </w:rPr>
        <w:t>Figure 3: Transformational Leadership</w:t>
      </w:r>
    </w:p>
    <w:p w14:paraId="56F9D007" w14:textId="77777777" w:rsidR="000E512D" w:rsidRDefault="00000000">
      <w:pPr>
        <w:spacing w:after="240" w:line="360" w:lineRule="auto"/>
        <w:jc w:val="center"/>
      </w:pPr>
      <w:r>
        <w:t>(Source: Cherry, 2023)</w:t>
      </w:r>
    </w:p>
    <w:p w14:paraId="48AE71E3" w14:textId="77777777" w:rsidR="000E512D" w:rsidRDefault="00000000">
      <w:pPr>
        <w:spacing w:after="240" w:line="360" w:lineRule="auto"/>
        <w:jc w:val="both"/>
      </w:pPr>
      <w:r>
        <w:t xml:space="preserve">According to </w:t>
      </w:r>
      <w:proofErr w:type="spellStart"/>
      <w:r>
        <w:t>Umeano</w:t>
      </w:r>
      <w:proofErr w:type="spellEnd"/>
      <w:r>
        <w:t xml:space="preserve"> (2024), a transformational leader would ensure high standards of medication safety through the enforcement of unique communication among pharmacists, nurses, and prescribers besides compliance with the strong medication safety protocols that should be implemented like the uses of the double-check system and electronic warning systems. Referring to Figure 2, a transformation leader should have characteristics such as supportive, attentive, honest, passionate, and authentic and adaptable (Cherry, 2023). This is also a problem with poor safety culture and psychological safety of employees, as the situation fails to conclude with the identification of the incorrect concentration. This is also a problem with poor safety culture and psychological safety of employees, as the situation fails to conclude with the identification of the incorrect concentration. The fact that approximately a half of medication errors involve administration errors and, in these cases, the significance of frontline leadership and safety culture cannot be overestimated. It would have also been possible to prevent the incident with stronger transformational leadership that motivated staff to report near misses and the question prescribing decisions.</w:t>
      </w:r>
    </w:p>
    <w:p w14:paraId="6753E708" w14:textId="77777777" w:rsidR="000E512D" w:rsidRDefault="00000000">
      <w:pPr>
        <w:spacing w:after="240" w:line="360" w:lineRule="auto"/>
        <w:jc w:val="center"/>
      </w:pPr>
      <w:r>
        <w:rPr>
          <w:noProof/>
        </w:rPr>
        <w:lastRenderedPageBreak/>
        <w:drawing>
          <wp:inline distT="114300" distB="114300" distL="114300" distR="114300" wp14:anchorId="1485DE41" wp14:editId="6EAC1EBB">
            <wp:extent cx="5943600" cy="2387600"/>
            <wp:effectExtent l="38100" t="38100" r="38100" b="381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2387600"/>
                    </a:xfrm>
                    <a:prstGeom prst="rect">
                      <a:avLst/>
                    </a:prstGeom>
                    <a:ln w="38100">
                      <a:solidFill>
                        <a:srgbClr val="000000"/>
                      </a:solidFill>
                      <a:prstDash val="solid"/>
                    </a:ln>
                  </pic:spPr>
                </pic:pic>
              </a:graphicData>
            </a:graphic>
          </wp:inline>
        </w:drawing>
      </w:r>
    </w:p>
    <w:p w14:paraId="18D30862" w14:textId="77777777" w:rsidR="000E512D" w:rsidRDefault="00000000">
      <w:pPr>
        <w:spacing w:after="240" w:line="360" w:lineRule="auto"/>
        <w:jc w:val="center"/>
        <w:rPr>
          <w:b/>
          <w:bCs/>
        </w:rPr>
      </w:pPr>
      <w:r>
        <w:rPr>
          <w:b/>
          <w:bCs/>
        </w:rPr>
        <w:t>Figure 3: Common Types of Medication Errors</w:t>
      </w:r>
    </w:p>
    <w:p w14:paraId="72F54F58" w14:textId="77777777" w:rsidR="000E512D" w:rsidRDefault="00000000">
      <w:pPr>
        <w:spacing w:after="240" w:line="360" w:lineRule="auto"/>
        <w:jc w:val="center"/>
      </w:pPr>
      <w:r>
        <w:t>(Source: Pharmaceutical press, 2024)</w:t>
      </w:r>
    </w:p>
    <w:p w14:paraId="47F1E891" w14:textId="77777777" w:rsidR="000E512D" w:rsidRDefault="00000000">
      <w:pPr>
        <w:spacing w:after="240" w:line="360" w:lineRule="auto"/>
        <w:jc w:val="both"/>
      </w:pPr>
      <w:r>
        <w:t xml:space="preserve">According to Pharmaceutical press (2024) evidence, drug administration error takes favour of around 54% of the total medication errors which covers the necessity of frontline safety culture alongside leadership management </w:t>
      </w:r>
      <w:r>
        <w:rPr>
          <w:b/>
          <w:bCs/>
          <w:i/>
          <w:iCs/>
        </w:rPr>
        <w:t>[Referring Figure 3]</w:t>
      </w:r>
      <w:r>
        <w:t>. Transformational leadership should have been more built, so, it is possible that the healthcare staff would have been more prone to question continuing prescriptions, report near misses, or further develop the concerns regarding drug labelling and packaging. As such, transformational leadership may have changed the organisational culture of the organisation towards solving problems reactively to proactively improving patient safety.</w:t>
      </w:r>
    </w:p>
    <w:p w14:paraId="2673D76C" w14:textId="77777777" w:rsidR="000E512D" w:rsidRDefault="00000000">
      <w:pPr>
        <w:pStyle w:val="Heading3"/>
        <w:spacing w:after="240"/>
      </w:pPr>
      <w:bookmarkStart w:id="17" w:name="_mm6xzqrhwblk" w:colFirst="0" w:colLast="0"/>
      <w:bookmarkEnd w:id="17"/>
      <w:r>
        <w:t>2.3.2 Transactional Leadership</w:t>
      </w:r>
    </w:p>
    <w:p w14:paraId="451C0E6B" w14:textId="77777777" w:rsidR="000E512D" w:rsidRDefault="00000000">
      <w:pPr>
        <w:spacing w:after="240" w:line="360" w:lineRule="auto"/>
        <w:jc w:val="both"/>
      </w:pPr>
      <w:r>
        <w:t xml:space="preserve">The transactional leadership style focuses on systematic oversight, performance review, and strict accountability tools (Swan, 2022). In this case, transactional leadership was present through strict prescribing policies for high-risk drugs. However, its implementation was insufficient at the operational level, indicating gaps in monitoring and enforcement. The application of transactional leadership would have been suitable in the case of the morphine overdose due to the possibility to establish strong medication control (northyorkshireccg.nhs.uk, 2023). The mistake was made, even though the policies were quite clear, which implies that the leadership depended on the compliance based on the rules but did not guarantee the compliance by the active supervision. This is representative of a responsive, dictatorial style as opposed to ongoing surveillance. The </w:t>
      </w:r>
      <w:r>
        <w:lastRenderedPageBreak/>
        <w:t>necessity of stricter transactional controls is supported by the data provided by BMJ (2020) that reports errors in prescription and dispensing at 21 and 16 percent, respectively. Nonetheless, too much transactional leadership can restrict the involvement of the staff and deter submission of mistakes.</w:t>
      </w:r>
    </w:p>
    <w:p w14:paraId="606203F3" w14:textId="77777777" w:rsidR="000E512D" w:rsidRDefault="00000000">
      <w:pPr>
        <w:pStyle w:val="Heading3"/>
        <w:spacing w:after="240"/>
      </w:pPr>
      <w:bookmarkStart w:id="18" w:name="_tqen9518fynq" w:colFirst="0" w:colLast="0"/>
      <w:bookmarkEnd w:id="18"/>
      <w:r>
        <w:t>2.3.3 Situational Leadership</w:t>
      </w:r>
    </w:p>
    <w:p w14:paraId="2B3E5C64" w14:textId="77777777" w:rsidR="000E512D" w:rsidRDefault="00000000">
      <w:pPr>
        <w:spacing w:after="240" w:line="360" w:lineRule="auto"/>
        <w:jc w:val="both"/>
      </w:pPr>
      <w:r>
        <w:t xml:space="preserve">Situational leadership as per perceptions of </w:t>
      </w:r>
      <w:proofErr w:type="spellStart"/>
      <w:r>
        <w:t>Klarström</w:t>
      </w:r>
      <w:proofErr w:type="spellEnd"/>
      <w:r>
        <w:t xml:space="preserve">, Adnan and Ek (2025) suggests that the leader must be able to modify his/her style of leadership, depending on the competency of the team members and situation complexity. Situational leadership involves a leader </w:t>
      </w:r>
      <w:proofErr w:type="gramStart"/>
      <w:r>
        <w:t>making adjustments</w:t>
      </w:r>
      <w:proofErr w:type="gramEnd"/>
      <w:r>
        <w:t xml:space="preserve"> according to circumstances and competency of the staff. In this instance, the situational leadership was not well used, as the leaders were not able to be directive with high-risk cases of medication and supportive with learning and reporting.</w:t>
      </w:r>
    </w:p>
    <w:p w14:paraId="126B3D60" w14:textId="77777777" w:rsidR="000E512D" w:rsidRDefault="00000000">
      <w:pPr>
        <w:spacing w:after="240" w:line="360" w:lineRule="auto"/>
        <w:jc w:val="both"/>
      </w:pPr>
      <w:r>
        <w:t>Situational leadership would in the case of the morphine overdose have involved leaders adopting a directive style when carrying out high-risk clinical processes, such as prescribing and dispensing of medication, and participatory style when undertaking processes like safety training and organisational learning. As an illustration, the leaders are supposed to offer intricate instructions and oversight to junior staffs in charge of high peril medicines, and to promote relationship-based problem settling in the case of acknowledging safety incidences (Fukami, 2025).</w:t>
      </w:r>
    </w:p>
    <w:p w14:paraId="371E4592" w14:textId="77777777" w:rsidR="000E512D" w:rsidRDefault="00000000">
      <w:pPr>
        <w:spacing w:after="240" w:line="360" w:lineRule="auto"/>
        <w:jc w:val="both"/>
      </w:pPr>
      <w:r>
        <w:t xml:space="preserve">According to evidence provided by </w:t>
      </w:r>
      <w:proofErr w:type="spellStart"/>
      <w:r>
        <w:t>Curșeu</w:t>
      </w:r>
      <w:proofErr w:type="spellEnd"/>
      <w:r>
        <w:t xml:space="preserve">, Rijswijk and </w:t>
      </w:r>
      <w:proofErr w:type="spellStart"/>
      <w:r>
        <w:t>Schruijer</w:t>
      </w:r>
      <w:proofErr w:type="spellEnd"/>
      <w:r>
        <w:t xml:space="preserve"> (2025), healthcare organisations that employ adaptive leadership styles find it easier to rebound after clinical incidents happen faster and enhance staff engagement via collaborative learning. A suitable implementation would have comprised a tight supervision during the dispensing and learning after the occurrence. This emphasizes the fact that adaptive leadership enhances recovery and learning following incidents.</w:t>
      </w:r>
    </w:p>
    <w:tbl>
      <w:tblPr>
        <w:tblStyle w:val="a"/>
        <w:tblW w:w="9360" w:type="dxa"/>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600" w:firstRow="0" w:lastRow="0" w:firstColumn="0" w:lastColumn="0" w:noHBand="1" w:noVBand="1"/>
      </w:tblPr>
      <w:tblGrid>
        <w:gridCol w:w="2025"/>
        <w:gridCol w:w="3499"/>
        <w:gridCol w:w="3836"/>
      </w:tblGrid>
      <w:tr w:rsidR="000E512D" w14:paraId="79E910CC" w14:textId="77777777" w:rsidTr="000E512D">
        <w:trPr>
          <w:trHeight w:val="785"/>
        </w:trPr>
        <w:tc>
          <w:tcPr>
            <w:tcW w:w="2025" w:type="dxa"/>
          </w:tcPr>
          <w:p w14:paraId="1F5FC6A3" w14:textId="77777777" w:rsidR="000E512D" w:rsidRDefault="00000000">
            <w:pPr>
              <w:spacing w:after="240" w:line="360" w:lineRule="auto"/>
              <w:jc w:val="center"/>
              <w:rPr>
                <w:u w:val="single"/>
              </w:rPr>
            </w:pPr>
            <w:r>
              <w:rPr>
                <w:b/>
                <w:bCs/>
                <w:u w:val="single"/>
              </w:rPr>
              <w:t>Leadership Theory</w:t>
            </w:r>
          </w:p>
        </w:tc>
        <w:tc>
          <w:tcPr>
            <w:tcW w:w="3499" w:type="dxa"/>
          </w:tcPr>
          <w:p w14:paraId="38541177" w14:textId="77777777" w:rsidR="000E512D" w:rsidRDefault="00000000">
            <w:pPr>
              <w:spacing w:after="240" w:line="360" w:lineRule="auto"/>
              <w:jc w:val="center"/>
              <w:rPr>
                <w:u w:val="single"/>
              </w:rPr>
            </w:pPr>
            <w:r>
              <w:rPr>
                <w:b/>
                <w:bCs/>
                <w:u w:val="single"/>
              </w:rPr>
              <w:t>Application to Case Study</w:t>
            </w:r>
          </w:p>
        </w:tc>
        <w:tc>
          <w:tcPr>
            <w:tcW w:w="3836" w:type="dxa"/>
          </w:tcPr>
          <w:p w14:paraId="0C2EC931" w14:textId="77777777" w:rsidR="000E512D" w:rsidRDefault="00000000">
            <w:pPr>
              <w:spacing w:after="240" w:line="360" w:lineRule="auto"/>
              <w:jc w:val="center"/>
              <w:rPr>
                <w:u w:val="single"/>
              </w:rPr>
            </w:pPr>
            <w:r>
              <w:rPr>
                <w:b/>
                <w:bCs/>
                <w:u w:val="single"/>
              </w:rPr>
              <w:t>Supporting Data &amp; Critique</w:t>
            </w:r>
          </w:p>
        </w:tc>
      </w:tr>
      <w:tr w:rsidR="000E512D" w14:paraId="5E365701" w14:textId="77777777" w:rsidTr="000E512D">
        <w:trPr>
          <w:trHeight w:val="1610"/>
        </w:trPr>
        <w:tc>
          <w:tcPr>
            <w:tcW w:w="2025" w:type="dxa"/>
          </w:tcPr>
          <w:p w14:paraId="7D36648E" w14:textId="77777777" w:rsidR="000E512D" w:rsidRDefault="00000000">
            <w:pPr>
              <w:spacing w:after="240" w:line="360" w:lineRule="auto"/>
              <w:jc w:val="center"/>
              <w:rPr>
                <w:b/>
                <w:bCs/>
                <w:i/>
                <w:iCs/>
              </w:rPr>
            </w:pPr>
            <w:r>
              <w:rPr>
                <w:b/>
                <w:bCs/>
                <w:i/>
                <w:iCs/>
              </w:rPr>
              <w:t>Transformational Leadership</w:t>
            </w:r>
          </w:p>
        </w:tc>
        <w:tc>
          <w:tcPr>
            <w:tcW w:w="3499" w:type="dxa"/>
          </w:tcPr>
          <w:p w14:paraId="2ABCA4EE" w14:textId="77777777" w:rsidR="000E512D" w:rsidRDefault="00000000">
            <w:pPr>
              <w:spacing w:after="240" w:line="360" w:lineRule="auto"/>
              <w:jc w:val="both"/>
            </w:pPr>
            <w:r>
              <w:t xml:space="preserve">Aids in the establishment of safety culture, motivates employees to report mistakes, and enhances </w:t>
            </w:r>
            <w:r>
              <w:lastRenderedPageBreak/>
              <w:t>communication between medical workers.</w:t>
            </w:r>
          </w:p>
        </w:tc>
        <w:tc>
          <w:tcPr>
            <w:tcW w:w="3836" w:type="dxa"/>
          </w:tcPr>
          <w:p w14:paraId="2210165B" w14:textId="77777777" w:rsidR="000E512D" w:rsidRDefault="00000000">
            <w:pPr>
              <w:spacing w:after="240" w:line="360" w:lineRule="auto"/>
              <w:jc w:val="both"/>
            </w:pPr>
            <w:r>
              <w:lastRenderedPageBreak/>
              <w:t>The concept of medication errors and 237 million a year in England shows that the culture-based leadership should be improved (BMJ, 2020).</w:t>
            </w:r>
          </w:p>
        </w:tc>
      </w:tr>
      <w:tr w:rsidR="000E512D" w14:paraId="6F0E34B8" w14:textId="77777777" w:rsidTr="000E512D">
        <w:trPr>
          <w:trHeight w:val="1610"/>
        </w:trPr>
        <w:tc>
          <w:tcPr>
            <w:tcW w:w="2025" w:type="dxa"/>
          </w:tcPr>
          <w:p w14:paraId="65B4B92C" w14:textId="77777777" w:rsidR="000E512D" w:rsidRDefault="00000000">
            <w:pPr>
              <w:spacing w:after="240" w:line="360" w:lineRule="auto"/>
              <w:jc w:val="center"/>
              <w:rPr>
                <w:b/>
                <w:bCs/>
                <w:i/>
                <w:iCs/>
              </w:rPr>
            </w:pPr>
            <w:r>
              <w:rPr>
                <w:b/>
                <w:bCs/>
                <w:i/>
                <w:iCs/>
              </w:rPr>
              <w:t>Transactional Leadership</w:t>
            </w:r>
          </w:p>
        </w:tc>
        <w:tc>
          <w:tcPr>
            <w:tcW w:w="3499" w:type="dxa"/>
          </w:tcPr>
          <w:p w14:paraId="6130B7D5" w14:textId="77777777" w:rsidR="000E512D" w:rsidRDefault="00000000">
            <w:pPr>
              <w:spacing w:after="240" w:line="360" w:lineRule="auto"/>
              <w:jc w:val="both"/>
            </w:pPr>
            <w:r>
              <w:t>Strict medication policies, checking and rechecking medication, prescribing and dispensing accountability.</w:t>
            </w:r>
          </w:p>
        </w:tc>
        <w:tc>
          <w:tcPr>
            <w:tcW w:w="3836" w:type="dxa"/>
          </w:tcPr>
          <w:p w14:paraId="250940F8" w14:textId="77777777" w:rsidR="000E512D" w:rsidRDefault="00000000">
            <w:pPr>
              <w:spacing w:after="240" w:line="360" w:lineRule="auto"/>
              <w:jc w:val="both"/>
            </w:pPr>
            <w:r>
              <w:t>The significance of governance and monitoring systems is brought up by prescription (21%) and dispensing (16%) errors (BMJ, 2020).</w:t>
            </w:r>
          </w:p>
        </w:tc>
      </w:tr>
      <w:tr w:rsidR="000E512D" w14:paraId="126A8FF5" w14:textId="77777777" w:rsidTr="000E512D">
        <w:trPr>
          <w:trHeight w:val="1610"/>
        </w:trPr>
        <w:tc>
          <w:tcPr>
            <w:tcW w:w="2025" w:type="dxa"/>
          </w:tcPr>
          <w:p w14:paraId="0F0973C1" w14:textId="77777777" w:rsidR="000E512D" w:rsidRDefault="00000000">
            <w:pPr>
              <w:spacing w:after="240" w:line="360" w:lineRule="auto"/>
              <w:jc w:val="center"/>
              <w:rPr>
                <w:b/>
                <w:bCs/>
                <w:i/>
                <w:iCs/>
              </w:rPr>
            </w:pPr>
            <w:r>
              <w:rPr>
                <w:b/>
                <w:bCs/>
                <w:i/>
                <w:iCs/>
              </w:rPr>
              <w:t>Situational Leadership</w:t>
            </w:r>
          </w:p>
        </w:tc>
        <w:tc>
          <w:tcPr>
            <w:tcW w:w="3499" w:type="dxa"/>
          </w:tcPr>
          <w:p w14:paraId="78AA5ECB" w14:textId="77777777" w:rsidR="000E512D" w:rsidRDefault="00000000">
            <w:pPr>
              <w:spacing w:after="240" w:line="360" w:lineRule="auto"/>
              <w:jc w:val="both"/>
            </w:pPr>
            <w:r>
              <w:t>Enables leaders to switch between directive and supportive styles based on risks and competence of the staff.</w:t>
            </w:r>
          </w:p>
        </w:tc>
        <w:tc>
          <w:tcPr>
            <w:tcW w:w="3836" w:type="dxa"/>
          </w:tcPr>
          <w:p w14:paraId="3B038DFA" w14:textId="77777777" w:rsidR="000E512D" w:rsidRDefault="00000000">
            <w:pPr>
              <w:spacing w:after="240" w:line="360" w:lineRule="auto"/>
              <w:jc w:val="both"/>
            </w:pPr>
            <w:r>
              <w:t>Adaptive leadership has potential to enhance learning, as well as response, to incidents within multifaceted health care settings.</w:t>
            </w:r>
          </w:p>
        </w:tc>
      </w:tr>
    </w:tbl>
    <w:p w14:paraId="1D215F35" w14:textId="77777777" w:rsidR="000E512D" w:rsidRDefault="00000000">
      <w:pPr>
        <w:spacing w:after="240" w:line="360" w:lineRule="auto"/>
        <w:jc w:val="center"/>
        <w:rPr>
          <w:b/>
          <w:bCs/>
        </w:rPr>
      </w:pPr>
      <w:r>
        <w:rPr>
          <w:b/>
          <w:bCs/>
        </w:rPr>
        <w:t>Table 1: Leadership Theory Application Summary</w:t>
      </w:r>
    </w:p>
    <w:p w14:paraId="244E2662" w14:textId="77777777" w:rsidR="000E512D" w:rsidRDefault="00000000">
      <w:pPr>
        <w:pStyle w:val="Heading2"/>
        <w:spacing w:after="240"/>
      </w:pPr>
      <w:bookmarkStart w:id="19" w:name="_cyn1jebxlb8o" w:colFirst="0" w:colLast="0"/>
      <w:bookmarkEnd w:id="19"/>
      <w:r>
        <w:t xml:space="preserve">2.4 Critique, Improvements, and Lessons Learned </w:t>
      </w:r>
    </w:p>
    <w:p w14:paraId="652344EE" w14:textId="77777777" w:rsidR="000E512D" w:rsidRDefault="00000000">
      <w:pPr>
        <w:spacing w:after="240" w:line="360" w:lineRule="auto"/>
        <w:jc w:val="both"/>
      </w:pPr>
      <w:r>
        <w:t>The morphine overdose incident of a four-week-old baby indicates major gaps in leadership, governance, and coordination of the system in the healthcare delivery department. Though the baby survived after being administered with naloxone, the given incident depicted loopholes in medication governance, communication, and safety observation procedures. According to Srivastava (2023), proper leadership and governance mechanisms can prevent such an incident, but, in this instance, the interplay between organisational structure, leadership behaviour, and system feedback systems has played a part in the unfavourable incident.</w:t>
      </w:r>
    </w:p>
    <w:p w14:paraId="15185BAB" w14:textId="77777777" w:rsidR="000E512D" w:rsidRDefault="00000000">
      <w:pPr>
        <w:spacing w:after="240" w:line="360" w:lineRule="auto"/>
        <w:jc w:val="both"/>
      </w:pPr>
      <w:r>
        <w:t xml:space="preserve">The gap between national safety regulations and the local implementation is one of the identified major governance issues present in the case. The healthcare governance of systems like the NHS is based on a mix of centralised policy regimes and decentralised functioning practices (Sapkota et al., 2023). As national organisations lay down rules on medication safety and categorise high-risk medications, it is the local healthcare provider who is to </w:t>
      </w:r>
      <w:proofErr w:type="gramStart"/>
      <w:r>
        <w:t>effect</w:t>
      </w:r>
      <w:proofErr w:type="gramEnd"/>
      <w:r>
        <w:t xml:space="preserve"> the policies in the process of prescribing and dispensing such drugs. </w:t>
      </w:r>
    </w:p>
    <w:p w14:paraId="6281769A" w14:textId="77777777" w:rsidR="000E512D" w:rsidRDefault="00000000">
      <w:pPr>
        <w:spacing w:after="240" w:line="360" w:lineRule="auto"/>
        <w:jc w:val="both"/>
      </w:pPr>
      <w:r>
        <w:t xml:space="preserve">According to evidence provided by </w:t>
      </w:r>
      <w:proofErr w:type="spellStart"/>
      <w:r>
        <w:t>Guntschnig</w:t>
      </w:r>
      <w:proofErr w:type="spellEnd"/>
      <w:r>
        <w:t xml:space="preserve"> et al. (2025), medication errors have become a common issue in lots of countries. One of the things that the world health organization has seen is that at least one person dies and millions of patients suffer every year due to medication </w:t>
      </w:r>
      <w:proofErr w:type="gramStart"/>
      <w:r>
        <w:t>errors</w:t>
      </w:r>
      <w:proofErr w:type="gramEnd"/>
      <w:r>
        <w:t xml:space="preserve"> </w:t>
      </w:r>
      <w:r>
        <w:lastRenderedPageBreak/>
        <w:t xml:space="preserve">and this has necessitated leadership and governance mechanisms that are more robust </w:t>
      </w:r>
      <w:proofErr w:type="gramStart"/>
      <w:r>
        <w:t>in order to</w:t>
      </w:r>
      <w:proofErr w:type="gramEnd"/>
      <w:r>
        <w:t xml:space="preserve"> achieve medication safety.</w:t>
      </w:r>
    </w:p>
    <w:p w14:paraId="1BAFD6BA" w14:textId="77777777" w:rsidR="000E512D" w:rsidRDefault="00000000">
      <w:pPr>
        <w:spacing w:after="240" w:line="360" w:lineRule="auto"/>
        <w:jc w:val="both"/>
      </w:pPr>
      <w:r>
        <w:t>The next table includes main issues which were found out during the case study, supporting information and possible strategies to be improved.</w:t>
      </w:r>
    </w:p>
    <w:tbl>
      <w:tblPr>
        <w:tblStyle w:val="a0"/>
        <w:tblW w:w="9360" w:type="dxa"/>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600" w:firstRow="0" w:lastRow="0" w:firstColumn="0" w:lastColumn="0" w:noHBand="1" w:noVBand="1"/>
      </w:tblPr>
      <w:tblGrid>
        <w:gridCol w:w="2259"/>
        <w:gridCol w:w="3690"/>
        <w:gridCol w:w="3411"/>
      </w:tblGrid>
      <w:tr w:rsidR="000E512D" w14:paraId="733260AB" w14:textId="77777777" w:rsidTr="000E512D">
        <w:trPr>
          <w:trHeight w:val="500"/>
        </w:trPr>
        <w:tc>
          <w:tcPr>
            <w:tcW w:w="2259" w:type="dxa"/>
          </w:tcPr>
          <w:p w14:paraId="43CD5CCF" w14:textId="77777777" w:rsidR="000E512D" w:rsidRDefault="00000000">
            <w:pPr>
              <w:spacing w:after="240" w:line="360" w:lineRule="auto"/>
              <w:jc w:val="center"/>
              <w:rPr>
                <w:u w:val="single"/>
              </w:rPr>
            </w:pPr>
            <w:r>
              <w:rPr>
                <w:b/>
                <w:bCs/>
                <w:u w:val="single"/>
              </w:rPr>
              <w:t>Problem</w:t>
            </w:r>
          </w:p>
        </w:tc>
        <w:tc>
          <w:tcPr>
            <w:tcW w:w="3690" w:type="dxa"/>
          </w:tcPr>
          <w:p w14:paraId="386E56BA" w14:textId="77777777" w:rsidR="000E512D" w:rsidRDefault="00000000">
            <w:pPr>
              <w:spacing w:after="240" w:line="360" w:lineRule="auto"/>
              <w:jc w:val="center"/>
              <w:rPr>
                <w:u w:val="single"/>
              </w:rPr>
            </w:pPr>
            <w:r>
              <w:rPr>
                <w:b/>
                <w:bCs/>
                <w:u w:val="single"/>
              </w:rPr>
              <w:t>Evidence/Data</w:t>
            </w:r>
          </w:p>
        </w:tc>
        <w:tc>
          <w:tcPr>
            <w:tcW w:w="3411" w:type="dxa"/>
          </w:tcPr>
          <w:p w14:paraId="7C01FC20" w14:textId="77777777" w:rsidR="000E512D" w:rsidRDefault="00000000">
            <w:pPr>
              <w:spacing w:after="240" w:line="360" w:lineRule="auto"/>
              <w:jc w:val="center"/>
              <w:rPr>
                <w:u w:val="single"/>
              </w:rPr>
            </w:pPr>
            <w:r>
              <w:rPr>
                <w:b/>
                <w:bCs/>
                <w:u w:val="single"/>
              </w:rPr>
              <w:t>Improvement Strategy</w:t>
            </w:r>
          </w:p>
        </w:tc>
      </w:tr>
      <w:tr w:rsidR="000E512D" w14:paraId="31FD2E5C" w14:textId="77777777" w:rsidTr="000E512D">
        <w:trPr>
          <w:trHeight w:val="1880"/>
        </w:trPr>
        <w:tc>
          <w:tcPr>
            <w:tcW w:w="2259" w:type="dxa"/>
          </w:tcPr>
          <w:p w14:paraId="6EB36280" w14:textId="77777777" w:rsidR="000E512D" w:rsidRDefault="00000000">
            <w:pPr>
              <w:spacing w:after="240" w:line="360" w:lineRule="auto"/>
              <w:jc w:val="center"/>
              <w:rPr>
                <w:b/>
                <w:bCs/>
                <w:i/>
                <w:iCs/>
              </w:rPr>
            </w:pPr>
            <w:r>
              <w:rPr>
                <w:b/>
                <w:bCs/>
                <w:i/>
                <w:iCs/>
              </w:rPr>
              <w:t>Weak medication verification systems</w:t>
            </w:r>
          </w:p>
        </w:tc>
        <w:tc>
          <w:tcPr>
            <w:tcW w:w="3690" w:type="dxa"/>
          </w:tcPr>
          <w:p w14:paraId="72D6B55E" w14:textId="77777777" w:rsidR="000E512D" w:rsidRDefault="00000000">
            <w:pPr>
              <w:spacing w:after="240" w:line="360" w:lineRule="auto"/>
              <w:jc w:val="both"/>
            </w:pPr>
            <w:r>
              <w:t>The problem of medication errors has not gone away; studies show that medication errors in England happen 237 million times in the first instance primary care, hospitals, and care homes in a year (BMJ, 2020).</w:t>
            </w:r>
          </w:p>
        </w:tc>
        <w:tc>
          <w:tcPr>
            <w:tcW w:w="3411" w:type="dxa"/>
          </w:tcPr>
          <w:p w14:paraId="31F8D481" w14:textId="77777777" w:rsidR="000E512D" w:rsidRDefault="00000000">
            <w:pPr>
              <w:spacing w:after="240" w:line="360" w:lineRule="auto"/>
              <w:jc w:val="both"/>
            </w:pPr>
            <w:r>
              <w:t xml:space="preserve">Implement barcode medication administration systems and e-prescription </w:t>
            </w:r>
            <w:proofErr w:type="gramStart"/>
            <w:r>
              <w:t>in an effort to</w:t>
            </w:r>
            <w:proofErr w:type="gramEnd"/>
            <w:r>
              <w:t xml:space="preserve"> decrease dispensing errors.</w:t>
            </w:r>
          </w:p>
        </w:tc>
      </w:tr>
      <w:tr w:rsidR="000E512D" w14:paraId="5F80543F" w14:textId="77777777" w:rsidTr="000E512D">
        <w:trPr>
          <w:trHeight w:val="1340"/>
        </w:trPr>
        <w:tc>
          <w:tcPr>
            <w:tcW w:w="2259" w:type="dxa"/>
          </w:tcPr>
          <w:p w14:paraId="58E83C90" w14:textId="77777777" w:rsidR="000E512D" w:rsidRDefault="00000000">
            <w:pPr>
              <w:spacing w:after="240" w:line="360" w:lineRule="auto"/>
              <w:jc w:val="center"/>
              <w:rPr>
                <w:b/>
                <w:bCs/>
                <w:i/>
                <w:iCs/>
              </w:rPr>
            </w:pPr>
            <w:r>
              <w:rPr>
                <w:b/>
                <w:bCs/>
                <w:i/>
                <w:iCs/>
              </w:rPr>
              <w:t>Poor communication and increase in procedures.</w:t>
            </w:r>
          </w:p>
        </w:tc>
        <w:tc>
          <w:tcPr>
            <w:tcW w:w="3690" w:type="dxa"/>
          </w:tcPr>
          <w:p w14:paraId="6068428B" w14:textId="77777777" w:rsidR="000E512D" w:rsidRDefault="00000000">
            <w:pPr>
              <w:spacing w:after="240" w:line="360" w:lineRule="auto"/>
              <w:jc w:val="both"/>
            </w:pPr>
            <w:r>
              <w:t>Healthcare incidences have been connected to the failure in communication between professional and department.</w:t>
            </w:r>
          </w:p>
        </w:tc>
        <w:tc>
          <w:tcPr>
            <w:tcW w:w="3411" w:type="dxa"/>
          </w:tcPr>
          <w:p w14:paraId="1ACDAD5C" w14:textId="77777777" w:rsidR="000E512D" w:rsidRDefault="00000000">
            <w:pPr>
              <w:spacing w:after="240" w:line="360" w:lineRule="auto"/>
              <w:jc w:val="both"/>
            </w:pPr>
            <w:r>
              <w:t>Use multidisciplinary safety briefing and formalized communication tools e.g. SBAR.</w:t>
            </w:r>
          </w:p>
        </w:tc>
      </w:tr>
      <w:tr w:rsidR="000E512D" w14:paraId="6897775A" w14:textId="77777777" w:rsidTr="000E512D">
        <w:trPr>
          <w:trHeight w:val="1340"/>
        </w:trPr>
        <w:tc>
          <w:tcPr>
            <w:tcW w:w="2259" w:type="dxa"/>
          </w:tcPr>
          <w:p w14:paraId="592CED12" w14:textId="77777777" w:rsidR="000E512D" w:rsidRDefault="00000000">
            <w:pPr>
              <w:spacing w:after="240" w:line="360" w:lineRule="auto"/>
              <w:jc w:val="center"/>
              <w:rPr>
                <w:b/>
                <w:bCs/>
                <w:i/>
                <w:iCs/>
              </w:rPr>
            </w:pPr>
            <w:r>
              <w:rPr>
                <w:b/>
                <w:bCs/>
                <w:i/>
                <w:iCs/>
              </w:rPr>
              <w:t>Poor culture of incident reporting</w:t>
            </w:r>
          </w:p>
        </w:tc>
        <w:tc>
          <w:tcPr>
            <w:tcW w:w="3690" w:type="dxa"/>
          </w:tcPr>
          <w:p w14:paraId="2B8FB2DE" w14:textId="77777777" w:rsidR="000E512D" w:rsidRDefault="00000000">
            <w:pPr>
              <w:spacing w:after="240" w:line="360" w:lineRule="auto"/>
              <w:jc w:val="both"/>
            </w:pPr>
            <w:proofErr w:type="spellStart"/>
            <w:r>
              <w:t>Wawersik</w:t>
            </w:r>
            <w:proofErr w:type="spellEnd"/>
            <w:r>
              <w:t xml:space="preserve"> and Palaganas (2022) </w:t>
            </w:r>
            <w:proofErr w:type="gramStart"/>
            <w:r>
              <w:t>were of the opinion that</w:t>
            </w:r>
            <w:proofErr w:type="gramEnd"/>
            <w:r>
              <w:t xml:space="preserve"> healthcare workers are reluctant to report to errors because of the hierarchical designs and fear of reproach.</w:t>
            </w:r>
          </w:p>
        </w:tc>
        <w:tc>
          <w:tcPr>
            <w:tcW w:w="3411" w:type="dxa"/>
          </w:tcPr>
          <w:p w14:paraId="42CDB4A2" w14:textId="77777777" w:rsidR="000E512D" w:rsidRDefault="00000000">
            <w:pPr>
              <w:spacing w:after="240" w:line="360" w:lineRule="auto"/>
              <w:jc w:val="both"/>
            </w:pPr>
            <w:r>
              <w:t>Ensure that a culture of just culture is promoted, where employees are free to report incidences without any chance of being punished.</w:t>
            </w:r>
          </w:p>
        </w:tc>
      </w:tr>
      <w:tr w:rsidR="000E512D" w14:paraId="65351A85" w14:textId="77777777" w:rsidTr="000E512D">
        <w:trPr>
          <w:trHeight w:val="1340"/>
        </w:trPr>
        <w:tc>
          <w:tcPr>
            <w:tcW w:w="2259" w:type="dxa"/>
          </w:tcPr>
          <w:p w14:paraId="15CAA2FF" w14:textId="77777777" w:rsidR="000E512D" w:rsidRDefault="00000000">
            <w:pPr>
              <w:spacing w:after="240" w:line="360" w:lineRule="auto"/>
              <w:jc w:val="center"/>
              <w:rPr>
                <w:b/>
                <w:bCs/>
                <w:i/>
                <w:iCs/>
              </w:rPr>
            </w:pPr>
            <w:r>
              <w:rPr>
                <w:b/>
                <w:bCs/>
                <w:i/>
                <w:iCs/>
              </w:rPr>
              <w:t>Gap between national policy and local implementation</w:t>
            </w:r>
          </w:p>
        </w:tc>
        <w:tc>
          <w:tcPr>
            <w:tcW w:w="3690" w:type="dxa"/>
          </w:tcPr>
          <w:p w14:paraId="19DBC850" w14:textId="77777777" w:rsidR="000E512D" w:rsidRDefault="00000000">
            <w:pPr>
              <w:spacing w:after="240" w:line="360" w:lineRule="auto"/>
              <w:jc w:val="both"/>
            </w:pPr>
            <w:r>
              <w:t>National prescript regulations on opioids do not eliminate the presence of local dispensing errors.</w:t>
            </w:r>
          </w:p>
        </w:tc>
        <w:tc>
          <w:tcPr>
            <w:tcW w:w="3411" w:type="dxa"/>
          </w:tcPr>
          <w:p w14:paraId="1FA056F8" w14:textId="77777777" w:rsidR="000E512D" w:rsidRDefault="00000000">
            <w:pPr>
              <w:spacing w:after="240" w:line="360" w:lineRule="auto"/>
              <w:jc w:val="both"/>
            </w:pPr>
            <w:r>
              <w:t>Fortify clinical governance audits and demand regular medication safety training for staff.</w:t>
            </w:r>
          </w:p>
        </w:tc>
      </w:tr>
    </w:tbl>
    <w:p w14:paraId="41474386" w14:textId="77777777" w:rsidR="000E512D" w:rsidRDefault="000E512D">
      <w:pPr>
        <w:spacing w:after="240" w:line="360" w:lineRule="auto"/>
        <w:jc w:val="both"/>
      </w:pPr>
    </w:p>
    <w:p w14:paraId="65F63209" w14:textId="77777777" w:rsidR="000E512D" w:rsidRDefault="00000000">
      <w:pPr>
        <w:spacing w:after="240" w:line="360" w:lineRule="auto"/>
        <w:jc w:val="center"/>
        <w:rPr>
          <w:b/>
          <w:bCs/>
        </w:rPr>
      </w:pPr>
      <w:r>
        <w:rPr>
          <w:b/>
          <w:bCs/>
        </w:rPr>
        <w:t>Table 2: Key Problems Identified in the Case Study</w:t>
      </w:r>
    </w:p>
    <w:p w14:paraId="30EA729D" w14:textId="77777777" w:rsidR="000E512D" w:rsidRDefault="00000000">
      <w:pPr>
        <w:spacing w:after="240" w:line="360" w:lineRule="auto"/>
        <w:jc w:val="both"/>
      </w:pPr>
      <w:r>
        <w:lastRenderedPageBreak/>
        <w:t>The issue of psychological safety in healthcare teams is one of the important lessons learned in the case. Psychological safety is the presence of the work environment where the staff members are not afraid to raise concerns, report mistakes, and ask questions without the risk of being punished (</w:t>
      </w:r>
      <w:proofErr w:type="spellStart"/>
      <w:r>
        <w:t>Ewuzie</w:t>
      </w:r>
      <w:proofErr w:type="spellEnd"/>
      <w:r>
        <w:t xml:space="preserve"> and Obong, 2024). Studies indicate that healthcare organisations where safety cultures are strong, record more incidences of reporting and better patient outcomes. Had the staff members that were in the dispensing process been comfortable questioning prescribed drugs that had some reason or how they did not match the levels of their specific drugs, the mistake could have been realized sooner.</w:t>
      </w:r>
    </w:p>
    <w:p w14:paraId="2D3BC7BB" w14:textId="77777777" w:rsidR="000E512D" w:rsidRDefault="00000000">
      <w:pPr>
        <w:spacing w:after="240" w:line="360" w:lineRule="auto"/>
        <w:jc w:val="both"/>
      </w:pPr>
      <w:r>
        <w:t>The way in which the incident was handled was also dependent on the style of leadership. Transactional leadership is used extensively in healthcare organisations and is concerned with adherence to rules and regulations (Abbas, 2025). Although this is a significant way of ensuring the maintenance of the standards of regulation, it might not bring about innovation or free communication. Contrarily, the transformational leadership style focuses on empowering employees, a common vision, and innovation. More convincing transformational leadership style in the case would have promoted proactive safety monitoring, engagement of employees and better reporting of incidents.</w:t>
      </w:r>
    </w:p>
    <w:p w14:paraId="696A0A7A" w14:textId="77777777" w:rsidR="000E512D" w:rsidRDefault="00000000">
      <w:pPr>
        <w:spacing w:after="240" w:line="360" w:lineRule="auto"/>
        <w:jc w:val="both"/>
      </w:pPr>
      <w:r>
        <w:t xml:space="preserve">The other opportunity that was not tapped is the use of data to manage proactive safety. According to the opinion of </w:t>
      </w:r>
      <w:proofErr w:type="spellStart"/>
      <w:r>
        <w:t>Goekcimen</w:t>
      </w:r>
      <w:proofErr w:type="spellEnd"/>
      <w:r>
        <w:t xml:space="preserve"> et al. (2022), healthcare organisations are planning vast amounts of patient safety data with incident reporting systems, and even though this system is not always utilized efficiently to stop any future incidents occurrences. To illustrate the point, national patient safety reporting systems gather data on medication errors, but the occurrence of numerous similar situations, due to morphine overdoses, suggests that the effect of previous events was not utilized. </w:t>
      </w:r>
    </w:p>
    <w:p w14:paraId="2420D758" w14:textId="77777777" w:rsidR="000E512D" w:rsidRDefault="00000000">
      <w:pPr>
        <w:spacing w:after="240" w:line="360" w:lineRule="auto"/>
        <w:jc w:val="both"/>
      </w:pPr>
      <w:r>
        <w:t xml:space="preserve">The connection between system structure, style of leadership, and feedback mechanisms contributed immensely </w:t>
      </w:r>
      <w:proofErr w:type="gramStart"/>
      <w:r>
        <w:t>in</w:t>
      </w:r>
      <w:proofErr w:type="gramEnd"/>
      <w:r>
        <w:t xml:space="preserve"> influencing the way this case was handled. The centralised system of government offered the nationwide principles on opioid prescribing and medication safety (World Health Organization, 2025). However, decentralised operational systems implied that those professionals working on the frontline had the responsibility of putting these guidelines in practice. </w:t>
      </w:r>
    </w:p>
    <w:p w14:paraId="1AF20976" w14:textId="77777777" w:rsidR="000E512D" w:rsidRDefault="00000000">
      <w:pPr>
        <w:spacing w:after="240" w:line="360" w:lineRule="auto"/>
        <w:jc w:val="both"/>
      </w:pPr>
      <w:r>
        <w:t xml:space="preserve">This case has </w:t>
      </w:r>
      <w:proofErr w:type="gramStart"/>
      <w:r>
        <w:t>a number of</w:t>
      </w:r>
      <w:proofErr w:type="gramEnd"/>
      <w:r>
        <w:t xml:space="preserve"> lessons that can be learnt by healthcare organisations. To start with, the issue of safety among patients should be considered a system-wide issue instead of an issue of individual health care professionals (Nacu, Constantin and </w:t>
      </w:r>
      <w:proofErr w:type="spellStart"/>
      <w:r>
        <w:t>Rogozea</w:t>
      </w:r>
      <w:proofErr w:type="spellEnd"/>
      <w:r>
        <w:t xml:space="preserve">, 2025). To play on the </w:t>
      </w:r>
      <w:r>
        <w:lastRenderedPageBreak/>
        <w:t>negative side, organisational, technological and human factors make a good combination that leads to errors. Second, practice by the leadership should encourage cross-disciplinary communication, life-long learning, and teamwork. Third, patient safety data should be better used in healthcare organisations to discover patterns and avoid further occurrences.</w:t>
      </w:r>
    </w:p>
    <w:p w14:paraId="5261BA13" w14:textId="77777777" w:rsidR="000E512D" w:rsidRDefault="00000000">
      <w:pPr>
        <w:pStyle w:val="Heading1"/>
        <w:spacing w:after="240"/>
      </w:pPr>
      <w:bookmarkStart w:id="20" w:name="_i627qmslrods" w:colFirst="0" w:colLast="0"/>
      <w:bookmarkEnd w:id="20"/>
      <w:r>
        <w:t>3. Conclusion</w:t>
      </w:r>
    </w:p>
    <w:p w14:paraId="0A2C4C50" w14:textId="77777777" w:rsidR="000E512D" w:rsidRDefault="00000000">
      <w:pPr>
        <w:spacing w:after="240" w:line="360" w:lineRule="auto"/>
        <w:jc w:val="both"/>
      </w:pPr>
      <w:r>
        <w:t xml:space="preserve">This report discussed a medication safety event that involved a </w:t>
      </w:r>
      <w:proofErr w:type="gramStart"/>
      <w:r>
        <w:t>four-week old</w:t>
      </w:r>
      <w:proofErr w:type="gramEnd"/>
      <w:r>
        <w:t xml:space="preserve"> baby who was overdosed on morphine sulphate four times </w:t>
      </w:r>
      <w:proofErr w:type="gramStart"/>
      <w:r>
        <w:t>as a result of</w:t>
      </w:r>
      <w:proofErr w:type="gramEnd"/>
      <w:r>
        <w:t xml:space="preserve"> dispensing error. It was revealed in the analysis that it was not a mere case of an individual human error, but it indicated systemic vulnerabilities in healthcare systems. </w:t>
      </w:r>
      <w:proofErr w:type="gramStart"/>
      <w:r>
        <w:t>Through the use of</w:t>
      </w:r>
      <w:proofErr w:type="gramEnd"/>
      <w:r>
        <w:t xml:space="preserve"> systems thinking, the report established that efforts made by the failure of quality communication, verification processes, and organisational control processes (enabled) the mistake. International and national data revealed that medication errors still constitute one of the most critical patient safety threats, and each year, the number of reported cases is equal to </w:t>
      </w:r>
      <w:proofErr w:type="gramStart"/>
      <w:r>
        <w:t>millions</w:t>
      </w:r>
      <w:proofErr w:type="gramEnd"/>
      <w:r>
        <w:t xml:space="preserve"> and the risk is very high especially in neonatal care.</w:t>
      </w:r>
    </w:p>
    <w:p w14:paraId="607851A2" w14:textId="77777777" w:rsidR="000E512D" w:rsidRDefault="00000000">
      <w:pPr>
        <w:spacing w:after="240" w:line="360" w:lineRule="auto"/>
        <w:jc w:val="both"/>
      </w:pPr>
      <w:r>
        <w:t xml:space="preserve">It has also discussed the effects of organisational governance structure on patient safety. The NHS has centralised systems that offer national standards, national policies and national safety guidance to maintain uniformity throughout the healthcare organisations. Nonetheless, the decentralised aspect of clinical practise implies that frontline professionals </w:t>
      </w:r>
      <w:proofErr w:type="gramStart"/>
      <w:r>
        <w:t>have to</w:t>
      </w:r>
      <w:proofErr w:type="gramEnd"/>
      <w:r>
        <w:t xml:space="preserve"> play the role of executing the safety procedures in everyday activities. The case of morphine overdose identified the flaws in local verification processes and workforce pressures as possible influencers of system performance.</w:t>
      </w:r>
    </w:p>
    <w:p w14:paraId="02E09304" w14:textId="77777777" w:rsidR="000E512D" w:rsidRDefault="00000000">
      <w:pPr>
        <w:spacing w:after="240" w:line="360" w:lineRule="auto"/>
        <w:jc w:val="both"/>
      </w:pPr>
      <w:r>
        <w:t>Moreover, the usage of the leadership theories demonstrated the significance of effective leadership in medication errors prevention and enhancement of safety culture. Transformational leadership promotes learning and the free flow of information, transactional leadership enhances adherence to safety protocols, and situational leadership helps leaders change their style in complicated clinical scenarios. Altogether, to make the healthcare organisations safer and more effective concerning the reduction of medication errors and coping with the overall health of patients, it is crucial to improve leadership practises, enhance governance mechanisms, and increase safety systems.</w:t>
      </w:r>
    </w:p>
    <w:p w14:paraId="7C74A7CA" w14:textId="77777777" w:rsidR="000E512D" w:rsidRDefault="00000000">
      <w:pPr>
        <w:pStyle w:val="Heading1"/>
        <w:spacing w:after="240"/>
      </w:pPr>
      <w:bookmarkStart w:id="21" w:name="_lqbshhukq102" w:colFirst="0" w:colLast="0"/>
      <w:bookmarkEnd w:id="21"/>
      <w:r>
        <w:lastRenderedPageBreak/>
        <w:t xml:space="preserve">4. Recommendations </w:t>
      </w:r>
    </w:p>
    <w:p w14:paraId="2255D817" w14:textId="77777777" w:rsidR="000E512D" w:rsidRDefault="00000000">
      <w:pPr>
        <w:spacing w:after="240" w:line="360" w:lineRule="auto"/>
        <w:jc w:val="both"/>
      </w:pPr>
      <w:r>
        <w:t>Resting on the interpretation of the morphine overdose case, it is possible to suggest some practical and evidence-based recommendations on how to enhance patient safety, the effectiveness of the leaders, and governance in the healthcare organisation.  Therefore, the organisation must focus on redesigning of the system immediately, developing capacity to lead and establishing continuous monitoring procedures to avoid the reoccurrence of similar incidents. The recommendations are directed at empowering the leadership strategies, bettering the medication safety systems, improving the governance frameworks, and encouraging a learning organisation.</w:t>
      </w:r>
    </w:p>
    <w:p w14:paraId="524F9D88" w14:textId="77777777" w:rsidR="000E512D" w:rsidRDefault="00000000">
      <w:pPr>
        <w:numPr>
          <w:ilvl w:val="0"/>
          <w:numId w:val="1"/>
        </w:numPr>
        <w:pBdr>
          <w:top w:val="nil"/>
          <w:left w:val="nil"/>
          <w:bottom w:val="nil"/>
          <w:right w:val="nil"/>
          <w:between w:val="nil"/>
        </w:pBdr>
        <w:spacing w:after="240" w:line="360" w:lineRule="auto"/>
        <w:jc w:val="both"/>
        <w:rPr>
          <w:b/>
          <w:bCs/>
          <w:i/>
          <w:iCs/>
        </w:rPr>
      </w:pPr>
      <w:r>
        <w:rPr>
          <w:b/>
          <w:bCs/>
          <w:i/>
          <w:iCs/>
        </w:rPr>
        <w:t>Implication of transformational leadership style</w:t>
      </w:r>
    </w:p>
    <w:p w14:paraId="535B4691" w14:textId="77777777" w:rsidR="000E512D" w:rsidRDefault="00000000">
      <w:pPr>
        <w:spacing w:after="240" w:line="360" w:lineRule="auto"/>
        <w:jc w:val="both"/>
      </w:pPr>
      <w:r>
        <w:t>To ensure continued long-term improvement, the organisation must use the transformational leadership style with an aspect of situational leadership. Transformational leadership promotes the leader to inspire the staff, develop a common vision of patient safety and support an organizational culture of life-long learning and innovation (</w:t>
      </w:r>
      <w:proofErr w:type="spellStart"/>
      <w:r>
        <w:t>Ouzounakis</w:t>
      </w:r>
      <w:proofErr w:type="spellEnd"/>
      <w:r>
        <w:t xml:space="preserve"> et al., 2025). Such leadership has been linked to increased staff engagement, enhanced culture of safety and improved patient outcomes in healthcare setting. Meanwhile, situational leadership enables leaders to change their style of management based on a situation and the urgency of the context. The role of leaders in the cases of medication safety crisis or other serious incidents may be associated with the more directive approach to the situation to provide quick decisions, whereas in the normal practice they are supposed to provide other frontline professionals with the opportunity to </w:t>
      </w:r>
      <w:proofErr w:type="gramStart"/>
      <w:r>
        <w:t>make a contribution</w:t>
      </w:r>
      <w:proofErr w:type="gramEnd"/>
      <w:r>
        <w:t xml:space="preserve"> to improving the situation in terms of safety.</w:t>
      </w:r>
    </w:p>
    <w:p w14:paraId="6FAF128C" w14:textId="77777777" w:rsidR="000E512D" w:rsidRDefault="00000000">
      <w:pPr>
        <w:numPr>
          <w:ilvl w:val="0"/>
          <w:numId w:val="1"/>
        </w:numPr>
        <w:pBdr>
          <w:top w:val="nil"/>
          <w:left w:val="nil"/>
          <w:bottom w:val="nil"/>
          <w:right w:val="nil"/>
          <w:between w:val="nil"/>
        </w:pBdr>
        <w:spacing w:after="240" w:line="360" w:lineRule="auto"/>
        <w:jc w:val="both"/>
        <w:rPr>
          <w:b/>
          <w:bCs/>
          <w:i/>
          <w:iCs/>
        </w:rPr>
      </w:pPr>
      <w:r>
        <w:rPr>
          <w:b/>
          <w:bCs/>
          <w:i/>
          <w:iCs/>
        </w:rPr>
        <w:t>Strengthening of the governing systems</w:t>
      </w:r>
    </w:p>
    <w:p w14:paraId="2A6777F3" w14:textId="77777777" w:rsidR="000E512D" w:rsidRDefault="00000000">
      <w:pPr>
        <w:spacing w:after="240" w:line="360" w:lineRule="auto"/>
        <w:jc w:val="both"/>
      </w:pPr>
      <w:r>
        <w:t xml:space="preserve">Second, there should be the strengthening of the governing systems where the national policies are effectively applied at lower level. Regular medication safety audits especially of high-risk drugs like opioids should be introduced to healthcare organisations (Sharma, Prakash and Medhi, 2024). Such audits are to observe the pattern of prescription, dispensing and safety rules observance. Besides, organizations must also set up accountable framework that would introduce responsibility towards medication safety among the pharmacist, clinician, and management teams. Effective clinical governance policies will assist in ensuring the safety policy becomes a </w:t>
      </w:r>
      <w:r>
        <w:lastRenderedPageBreak/>
        <w:t>consistent practice. In addition, accountability and transparency should be enhanced by using real-time incident reporting dashboards and establishing smooth avenues of escalation.</w:t>
      </w:r>
    </w:p>
    <w:p w14:paraId="5E717F1D" w14:textId="77777777" w:rsidR="000E512D" w:rsidRDefault="00000000">
      <w:pPr>
        <w:numPr>
          <w:ilvl w:val="0"/>
          <w:numId w:val="1"/>
        </w:numPr>
        <w:pBdr>
          <w:top w:val="nil"/>
          <w:left w:val="nil"/>
          <w:bottom w:val="nil"/>
          <w:right w:val="nil"/>
          <w:between w:val="nil"/>
        </w:pBdr>
        <w:spacing w:after="240" w:line="360" w:lineRule="auto"/>
        <w:jc w:val="both"/>
        <w:rPr>
          <w:b/>
          <w:bCs/>
          <w:i/>
          <w:iCs/>
        </w:rPr>
      </w:pPr>
      <w:r>
        <w:rPr>
          <w:b/>
          <w:bCs/>
          <w:i/>
          <w:iCs/>
        </w:rPr>
        <w:t>Enhanced communication and systems integration</w:t>
      </w:r>
    </w:p>
    <w:p w14:paraId="43267392" w14:textId="77777777" w:rsidR="000E512D" w:rsidRDefault="00000000">
      <w:pPr>
        <w:spacing w:after="240" w:line="360" w:lineRule="auto"/>
        <w:jc w:val="both"/>
      </w:pPr>
      <w:r>
        <w:t>Third, there ought to be enhanced communication and systems integration between departments. Most of the time medication errors are brought about by miscommunication between the prescribers, pharmacists and the nurses. The structured communication, in turn, is something that the organisation should implement to create a standardized information channel within the healthcare profession, i.e., SBAR (Situation, Background, Assessment, and Recommendation) (Coolen et al., 2020). Moreover, the use of electronic prescribing systems and barcode medication administration technologies can considerably lower the dispensing errors risk because of providing accurate medication identification and checking the dosage. A blend of these systems within all departments will guarantee a smooth flow of data and minimize the disintegration of care delivery.</w:t>
      </w:r>
    </w:p>
    <w:p w14:paraId="352C816E" w14:textId="77777777" w:rsidR="000E512D" w:rsidRDefault="00000000">
      <w:pPr>
        <w:numPr>
          <w:ilvl w:val="0"/>
          <w:numId w:val="1"/>
        </w:numPr>
        <w:pBdr>
          <w:top w:val="nil"/>
          <w:left w:val="nil"/>
          <w:bottom w:val="nil"/>
          <w:right w:val="nil"/>
          <w:between w:val="nil"/>
        </w:pBdr>
        <w:spacing w:after="240" w:line="360" w:lineRule="auto"/>
        <w:jc w:val="both"/>
        <w:rPr>
          <w:b/>
          <w:bCs/>
          <w:i/>
          <w:iCs/>
        </w:rPr>
      </w:pPr>
      <w:r>
        <w:rPr>
          <w:b/>
          <w:bCs/>
          <w:i/>
          <w:iCs/>
        </w:rPr>
        <w:t>Enhancement of technical and allocative efficiency</w:t>
      </w:r>
    </w:p>
    <w:p w14:paraId="076E2731" w14:textId="77777777" w:rsidR="000E512D" w:rsidRDefault="00000000">
      <w:pPr>
        <w:spacing w:after="240" w:line="360" w:lineRule="auto"/>
        <w:jc w:val="both"/>
      </w:pPr>
      <w:r>
        <w:t>The other valuable suggestion is to enhance technical and allocative efficiency of healthcare system. Adoption of digital technologies that aid in the management of medications can be used to improve technical efficiency, including automated dispensing system and electronic patient records. The improvement of the allocative efficiency can be conducted through the assurance of the allocation of healthcare resources, such as staff training and safety monitoring systems, to high-risk areas, such as medication safety. Adverse drug events can be mitigated through long-range investments in preventative safety to curb adverse effects on healthcare costs. Moreover, lifelong training of the staff, patient participation in safety debate, and approaches toward co-production ought to be promoted to enhance constant learning and involvement of the stakeholders.</w:t>
      </w:r>
    </w:p>
    <w:p w14:paraId="27E22831" w14:textId="77777777" w:rsidR="000E512D" w:rsidRDefault="000E512D">
      <w:pPr>
        <w:spacing w:after="240" w:line="360" w:lineRule="auto"/>
      </w:pPr>
    </w:p>
    <w:p w14:paraId="2A2CABC8" w14:textId="77777777" w:rsidR="000E512D" w:rsidRDefault="00000000">
      <w:pPr>
        <w:spacing w:after="240" w:line="360" w:lineRule="auto"/>
        <w:jc w:val="both"/>
      </w:pPr>
      <w:r>
        <w:br w:type="page"/>
      </w:r>
    </w:p>
    <w:p w14:paraId="0EC6D22E" w14:textId="77777777" w:rsidR="000E512D" w:rsidRDefault="00000000">
      <w:pPr>
        <w:pStyle w:val="Heading1"/>
        <w:spacing w:after="240"/>
        <w:rPr>
          <w:b w:val="0"/>
          <w:bCs w:val="0"/>
        </w:rPr>
      </w:pPr>
      <w:bookmarkStart w:id="22" w:name="_h31v92ox09ze" w:colFirst="0" w:colLast="0"/>
      <w:bookmarkEnd w:id="22"/>
      <w:r>
        <w:lastRenderedPageBreak/>
        <w:t>Reference List</w:t>
      </w:r>
    </w:p>
    <w:p w14:paraId="7C79DCDD" w14:textId="77777777" w:rsidR="000E512D" w:rsidRDefault="00000000">
      <w:pPr>
        <w:spacing w:after="240" w:line="360" w:lineRule="auto"/>
        <w:jc w:val="both"/>
      </w:pPr>
      <w:r>
        <w:t xml:space="preserve">Abbas, A.A. (2025). Transformational Leadership and Regulatory Compliance: Strategies for Safer Healthcare Delivery. </w:t>
      </w:r>
      <w:r>
        <w:rPr>
          <w:i/>
          <w:iCs/>
        </w:rPr>
        <w:t>Journal of Global Health and Social Medicine</w:t>
      </w:r>
      <w:r>
        <w:t xml:space="preserve">, [online] 1(1), pp.1–8. </w:t>
      </w:r>
      <w:proofErr w:type="spellStart"/>
      <w:r>
        <w:t>doi</w:t>
      </w:r>
      <w:proofErr w:type="spellEnd"/>
      <w:r>
        <w:t xml:space="preserve">: </w:t>
      </w:r>
      <w:hyperlink r:id="rId12">
        <w:r>
          <w:rPr>
            <w:u w:val="single"/>
          </w:rPr>
          <w:t>https://doi.org/10.61440/jghsm.2025.v1.06</w:t>
        </w:r>
      </w:hyperlink>
      <w:r>
        <w:t xml:space="preserve">. </w:t>
      </w:r>
    </w:p>
    <w:p w14:paraId="6A1B064A" w14:textId="77777777" w:rsidR="000E512D" w:rsidRDefault="00000000">
      <w:pPr>
        <w:pBdr>
          <w:top w:val="nil"/>
          <w:left w:val="nil"/>
          <w:bottom w:val="nil"/>
          <w:right w:val="nil"/>
          <w:between w:val="nil"/>
        </w:pBdr>
        <w:spacing w:after="240" w:line="360" w:lineRule="auto"/>
        <w:jc w:val="both"/>
      </w:pPr>
      <w:proofErr w:type="spellStart"/>
      <w:r>
        <w:t>Åhlin</w:t>
      </w:r>
      <w:proofErr w:type="spellEnd"/>
      <w:r>
        <w:t xml:space="preserve">, P. (2026). Bottom-up perspectives on hospital-wide patient flow – a multi-site qualitative study of solutions to organisational paradoxes. </w:t>
      </w:r>
      <w:r>
        <w:rPr>
          <w:i/>
          <w:iCs/>
        </w:rPr>
        <w:t>BMC Health Services Research</w:t>
      </w:r>
      <w:r>
        <w:t xml:space="preserve">, 18(15). </w:t>
      </w:r>
      <w:proofErr w:type="spellStart"/>
      <w:r>
        <w:t>doi</w:t>
      </w:r>
      <w:proofErr w:type="spellEnd"/>
      <w:r>
        <w:t xml:space="preserve">: </w:t>
      </w:r>
      <w:hyperlink r:id="rId13">
        <w:r>
          <w:rPr>
            <w:u w:val="single"/>
          </w:rPr>
          <w:t>https://doi.org/10.1186/s12913-026-14214-w</w:t>
        </w:r>
      </w:hyperlink>
      <w:r>
        <w:t xml:space="preserve"> </w:t>
      </w:r>
    </w:p>
    <w:p w14:paraId="29CD3667" w14:textId="77777777" w:rsidR="000E512D" w:rsidRDefault="00000000">
      <w:pPr>
        <w:spacing w:after="240" w:line="360" w:lineRule="auto"/>
        <w:jc w:val="both"/>
      </w:pPr>
      <w:r>
        <w:t xml:space="preserve">Alghamdi, A.A., Keers, R.N., Sutherland, A., Carson-Stevens, A. and Ashcroft, D.M. (2021). A Mixed-Methods Analysis of Medication Safety Incidents Reported in Neonatal and Children’s Intensive Care. </w:t>
      </w:r>
      <w:proofErr w:type="spellStart"/>
      <w:r>
        <w:rPr>
          <w:i/>
          <w:iCs/>
        </w:rPr>
        <w:t>Pediatric</w:t>
      </w:r>
      <w:proofErr w:type="spellEnd"/>
      <w:r>
        <w:rPr>
          <w:i/>
          <w:iCs/>
        </w:rPr>
        <w:t xml:space="preserve"> Drugs</w:t>
      </w:r>
      <w:r>
        <w:t xml:space="preserve">, 23(3), pp.287–297. </w:t>
      </w:r>
      <w:proofErr w:type="spellStart"/>
      <w:proofErr w:type="gramStart"/>
      <w:r>
        <w:t>doi:https</w:t>
      </w:r>
      <w:proofErr w:type="spellEnd"/>
      <w:r>
        <w:t>://doi.org/10.1007/s40272-021-00442-6</w:t>
      </w:r>
      <w:proofErr w:type="gramEnd"/>
      <w:r>
        <w:t>.</w:t>
      </w:r>
    </w:p>
    <w:p w14:paraId="40ACC803" w14:textId="77777777" w:rsidR="000E512D" w:rsidRDefault="00000000">
      <w:pPr>
        <w:spacing w:after="240" w:line="360" w:lineRule="auto"/>
        <w:jc w:val="both"/>
      </w:pPr>
      <w:r>
        <w:t xml:space="preserve">Anbalagan, S., Mendez, M.D. and Falkowitz, D.M. (2024). </w:t>
      </w:r>
      <w:r>
        <w:rPr>
          <w:i/>
          <w:iCs/>
        </w:rPr>
        <w:t>Neonatal abstinence syndrome</w:t>
      </w:r>
      <w:r>
        <w:t>. [online] Nih.gov. Available at: https://www.ncbi.nlm.nih.gov/books/NBK551498/ [Accessed 20 Apr. 2026].</w:t>
      </w:r>
    </w:p>
    <w:p w14:paraId="3F81F694" w14:textId="77777777" w:rsidR="000E512D" w:rsidRDefault="00000000">
      <w:pPr>
        <w:spacing w:after="240" w:line="360" w:lineRule="auto"/>
        <w:jc w:val="both"/>
      </w:pPr>
      <w:r>
        <w:t xml:space="preserve">Anjum, D.F., Din, B.R.U. and ASHRAF, D.S. (2024). </w:t>
      </w:r>
      <w:r>
        <w:rPr>
          <w:i/>
          <w:iCs/>
        </w:rPr>
        <w:t xml:space="preserve">Patient Safety and Quality </w:t>
      </w:r>
      <w:proofErr w:type="spellStart"/>
      <w:proofErr w:type="gramStart"/>
      <w:r>
        <w:rPr>
          <w:i/>
          <w:iCs/>
        </w:rPr>
        <w:t>Improvement:Reducing</w:t>
      </w:r>
      <w:proofErr w:type="spellEnd"/>
      <w:proofErr w:type="gramEnd"/>
      <w:r>
        <w:rPr>
          <w:i/>
          <w:iCs/>
        </w:rPr>
        <w:t xml:space="preserve"> Medical Errors in Healthcare</w:t>
      </w:r>
      <w:r>
        <w:t xml:space="preserve">. [online] Researchcorridor.org. Available at: </w:t>
      </w:r>
      <w:hyperlink r:id="rId14">
        <w:r>
          <w:rPr>
            <w:u w:val="single"/>
          </w:rPr>
          <w:t>https://researchcorridor.org/index.php/mjh/article/view/49</w:t>
        </w:r>
      </w:hyperlink>
      <w:r>
        <w:t xml:space="preserve"> [Accessed 16 Mar. 2026].</w:t>
      </w:r>
    </w:p>
    <w:p w14:paraId="77DD5D49" w14:textId="77777777" w:rsidR="000E512D" w:rsidRDefault="00000000">
      <w:pPr>
        <w:spacing w:after="240" w:line="360" w:lineRule="auto"/>
        <w:jc w:val="both"/>
      </w:pPr>
      <w:r>
        <w:t xml:space="preserve">BMJ (2020). </w:t>
      </w:r>
      <w:r>
        <w:rPr>
          <w:i/>
          <w:iCs/>
        </w:rPr>
        <w:t>237+ million medication errors made every year in England - BMJ Group</w:t>
      </w:r>
      <w:r>
        <w:t xml:space="preserve">. [online] BMJ. Available at: </w:t>
      </w:r>
      <w:hyperlink r:id="rId15">
        <w:r>
          <w:rPr>
            <w:u w:val="single"/>
          </w:rPr>
          <w:t>https://www.bmj.com/company/%20newsroom/237-million-medication-errors-made-every-year-in-england</w:t>
        </w:r>
      </w:hyperlink>
      <w:r>
        <w:t xml:space="preserve"> [Accessed 16 Mar. 2026].</w:t>
      </w:r>
    </w:p>
    <w:p w14:paraId="0250AB57" w14:textId="77777777" w:rsidR="000E512D" w:rsidRDefault="00000000">
      <w:pPr>
        <w:pBdr>
          <w:top w:val="nil"/>
          <w:left w:val="nil"/>
          <w:bottom w:val="nil"/>
          <w:right w:val="nil"/>
          <w:between w:val="nil"/>
        </w:pBdr>
        <w:spacing w:after="240" w:line="360" w:lineRule="auto"/>
        <w:jc w:val="both"/>
      </w:pPr>
      <w:r>
        <w:t xml:space="preserve">BMJ (2020). </w:t>
      </w:r>
      <w:r>
        <w:rPr>
          <w:i/>
          <w:iCs/>
        </w:rPr>
        <w:t>237+ million medication errors made every year in England - BMJ Group</w:t>
      </w:r>
      <w:r>
        <w:t xml:space="preserve">. [online] BMJ. Available at: </w:t>
      </w:r>
      <w:hyperlink r:id="rId16">
        <w:r>
          <w:rPr>
            <w:u w:val="single"/>
          </w:rPr>
          <w:t>https://www.bmj.com/company/%20newsroom/237-million-medication-errors-made-every-year-in-england/</w:t>
        </w:r>
      </w:hyperlink>
      <w:r>
        <w:t xml:space="preserve"> [Accessed 16 Mar. 2026].</w:t>
      </w:r>
    </w:p>
    <w:p w14:paraId="6BC9D8C8" w14:textId="77777777" w:rsidR="000E512D" w:rsidRDefault="00000000">
      <w:pPr>
        <w:pBdr>
          <w:top w:val="nil"/>
          <w:left w:val="nil"/>
          <w:bottom w:val="nil"/>
          <w:right w:val="nil"/>
          <w:between w:val="nil"/>
        </w:pBdr>
        <w:spacing w:after="240" w:line="360" w:lineRule="auto"/>
        <w:jc w:val="both"/>
      </w:pPr>
      <w:r>
        <w:t xml:space="preserve">Cattell, M., Hyde, K., Bell, B., Dawson, T., Hills, T., </w:t>
      </w:r>
      <w:proofErr w:type="spellStart"/>
      <w:r>
        <w:t>Iyen</w:t>
      </w:r>
      <w:proofErr w:type="spellEnd"/>
      <w:r>
        <w:t xml:space="preserve">, B., Khimji, A. and Avery, A. (2023). Retrospective review of medication-related incidents at a major teaching hospital and the potential mitigation of these incidents with electronic prescribing and medicines administration. </w:t>
      </w:r>
      <w:r>
        <w:rPr>
          <w:i/>
          <w:iCs/>
        </w:rPr>
        <w:t>European Journal of Hospital Pharmacy</w:t>
      </w:r>
      <w:r>
        <w:t xml:space="preserve">, 31(4), </w:t>
      </w:r>
      <w:proofErr w:type="gramStart"/>
      <w:r>
        <w:t>p.ejhpharm</w:t>
      </w:r>
      <w:proofErr w:type="gramEnd"/>
      <w:r>
        <w:t xml:space="preserve">-2022-003515. </w:t>
      </w:r>
      <w:proofErr w:type="spellStart"/>
      <w:r>
        <w:t>doi</w:t>
      </w:r>
      <w:proofErr w:type="spellEnd"/>
      <w:r>
        <w:t xml:space="preserve">: </w:t>
      </w:r>
      <w:hyperlink r:id="rId17">
        <w:r>
          <w:rPr>
            <w:u w:val="single"/>
          </w:rPr>
          <w:t>https://doi.org/10.1136/ejhpharm-2022-003515</w:t>
        </w:r>
      </w:hyperlink>
      <w:r>
        <w:t xml:space="preserve"> </w:t>
      </w:r>
    </w:p>
    <w:p w14:paraId="398E68FF" w14:textId="77777777" w:rsidR="000E512D" w:rsidRDefault="00000000">
      <w:pPr>
        <w:spacing w:after="240" w:line="360" w:lineRule="auto"/>
        <w:jc w:val="both"/>
      </w:pPr>
      <w:r>
        <w:lastRenderedPageBreak/>
        <w:t xml:space="preserve">Cherry, K. (2023). </w:t>
      </w:r>
      <w:r>
        <w:rPr>
          <w:i/>
          <w:iCs/>
        </w:rPr>
        <w:t>4 Key Transformational Leadership Characteristics - Explore Psychology</w:t>
      </w:r>
      <w:r>
        <w:t xml:space="preserve">. [online] Explore Psychology. Available at: </w:t>
      </w:r>
      <w:hyperlink r:id="rId18">
        <w:r>
          <w:rPr>
            <w:u w:val="single"/>
          </w:rPr>
          <w:t>https://www.explorepsychology.com/transformational-leadership-characteristics/</w:t>
        </w:r>
      </w:hyperlink>
      <w:r>
        <w:t xml:space="preserve"> [Accessed 16 Mar. 2026].</w:t>
      </w:r>
    </w:p>
    <w:p w14:paraId="275EBE41" w14:textId="77777777" w:rsidR="000E512D" w:rsidRDefault="00000000">
      <w:pPr>
        <w:spacing w:after="240" w:line="360" w:lineRule="auto"/>
        <w:jc w:val="both"/>
      </w:pPr>
      <w:proofErr w:type="spellStart"/>
      <w:r>
        <w:t>Ciekanowski</w:t>
      </w:r>
      <w:proofErr w:type="spellEnd"/>
      <w:r>
        <w:t xml:space="preserve">, Z., </w:t>
      </w:r>
      <w:proofErr w:type="spellStart"/>
      <w:r>
        <w:t>Żurawski</w:t>
      </w:r>
      <w:proofErr w:type="spellEnd"/>
      <w:r>
        <w:t xml:space="preserve">, S., </w:t>
      </w:r>
      <w:proofErr w:type="spellStart"/>
      <w:r>
        <w:t>Wysokińska</w:t>
      </w:r>
      <w:proofErr w:type="spellEnd"/>
      <w:r>
        <w:t xml:space="preserve">, A. and Kacprzak, A. (2025). The role of a leader in shaping the safety culture of an organization. </w:t>
      </w:r>
      <w:r>
        <w:rPr>
          <w:i/>
          <w:iCs/>
        </w:rPr>
        <w:t>Um.edu.mt</w:t>
      </w:r>
      <w:r>
        <w:t xml:space="preserve">. [online] </w:t>
      </w:r>
      <w:proofErr w:type="spellStart"/>
      <w:r>
        <w:t>doi</w:t>
      </w:r>
      <w:proofErr w:type="spellEnd"/>
      <w:r>
        <w:t xml:space="preserve">: </w:t>
      </w:r>
      <w:hyperlink r:id="rId19">
        <w:r>
          <w:rPr>
            <w:u w:val="single"/>
          </w:rPr>
          <w:t>https://www.um.edu.mt/library/oar/handle/123456789/133517</w:t>
        </w:r>
      </w:hyperlink>
      <w:r>
        <w:t xml:space="preserve">. </w:t>
      </w:r>
    </w:p>
    <w:p w14:paraId="78B57F41" w14:textId="77777777" w:rsidR="000E512D" w:rsidRDefault="00000000">
      <w:pPr>
        <w:spacing w:after="240" w:line="360" w:lineRule="auto"/>
        <w:jc w:val="both"/>
      </w:pPr>
      <w:r>
        <w:t xml:space="preserve">Coolen, E., Engbers, R., </w:t>
      </w:r>
      <w:proofErr w:type="spellStart"/>
      <w:r>
        <w:t>Draaisma</w:t>
      </w:r>
      <w:proofErr w:type="spellEnd"/>
      <w:r>
        <w:t xml:space="preserve">, J., Heinen, M. and Fluit, C. (2020). The use of SBAR as a structured communication tool in the </w:t>
      </w:r>
      <w:proofErr w:type="spellStart"/>
      <w:r>
        <w:t>pediatric</w:t>
      </w:r>
      <w:proofErr w:type="spellEnd"/>
      <w:r>
        <w:t xml:space="preserve"> non-acute care setting: Bridge or barrier for interprofessional collaboration? </w:t>
      </w:r>
      <w:r>
        <w:rPr>
          <w:i/>
          <w:iCs/>
        </w:rPr>
        <w:t>Journal of Interprofessional Care</w:t>
      </w:r>
      <w:r>
        <w:t xml:space="preserve">, [online] 1(1), pp.1–10. </w:t>
      </w:r>
      <w:proofErr w:type="spellStart"/>
      <w:r>
        <w:t>doi</w:t>
      </w:r>
      <w:proofErr w:type="spellEnd"/>
      <w:r>
        <w:t xml:space="preserve">: </w:t>
      </w:r>
      <w:hyperlink r:id="rId20">
        <w:r>
          <w:rPr>
            <w:u w:val="single"/>
          </w:rPr>
          <w:t>https://doi.org/10.1080/13561820.2020.1816936</w:t>
        </w:r>
      </w:hyperlink>
      <w:r>
        <w:t xml:space="preserve">. </w:t>
      </w:r>
    </w:p>
    <w:p w14:paraId="65DFD0EE" w14:textId="77777777" w:rsidR="000E512D" w:rsidRDefault="00000000">
      <w:pPr>
        <w:spacing w:after="240" w:line="360" w:lineRule="auto"/>
        <w:jc w:val="both"/>
      </w:pPr>
      <w:r>
        <w:t>Cordero-Pérez, F.J., Pérez-Baena, M.J., Pina-</w:t>
      </w:r>
      <w:proofErr w:type="spellStart"/>
      <w:r>
        <w:t>Ruviralta</w:t>
      </w:r>
      <w:proofErr w:type="spellEnd"/>
      <w:r>
        <w:t xml:space="preserve">, N., Fernández-Testa, A. and Holgado-Madruga, M. (2026). Optimizing Opioid Use in Pain Management: A Comprehensive Review of Clinical Benefits, Risks, and Dependence. </w:t>
      </w:r>
      <w:r>
        <w:rPr>
          <w:i/>
          <w:iCs/>
        </w:rPr>
        <w:t>Healthcare</w:t>
      </w:r>
      <w:r>
        <w:t xml:space="preserve">, [online] 14(4), p.457. </w:t>
      </w:r>
      <w:proofErr w:type="spellStart"/>
      <w:r>
        <w:t>doi:</w:t>
      </w:r>
      <w:hyperlink r:id="rId21">
        <w:r>
          <w:rPr>
            <w:u w:val="single"/>
          </w:rPr>
          <w:t>https</w:t>
        </w:r>
        <w:proofErr w:type="spellEnd"/>
        <w:r>
          <w:rPr>
            <w:u w:val="single"/>
          </w:rPr>
          <w:t>://doi.org/10.3390/healthcare14040457</w:t>
        </w:r>
      </w:hyperlink>
      <w:r>
        <w:t xml:space="preserve">. </w:t>
      </w:r>
    </w:p>
    <w:p w14:paraId="565F1F17" w14:textId="77777777" w:rsidR="000E512D" w:rsidRDefault="00000000">
      <w:pPr>
        <w:spacing w:after="240" w:line="360" w:lineRule="auto"/>
        <w:jc w:val="both"/>
      </w:pPr>
      <w:proofErr w:type="spellStart"/>
      <w:r>
        <w:t>Curșeu</w:t>
      </w:r>
      <w:proofErr w:type="spellEnd"/>
      <w:r>
        <w:t xml:space="preserve">, P.L., Rijswijk, J. van and Schruijer, S. (2025). Collaborative and Shared Leadership Dynamics in Healthcare Action Teams: A Systematic Literature Review. </w:t>
      </w:r>
      <w:r>
        <w:rPr>
          <w:i/>
          <w:iCs/>
        </w:rPr>
        <w:t>Journal of Healthcare Leadership</w:t>
      </w:r>
      <w:r>
        <w:t xml:space="preserve">, [online] Volume 17, pp.877–899. </w:t>
      </w:r>
      <w:proofErr w:type="spellStart"/>
      <w:r>
        <w:t>doi</w:t>
      </w:r>
      <w:proofErr w:type="spellEnd"/>
      <w:r>
        <w:t xml:space="preserve">: </w:t>
      </w:r>
      <w:hyperlink r:id="rId22">
        <w:r>
          <w:rPr>
            <w:u w:val="single"/>
          </w:rPr>
          <w:t>https://doi.org/10.2147/jhl.s520534</w:t>
        </w:r>
      </w:hyperlink>
      <w:r>
        <w:t xml:space="preserve">. </w:t>
      </w:r>
    </w:p>
    <w:p w14:paraId="1A388D06" w14:textId="77777777" w:rsidR="000E512D" w:rsidRDefault="00000000">
      <w:pPr>
        <w:pBdr>
          <w:top w:val="nil"/>
          <w:left w:val="nil"/>
          <w:bottom w:val="nil"/>
          <w:right w:val="nil"/>
          <w:between w:val="nil"/>
        </w:pBdr>
        <w:spacing w:after="240" w:line="360" w:lineRule="auto"/>
        <w:jc w:val="both"/>
      </w:pPr>
      <w:r>
        <w:t xml:space="preserve">D’Errico, S. (2022). Medication errors in </w:t>
      </w:r>
      <w:proofErr w:type="spellStart"/>
      <w:r>
        <w:t>pediatrics</w:t>
      </w:r>
      <w:proofErr w:type="spellEnd"/>
      <w:r>
        <w:t xml:space="preserve">: Proposals to improve the quality and safety of care through clinical risk management. </w:t>
      </w:r>
      <w:r>
        <w:rPr>
          <w:i/>
          <w:iCs/>
        </w:rPr>
        <w:t>Frontiers in Medicine</w:t>
      </w:r>
      <w:r>
        <w:t xml:space="preserve">, 8(814100). </w:t>
      </w:r>
      <w:proofErr w:type="spellStart"/>
      <w:r>
        <w:t>doi</w:t>
      </w:r>
      <w:proofErr w:type="spellEnd"/>
      <w:r>
        <w:t xml:space="preserve">: </w:t>
      </w:r>
      <w:hyperlink r:id="rId23">
        <w:r>
          <w:rPr>
            <w:u w:val="single"/>
          </w:rPr>
          <w:t>https://doi.org/10.3389/fmed.2021.814100</w:t>
        </w:r>
      </w:hyperlink>
      <w:r>
        <w:t xml:space="preserve"> </w:t>
      </w:r>
    </w:p>
    <w:p w14:paraId="0686E697" w14:textId="77777777" w:rsidR="000E512D" w:rsidRDefault="00000000">
      <w:pPr>
        <w:spacing w:after="240" w:line="360" w:lineRule="auto"/>
        <w:jc w:val="both"/>
      </w:pPr>
      <w:r>
        <w:t xml:space="preserve">Dong, B. (2023). A Systematic Review of the Transactional Leadership Literature and Future Outlook. </w:t>
      </w:r>
      <w:r>
        <w:rPr>
          <w:i/>
          <w:iCs/>
        </w:rPr>
        <w:t>Academic Journal of Management and Social Sciences</w:t>
      </w:r>
      <w:r>
        <w:t xml:space="preserve">, [online] 2(3), pp.21–25. Available at: </w:t>
      </w:r>
      <w:hyperlink r:id="rId24">
        <w:r>
          <w:rPr>
            <w:u w:val="single"/>
          </w:rPr>
          <w:t>https://pdfs.semanticscholar.org/8158/5768e874415ebf8b69fee2520929c0e283cb.pdf</w:t>
        </w:r>
      </w:hyperlink>
      <w:r>
        <w:t xml:space="preserve"> [Accessed 16 Mar. 2026].</w:t>
      </w:r>
    </w:p>
    <w:p w14:paraId="0048E64E" w14:textId="77777777" w:rsidR="000E512D" w:rsidRDefault="00000000">
      <w:pPr>
        <w:spacing w:after="240" w:line="360" w:lineRule="auto"/>
        <w:jc w:val="both"/>
      </w:pPr>
      <w:proofErr w:type="spellStart"/>
      <w:r>
        <w:t>Ewuzie</w:t>
      </w:r>
      <w:proofErr w:type="spellEnd"/>
      <w:r>
        <w:t xml:space="preserve">, T. and Obong, B. (2024). Understanding Psychological Safety in Engineering Environments: Perspectives and Insights. </w:t>
      </w:r>
      <w:r>
        <w:rPr>
          <w:i/>
          <w:iCs/>
        </w:rPr>
        <w:t>SPE Nigeria Annual International Conference and Exhibition</w:t>
      </w:r>
      <w:r>
        <w:t xml:space="preserve">, [online] 2. </w:t>
      </w:r>
      <w:proofErr w:type="spellStart"/>
      <w:r>
        <w:t>doi</w:t>
      </w:r>
      <w:proofErr w:type="spellEnd"/>
      <w:r>
        <w:t xml:space="preserve">: </w:t>
      </w:r>
      <w:hyperlink r:id="rId25">
        <w:r>
          <w:rPr>
            <w:u w:val="single"/>
          </w:rPr>
          <w:t>https://doi.org/10.2118/221726-ms</w:t>
        </w:r>
      </w:hyperlink>
      <w:r>
        <w:t xml:space="preserve">. </w:t>
      </w:r>
    </w:p>
    <w:p w14:paraId="07B801B3" w14:textId="77777777" w:rsidR="000E512D" w:rsidRDefault="00000000">
      <w:pPr>
        <w:spacing w:after="240" w:line="360" w:lineRule="auto"/>
        <w:jc w:val="both"/>
      </w:pPr>
      <w:r>
        <w:lastRenderedPageBreak/>
        <w:t xml:space="preserve">Fukami, T. (2025). The Importance of Supportive Leadership in Advancing Patient Safety. </w:t>
      </w:r>
      <w:r>
        <w:rPr>
          <w:i/>
          <w:iCs/>
        </w:rPr>
        <w:t>Cureus</w:t>
      </w:r>
      <w:r>
        <w:t xml:space="preserve">. [online] </w:t>
      </w:r>
      <w:proofErr w:type="spellStart"/>
      <w:r>
        <w:t>doi</w:t>
      </w:r>
      <w:proofErr w:type="spellEnd"/>
      <w:r>
        <w:t xml:space="preserve">: </w:t>
      </w:r>
      <w:hyperlink r:id="rId26">
        <w:r>
          <w:rPr>
            <w:u w:val="single"/>
          </w:rPr>
          <w:t>https://doi.org/10.7759/cureus.94056</w:t>
        </w:r>
      </w:hyperlink>
      <w:r>
        <w:t xml:space="preserve">. </w:t>
      </w:r>
    </w:p>
    <w:p w14:paraId="3925EED2" w14:textId="77777777" w:rsidR="000E512D" w:rsidRDefault="00000000">
      <w:pPr>
        <w:spacing w:after="240" w:line="360" w:lineRule="auto"/>
        <w:jc w:val="both"/>
      </w:pPr>
      <w:proofErr w:type="spellStart"/>
      <w:r>
        <w:t>Goekcimen</w:t>
      </w:r>
      <w:proofErr w:type="spellEnd"/>
      <w:r>
        <w:t xml:space="preserve">, K., Schwendimann, R., Pfeiffer, Y., Mohr, G., Jaeger, C. and Mueller, S. (2022). Addressing Patient Safety Hazards Using Critical Incident Reporting in Hospitals: A Systematic Review. </w:t>
      </w:r>
      <w:r>
        <w:rPr>
          <w:i/>
          <w:iCs/>
        </w:rPr>
        <w:t>Journal of Patient Safety</w:t>
      </w:r>
      <w:r>
        <w:t xml:space="preserve">, [online] 19(1), </w:t>
      </w:r>
      <w:proofErr w:type="gramStart"/>
      <w:r>
        <w:t>pp.e</w:t>
      </w:r>
      <w:proofErr w:type="gramEnd"/>
      <w:r>
        <w:t xml:space="preserve">1–e8. </w:t>
      </w:r>
      <w:proofErr w:type="spellStart"/>
      <w:r>
        <w:t>doi</w:t>
      </w:r>
      <w:proofErr w:type="spellEnd"/>
      <w:r>
        <w:t xml:space="preserve">: </w:t>
      </w:r>
      <w:hyperlink r:id="rId27">
        <w:r>
          <w:rPr>
            <w:u w:val="single"/>
          </w:rPr>
          <w:t>https://doi.org/10.1097/pts.0000000000001072</w:t>
        </w:r>
      </w:hyperlink>
      <w:r>
        <w:t xml:space="preserve">. </w:t>
      </w:r>
    </w:p>
    <w:p w14:paraId="7F47B861" w14:textId="77777777" w:rsidR="000E512D" w:rsidRDefault="00000000">
      <w:pPr>
        <w:spacing w:after="240" w:line="360" w:lineRule="auto"/>
        <w:jc w:val="both"/>
      </w:pPr>
      <w:proofErr w:type="spellStart"/>
      <w:r>
        <w:t>Guntschnig</w:t>
      </w:r>
      <w:proofErr w:type="spellEnd"/>
      <w:r>
        <w:t xml:space="preserve">, S., Barbosa, R., Jenzer, H., Greening, M., Hayde, J., Heery, H., Iglesias Serrano, M.C., Lajtmanová, K., Rossin, E., </w:t>
      </w:r>
      <w:proofErr w:type="spellStart"/>
      <w:r>
        <w:t>Tentova-Peceva</w:t>
      </w:r>
      <w:proofErr w:type="spellEnd"/>
      <w:r>
        <w:t xml:space="preserve">, S., Kohl, S. and Mulac, A. (2025). Tackling medication errors: how a systems approach improves patient safety. </w:t>
      </w:r>
      <w:r>
        <w:rPr>
          <w:i/>
          <w:iCs/>
        </w:rPr>
        <w:t>European Journal of Hospital Pharmacy</w:t>
      </w:r>
      <w:r>
        <w:t xml:space="preserve">, [online] </w:t>
      </w:r>
      <w:proofErr w:type="gramStart"/>
      <w:r>
        <w:t>p.ejhpharm</w:t>
      </w:r>
      <w:proofErr w:type="gramEnd"/>
      <w:r>
        <w:t xml:space="preserve">-2025-004533. </w:t>
      </w:r>
      <w:proofErr w:type="spellStart"/>
      <w:r>
        <w:t>doi</w:t>
      </w:r>
      <w:proofErr w:type="spellEnd"/>
      <w:r>
        <w:t xml:space="preserve">: </w:t>
      </w:r>
      <w:hyperlink r:id="rId28">
        <w:r>
          <w:rPr>
            <w:u w:val="single"/>
          </w:rPr>
          <w:t>https://doi.org/10.1136/ejhpharm-2025-004533</w:t>
        </w:r>
      </w:hyperlink>
      <w:r>
        <w:t xml:space="preserve">. </w:t>
      </w:r>
    </w:p>
    <w:p w14:paraId="7D796ACE" w14:textId="77777777" w:rsidR="000E512D" w:rsidRDefault="00000000">
      <w:pPr>
        <w:spacing w:after="240" w:line="360" w:lineRule="auto"/>
        <w:jc w:val="both"/>
      </w:pPr>
      <w:r>
        <w:t xml:space="preserve">Gupta, P. (2025). Transformational Leadership: Inspiring Change and Innovation. </w:t>
      </w:r>
      <w:r>
        <w:rPr>
          <w:i/>
          <w:iCs/>
        </w:rPr>
        <w:t>International Journal of Science and Research (IJSR)</w:t>
      </w:r>
      <w:r>
        <w:t xml:space="preserve">, [online] 14(2), pp.504–509. </w:t>
      </w:r>
      <w:proofErr w:type="spellStart"/>
      <w:r>
        <w:t>doi</w:t>
      </w:r>
      <w:proofErr w:type="spellEnd"/>
      <w:r>
        <w:t xml:space="preserve">: </w:t>
      </w:r>
      <w:hyperlink r:id="rId29">
        <w:r>
          <w:rPr>
            <w:u w:val="single"/>
          </w:rPr>
          <w:t>https://doi.org/10.21275/mr25206180024</w:t>
        </w:r>
      </w:hyperlink>
      <w:r>
        <w:t xml:space="preserve">. </w:t>
      </w:r>
    </w:p>
    <w:p w14:paraId="36034D8F" w14:textId="77777777" w:rsidR="000E512D" w:rsidRDefault="00000000">
      <w:pPr>
        <w:spacing w:after="240" w:line="360" w:lineRule="auto"/>
        <w:jc w:val="both"/>
      </w:pPr>
      <w:proofErr w:type="spellStart"/>
      <w:r>
        <w:t>Jerab</w:t>
      </w:r>
      <w:proofErr w:type="spellEnd"/>
      <w:r>
        <w:t xml:space="preserve">, D.A. (2023). </w:t>
      </w:r>
      <w:r>
        <w:rPr>
          <w:i/>
          <w:iCs/>
        </w:rPr>
        <w:t>How to Be an Effective Leader in Decision Making in an Unstable Environment</w:t>
      </w:r>
      <w:r>
        <w:t xml:space="preserve">. [online] Social Science Research Network. </w:t>
      </w:r>
      <w:proofErr w:type="spellStart"/>
      <w:r>
        <w:t>doi:</w:t>
      </w:r>
      <w:hyperlink r:id="rId30">
        <w:r>
          <w:rPr>
            <w:u w:val="single"/>
          </w:rPr>
          <w:t>https</w:t>
        </w:r>
        <w:proofErr w:type="spellEnd"/>
        <w:r>
          <w:rPr>
            <w:u w:val="single"/>
          </w:rPr>
          <w:t>://doi.org/10.2139/ssrn.4525803</w:t>
        </w:r>
      </w:hyperlink>
      <w:r>
        <w:t xml:space="preserve">.  </w:t>
      </w:r>
    </w:p>
    <w:p w14:paraId="37C33001" w14:textId="77777777" w:rsidR="000E512D" w:rsidRDefault="00000000">
      <w:pPr>
        <w:pBdr>
          <w:top w:val="nil"/>
          <w:left w:val="nil"/>
          <w:bottom w:val="nil"/>
          <w:right w:val="nil"/>
          <w:between w:val="nil"/>
        </w:pBdr>
        <w:spacing w:after="240" w:line="360" w:lineRule="auto"/>
        <w:jc w:val="both"/>
      </w:pPr>
      <w:r>
        <w:t xml:space="preserve">Khan, Z. (2023). The Emerging Challenges and Strengths of the National Health Services: A Physician Perspective. </w:t>
      </w:r>
      <w:r>
        <w:rPr>
          <w:i/>
          <w:iCs/>
        </w:rPr>
        <w:t>Cureus</w:t>
      </w:r>
      <w:r>
        <w:t xml:space="preserve">, [online] 15(5). Available at: </w:t>
      </w:r>
      <w:hyperlink r:id="rId31">
        <w:r>
          <w:rPr>
            <w:u w:val="single"/>
          </w:rPr>
          <w:t>https://pmc.ncbi.nlm.nih.gov/articles/PMC10240167/</w:t>
        </w:r>
      </w:hyperlink>
      <w:r>
        <w:t xml:space="preserve"> [Accessed 16 Mar. 2026].</w:t>
      </w:r>
    </w:p>
    <w:p w14:paraId="56157406" w14:textId="77777777" w:rsidR="000E512D" w:rsidRDefault="00000000">
      <w:pPr>
        <w:spacing w:after="240" w:line="360" w:lineRule="auto"/>
        <w:jc w:val="both"/>
      </w:pPr>
      <w:proofErr w:type="spellStart"/>
      <w:r>
        <w:t>Klarström</w:t>
      </w:r>
      <w:proofErr w:type="spellEnd"/>
      <w:r>
        <w:t xml:space="preserve">, L., Adnan, S. and Ek, A. (2025). </w:t>
      </w:r>
      <w:r>
        <w:rPr>
          <w:i/>
          <w:iCs/>
        </w:rPr>
        <w:t>Leadership Adaptation in Organizational Crises: A Situational Leadership Perspective on Decision-Making</w:t>
      </w:r>
      <w:r>
        <w:t xml:space="preserve">. [online] DIVA. Available at: </w:t>
      </w:r>
      <w:hyperlink r:id="rId32">
        <w:r>
          <w:rPr>
            <w:u w:val="single"/>
          </w:rPr>
          <w:t>https://www.diva-portal.org/smash/record.jsf?pid=diva2:1964704</w:t>
        </w:r>
      </w:hyperlink>
      <w:r>
        <w:t xml:space="preserve"> [Accessed 16 Mar. 2026].</w:t>
      </w:r>
    </w:p>
    <w:p w14:paraId="1010E5F8" w14:textId="77777777" w:rsidR="000E512D" w:rsidRDefault="00000000">
      <w:pPr>
        <w:spacing w:after="240" w:line="360" w:lineRule="auto"/>
        <w:jc w:val="both"/>
      </w:pPr>
      <w:r>
        <w:t xml:space="preserve">Knowles, S. (2024). Governance in Healthcare. </w:t>
      </w:r>
      <w:r>
        <w:rPr>
          <w:i/>
          <w:iCs/>
        </w:rPr>
        <w:t>Patient Safety Coaching: Transforming Healthcare Culture</w:t>
      </w:r>
      <w:r>
        <w:t xml:space="preserve">, [online] pp.219–256. </w:t>
      </w:r>
      <w:proofErr w:type="spellStart"/>
      <w:r>
        <w:t>doi</w:t>
      </w:r>
      <w:proofErr w:type="spellEnd"/>
      <w:r>
        <w:t xml:space="preserve">: </w:t>
      </w:r>
      <w:hyperlink r:id="rId33">
        <w:r>
          <w:rPr>
            <w:u w:val="single"/>
          </w:rPr>
          <w:t>https://doi.org/10.1007/978-3-031-68722-8_9</w:t>
        </w:r>
      </w:hyperlink>
      <w:r>
        <w:t xml:space="preserve">. </w:t>
      </w:r>
    </w:p>
    <w:p w14:paraId="7353221F" w14:textId="77777777" w:rsidR="000E512D" w:rsidRDefault="00000000">
      <w:pPr>
        <w:spacing w:after="240" w:line="360" w:lineRule="auto"/>
        <w:jc w:val="both"/>
      </w:pPr>
      <w:r>
        <w:t xml:space="preserve">Kyei, E.F., Zhang, L., Ansong, R. and Kyei, G.K. (2024). Empowering Communities and Enhancing Public Safety: Stakeholders’ Perspectives on Opioid Overdose Prevention Strategies in Boston. </w:t>
      </w:r>
      <w:r>
        <w:rPr>
          <w:i/>
          <w:iCs/>
        </w:rPr>
        <w:t>Community Mental Health Journal</w:t>
      </w:r>
      <w:r>
        <w:t xml:space="preserve">, [online] 61(5), pp.834–846. </w:t>
      </w:r>
      <w:proofErr w:type="spellStart"/>
      <w:r>
        <w:t>doi</w:t>
      </w:r>
      <w:proofErr w:type="spellEnd"/>
      <w:r>
        <w:t xml:space="preserve">: </w:t>
      </w:r>
      <w:hyperlink r:id="rId34">
        <w:r>
          <w:rPr>
            <w:u w:val="single"/>
          </w:rPr>
          <w:t>https://doi.org/10.1007/s10597-024-01420-1</w:t>
        </w:r>
      </w:hyperlink>
      <w:r>
        <w:t xml:space="preserve">. </w:t>
      </w:r>
    </w:p>
    <w:p w14:paraId="575106F5" w14:textId="77777777" w:rsidR="000E512D" w:rsidRDefault="00000000">
      <w:pPr>
        <w:spacing w:after="240" w:line="360" w:lineRule="auto"/>
        <w:jc w:val="both"/>
      </w:pPr>
      <w:r>
        <w:lastRenderedPageBreak/>
        <w:t xml:space="preserve">McLeod, M., Ahmed, Z., Barber, N. and Franklin, B.D. (2014). A national survey of inpatient medication systems in English NHS hospitals. </w:t>
      </w:r>
      <w:r>
        <w:rPr>
          <w:i/>
          <w:iCs/>
        </w:rPr>
        <w:t>BMC Health Services Research</w:t>
      </w:r>
      <w:r>
        <w:t xml:space="preserve">, [online] 14(1). </w:t>
      </w:r>
      <w:proofErr w:type="spellStart"/>
      <w:r>
        <w:t>doi</w:t>
      </w:r>
      <w:proofErr w:type="spellEnd"/>
      <w:r>
        <w:t xml:space="preserve">: </w:t>
      </w:r>
      <w:hyperlink r:id="rId35">
        <w:r>
          <w:rPr>
            <w:u w:val="single"/>
          </w:rPr>
          <w:t>https://doi.org/10.1186/1472-6963-14-93</w:t>
        </w:r>
      </w:hyperlink>
      <w:r>
        <w:t xml:space="preserve">. </w:t>
      </w:r>
    </w:p>
    <w:p w14:paraId="5A84BD0B" w14:textId="77777777" w:rsidR="000E512D" w:rsidRDefault="00000000">
      <w:pPr>
        <w:pBdr>
          <w:top w:val="nil"/>
          <w:left w:val="nil"/>
          <w:bottom w:val="nil"/>
          <w:right w:val="nil"/>
          <w:between w:val="nil"/>
        </w:pBdr>
        <w:spacing w:after="240" w:line="360" w:lineRule="auto"/>
        <w:jc w:val="both"/>
      </w:pPr>
      <w:proofErr w:type="spellStart"/>
      <w:r>
        <w:t>Mutair</w:t>
      </w:r>
      <w:proofErr w:type="spellEnd"/>
      <w:r>
        <w:t xml:space="preserve">, A.A., Alhumaid, S., Shamsan, A., Zaidi, A.R.Z., </w:t>
      </w:r>
      <w:proofErr w:type="spellStart"/>
      <w:r>
        <w:t>Mohaini</w:t>
      </w:r>
      <w:proofErr w:type="spellEnd"/>
      <w:r>
        <w:t xml:space="preserve">, M.A., Al Mutairi, A., </w:t>
      </w:r>
      <w:proofErr w:type="spellStart"/>
      <w:r>
        <w:t>Rabaan</w:t>
      </w:r>
      <w:proofErr w:type="spellEnd"/>
      <w:r>
        <w:t xml:space="preserve">, A.A., Awad, M. and Al-Omari, A. (2021). The effective strategies to avoid medication errors and improving reporting systems. </w:t>
      </w:r>
      <w:r>
        <w:rPr>
          <w:i/>
          <w:iCs/>
        </w:rPr>
        <w:t>Medicines</w:t>
      </w:r>
      <w:r>
        <w:t xml:space="preserve">, [online] 8(9), p.46. </w:t>
      </w:r>
      <w:proofErr w:type="spellStart"/>
      <w:r>
        <w:t>doi</w:t>
      </w:r>
      <w:proofErr w:type="spellEnd"/>
      <w:r>
        <w:t xml:space="preserve">: </w:t>
      </w:r>
      <w:hyperlink r:id="rId36">
        <w:r>
          <w:rPr>
            <w:u w:val="single"/>
          </w:rPr>
          <w:t>https://doi.org/10.3390/medicines8090046</w:t>
        </w:r>
      </w:hyperlink>
      <w:r>
        <w:t xml:space="preserve"> </w:t>
      </w:r>
    </w:p>
    <w:p w14:paraId="3155393F" w14:textId="77777777" w:rsidR="000E512D" w:rsidRDefault="00000000">
      <w:pPr>
        <w:spacing w:after="240" w:line="360" w:lineRule="auto"/>
        <w:jc w:val="both"/>
      </w:pPr>
      <w:r>
        <w:t xml:space="preserve">Nacu, A.-G., Constantin, D.-A. and </w:t>
      </w:r>
      <w:proofErr w:type="spellStart"/>
      <w:r>
        <w:t>Rogozea</w:t>
      </w:r>
      <w:proofErr w:type="spellEnd"/>
      <w:r>
        <w:t xml:space="preserve">, L.M. (2025). Ethical Dilemmas and Legal Responsibilities in Patient Care: An Analysis of Hospital Safety. </w:t>
      </w:r>
      <w:r>
        <w:rPr>
          <w:i/>
          <w:iCs/>
        </w:rPr>
        <w:t>Healthcare</w:t>
      </w:r>
      <w:r>
        <w:t xml:space="preserve">, [online] 13(21), pp.2800–2800. </w:t>
      </w:r>
      <w:proofErr w:type="spellStart"/>
      <w:r>
        <w:t>doi</w:t>
      </w:r>
      <w:proofErr w:type="spellEnd"/>
      <w:r>
        <w:t xml:space="preserve">: </w:t>
      </w:r>
      <w:hyperlink r:id="rId37">
        <w:r>
          <w:rPr>
            <w:u w:val="single"/>
          </w:rPr>
          <w:t>https://doi.org/10.3390/healthcare13212800</w:t>
        </w:r>
      </w:hyperlink>
    </w:p>
    <w:p w14:paraId="2D81EF18" w14:textId="77777777" w:rsidR="000E512D" w:rsidRDefault="00000000">
      <w:pPr>
        <w:pBdr>
          <w:top w:val="nil"/>
          <w:left w:val="nil"/>
          <w:bottom w:val="nil"/>
          <w:right w:val="nil"/>
          <w:between w:val="nil"/>
        </w:pBdr>
        <w:spacing w:after="240" w:line="360" w:lineRule="auto"/>
        <w:jc w:val="both"/>
      </w:pPr>
      <w:r>
        <w:t xml:space="preserve">NHS England (2022). </w:t>
      </w:r>
      <w:r>
        <w:rPr>
          <w:i/>
          <w:iCs/>
        </w:rPr>
        <w:t>Patient Safety Incident Response Framework</w:t>
      </w:r>
      <w:r>
        <w:t xml:space="preserve">. [online] www.england.nhs.uk. Available at: </w:t>
      </w:r>
      <w:hyperlink r:id="rId38">
        <w:r>
          <w:rPr>
            <w:u w:val="single"/>
          </w:rPr>
          <w:t>https://www.england.nhs.uk/patient-safety/patient-safety-insight/incident-response-framework/</w:t>
        </w:r>
      </w:hyperlink>
      <w:r>
        <w:t xml:space="preserve"> [Accessed 16 Mar. 2026].</w:t>
      </w:r>
    </w:p>
    <w:p w14:paraId="6CBE30F3" w14:textId="77777777" w:rsidR="000E512D" w:rsidRDefault="00000000">
      <w:pPr>
        <w:pBdr>
          <w:top w:val="nil"/>
          <w:left w:val="nil"/>
          <w:bottom w:val="nil"/>
          <w:right w:val="nil"/>
          <w:between w:val="nil"/>
        </w:pBdr>
        <w:spacing w:after="240" w:line="360" w:lineRule="auto"/>
        <w:jc w:val="both"/>
      </w:pPr>
      <w:proofErr w:type="gramStart"/>
      <w:r>
        <w:t>north east</w:t>
      </w:r>
      <w:proofErr w:type="gramEnd"/>
      <w:r>
        <w:t xml:space="preserve"> (2023). </w:t>
      </w:r>
      <w:r>
        <w:rPr>
          <w:i/>
          <w:iCs/>
        </w:rPr>
        <w:t>ICBP049 Patient Safety Incident Response Framework Oversight Policy (1) Corporate ICBP049 Patient Safety Incident Response Framework Oversight Policy Version Number Date Issued Review Date</w:t>
      </w:r>
      <w:r>
        <w:t xml:space="preserve">. [online] Available at: </w:t>
      </w:r>
      <w:hyperlink r:id="rId39">
        <w:r>
          <w:rPr>
            <w:u w:val="single"/>
          </w:rPr>
          <w:t>https://northeastnorthcumbria.nhs.uk/media/ibadb4ht/patient-safety-incident-response-framework-oversight-policy.pdf</w:t>
        </w:r>
      </w:hyperlink>
      <w:r>
        <w:t xml:space="preserve"> [Accessed 16 Mar. 2026].</w:t>
      </w:r>
    </w:p>
    <w:p w14:paraId="5768D42F" w14:textId="77777777" w:rsidR="000E512D" w:rsidRDefault="00000000">
      <w:pPr>
        <w:spacing w:after="240" w:line="360" w:lineRule="auto"/>
        <w:jc w:val="both"/>
      </w:pPr>
      <w:r>
        <w:t xml:space="preserve">northyorkshireccg.nhs.uk (2023). </w:t>
      </w:r>
      <w:r>
        <w:rPr>
          <w:i/>
          <w:iCs/>
        </w:rPr>
        <w:t>Serious Incident Case Study: Infant Morphine Overdose Investigation Summary &amp; Learning</w:t>
      </w:r>
      <w:r>
        <w:t xml:space="preserve">. [online] Available at: </w:t>
      </w:r>
      <w:hyperlink r:id="rId40">
        <w:r>
          <w:rPr>
            <w:u w:val="single"/>
          </w:rPr>
          <w:t>https://northyorkshireccg.nhs.uk/wp-content/uploads/2023/09/11.07.23-NHS-NEY-INFANT-MORPHINE-OVERDOSE-CASE-STUDY.pdf</w:t>
        </w:r>
      </w:hyperlink>
      <w:r>
        <w:t xml:space="preserve"> [Accessed 16 Mar. 2026].</w:t>
      </w:r>
    </w:p>
    <w:p w14:paraId="6BA0FD4B" w14:textId="77777777" w:rsidR="000E512D" w:rsidRDefault="00000000">
      <w:pPr>
        <w:spacing w:after="240" w:line="360" w:lineRule="auto"/>
        <w:jc w:val="both"/>
      </w:pPr>
      <w:proofErr w:type="spellStart"/>
      <w:r>
        <w:t>Ohrling</w:t>
      </w:r>
      <w:proofErr w:type="spellEnd"/>
      <w:r>
        <w:t xml:space="preserve">, M., Solberg Carlsson, K. and </w:t>
      </w:r>
      <w:proofErr w:type="spellStart"/>
      <w:r>
        <w:t>Brommels</w:t>
      </w:r>
      <w:proofErr w:type="spellEnd"/>
      <w:r>
        <w:t xml:space="preserve">, M. (2022). No man is an island: management of the emergency response to the SARS-CoV-2 (COVID-19) outbreak in a large public decentralised service delivery organisation. </w:t>
      </w:r>
      <w:r>
        <w:rPr>
          <w:i/>
          <w:iCs/>
        </w:rPr>
        <w:t>BMC Health Services Research</w:t>
      </w:r>
      <w:r>
        <w:t xml:space="preserve">, [online] 22(1), p.371. </w:t>
      </w:r>
      <w:proofErr w:type="spellStart"/>
      <w:r>
        <w:t>doi</w:t>
      </w:r>
      <w:proofErr w:type="spellEnd"/>
      <w:r>
        <w:t xml:space="preserve">: </w:t>
      </w:r>
      <w:hyperlink r:id="rId41">
        <w:r>
          <w:rPr>
            <w:u w:val="single"/>
          </w:rPr>
          <w:t>https://doi.org/10.1186/s12913-022-07716-w</w:t>
        </w:r>
      </w:hyperlink>
      <w:r>
        <w:t xml:space="preserve">. </w:t>
      </w:r>
    </w:p>
    <w:p w14:paraId="1A220781" w14:textId="77777777" w:rsidR="000E512D" w:rsidRDefault="00000000">
      <w:pPr>
        <w:spacing w:after="240" w:line="360" w:lineRule="auto"/>
        <w:jc w:val="both"/>
      </w:pPr>
      <w:proofErr w:type="spellStart"/>
      <w:r>
        <w:t>Ouzounakis</w:t>
      </w:r>
      <w:proofErr w:type="spellEnd"/>
      <w:r>
        <w:t xml:space="preserve">, P., </w:t>
      </w:r>
      <w:proofErr w:type="spellStart"/>
      <w:r>
        <w:t>Frantzana</w:t>
      </w:r>
      <w:proofErr w:type="spellEnd"/>
      <w:r>
        <w:t xml:space="preserve">, A., Iliadis, C., </w:t>
      </w:r>
      <w:proofErr w:type="spellStart"/>
      <w:r>
        <w:t>Dokoutsidou</w:t>
      </w:r>
      <w:proofErr w:type="spellEnd"/>
      <w:r>
        <w:t xml:space="preserve">, E., </w:t>
      </w:r>
      <w:proofErr w:type="spellStart"/>
      <w:r>
        <w:t>Diamantidou</w:t>
      </w:r>
      <w:proofErr w:type="spellEnd"/>
      <w:r>
        <w:t xml:space="preserve">, V., </w:t>
      </w:r>
      <w:proofErr w:type="spellStart"/>
      <w:r>
        <w:t>Krepia</w:t>
      </w:r>
      <w:proofErr w:type="spellEnd"/>
      <w:r>
        <w:t xml:space="preserve">, V., Kourkouta, L. and Lambrini, K. (2025). Implementation of Transformational Leadership in the Hospital. </w:t>
      </w:r>
      <w:r>
        <w:rPr>
          <w:i/>
          <w:iCs/>
        </w:rPr>
        <w:t>International Journal of Caring Sciences</w:t>
      </w:r>
      <w:r>
        <w:t xml:space="preserve">, [online] 18, pp.2–1658. Available at: </w:t>
      </w:r>
      <w:hyperlink r:id="rId42">
        <w:r>
          <w:rPr>
            <w:u w:val="single"/>
          </w:rPr>
          <w:t>https://www.internationaljournalofcaringsciences.org/docs/44.ouzounakis.pdf</w:t>
        </w:r>
      </w:hyperlink>
      <w:r>
        <w:t xml:space="preserve"> [Accessed 16 Mar. 2026].</w:t>
      </w:r>
    </w:p>
    <w:p w14:paraId="2686B103" w14:textId="77777777" w:rsidR="000E512D" w:rsidRDefault="00000000">
      <w:pPr>
        <w:spacing w:after="240" w:line="360" w:lineRule="auto"/>
        <w:jc w:val="both"/>
      </w:pPr>
      <w:r>
        <w:t xml:space="preserve">Pharmaceutical press (2024). </w:t>
      </w:r>
      <w:r>
        <w:rPr>
          <w:i/>
          <w:iCs/>
        </w:rPr>
        <w:t>What are the most common types of medication errors?</w:t>
      </w:r>
      <w:r>
        <w:t xml:space="preserve"> [online] Pharmaceutical Press. Available at: </w:t>
      </w:r>
      <w:hyperlink r:id="rId43">
        <w:r>
          <w:rPr>
            <w:u w:val="single"/>
          </w:rPr>
          <w:t>https://www.pharmaceuticalpress.com/resources/article/what-are-the-most-common-types-of-medication-errors/</w:t>
        </w:r>
      </w:hyperlink>
      <w:r>
        <w:t xml:space="preserve"> [Accessed 16 Mar. 2026].</w:t>
      </w:r>
    </w:p>
    <w:p w14:paraId="18418F11" w14:textId="77777777" w:rsidR="000E512D" w:rsidRDefault="00000000">
      <w:pPr>
        <w:pBdr>
          <w:top w:val="nil"/>
          <w:left w:val="nil"/>
          <w:bottom w:val="nil"/>
          <w:right w:val="nil"/>
          <w:between w:val="nil"/>
        </w:pBdr>
        <w:spacing w:after="240" w:line="360" w:lineRule="auto"/>
        <w:jc w:val="both"/>
      </w:pPr>
      <w:r>
        <w:t xml:space="preserve">Pool, J.K., </w:t>
      </w:r>
      <w:proofErr w:type="spellStart"/>
      <w:r>
        <w:t>Akhlaghpour</w:t>
      </w:r>
      <w:proofErr w:type="spellEnd"/>
      <w:r>
        <w:t xml:space="preserve">, S., Fatehi, F. and Jones, A.B. (2024). A systematic analysis of failures in protecting personal health data: A scoping review. </w:t>
      </w:r>
      <w:r>
        <w:rPr>
          <w:i/>
          <w:iCs/>
        </w:rPr>
        <w:t>International Journal of Information Management</w:t>
      </w:r>
      <w:r>
        <w:t xml:space="preserve">, [online] 74(102719). Available at: </w:t>
      </w:r>
      <w:hyperlink r:id="rId44">
        <w:r>
          <w:rPr>
            <w:u w:val="single"/>
          </w:rPr>
          <w:t>https://www.sciencedirect.com/science/article/pii/S0268401223001007</w:t>
        </w:r>
      </w:hyperlink>
      <w:r>
        <w:t xml:space="preserve"> [Accessed 16 Mar. 2026].</w:t>
      </w:r>
    </w:p>
    <w:p w14:paraId="261A43E3" w14:textId="77777777" w:rsidR="000E512D" w:rsidRDefault="00000000">
      <w:pPr>
        <w:pBdr>
          <w:top w:val="nil"/>
          <w:left w:val="nil"/>
          <w:bottom w:val="nil"/>
          <w:right w:val="nil"/>
          <w:between w:val="nil"/>
        </w:pBdr>
        <w:spacing w:after="240" w:line="360" w:lineRule="auto"/>
        <w:jc w:val="both"/>
      </w:pPr>
      <w:r>
        <w:t xml:space="preserve">Reader, T.W. and Gillespie, A. (2026). The active patient: Voicing and correcting </w:t>
      </w:r>
      <w:proofErr w:type="spellStart"/>
      <w:r>
        <w:t>behaviors</w:t>
      </w:r>
      <w:proofErr w:type="spellEnd"/>
      <w:r>
        <w:t xml:space="preserve"> by patients and families to ensure safety in healthcare organizations. </w:t>
      </w:r>
      <w:r>
        <w:rPr>
          <w:i/>
          <w:iCs/>
        </w:rPr>
        <w:t>Safety Science</w:t>
      </w:r>
      <w:r>
        <w:t xml:space="preserve">, 193(16), p.107026. </w:t>
      </w:r>
      <w:proofErr w:type="spellStart"/>
      <w:r>
        <w:t>doi</w:t>
      </w:r>
      <w:proofErr w:type="spellEnd"/>
      <w:r>
        <w:t xml:space="preserve">: </w:t>
      </w:r>
      <w:hyperlink r:id="rId45">
        <w:r>
          <w:rPr>
            <w:u w:val="single"/>
          </w:rPr>
          <w:t>https://doi.org/10.1016/j.ssci.2025.107026</w:t>
        </w:r>
      </w:hyperlink>
      <w:r>
        <w:t xml:space="preserve"> </w:t>
      </w:r>
    </w:p>
    <w:p w14:paraId="58AB2498" w14:textId="77777777" w:rsidR="000E512D" w:rsidRDefault="00000000">
      <w:pPr>
        <w:spacing w:after="240" w:line="360" w:lineRule="auto"/>
        <w:jc w:val="both"/>
      </w:pPr>
      <w:r>
        <w:t xml:space="preserve">Rodgers, S., Taylor, A.C., Roberts, S.A., Allen, T., Ashcroft, D.M., Barrett, J., Boyd, M.J., Elliott, R.A., </w:t>
      </w:r>
      <w:proofErr w:type="spellStart"/>
      <w:r>
        <w:t>Khunti</w:t>
      </w:r>
      <w:proofErr w:type="spellEnd"/>
      <w:r>
        <w:t xml:space="preserve">, K., Sheikh, A., </w:t>
      </w:r>
      <w:proofErr w:type="spellStart"/>
      <w:r>
        <w:t>Laparidou</w:t>
      </w:r>
      <w:proofErr w:type="spellEnd"/>
      <w:r>
        <w:t xml:space="preserve">, D., Siriwardena, A.N. and Avery, A.J. (2022). Scaling-up a pharmacist-led information technology intervention (PINCER) to reduce hazardous prescribing in general practices: Multiple interrupted time series study. </w:t>
      </w:r>
      <w:r>
        <w:rPr>
          <w:i/>
          <w:iCs/>
        </w:rPr>
        <w:t>PLOS Medicine</w:t>
      </w:r>
      <w:r>
        <w:t xml:space="preserve">, [online] 19(11), p.e1004133. </w:t>
      </w:r>
      <w:proofErr w:type="spellStart"/>
      <w:r>
        <w:t>doi:</w:t>
      </w:r>
      <w:hyperlink r:id="rId46">
        <w:r>
          <w:rPr>
            <w:u w:val="single"/>
          </w:rPr>
          <w:t>https</w:t>
        </w:r>
        <w:proofErr w:type="spellEnd"/>
        <w:r>
          <w:rPr>
            <w:u w:val="single"/>
          </w:rPr>
          <w:t>://doi.org/10.1371/journal.pmed.1004133</w:t>
        </w:r>
      </w:hyperlink>
      <w:r>
        <w:t xml:space="preserve">. </w:t>
      </w:r>
    </w:p>
    <w:p w14:paraId="38A7BFD9" w14:textId="77777777" w:rsidR="000E512D" w:rsidRDefault="00000000">
      <w:pPr>
        <w:spacing w:after="240" w:line="360" w:lineRule="auto"/>
        <w:jc w:val="both"/>
      </w:pPr>
      <w:r>
        <w:t xml:space="preserve">Sapkota, S., Dhakal, A., Rushton, S., </w:t>
      </w:r>
      <w:proofErr w:type="spellStart"/>
      <w:r>
        <w:t>Teijlingen</w:t>
      </w:r>
      <w:proofErr w:type="spellEnd"/>
      <w:r>
        <w:t xml:space="preserve">, E. </w:t>
      </w:r>
      <w:proofErr w:type="gramStart"/>
      <w:r>
        <w:t>van ,</w:t>
      </w:r>
      <w:proofErr w:type="gramEnd"/>
      <w:r>
        <w:t xml:space="preserve"> Marahatta, S.B., Balen, J. and Lee, A.C. (2023). The impact of decentralisation on health systems: a systematic review of reviews. </w:t>
      </w:r>
      <w:r>
        <w:rPr>
          <w:i/>
          <w:iCs/>
        </w:rPr>
        <w:t>BMJ Global Health</w:t>
      </w:r>
      <w:r>
        <w:t xml:space="preserve">, [online] 8(12), </w:t>
      </w:r>
      <w:proofErr w:type="gramStart"/>
      <w:r>
        <w:t>pp.e</w:t>
      </w:r>
      <w:proofErr w:type="gramEnd"/>
      <w:r>
        <w:t xml:space="preserve">013317–e013317. </w:t>
      </w:r>
      <w:proofErr w:type="spellStart"/>
      <w:r>
        <w:t>doi</w:t>
      </w:r>
      <w:proofErr w:type="spellEnd"/>
      <w:r>
        <w:t xml:space="preserve">: </w:t>
      </w:r>
      <w:hyperlink r:id="rId47">
        <w:r>
          <w:rPr>
            <w:u w:val="single"/>
          </w:rPr>
          <w:t>https://doi.org/10.1136/bmjgh-2023-013317</w:t>
        </w:r>
      </w:hyperlink>
      <w:r>
        <w:t xml:space="preserve">. </w:t>
      </w:r>
    </w:p>
    <w:p w14:paraId="1677BF80" w14:textId="77777777" w:rsidR="000E512D" w:rsidRDefault="00000000">
      <w:pPr>
        <w:spacing w:after="240" w:line="360" w:lineRule="auto"/>
        <w:jc w:val="both"/>
      </w:pPr>
      <w:r>
        <w:t xml:space="preserve">Sharma, L., Prakash, A. and Medhi, B. (2024). Ensuring medication and patient safety for better quality healthcare. </w:t>
      </w:r>
      <w:r>
        <w:rPr>
          <w:i/>
          <w:iCs/>
        </w:rPr>
        <w:t>Indian Journal of Pharmacology</w:t>
      </w:r>
      <w:r>
        <w:t xml:space="preserve">, [online] 56(6), pp.375–378. </w:t>
      </w:r>
      <w:proofErr w:type="spellStart"/>
      <w:r>
        <w:t>doi</w:t>
      </w:r>
      <w:proofErr w:type="spellEnd"/>
      <w:r>
        <w:t xml:space="preserve">: </w:t>
      </w:r>
      <w:hyperlink r:id="rId48">
        <w:r>
          <w:rPr>
            <w:u w:val="single"/>
          </w:rPr>
          <w:t>https://doi.org/10.4103/ijp.ijp_109_25</w:t>
        </w:r>
      </w:hyperlink>
      <w:r>
        <w:t xml:space="preserve">. </w:t>
      </w:r>
    </w:p>
    <w:p w14:paraId="0AFA58E9" w14:textId="77777777" w:rsidR="000E512D" w:rsidRDefault="00000000">
      <w:pPr>
        <w:spacing w:after="240" w:line="360" w:lineRule="auto"/>
        <w:jc w:val="both"/>
      </w:pPr>
      <w:r>
        <w:t xml:space="preserve">Shishkin, S., Sheiman, I., </w:t>
      </w:r>
      <w:proofErr w:type="spellStart"/>
      <w:r>
        <w:t>Potapchik</w:t>
      </w:r>
      <w:proofErr w:type="spellEnd"/>
      <w:r>
        <w:t xml:space="preserve">, E., Vasily Vlassov and Sazhina, S. (2025). The impact of centralization on structural changes in healthcare: when it works. </w:t>
      </w:r>
      <w:r>
        <w:rPr>
          <w:i/>
          <w:iCs/>
        </w:rPr>
        <w:t>Frontiers in Health Services</w:t>
      </w:r>
      <w:r>
        <w:t xml:space="preserve">, [online] 5, p.1484225. </w:t>
      </w:r>
      <w:proofErr w:type="spellStart"/>
      <w:r>
        <w:t>doi</w:t>
      </w:r>
      <w:proofErr w:type="spellEnd"/>
      <w:r>
        <w:t xml:space="preserve">: </w:t>
      </w:r>
      <w:hyperlink r:id="rId49">
        <w:r>
          <w:rPr>
            <w:u w:val="single"/>
          </w:rPr>
          <w:t>https://doi.org/10.3389/frhs.2025.1484225</w:t>
        </w:r>
      </w:hyperlink>
      <w:r>
        <w:t xml:space="preserve">. </w:t>
      </w:r>
    </w:p>
    <w:p w14:paraId="41319A17" w14:textId="77777777" w:rsidR="000E512D" w:rsidRDefault="00000000">
      <w:pPr>
        <w:spacing w:after="240" w:line="360" w:lineRule="auto"/>
        <w:jc w:val="both"/>
      </w:pPr>
      <w:proofErr w:type="spellStart"/>
      <w:r>
        <w:lastRenderedPageBreak/>
        <w:t>Slil</w:t>
      </w:r>
      <w:proofErr w:type="spellEnd"/>
      <w:r>
        <w:t xml:space="preserve">, E., Iyiola, K., Alzubi, A. and </w:t>
      </w:r>
      <w:proofErr w:type="spellStart"/>
      <w:r>
        <w:t>Aljuhmani</w:t>
      </w:r>
      <w:proofErr w:type="spellEnd"/>
      <w:r>
        <w:t xml:space="preserve">, H.Y. (2025). Impact of Safety Leadership and Employee Morale on Safety Performance: The Moderating Role of Harmonious Safety Passion. </w:t>
      </w:r>
      <w:r>
        <w:rPr>
          <w:i/>
          <w:iCs/>
        </w:rPr>
        <w:t>Buildings</w:t>
      </w:r>
      <w:r>
        <w:t xml:space="preserve">, [online] 15(2), p.186. </w:t>
      </w:r>
      <w:proofErr w:type="spellStart"/>
      <w:r>
        <w:t>doi</w:t>
      </w:r>
      <w:proofErr w:type="spellEnd"/>
      <w:r>
        <w:t xml:space="preserve">: </w:t>
      </w:r>
      <w:hyperlink r:id="rId50">
        <w:r>
          <w:rPr>
            <w:u w:val="single"/>
          </w:rPr>
          <w:t>https://doi.org/10.3390/buildings15020186</w:t>
        </w:r>
      </w:hyperlink>
      <w:r>
        <w:t xml:space="preserve">. </w:t>
      </w:r>
    </w:p>
    <w:p w14:paraId="26F14E15" w14:textId="77777777" w:rsidR="000E512D" w:rsidRDefault="00000000">
      <w:pPr>
        <w:spacing w:after="240" w:line="360" w:lineRule="auto"/>
        <w:jc w:val="both"/>
      </w:pPr>
      <w:r>
        <w:t xml:space="preserve">Srivastava, A. (2023). Governance in financial institutions: key elements and preventing the failures. </w:t>
      </w:r>
      <w:r>
        <w:rPr>
          <w:i/>
          <w:iCs/>
        </w:rPr>
        <w:t>Asian Journal of Economics and Banking</w:t>
      </w:r>
      <w:r>
        <w:t xml:space="preserve">, [online] 7(3), pp.424–434. </w:t>
      </w:r>
      <w:proofErr w:type="spellStart"/>
      <w:r>
        <w:t>doi</w:t>
      </w:r>
      <w:proofErr w:type="spellEnd"/>
      <w:r>
        <w:t xml:space="preserve">: </w:t>
      </w:r>
      <w:hyperlink r:id="rId51">
        <w:r>
          <w:rPr>
            <w:u w:val="single"/>
          </w:rPr>
          <w:t>https://doi.org/10.1108/ajeb-05-2022-0049</w:t>
        </w:r>
      </w:hyperlink>
      <w:r>
        <w:t xml:space="preserve">. </w:t>
      </w:r>
    </w:p>
    <w:p w14:paraId="124D3A6C" w14:textId="77777777" w:rsidR="000E512D" w:rsidRDefault="00000000">
      <w:pPr>
        <w:pBdr>
          <w:top w:val="nil"/>
          <w:left w:val="nil"/>
          <w:bottom w:val="nil"/>
          <w:right w:val="nil"/>
          <w:between w:val="nil"/>
        </w:pBdr>
        <w:spacing w:after="240" w:line="360" w:lineRule="auto"/>
        <w:jc w:val="both"/>
      </w:pPr>
      <w:r>
        <w:t xml:space="preserve">Sujata Sapkota, Amshu Dhakal, Rushton, S., Edwin van </w:t>
      </w:r>
      <w:proofErr w:type="spellStart"/>
      <w:r>
        <w:t>Teijlingen</w:t>
      </w:r>
      <w:proofErr w:type="spellEnd"/>
      <w:r>
        <w:t xml:space="preserve">, </w:t>
      </w:r>
      <w:proofErr w:type="spellStart"/>
      <w:r>
        <w:t>Marahatta</w:t>
      </w:r>
      <w:proofErr w:type="spellEnd"/>
      <w:r>
        <w:t xml:space="preserve">, S.B., Balen, J. and Andrew CK Lee (2023). The impact of decentralisation on health systems: a systematic review of reviews. </w:t>
      </w:r>
      <w:r>
        <w:rPr>
          <w:i/>
          <w:iCs/>
        </w:rPr>
        <w:t>BMJ Global Health</w:t>
      </w:r>
      <w:r>
        <w:t xml:space="preserve">, 8(12), </w:t>
      </w:r>
      <w:proofErr w:type="gramStart"/>
      <w:r>
        <w:t>pp.e</w:t>
      </w:r>
      <w:proofErr w:type="gramEnd"/>
      <w:r>
        <w:t xml:space="preserve">013317–e013317. </w:t>
      </w:r>
      <w:proofErr w:type="spellStart"/>
      <w:r>
        <w:t>doi</w:t>
      </w:r>
      <w:proofErr w:type="spellEnd"/>
      <w:r>
        <w:t xml:space="preserve">: </w:t>
      </w:r>
      <w:hyperlink r:id="rId52">
        <w:r>
          <w:rPr>
            <w:u w:val="single"/>
          </w:rPr>
          <w:t>https://doi.org/10.1136/bmjgh-2023-013317</w:t>
        </w:r>
      </w:hyperlink>
      <w:r>
        <w:t xml:space="preserve"> </w:t>
      </w:r>
    </w:p>
    <w:p w14:paraId="37C6FCF4" w14:textId="77777777" w:rsidR="000E512D" w:rsidRDefault="00000000">
      <w:pPr>
        <w:spacing w:after="240" w:line="360" w:lineRule="auto"/>
        <w:jc w:val="both"/>
      </w:pPr>
      <w:r>
        <w:t xml:space="preserve">Swan, W. (2022). Transactional Leadership. </w:t>
      </w:r>
      <w:r>
        <w:rPr>
          <w:i/>
          <w:iCs/>
        </w:rPr>
        <w:t>Springer eBooks</w:t>
      </w:r>
      <w:r>
        <w:t xml:space="preserve">, [online] 1(1), pp.12834–12837. </w:t>
      </w:r>
      <w:proofErr w:type="spellStart"/>
      <w:r>
        <w:t>doi</w:t>
      </w:r>
      <w:proofErr w:type="spellEnd"/>
      <w:r>
        <w:t xml:space="preserve">: </w:t>
      </w:r>
      <w:hyperlink r:id="rId53">
        <w:r>
          <w:rPr>
            <w:u w:val="single"/>
          </w:rPr>
          <w:t>https://doi.org/10.1007/978-3-030-66252-3_1893</w:t>
        </w:r>
      </w:hyperlink>
      <w:r>
        <w:t xml:space="preserve">. </w:t>
      </w:r>
    </w:p>
    <w:p w14:paraId="67E2ED90" w14:textId="77777777" w:rsidR="000E512D" w:rsidRDefault="00000000">
      <w:pPr>
        <w:pBdr>
          <w:top w:val="nil"/>
          <w:left w:val="nil"/>
          <w:bottom w:val="nil"/>
          <w:right w:val="nil"/>
          <w:between w:val="nil"/>
        </w:pBdr>
        <w:spacing w:after="240" w:line="360" w:lineRule="auto"/>
        <w:jc w:val="both"/>
      </w:pPr>
      <w:r>
        <w:t xml:space="preserve">Tariq, R., </w:t>
      </w:r>
      <w:proofErr w:type="spellStart"/>
      <w:r>
        <w:t>Scherbak</w:t>
      </w:r>
      <w:proofErr w:type="spellEnd"/>
      <w:r>
        <w:t xml:space="preserve">, Y., Vashisht, R. and Sinha, A. (2024a). </w:t>
      </w:r>
      <w:r>
        <w:rPr>
          <w:i/>
          <w:iCs/>
        </w:rPr>
        <w:t>Medication dispensing errors and prevention</w:t>
      </w:r>
      <w:r>
        <w:t xml:space="preserve">. [online] National Library of Medicine. Available at: </w:t>
      </w:r>
      <w:hyperlink r:id="rId54">
        <w:r>
          <w:rPr>
            <w:u w:val="single"/>
          </w:rPr>
          <w:t>https://www.ncbi.nlm.nih.gov/books/NBK519065/</w:t>
        </w:r>
      </w:hyperlink>
      <w:r>
        <w:t xml:space="preserve"> </w:t>
      </w:r>
    </w:p>
    <w:p w14:paraId="07C08DC0" w14:textId="77777777" w:rsidR="000E512D" w:rsidRDefault="00000000">
      <w:pPr>
        <w:pBdr>
          <w:top w:val="nil"/>
          <w:left w:val="nil"/>
          <w:bottom w:val="nil"/>
          <w:right w:val="nil"/>
          <w:between w:val="nil"/>
        </w:pBdr>
        <w:spacing w:after="240" w:line="360" w:lineRule="auto"/>
        <w:jc w:val="both"/>
      </w:pPr>
      <w:r>
        <w:t xml:space="preserve">Tariq, R., </w:t>
      </w:r>
      <w:proofErr w:type="spellStart"/>
      <w:r>
        <w:t>Scherbak</w:t>
      </w:r>
      <w:proofErr w:type="spellEnd"/>
      <w:r>
        <w:t xml:space="preserve">, Y., Vashisht, R. and Sinha, A. (2024b). </w:t>
      </w:r>
      <w:r>
        <w:rPr>
          <w:i/>
          <w:iCs/>
        </w:rPr>
        <w:t>Medication dispensing errors and prevention</w:t>
      </w:r>
      <w:r>
        <w:t xml:space="preserve">. [online] National Library of Medicine. Available at: </w:t>
      </w:r>
      <w:hyperlink r:id="rId55">
        <w:r>
          <w:rPr>
            <w:u w:val="single"/>
          </w:rPr>
          <w:t>https://www.ncbi.nlm.nih.gov/books/NBK519065/</w:t>
        </w:r>
      </w:hyperlink>
      <w:r>
        <w:t xml:space="preserve"> </w:t>
      </w:r>
    </w:p>
    <w:p w14:paraId="010AA977" w14:textId="77777777" w:rsidR="000E512D" w:rsidRDefault="00000000">
      <w:pPr>
        <w:spacing w:after="240" w:line="360" w:lineRule="auto"/>
        <w:jc w:val="both"/>
      </w:pPr>
      <w:proofErr w:type="spellStart"/>
      <w:r>
        <w:t>Umeano</w:t>
      </w:r>
      <w:proofErr w:type="spellEnd"/>
      <w:r>
        <w:t>, A. (2024). Nursing leadership strategies for fostering interprofessional collaboration with pharmacists to improve medication safety and patient-</w:t>
      </w:r>
      <w:proofErr w:type="spellStart"/>
      <w:r>
        <w:t>centered</w:t>
      </w:r>
      <w:proofErr w:type="spellEnd"/>
      <w:r>
        <w:t xml:space="preserve"> healthcare outcomes. </w:t>
      </w:r>
      <w:r>
        <w:rPr>
          <w:i/>
          <w:iCs/>
        </w:rPr>
        <w:t>GSC Biological and Pharmaceutical Sciences</w:t>
      </w:r>
      <w:r>
        <w:t xml:space="preserve">, [online] 29(3), pp.428–445. </w:t>
      </w:r>
      <w:proofErr w:type="spellStart"/>
      <w:r>
        <w:t>doi</w:t>
      </w:r>
      <w:proofErr w:type="spellEnd"/>
      <w:r>
        <w:t xml:space="preserve">: </w:t>
      </w:r>
      <w:hyperlink r:id="rId56">
        <w:r>
          <w:rPr>
            <w:u w:val="single"/>
          </w:rPr>
          <w:t>https://doi.org/10.30574/gscbps.2024.29.3.0489</w:t>
        </w:r>
      </w:hyperlink>
      <w:r>
        <w:t xml:space="preserve">. </w:t>
      </w:r>
    </w:p>
    <w:p w14:paraId="1113DBE0" w14:textId="77777777" w:rsidR="000E512D" w:rsidRDefault="00000000">
      <w:pPr>
        <w:spacing w:after="240" w:line="360" w:lineRule="auto"/>
        <w:jc w:val="both"/>
      </w:pPr>
      <w:proofErr w:type="spellStart"/>
      <w:r>
        <w:t>Wawersik</w:t>
      </w:r>
      <w:proofErr w:type="spellEnd"/>
      <w:r>
        <w:t xml:space="preserve">, D. and Palaganas, J. (2022). Organizational Factors That Promote Error Reporting in Healthcare: A Scoping Review. </w:t>
      </w:r>
      <w:r>
        <w:rPr>
          <w:i/>
          <w:iCs/>
        </w:rPr>
        <w:t>Journal of Healthcare Management</w:t>
      </w:r>
      <w:r>
        <w:t xml:space="preserve">, [online] 67(4), pp.283–301. </w:t>
      </w:r>
      <w:proofErr w:type="spellStart"/>
      <w:r>
        <w:t>doi</w:t>
      </w:r>
      <w:proofErr w:type="spellEnd"/>
      <w:r>
        <w:t xml:space="preserve">: </w:t>
      </w:r>
      <w:hyperlink r:id="rId57">
        <w:r>
          <w:rPr>
            <w:u w:val="single"/>
          </w:rPr>
          <w:t>https://doi.org/10.1097/jhm-d-21-00166</w:t>
        </w:r>
      </w:hyperlink>
      <w:r>
        <w:t xml:space="preserve">. </w:t>
      </w:r>
    </w:p>
    <w:p w14:paraId="41E6E935" w14:textId="77777777" w:rsidR="000E512D" w:rsidRDefault="00000000">
      <w:pPr>
        <w:pBdr>
          <w:top w:val="nil"/>
          <w:left w:val="nil"/>
          <w:bottom w:val="nil"/>
          <w:right w:val="nil"/>
          <w:between w:val="nil"/>
        </w:pBdr>
        <w:spacing w:after="240" w:line="360" w:lineRule="auto"/>
        <w:jc w:val="both"/>
      </w:pPr>
      <w:r>
        <w:t xml:space="preserve">WHO (2022). </w:t>
      </w:r>
      <w:r>
        <w:rPr>
          <w:i/>
          <w:iCs/>
        </w:rPr>
        <w:t>Medication without harm</w:t>
      </w:r>
      <w:r>
        <w:t xml:space="preserve">. [online] World Health Organization. Available at: </w:t>
      </w:r>
      <w:hyperlink r:id="rId58">
        <w:r>
          <w:rPr>
            <w:u w:val="single"/>
          </w:rPr>
          <w:t>https://www.who.int/initiatives/medication-without-harm</w:t>
        </w:r>
      </w:hyperlink>
      <w:r>
        <w:t xml:space="preserve"> [Accessed 16 Mar. 2026].</w:t>
      </w:r>
    </w:p>
    <w:p w14:paraId="528D6A83" w14:textId="77777777" w:rsidR="000E512D" w:rsidRDefault="00000000">
      <w:pPr>
        <w:pBdr>
          <w:top w:val="nil"/>
          <w:left w:val="nil"/>
          <w:bottom w:val="nil"/>
          <w:right w:val="nil"/>
          <w:between w:val="nil"/>
        </w:pBdr>
        <w:spacing w:after="240" w:line="360" w:lineRule="auto"/>
        <w:jc w:val="both"/>
      </w:pPr>
      <w:r>
        <w:lastRenderedPageBreak/>
        <w:t xml:space="preserve">WHO (2026). </w:t>
      </w:r>
      <w:proofErr w:type="spellStart"/>
      <w:r>
        <w:rPr>
          <w:i/>
          <w:iCs/>
        </w:rPr>
        <w:t>DSpace</w:t>
      </w:r>
      <w:proofErr w:type="spellEnd"/>
      <w:r>
        <w:t xml:space="preserve">. [online] Who.int. Available at: </w:t>
      </w:r>
      <w:hyperlink r:id="rId59">
        <w:r>
          <w:rPr>
            <w:u w:val="single"/>
          </w:rPr>
          <w:t>https://iris.who.int/bitstreams/ca6b372b-e56b-4229-8b47-349480a4e8b9/download</w:t>
        </w:r>
      </w:hyperlink>
      <w:r>
        <w:t xml:space="preserve"> [Accessed 22 Feb. 2026].</w:t>
      </w:r>
    </w:p>
    <w:p w14:paraId="163BF411" w14:textId="77777777" w:rsidR="000E512D" w:rsidRDefault="00000000">
      <w:pPr>
        <w:pBdr>
          <w:top w:val="nil"/>
          <w:left w:val="nil"/>
          <w:bottom w:val="nil"/>
          <w:right w:val="nil"/>
          <w:between w:val="nil"/>
        </w:pBdr>
        <w:spacing w:after="240" w:line="360" w:lineRule="auto"/>
        <w:jc w:val="both"/>
      </w:pPr>
      <w:r>
        <w:t xml:space="preserve">World Health Organization (2017). </w:t>
      </w:r>
      <w:r>
        <w:rPr>
          <w:i/>
          <w:iCs/>
        </w:rPr>
        <w:t>WHO launches global effort to halve medication-related errors in 5 years</w:t>
      </w:r>
      <w:r>
        <w:t xml:space="preserve">. [online] www.who.int. Available at: </w:t>
      </w:r>
      <w:hyperlink r:id="rId60">
        <w:r>
          <w:rPr>
            <w:u w:val="single"/>
          </w:rPr>
          <w:t>https://www.who.int/news/item/29-03-2017-who-launches-global-effort-to-halve-medication-related-errors-in-5-years</w:t>
        </w:r>
      </w:hyperlink>
      <w:r>
        <w:t xml:space="preserve"> [Accessed 16 Mar. 2026].</w:t>
      </w:r>
    </w:p>
    <w:p w14:paraId="150EE6CD" w14:textId="77777777" w:rsidR="000E512D" w:rsidRDefault="00000000">
      <w:pPr>
        <w:spacing w:after="240" w:line="360" w:lineRule="auto"/>
        <w:jc w:val="both"/>
      </w:pPr>
      <w:r>
        <w:t xml:space="preserve">World Health Organization (2025). </w:t>
      </w:r>
      <w:r>
        <w:rPr>
          <w:i/>
          <w:iCs/>
        </w:rPr>
        <w:t>WHO guideline on balanced national controlled medicines policies to ensure medical access and safety</w:t>
      </w:r>
      <w:r>
        <w:t xml:space="preserve">. [online] Google Books. Available at: </w:t>
      </w:r>
      <w:hyperlink r:id="rId61">
        <w:r>
          <w:rPr>
            <w:u w:val="single"/>
          </w:rPr>
          <w:t>https://books.google.com/books?hl=en&amp;lr=&amp;id=4990EQAAQBAJ&amp;oi=fnd&amp;pg=PR5&amp;dq=The+centralised+governance+structure+provided+national+guidelines+for+opioid+prescribing+and+medication+safety.+&amp;ots=U4Qr-kVnKc&amp;sig=T4QzyBQa-DH_kmPnJwTStvBAgI8</w:t>
        </w:r>
      </w:hyperlink>
      <w:r>
        <w:t xml:space="preserve"> [Accessed 16 Mar. 2026].</w:t>
      </w:r>
    </w:p>
    <w:p w14:paraId="77B909E8" w14:textId="77777777" w:rsidR="000E512D" w:rsidRDefault="000E512D">
      <w:pPr>
        <w:spacing w:after="240" w:line="360" w:lineRule="auto"/>
        <w:jc w:val="both"/>
      </w:pPr>
    </w:p>
    <w:p w14:paraId="10BDF568" w14:textId="77777777" w:rsidR="000E512D" w:rsidRDefault="000E512D">
      <w:pPr>
        <w:spacing w:after="240" w:line="360" w:lineRule="auto"/>
        <w:jc w:val="both"/>
      </w:pPr>
    </w:p>
    <w:p w14:paraId="627C4E74" w14:textId="77777777" w:rsidR="000E512D" w:rsidRDefault="000E512D">
      <w:pPr>
        <w:spacing w:after="240" w:line="360" w:lineRule="auto"/>
        <w:jc w:val="both"/>
      </w:pPr>
    </w:p>
    <w:p w14:paraId="55DA9068" w14:textId="77777777" w:rsidR="000E512D" w:rsidRDefault="000E512D">
      <w:pPr>
        <w:spacing w:after="240" w:line="360" w:lineRule="auto"/>
        <w:jc w:val="both"/>
      </w:pPr>
    </w:p>
    <w:sectPr w:rsidR="000E512D">
      <w:footerReference w:type="default" r:id="rId6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62888" w14:textId="77777777" w:rsidR="00BE1A31" w:rsidRDefault="00BE1A31">
      <w:pPr>
        <w:spacing w:line="240" w:lineRule="auto"/>
      </w:pPr>
      <w:r>
        <w:separator/>
      </w:r>
    </w:p>
  </w:endnote>
  <w:endnote w:type="continuationSeparator" w:id="0">
    <w:p w14:paraId="5C2A3255" w14:textId="77777777" w:rsidR="00BE1A31" w:rsidRDefault="00BE1A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3278CD8D-7612-4228-ADA5-2D7959DE742A}"/>
  </w:font>
  <w:font w:name="Calibri">
    <w:panose1 w:val="020F0502020204030204"/>
    <w:charset w:val="00"/>
    <w:family w:val="swiss"/>
    <w:pitch w:val="variable"/>
    <w:sig w:usb0="E4002EFF" w:usb1="C200247B" w:usb2="00000009" w:usb3="00000000" w:csb0="000001FF" w:csb1="00000000"/>
    <w:embedRegular r:id="rId2" w:fontKey="{014E1BF1-9C42-47CA-83DF-8917E181919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55509" w14:textId="77777777" w:rsidR="000E512D" w:rsidRDefault="00000000">
    <w:pPr>
      <w:pBdr>
        <w:top w:val="single" w:sz="4" w:space="1" w:color="D9D9D9"/>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16094">
      <w:rPr>
        <w:noProof/>
        <w:color w:val="000000"/>
      </w:rPr>
      <w:t>1</w:t>
    </w:r>
    <w:r>
      <w:rPr>
        <w:color w:val="000000"/>
      </w:rPr>
      <w:fldChar w:fldCharType="end"/>
    </w:r>
    <w:r>
      <w:rPr>
        <w:color w:val="000000"/>
      </w:rPr>
      <w:t xml:space="preserve"> | </w:t>
    </w:r>
    <w:r>
      <w:rPr>
        <w:color w:val="7F7F7F"/>
      </w:rPr>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18F9F" w14:textId="77777777" w:rsidR="00BE1A31" w:rsidRDefault="00BE1A31">
      <w:pPr>
        <w:spacing w:line="240" w:lineRule="auto"/>
      </w:pPr>
      <w:r>
        <w:separator/>
      </w:r>
    </w:p>
  </w:footnote>
  <w:footnote w:type="continuationSeparator" w:id="0">
    <w:p w14:paraId="2060833D" w14:textId="77777777" w:rsidR="00BE1A31" w:rsidRDefault="00BE1A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A7575E"/>
    <w:multiLevelType w:val="multilevel"/>
    <w:tmpl w:val="833E56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96335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512D"/>
    <w:rsid w:val="000E512D"/>
    <w:rsid w:val="00B16094"/>
    <w:rsid w:val="00BE1A31"/>
    <w:rsid w:val="00E416A3"/>
    <w:rsid w:val="00F23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956BB"/>
  <w15:docId w15:val="{26CB19D6-52B3-41B9-B7E4-64C793211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20" w:after="120" w:line="360" w:lineRule="auto"/>
      <w:jc w:val="both"/>
      <w:outlineLvl w:val="0"/>
    </w:pPr>
    <w:rPr>
      <w:b/>
      <w:bCs/>
      <w:color w:val="000000"/>
      <w:sz w:val="28"/>
      <w:szCs w:val="28"/>
    </w:rPr>
  </w:style>
  <w:style w:type="paragraph" w:styleId="Heading2">
    <w:name w:val="heading 2"/>
    <w:basedOn w:val="Normal"/>
    <w:next w:val="Normal"/>
    <w:uiPriority w:val="9"/>
    <w:unhideWhenUsed/>
    <w:qFormat/>
    <w:pPr>
      <w:keepNext/>
      <w:keepLines/>
      <w:spacing w:before="120" w:after="120" w:line="360" w:lineRule="auto"/>
      <w:jc w:val="both"/>
      <w:outlineLvl w:val="1"/>
    </w:pPr>
    <w:rPr>
      <w:b/>
      <w:bCs/>
      <w:color w:val="000000"/>
      <w:sz w:val="26"/>
      <w:szCs w:val="26"/>
    </w:rPr>
  </w:style>
  <w:style w:type="paragraph" w:styleId="Heading3">
    <w:name w:val="heading 3"/>
    <w:basedOn w:val="Normal"/>
    <w:next w:val="Normal"/>
    <w:uiPriority w:val="9"/>
    <w:unhideWhenUsed/>
    <w:qFormat/>
    <w:pPr>
      <w:spacing w:before="120" w:after="120" w:line="360" w:lineRule="auto"/>
      <w:jc w:val="both"/>
      <w:outlineLvl w:val="2"/>
    </w:pPr>
    <w:rPr>
      <w:b/>
      <w:bCs/>
      <w:color w:val="000000"/>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pPr>
      <w:spacing w:line="240" w:lineRule="auto"/>
    </w:pPr>
    <w:tblPr>
      <w:tblStyleRowBandSize w:val="1"/>
      <w:tblStyleColBandSize w:val="1"/>
      <w:tblCellMar>
        <w:top w:w="0" w:type="dxa"/>
        <w:left w:w="115" w:type="dxa"/>
        <w:bottom w:w="0" w:type="dxa"/>
        <w:right w:w="115" w:type="dxa"/>
      </w:tblCellMar>
    </w:tblPr>
    <w:tcPr>
      <w:shd w:val="clear" w:color="auto" w:fill="F2DCDB"/>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C0504D"/>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C0504D"/>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C0504D"/>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C0504D"/>
      </w:tcPr>
    </w:tblStylePr>
    <w:tblStylePr w:type="band1Vert">
      <w:tblPr/>
      <w:tcPr>
        <w:shd w:val="clear" w:color="auto" w:fill="E5B9B7"/>
      </w:tcPr>
    </w:tblStylePr>
    <w:tblStylePr w:type="band1Horz">
      <w:tblPr/>
      <w:tcPr>
        <w:shd w:val="clear" w:color="auto" w:fill="E5B9B7"/>
      </w:tcPr>
    </w:tblStylePr>
  </w:style>
  <w:style w:type="table" w:customStyle="1" w:styleId="a0">
    <w:basedOn w:val="TableNormal0"/>
    <w:pPr>
      <w:spacing w:line="240" w:lineRule="auto"/>
    </w:pPr>
    <w:tblPr>
      <w:tblStyleRowBandSize w:val="1"/>
      <w:tblStyleColBandSize w:val="1"/>
      <w:tblCellMar>
        <w:top w:w="0" w:type="dxa"/>
        <w:left w:w="115" w:type="dxa"/>
        <w:bottom w:w="0" w:type="dxa"/>
        <w:right w:w="115" w:type="dxa"/>
      </w:tblCellMar>
    </w:tblPr>
    <w:tcPr>
      <w:shd w:val="clear" w:color="auto" w:fill="DBEEF3"/>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4BACC6"/>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4BACC6"/>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4BACC6"/>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4BACC6"/>
      </w:tcPr>
    </w:tblStylePr>
    <w:tblStylePr w:type="band1Vert">
      <w:tblPr/>
      <w:tcPr>
        <w:shd w:val="clear" w:color="auto" w:fill="B7DDE8"/>
      </w:tcPr>
    </w:tblStylePr>
    <w:tblStylePr w:type="band1Horz">
      <w:tblPr/>
      <w:tcPr>
        <w:shd w:val="clear" w:color="auto" w:fill="B7DDE8"/>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86/s12913-026-14214-w" TargetMode="External"/><Relationship Id="rId18" Type="http://schemas.openxmlformats.org/officeDocument/2006/relationships/hyperlink" Target="https://www.explorepsychology.com/transformational-leadership-characteristics/" TargetMode="External"/><Relationship Id="rId26" Type="http://schemas.openxmlformats.org/officeDocument/2006/relationships/hyperlink" Target="https://doi.org/10.7759/cureus.94056" TargetMode="External"/><Relationship Id="rId39" Type="http://schemas.openxmlformats.org/officeDocument/2006/relationships/hyperlink" Target="https://northeastnorthcumbria.nhs.uk/media/ibadb4ht/patient-safety-incident-response-framework-oversight-policy.pdf" TargetMode="External"/><Relationship Id="rId21" Type="http://schemas.openxmlformats.org/officeDocument/2006/relationships/hyperlink" Target="https://doi.org/10.3390/healthcare14040457" TargetMode="External"/><Relationship Id="rId34" Type="http://schemas.openxmlformats.org/officeDocument/2006/relationships/hyperlink" Target="https://doi.org/10.1007/s10597-024-01420-1" TargetMode="External"/><Relationship Id="rId42" Type="http://schemas.openxmlformats.org/officeDocument/2006/relationships/hyperlink" Target="https://www.internationaljournalofcaringsciences.org/docs/44.ouzounakis.pdf" TargetMode="External"/><Relationship Id="rId47" Type="http://schemas.openxmlformats.org/officeDocument/2006/relationships/hyperlink" Target="https://doi.org/10.1136/bmjgh-2023-013317" TargetMode="External"/><Relationship Id="rId50" Type="http://schemas.openxmlformats.org/officeDocument/2006/relationships/hyperlink" Target="https://doi.org/10.3390/buildings15020186" TargetMode="External"/><Relationship Id="rId55" Type="http://schemas.openxmlformats.org/officeDocument/2006/relationships/hyperlink" Target="https://www.ncbi.nlm.nih.gov/books/NBK519065/"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mj.com/company/%20newsroom/237-million-medication-errors-made-every-year-in-england/" TargetMode="External"/><Relationship Id="rId29" Type="http://schemas.openxmlformats.org/officeDocument/2006/relationships/hyperlink" Target="https://doi.org/10.21275/mr25206180024" TargetMode="External"/><Relationship Id="rId11" Type="http://schemas.openxmlformats.org/officeDocument/2006/relationships/image" Target="media/image5.png"/><Relationship Id="rId24" Type="http://schemas.openxmlformats.org/officeDocument/2006/relationships/hyperlink" Target="https://pdfs.semanticscholar.org/8158/5768e874415ebf8b69fee2520929c0e283cb.pdf" TargetMode="External"/><Relationship Id="rId32" Type="http://schemas.openxmlformats.org/officeDocument/2006/relationships/hyperlink" Target="https://www.diva-portal.org/smash/record.jsf?pid=diva2:1964704" TargetMode="External"/><Relationship Id="rId37" Type="http://schemas.openxmlformats.org/officeDocument/2006/relationships/hyperlink" Target="https://doi.org/10.3390/healthcare13212800" TargetMode="External"/><Relationship Id="rId40" Type="http://schemas.openxmlformats.org/officeDocument/2006/relationships/hyperlink" Target="https://northyorkshireccg.nhs.uk/wp-content/uploads/2023/09/11.07.23-NHS-NEY-INFANT-MORPHINE-OVERDOSE-CASE-STUDY.pdf" TargetMode="External"/><Relationship Id="rId45" Type="http://schemas.openxmlformats.org/officeDocument/2006/relationships/hyperlink" Target="https://doi.org/10.1016/j.ssci.2025.107026" TargetMode="External"/><Relationship Id="rId53" Type="http://schemas.openxmlformats.org/officeDocument/2006/relationships/hyperlink" Target="https://doi.org/10.1007/978-3-030-66252-3_1893" TargetMode="External"/><Relationship Id="rId58" Type="http://schemas.openxmlformats.org/officeDocument/2006/relationships/hyperlink" Target="https://www.who.int/initiatives/medication-without-harm" TargetMode="External"/><Relationship Id="rId5" Type="http://schemas.openxmlformats.org/officeDocument/2006/relationships/footnotes" Target="footnotes.xml"/><Relationship Id="rId61" Type="http://schemas.openxmlformats.org/officeDocument/2006/relationships/hyperlink" Target="https://books.google.com/books?hl=en&amp;lr=&amp;id=4990EQAAQBAJ&amp;oi=fnd&amp;pg=PR5&amp;dq=The+centralised+governance+structure+provided+national+guidelines+for+opioid+prescribing+and+medication+safety.+&amp;ots=U4Qr-kVnKc&amp;sig=T4QzyBQa-DH_kmPnJwTStvBAgI8" TargetMode="External"/><Relationship Id="rId19" Type="http://schemas.openxmlformats.org/officeDocument/2006/relationships/hyperlink" Target="https://www.um.edu.mt/library/oar/handle/123456789/133517" TargetMode="External"/><Relationship Id="rId14" Type="http://schemas.openxmlformats.org/officeDocument/2006/relationships/hyperlink" Target="https://researchcorridor.org/index.php/mjh/article/view/49" TargetMode="External"/><Relationship Id="rId22" Type="http://schemas.openxmlformats.org/officeDocument/2006/relationships/hyperlink" Target="https://doi.org/10.2147/jhl.s520534" TargetMode="External"/><Relationship Id="rId27" Type="http://schemas.openxmlformats.org/officeDocument/2006/relationships/hyperlink" Target="https://doi.org/10.1097/pts.0000000000001072" TargetMode="External"/><Relationship Id="rId30" Type="http://schemas.openxmlformats.org/officeDocument/2006/relationships/hyperlink" Target="https://doi.org/10.2139/ssrn.4525803" TargetMode="External"/><Relationship Id="rId35" Type="http://schemas.openxmlformats.org/officeDocument/2006/relationships/hyperlink" Target="https://doi.org/10.1186/1472-6963-14-93" TargetMode="External"/><Relationship Id="rId43" Type="http://schemas.openxmlformats.org/officeDocument/2006/relationships/hyperlink" Target="https://www.pharmaceuticalpress.com/resources/article/what-are-the-most-common-types-of-medication-errors/" TargetMode="External"/><Relationship Id="rId48" Type="http://schemas.openxmlformats.org/officeDocument/2006/relationships/hyperlink" Target="https://doi.org/10.4103/ijp.ijp_109_25" TargetMode="External"/><Relationship Id="rId56" Type="http://schemas.openxmlformats.org/officeDocument/2006/relationships/hyperlink" Target="https://doi.org/10.30574/gscbps.2024.29.3.0489" TargetMode="External"/><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doi.org/10.1108/ajeb-05-2022-0049" TargetMode="External"/><Relationship Id="rId3" Type="http://schemas.openxmlformats.org/officeDocument/2006/relationships/settings" Target="settings.xml"/><Relationship Id="rId12" Type="http://schemas.openxmlformats.org/officeDocument/2006/relationships/hyperlink" Target="https://doi.org/10.61440/jghsm.2025.v1.06" TargetMode="External"/><Relationship Id="rId17" Type="http://schemas.openxmlformats.org/officeDocument/2006/relationships/hyperlink" Target="https://doi.org/10.1136/ejhpharm-2022-003515" TargetMode="External"/><Relationship Id="rId25" Type="http://schemas.openxmlformats.org/officeDocument/2006/relationships/hyperlink" Target="https://doi.org/10.2118/221726-ms" TargetMode="External"/><Relationship Id="rId33" Type="http://schemas.openxmlformats.org/officeDocument/2006/relationships/hyperlink" Target="https://doi.org/10.1007/978-3-031-68722-8_9" TargetMode="External"/><Relationship Id="rId38" Type="http://schemas.openxmlformats.org/officeDocument/2006/relationships/hyperlink" Target="https://www.england.nhs.uk/patient-safety/patient-safety-insight/incident-response-framework/" TargetMode="External"/><Relationship Id="rId46" Type="http://schemas.openxmlformats.org/officeDocument/2006/relationships/hyperlink" Target="https://doi.org/10.1371/journal.pmed.1004133" TargetMode="External"/><Relationship Id="rId59" Type="http://schemas.openxmlformats.org/officeDocument/2006/relationships/hyperlink" Target="https://iris.who.int/bitstreams/ca6b372b-e56b-4229-8b47-349480a4e8b9/download" TargetMode="External"/><Relationship Id="rId20" Type="http://schemas.openxmlformats.org/officeDocument/2006/relationships/hyperlink" Target="https://doi.org/10.1080/13561820.2020.1816936" TargetMode="External"/><Relationship Id="rId41" Type="http://schemas.openxmlformats.org/officeDocument/2006/relationships/hyperlink" Target="https://doi.org/10.1186/s12913-022-07716-w" TargetMode="External"/><Relationship Id="rId54" Type="http://schemas.openxmlformats.org/officeDocument/2006/relationships/hyperlink" Target="https://www.ncbi.nlm.nih.gov/books/NBK519065/"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mj.com/company/%20newsroom/237-million-medication-errors-made-every-year-in-england" TargetMode="External"/><Relationship Id="rId23" Type="http://schemas.openxmlformats.org/officeDocument/2006/relationships/hyperlink" Target="https://doi.org/10.3389/fmed.2021.814100" TargetMode="External"/><Relationship Id="rId28" Type="http://schemas.openxmlformats.org/officeDocument/2006/relationships/hyperlink" Target="https://doi.org/10.1136/ejhpharm-2025-004533" TargetMode="External"/><Relationship Id="rId36" Type="http://schemas.openxmlformats.org/officeDocument/2006/relationships/hyperlink" Target="https://doi.org/10.3390/medicines8090046" TargetMode="External"/><Relationship Id="rId49" Type="http://schemas.openxmlformats.org/officeDocument/2006/relationships/hyperlink" Target="https://doi.org/10.3389/frhs.2025.1484225" TargetMode="External"/><Relationship Id="rId57" Type="http://schemas.openxmlformats.org/officeDocument/2006/relationships/hyperlink" Target="https://doi.org/10.1097/jhm-d-21-00166" TargetMode="External"/><Relationship Id="rId10" Type="http://schemas.openxmlformats.org/officeDocument/2006/relationships/image" Target="media/image4.png"/><Relationship Id="rId31" Type="http://schemas.openxmlformats.org/officeDocument/2006/relationships/hyperlink" Target="https://pmc.ncbi.nlm.nih.gov/articles/PMC10240167/" TargetMode="External"/><Relationship Id="rId44" Type="http://schemas.openxmlformats.org/officeDocument/2006/relationships/hyperlink" Target="https://www.sciencedirect.com/science/article/pii/S0268401223001007" TargetMode="External"/><Relationship Id="rId52" Type="http://schemas.openxmlformats.org/officeDocument/2006/relationships/hyperlink" Target="https://doi.org/10.1136/bmjgh-2023-013317" TargetMode="External"/><Relationship Id="rId60" Type="http://schemas.openxmlformats.org/officeDocument/2006/relationships/hyperlink" Target="https://www.who.int/news/item/29-03-2017-who-launches-global-effort-to-halve-medication-related-errors-in-5-years" TargetMode="Externa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26</Pages>
  <Words>8476</Words>
  <Characters>48316</Characters>
  <Application>Microsoft Office Word</Application>
  <DocSecurity>0</DocSecurity>
  <Lines>402</Lines>
  <Paragraphs>113</Paragraphs>
  <ScaleCrop>false</ScaleCrop>
  <Company/>
  <LinksUpToDate>false</LinksUpToDate>
  <CharactersWithSpaces>56679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sidat</dc:creator>
  <cp:lastModifiedBy>Farhin Mahmedhanif Topiya</cp:lastModifiedBy>
  <cp:revision>2</cp:revision>
  <dcterms:created xsi:type="dcterms:W3CDTF">2026-04-20T22:49:00Z</dcterms:created>
  <dcterms:modified xsi:type="dcterms:W3CDTF">2026-04-20T22:49:00Z</dcterms:modified>
</cp:coreProperties>
</file>