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3BE0" w:rsidRPr="00F506AE" w:rsidRDefault="00033BE0" w:rsidP="00033BE0">
      <w:pPr>
        <w:pStyle w:val="NoSpacing"/>
        <w:jc w:val="center"/>
        <w:rPr>
          <w:rFonts w:cstheme="minorHAnsi"/>
          <w:b/>
          <w:sz w:val="24"/>
          <w:szCs w:val="24"/>
        </w:rPr>
      </w:pPr>
      <w:bookmarkStart w:id="0" w:name="_GoBack"/>
      <w:bookmarkEnd w:id="0"/>
      <w:r w:rsidRPr="00F506AE">
        <w:rPr>
          <w:rFonts w:cstheme="minorHAnsi"/>
          <w:b/>
          <w:sz w:val="24"/>
          <w:szCs w:val="24"/>
        </w:rPr>
        <w:t>ASB Intervention Handout</w:t>
      </w:r>
    </w:p>
    <w:p w:rsidR="00033BE0" w:rsidRPr="00F506AE" w:rsidRDefault="00033BE0" w:rsidP="00613CC5">
      <w:pPr>
        <w:rPr>
          <w:rFonts w:cstheme="minorHAnsi"/>
          <w:b/>
          <w:sz w:val="24"/>
          <w:szCs w:val="24"/>
        </w:rPr>
      </w:pPr>
    </w:p>
    <w:p w:rsidR="00613CC5" w:rsidRPr="00F506AE" w:rsidRDefault="00613CC5" w:rsidP="00F506AE">
      <w:pPr>
        <w:shd w:val="clear" w:color="auto" w:fill="DEEAF6" w:themeFill="accent1" w:themeFillTint="33"/>
        <w:rPr>
          <w:rFonts w:cstheme="minorHAnsi"/>
          <w:b/>
          <w:sz w:val="24"/>
          <w:szCs w:val="24"/>
        </w:rPr>
      </w:pPr>
      <w:r w:rsidRPr="00F506AE">
        <w:rPr>
          <w:rFonts w:cstheme="minorHAnsi"/>
          <w:b/>
          <w:sz w:val="24"/>
          <w:szCs w:val="24"/>
        </w:rPr>
        <w:t>Early and Informal Interventions</w:t>
      </w:r>
    </w:p>
    <w:p w:rsidR="00613CC5" w:rsidRPr="00F506AE" w:rsidRDefault="00613CC5" w:rsidP="00E77876">
      <w:pPr>
        <w:spacing w:line="276" w:lineRule="auto"/>
        <w:rPr>
          <w:rFonts w:cstheme="minorHAnsi"/>
          <w:sz w:val="24"/>
          <w:szCs w:val="24"/>
        </w:rPr>
      </w:pPr>
      <w:r w:rsidRPr="00F506AE">
        <w:rPr>
          <w:rFonts w:cstheme="minorHAnsi"/>
          <w:sz w:val="24"/>
          <w:szCs w:val="24"/>
        </w:rPr>
        <w:t>By establishing clear standards of behaviour and ensuring anti-social behaviour is not tolerated it has been proven that the use of early and informal interventions can be successful in stopping anti-social behaviour.</w:t>
      </w:r>
    </w:p>
    <w:p w:rsidR="00613CC5" w:rsidRPr="00F506AE" w:rsidRDefault="00613CC5" w:rsidP="00E77876">
      <w:pPr>
        <w:spacing w:line="276" w:lineRule="auto"/>
        <w:rPr>
          <w:rFonts w:cstheme="minorHAnsi"/>
          <w:sz w:val="24"/>
          <w:szCs w:val="24"/>
        </w:rPr>
      </w:pPr>
      <w:r w:rsidRPr="00F506AE">
        <w:rPr>
          <w:rFonts w:cstheme="minorHAnsi"/>
          <w:sz w:val="24"/>
          <w:szCs w:val="24"/>
        </w:rPr>
        <w:t>The National Decision Model (NDM), professional judgement and all of the available information, intelligence and evidence should be used to determine whether or not it is appropriate to use an informal intervention on a case by case basis. Some examples of early and informal interventions are:</w:t>
      </w:r>
    </w:p>
    <w:p w:rsidR="00033BE0" w:rsidRPr="00F506AE" w:rsidRDefault="00033BE0" w:rsidP="00613CC5">
      <w:pPr>
        <w:rPr>
          <w:rFonts w:cstheme="minorHAnsi"/>
          <w:sz w:val="24"/>
          <w:szCs w:val="24"/>
        </w:rPr>
      </w:pPr>
    </w:p>
    <w:p w:rsidR="00613CC5" w:rsidRPr="00F506AE" w:rsidRDefault="00613CC5" w:rsidP="00F506AE">
      <w:pPr>
        <w:shd w:val="clear" w:color="auto" w:fill="DEEAF6" w:themeFill="accent1" w:themeFillTint="33"/>
        <w:rPr>
          <w:rFonts w:cstheme="minorHAnsi"/>
          <w:b/>
          <w:sz w:val="24"/>
          <w:szCs w:val="24"/>
        </w:rPr>
      </w:pPr>
      <w:r w:rsidRPr="00F506AE">
        <w:rPr>
          <w:rFonts w:cstheme="minorHAnsi"/>
          <w:b/>
          <w:sz w:val="24"/>
          <w:szCs w:val="24"/>
        </w:rPr>
        <w:t>Verbal Warnings</w:t>
      </w:r>
    </w:p>
    <w:p w:rsidR="00613CC5" w:rsidRPr="00F506AE" w:rsidRDefault="00613CC5" w:rsidP="00E77876">
      <w:pPr>
        <w:spacing w:line="276" w:lineRule="auto"/>
        <w:rPr>
          <w:rFonts w:cstheme="minorHAnsi"/>
          <w:sz w:val="24"/>
          <w:szCs w:val="24"/>
        </w:rPr>
      </w:pPr>
      <w:r w:rsidRPr="00F506AE">
        <w:rPr>
          <w:rFonts w:cstheme="minorHAnsi"/>
          <w:sz w:val="24"/>
          <w:szCs w:val="24"/>
        </w:rPr>
        <w:t>• Must be specific and clear about what it relates to</w:t>
      </w:r>
    </w:p>
    <w:p w:rsidR="00613CC5" w:rsidRPr="00F506AE" w:rsidRDefault="00613CC5" w:rsidP="00E77876">
      <w:pPr>
        <w:spacing w:line="276" w:lineRule="auto"/>
        <w:rPr>
          <w:rFonts w:cstheme="minorHAnsi"/>
          <w:sz w:val="24"/>
          <w:szCs w:val="24"/>
        </w:rPr>
      </w:pPr>
      <w:r w:rsidRPr="00F506AE">
        <w:rPr>
          <w:rFonts w:cstheme="minorHAnsi"/>
          <w:sz w:val="24"/>
          <w:szCs w:val="24"/>
        </w:rPr>
        <w:t>• Individuals should be made aware of:</w:t>
      </w:r>
    </w:p>
    <w:p w:rsidR="00E77876" w:rsidRDefault="00613CC5" w:rsidP="00E77876">
      <w:pPr>
        <w:pStyle w:val="ListParagraph"/>
        <w:numPr>
          <w:ilvl w:val="0"/>
          <w:numId w:val="1"/>
        </w:numPr>
        <w:spacing w:line="276" w:lineRule="auto"/>
        <w:rPr>
          <w:rFonts w:cstheme="minorHAnsi"/>
          <w:sz w:val="24"/>
          <w:szCs w:val="24"/>
        </w:rPr>
      </w:pPr>
      <w:r w:rsidRPr="00E77876">
        <w:rPr>
          <w:rFonts w:cstheme="minorHAnsi"/>
          <w:sz w:val="24"/>
          <w:szCs w:val="24"/>
        </w:rPr>
        <w:t>the impact of their ASB on victims and the community</w:t>
      </w:r>
    </w:p>
    <w:p w:rsidR="00613CC5" w:rsidRPr="00E77876" w:rsidRDefault="00613CC5" w:rsidP="00E77876">
      <w:pPr>
        <w:pStyle w:val="ListParagraph"/>
        <w:numPr>
          <w:ilvl w:val="0"/>
          <w:numId w:val="1"/>
        </w:numPr>
        <w:spacing w:line="276" w:lineRule="auto"/>
        <w:rPr>
          <w:rFonts w:cstheme="minorHAnsi"/>
          <w:sz w:val="24"/>
          <w:szCs w:val="24"/>
        </w:rPr>
      </w:pPr>
      <w:r w:rsidRPr="00E77876">
        <w:rPr>
          <w:rFonts w:cstheme="minorHAnsi"/>
          <w:sz w:val="24"/>
          <w:szCs w:val="24"/>
        </w:rPr>
        <w:t>the consequences of continuing with the problem behaviour</w:t>
      </w:r>
    </w:p>
    <w:p w:rsidR="00033BE0" w:rsidRPr="00F506AE" w:rsidRDefault="00033BE0" w:rsidP="00613CC5">
      <w:pPr>
        <w:rPr>
          <w:rFonts w:cstheme="minorHAnsi"/>
          <w:b/>
          <w:sz w:val="24"/>
          <w:szCs w:val="24"/>
        </w:rPr>
      </w:pPr>
    </w:p>
    <w:p w:rsidR="00613CC5" w:rsidRPr="00F506AE" w:rsidRDefault="00613CC5" w:rsidP="00E77876">
      <w:pPr>
        <w:shd w:val="clear" w:color="auto" w:fill="DEEAF6" w:themeFill="accent1" w:themeFillTint="33"/>
        <w:rPr>
          <w:rFonts w:cstheme="minorHAnsi"/>
          <w:b/>
          <w:sz w:val="24"/>
          <w:szCs w:val="24"/>
        </w:rPr>
      </w:pPr>
      <w:r w:rsidRPr="00F506AE">
        <w:rPr>
          <w:rFonts w:cstheme="minorHAnsi"/>
          <w:b/>
          <w:sz w:val="24"/>
          <w:szCs w:val="24"/>
        </w:rPr>
        <w:t>Written Warnings</w:t>
      </w:r>
    </w:p>
    <w:p w:rsidR="00613CC5" w:rsidRPr="00F506AE" w:rsidRDefault="00613CC5" w:rsidP="00E77876">
      <w:pPr>
        <w:spacing w:line="276" w:lineRule="auto"/>
        <w:rPr>
          <w:rFonts w:cstheme="minorHAnsi"/>
          <w:sz w:val="24"/>
          <w:szCs w:val="24"/>
        </w:rPr>
      </w:pPr>
      <w:r w:rsidRPr="00F506AE">
        <w:rPr>
          <w:rFonts w:cstheme="minorHAnsi"/>
          <w:sz w:val="24"/>
          <w:szCs w:val="24"/>
        </w:rPr>
        <w:t>• Must be specific and clear about what it relates to</w:t>
      </w:r>
    </w:p>
    <w:p w:rsidR="00613CC5" w:rsidRPr="00F506AE" w:rsidRDefault="00613CC5" w:rsidP="00E77876">
      <w:pPr>
        <w:spacing w:line="276" w:lineRule="auto"/>
        <w:rPr>
          <w:rFonts w:cstheme="minorHAnsi"/>
          <w:sz w:val="24"/>
          <w:szCs w:val="24"/>
        </w:rPr>
      </w:pPr>
      <w:r w:rsidRPr="00F506AE">
        <w:rPr>
          <w:rFonts w:cstheme="minorHAnsi"/>
          <w:sz w:val="24"/>
          <w:szCs w:val="24"/>
        </w:rPr>
        <w:t>• Individuals should be made aware of the impact of their ASB on victims and the community</w:t>
      </w:r>
    </w:p>
    <w:p w:rsidR="00613CC5" w:rsidRPr="00F506AE" w:rsidRDefault="00613CC5" w:rsidP="00E77876">
      <w:pPr>
        <w:spacing w:line="276" w:lineRule="auto"/>
        <w:rPr>
          <w:rFonts w:cstheme="minorHAnsi"/>
          <w:sz w:val="24"/>
          <w:szCs w:val="24"/>
        </w:rPr>
      </w:pPr>
      <w:r w:rsidRPr="00F506AE">
        <w:rPr>
          <w:rFonts w:cstheme="minorHAnsi"/>
          <w:sz w:val="24"/>
          <w:szCs w:val="24"/>
        </w:rPr>
        <w:t>• Information about written warnings should be shared with relevant partners to monitor the impact of the intervention</w:t>
      </w:r>
    </w:p>
    <w:p w:rsidR="00033BE0" w:rsidRPr="00F506AE" w:rsidRDefault="00033BE0" w:rsidP="00613CC5">
      <w:pPr>
        <w:rPr>
          <w:rFonts w:cstheme="minorHAnsi"/>
          <w:b/>
          <w:sz w:val="24"/>
          <w:szCs w:val="24"/>
        </w:rPr>
      </w:pPr>
    </w:p>
    <w:p w:rsidR="00613CC5" w:rsidRPr="00F506AE" w:rsidRDefault="00613CC5" w:rsidP="00E77876">
      <w:pPr>
        <w:shd w:val="clear" w:color="auto" w:fill="DEEAF6" w:themeFill="accent1" w:themeFillTint="33"/>
        <w:rPr>
          <w:rFonts w:cstheme="minorHAnsi"/>
          <w:b/>
          <w:sz w:val="24"/>
          <w:szCs w:val="24"/>
        </w:rPr>
      </w:pPr>
      <w:r w:rsidRPr="00F506AE">
        <w:rPr>
          <w:rFonts w:cstheme="minorHAnsi"/>
          <w:b/>
          <w:sz w:val="24"/>
          <w:szCs w:val="24"/>
        </w:rPr>
        <w:t>Community Resolution</w:t>
      </w:r>
    </w:p>
    <w:p w:rsidR="00613CC5" w:rsidRPr="00F506AE" w:rsidRDefault="00613CC5" w:rsidP="00E77876">
      <w:pPr>
        <w:spacing w:line="276" w:lineRule="auto"/>
        <w:rPr>
          <w:rFonts w:cstheme="minorHAnsi"/>
          <w:sz w:val="24"/>
          <w:szCs w:val="24"/>
        </w:rPr>
      </w:pPr>
      <w:r w:rsidRPr="00F506AE">
        <w:rPr>
          <w:rFonts w:cstheme="minorHAnsi"/>
          <w:sz w:val="24"/>
          <w:szCs w:val="24"/>
        </w:rPr>
        <w:t>• Primarily aimed at first time perpetrators who express genuine remorse</w:t>
      </w:r>
    </w:p>
    <w:p w:rsidR="00613CC5" w:rsidRPr="00F506AE" w:rsidRDefault="00613CC5" w:rsidP="00E77876">
      <w:pPr>
        <w:spacing w:line="276" w:lineRule="auto"/>
        <w:rPr>
          <w:rFonts w:cstheme="minorHAnsi"/>
          <w:sz w:val="24"/>
          <w:szCs w:val="24"/>
        </w:rPr>
      </w:pPr>
      <w:r w:rsidRPr="00F506AE">
        <w:rPr>
          <w:rFonts w:cstheme="minorHAnsi"/>
          <w:sz w:val="24"/>
          <w:szCs w:val="24"/>
        </w:rPr>
        <w:t>• Informal agreement between involved parties</w:t>
      </w:r>
    </w:p>
    <w:p w:rsidR="00613CC5" w:rsidRPr="00F506AE" w:rsidRDefault="00613CC5" w:rsidP="00E77876">
      <w:pPr>
        <w:spacing w:line="276" w:lineRule="auto"/>
        <w:rPr>
          <w:rFonts w:cstheme="minorHAnsi"/>
          <w:sz w:val="24"/>
          <w:szCs w:val="24"/>
        </w:rPr>
      </w:pPr>
      <w:r w:rsidRPr="00F506AE">
        <w:rPr>
          <w:rFonts w:cstheme="minorHAnsi"/>
          <w:sz w:val="24"/>
          <w:szCs w:val="24"/>
        </w:rPr>
        <w:t>• Should take into account the needs of the victim, perpetrator and wider community</w:t>
      </w:r>
    </w:p>
    <w:p w:rsidR="00E77876" w:rsidRDefault="00E77876" w:rsidP="00613CC5">
      <w:pPr>
        <w:rPr>
          <w:rFonts w:cstheme="minorHAnsi"/>
          <w:sz w:val="24"/>
          <w:szCs w:val="24"/>
        </w:rPr>
      </w:pPr>
    </w:p>
    <w:p w:rsidR="00E77876" w:rsidRDefault="00E77876" w:rsidP="00613CC5">
      <w:pPr>
        <w:rPr>
          <w:rFonts w:cstheme="minorHAnsi"/>
          <w:sz w:val="24"/>
          <w:szCs w:val="24"/>
        </w:rPr>
      </w:pPr>
    </w:p>
    <w:p w:rsidR="00E77876" w:rsidRPr="00F506AE" w:rsidRDefault="00E77876" w:rsidP="00613CC5">
      <w:pPr>
        <w:rPr>
          <w:rFonts w:cstheme="minorHAnsi"/>
          <w:sz w:val="24"/>
          <w:szCs w:val="24"/>
        </w:rPr>
      </w:pPr>
    </w:p>
    <w:p w:rsidR="00613CC5" w:rsidRPr="00F506AE" w:rsidRDefault="00613CC5" w:rsidP="00E77876">
      <w:pPr>
        <w:shd w:val="clear" w:color="auto" w:fill="DEEAF6" w:themeFill="accent1" w:themeFillTint="33"/>
        <w:rPr>
          <w:rFonts w:cstheme="minorHAnsi"/>
          <w:b/>
          <w:sz w:val="24"/>
          <w:szCs w:val="24"/>
        </w:rPr>
      </w:pPr>
      <w:r w:rsidRPr="00F506AE">
        <w:rPr>
          <w:rFonts w:cstheme="minorHAnsi"/>
          <w:b/>
          <w:sz w:val="24"/>
          <w:szCs w:val="24"/>
        </w:rPr>
        <w:lastRenderedPageBreak/>
        <w:t>Mediation</w:t>
      </w:r>
    </w:p>
    <w:p w:rsidR="00613CC5" w:rsidRPr="00F506AE" w:rsidRDefault="00613CC5" w:rsidP="00E77876">
      <w:pPr>
        <w:spacing w:line="276" w:lineRule="auto"/>
        <w:rPr>
          <w:rFonts w:cstheme="minorHAnsi"/>
          <w:sz w:val="24"/>
          <w:szCs w:val="24"/>
        </w:rPr>
      </w:pPr>
      <w:r w:rsidRPr="00F506AE">
        <w:rPr>
          <w:rFonts w:cstheme="minorHAnsi"/>
          <w:sz w:val="24"/>
          <w:szCs w:val="24"/>
        </w:rPr>
        <w:t>• All parties must be willing participants</w:t>
      </w:r>
    </w:p>
    <w:p w:rsidR="00613CC5" w:rsidRPr="00F506AE" w:rsidRDefault="00613CC5" w:rsidP="00E77876">
      <w:pPr>
        <w:spacing w:line="276" w:lineRule="auto"/>
        <w:rPr>
          <w:rFonts w:cstheme="minorHAnsi"/>
          <w:sz w:val="24"/>
          <w:szCs w:val="24"/>
        </w:rPr>
      </w:pPr>
      <w:r w:rsidRPr="00F506AE">
        <w:rPr>
          <w:rFonts w:cstheme="minorHAnsi"/>
          <w:sz w:val="24"/>
          <w:szCs w:val="24"/>
        </w:rPr>
        <w:t>• A mediator facilitates a meeting and ensures both parties adhere to meeting ground rules</w:t>
      </w:r>
    </w:p>
    <w:p w:rsidR="00613CC5" w:rsidRPr="00F506AE" w:rsidRDefault="00613CC5" w:rsidP="00E77876">
      <w:pPr>
        <w:spacing w:line="276" w:lineRule="auto"/>
        <w:rPr>
          <w:rFonts w:cstheme="minorHAnsi"/>
          <w:sz w:val="24"/>
          <w:szCs w:val="24"/>
        </w:rPr>
      </w:pPr>
      <w:r w:rsidRPr="00F506AE">
        <w:rPr>
          <w:rFonts w:cstheme="minorHAnsi"/>
          <w:sz w:val="24"/>
          <w:szCs w:val="24"/>
        </w:rPr>
        <w:t>• Where agreements are made at the meeting the mediator can put this in writing and ask each party to sign a document to formalise what was</w:t>
      </w:r>
    </w:p>
    <w:p w:rsidR="00613CC5" w:rsidRPr="00F506AE" w:rsidRDefault="00613CC5" w:rsidP="00E77876">
      <w:pPr>
        <w:spacing w:line="276" w:lineRule="auto"/>
        <w:rPr>
          <w:rFonts w:cstheme="minorHAnsi"/>
          <w:sz w:val="24"/>
          <w:szCs w:val="24"/>
        </w:rPr>
      </w:pPr>
      <w:r w:rsidRPr="00F506AE">
        <w:rPr>
          <w:rFonts w:cstheme="minorHAnsi"/>
          <w:sz w:val="24"/>
          <w:szCs w:val="24"/>
        </w:rPr>
        <w:t>• Effective when responding to:</w:t>
      </w:r>
    </w:p>
    <w:p w:rsidR="00E77876" w:rsidRDefault="00613CC5" w:rsidP="00E77876">
      <w:pPr>
        <w:pStyle w:val="ListParagraph"/>
        <w:numPr>
          <w:ilvl w:val="0"/>
          <w:numId w:val="1"/>
        </w:numPr>
        <w:spacing w:line="276" w:lineRule="auto"/>
        <w:rPr>
          <w:rFonts w:cstheme="minorHAnsi"/>
          <w:sz w:val="24"/>
          <w:szCs w:val="24"/>
        </w:rPr>
      </w:pPr>
      <w:r w:rsidRPr="00E77876">
        <w:rPr>
          <w:rFonts w:cstheme="minorHAnsi"/>
          <w:sz w:val="24"/>
          <w:szCs w:val="24"/>
        </w:rPr>
        <w:t>neighbour disputes</w:t>
      </w:r>
    </w:p>
    <w:p w:rsidR="00E77876" w:rsidRDefault="00613CC5" w:rsidP="00E77876">
      <w:pPr>
        <w:pStyle w:val="ListParagraph"/>
        <w:numPr>
          <w:ilvl w:val="0"/>
          <w:numId w:val="1"/>
        </w:numPr>
        <w:spacing w:line="276" w:lineRule="auto"/>
        <w:rPr>
          <w:rFonts w:cstheme="minorHAnsi"/>
          <w:sz w:val="24"/>
          <w:szCs w:val="24"/>
        </w:rPr>
      </w:pPr>
      <w:r w:rsidRPr="00E77876">
        <w:rPr>
          <w:rFonts w:cstheme="minorHAnsi"/>
          <w:sz w:val="24"/>
          <w:szCs w:val="24"/>
        </w:rPr>
        <w:t>family conflicts</w:t>
      </w:r>
    </w:p>
    <w:p w:rsidR="00E77876" w:rsidRDefault="00613CC5" w:rsidP="00E77876">
      <w:pPr>
        <w:pStyle w:val="ListParagraph"/>
        <w:numPr>
          <w:ilvl w:val="0"/>
          <w:numId w:val="1"/>
        </w:numPr>
        <w:spacing w:line="276" w:lineRule="auto"/>
        <w:rPr>
          <w:rFonts w:cstheme="minorHAnsi"/>
          <w:sz w:val="24"/>
          <w:szCs w:val="24"/>
        </w:rPr>
      </w:pPr>
      <w:r w:rsidRPr="00E77876">
        <w:rPr>
          <w:rFonts w:cstheme="minorHAnsi"/>
          <w:sz w:val="24"/>
          <w:szCs w:val="24"/>
        </w:rPr>
        <w:t>noise complaints</w:t>
      </w:r>
    </w:p>
    <w:p w:rsidR="00613CC5" w:rsidRPr="00E77876" w:rsidRDefault="00613CC5" w:rsidP="00E77876">
      <w:pPr>
        <w:pStyle w:val="ListParagraph"/>
        <w:numPr>
          <w:ilvl w:val="0"/>
          <w:numId w:val="1"/>
        </w:numPr>
        <w:spacing w:line="276" w:lineRule="auto"/>
        <w:rPr>
          <w:rFonts w:cstheme="minorHAnsi"/>
          <w:sz w:val="24"/>
          <w:szCs w:val="24"/>
        </w:rPr>
      </w:pPr>
      <w:r w:rsidRPr="00E77876">
        <w:rPr>
          <w:rFonts w:cstheme="minorHAnsi"/>
          <w:sz w:val="24"/>
          <w:szCs w:val="24"/>
        </w:rPr>
        <w:t>situations when it is difficult to establish who is the victim and who is the perpetrator</w:t>
      </w:r>
    </w:p>
    <w:p w:rsidR="00613CC5" w:rsidRPr="00F506AE" w:rsidRDefault="00613CC5" w:rsidP="00613CC5">
      <w:pPr>
        <w:rPr>
          <w:rFonts w:cstheme="minorHAnsi"/>
          <w:sz w:val="24"/>
          <w:szCs w:val="24"/>
        </w:rPr>
      </w:pPr>
    </w:p>
    <w:p w:rsidR="00613CC5" w:rsidRPr="00F506AE" w:rsidRDefault="00613CC5" w:rsidP="00E77876">
      <w:pPr>
        <w:shd w:val="clear" w:color="auto" w:fill="DEEAF6" w:themeFill="accent1" w:themeFillTint="33"/>
        <w:spacing w:line="276" w:lineRule="auto"/>
        <w:rPr>
          <w:rFonts w:cstheme="minorHAnsi"/>
          <w:b/>
          <w:sz w:val="24"/>
          <w:szCs w:val="24"/>
        </w:rPr>
      </w:pPr>
      <w:r w:rsidRPr="00F506AE">
        <w:rPr>
          <w:rFonts w:cstheme="minorHAnsi"/>
          <w:b/>
          <w:sz w:val="24"/>
          <w:szCs w:val="24"/>
        </w:rPr>
        <w:t>Acceptable Behaviour Contracts (ABCs)</w:t>
      </w:r>
    </w:p>
    <w:p w:rsidR="00613CC5" w:rsidRPr="00F506AE" w:rsidRDefault="00613CC5" w:rsidP="00E77876">
      <w:pPr>
        <w:spacing w:line="276" w:lineRule="auto"/>
        <w:rPr>
          <w:rFonts w:cstheme="minorHAnsi"/>
          <w:sz w:val="24"/>
          <w:szCs w:val="24"/>
        </w:rPr>
      </w:pPr>
      <w:r w:rsidRPr="00F506AE">
        <w:rPr>
          <w:rFonts w:cstheme="minorHAnsi"/>
          <w:sz w:val="24"/>
          <w:szCs w:val="24"/>
        </w:rPr>
        <w:t>• A written agreement between a perpetrator of ASB and an agency working with them</w:t>
      </w:r>
    </w:p>
    <w:p w:rsidR="00613CC5" w:rsidRPr="00F506AE" w:rsidRDefault="00613CC5" w:rsidP="00E77876">
      <w:pPr>
        <w:spacing w:line="276" w:lineRule="auto"/>
        <w:rPr>
          <w:rFonts w:cstheme="minorHAnsi"/>
          <w:sz w:val="24"/>
          <w:szCs w:val="24"/>
        </w:rPr>
      </w:pPr>
      <w:r w:rsidRPr="00F506AE">
        <w:rPr>
          <w:rFonts w:cstheme="minorHAnsi"/>
          <w:sz w:val="24"/>
          <w:szCs w:val="24"/>
        </w:rPr>
        <w:t>• No formal sanction for failing to sign or comply</w:t>
      </w:r>
    </w:p>
    <w:p w:rsidR="00613CC5" w:rsidRPr="00F506AE" w:rsidRDefault="00613CC5" w:rsidP="00E77876">
      <w:pPr>
        <w:spacing w:line="276" w:lineRule="auto"/>
        <w:rPr>
          <w:rFonts w:cstheme="minorHAnsi"/>
          <w:sz w:val="24"/>
          <w:szCs w:val="24"/>
        </w:rPr>
      </w:pPr>
      <w:r w:rsidRPr="00F506AE">
        <w:rPr>
          <w:rFonts w:cstheme="minorHAnsi"/>
          <w:sz w:val="24"/>
          <w:szCs w:val="24"/>
        </w:rPr>
        <w:t>• ABCs should be specific about what further action may be taken if a perpetrator fails to comply</w:t>
      </w:r>
    </w:p>
    <w:p w:rsidR="00613CC5" w:rsidRPr="00F506AE" w:rsidRDefault="00613CC5" w:rsidP="00E77876">
      <w:pPr>
        <w:spacing w:line="276" w:lineRule="auto"/>
        <w:rPr>
          <w:rFonts w:cstheme="minorHAnsi"/>
          <w:sz w:val="24"/>
          <w:szCs w:val="24"/>
        </w:rPr>
      </w:pPr>
      <w:r w:rsidRPr="00F506AE">
        <w:rPr>
          <w:rFonts w:cstheme="minorHAnsi"/>
          <w:sz w:val="24"/>
          <w:szCs w:val="24"/>
        </w:rPr>
        <w:t>• Can be submitted as evidence if subsequent court proceedings are deemed necessary</w:t>
      </w:r>
    </w:p>
    <w:p w:rsidR="00613CC5" w:rsidRPr="00F506AE" w:rsidRDefault="00613CC5" w:rsidP="00E77876">
      <w:pPr>
        <w:spacing w:line="276" w:lineRule="auto"/>
        <w:rPr>
          <w:rFonts w:cstheme="minorHAnsi"/>
          <w:sz w:val="24"/>
          <w:szCs w:val="24"/>
        </w:rPr>
      </w:pPr>
      <w:r w:rsidRPr="00F506AE">
        <w:rPr>
          <w:rFonts w:cstheme="minorHAnsi"/>
          <w:sz w:val="24"/>
          <w:szCs w:val="24"/>
        </w:rPr>
        <w:t>• Effective when dealing with young people and preventing a further escalation of unacceptable behaviour</w:t>
      </w:r>
    </w:p>
    <w:p w:rsidR="00033BE0" w:rsidRPr="00F506AE" w:rsidRDefault="00033BE0" w:rsidP="00613CC5">
      <w:pPr>
        <w:rPr>
          <w:rFonts w:cstheme="minorHAnsi"/>
          <w:b/>
          <w:sz w:val="24"/>
          <w:szCs w:val="24"/>
        </w:rPr>
      </w:pPr>
    </w:p>
    <w:p w:rsidR="00613CC5" w:rsidRPr="00F506AE" w:rsidRDefault="00613CC5" w:rsidP="00E77876">
      <w:pPr>
        <w:shd w:val="clear" w:color="auto" w:fill="DEEAF6" w:themeFill="accent1" w:themeFillTint="33"/>
        <w:rPr>
          <w:rFonts w:cstheme="minorHAnsi"/>
          <w:b/>
          <w:sz w:val="24"/>
          <w:szCs w:val="24"/>
        </w:rPr>
      </w:pPr>
      <w:r w:rsidRPr="00F506AE">
        <w:rPr>
          <w:rFonts w:cstheme="minorHAnsi"/>
          <w:b/>
          <w:sz w:val="24"/>
          <w:szCs w:val="24"/>
        </w:rPr>
        <w:t>Parenting Contracts</w:t>
      </w:r>
    </w:p>
    <w:p w:rsidR="00613CC5" w:rsidRPr="00F506AE" w:rsidRDefault="00613CC5" w:rsidP="00E77876">
      <w:pPr>
        <w:spacing w:line="276" w:lineRule="auto"/>
        <w:rPr>
          <w:rFonts w:cstheme="minorHAnsi"/>
          <w:sz w:val="24"/>
          <w:szCs w:val="24"/>
        </w:rPr>
      </w:pPr>
      <w:r w:rsidRPr="00F506AE">
        <w:rPr>
          <w:rFonts w:cstheme="minorHAnsi"/>
          <w:sz w:val="24"/>
          <w:szCs w:val="24"/>
        </w:rPr>
        <w:t>• Similar to ABCs but signed by a parent or guardian</w:t>
      </w:r>
    </w:p>
    <w:p w:rsidR="00613CC5" w:rsidRPr="00F506AE" w:rsidRDefault="00613CC5" w:rsidP="00E77876">
      <w:pPr>
        <w:spacing w:line="276" w:lineRule="auto"/>
        <w:rPr>
          <w:rFonts w:cstheme="minorHAnsi"/>
          <w:sz w:val="24"/>
          <w:szCs w:val="24"/>
        </w:rPr>
      </w:pPr>
      <w:r w:rsidRPr="00F506AE">
        <w:rPr>
          <w:rFonts w:cstheme="minorHAnsi"/>
          <w:sz w:val="24"/>
          <w:szCs w:val="24"/>
        </w:rPr>
        <w:t>• Might be used when:</w:t>
      </w:r>
    </w:p>
    <w:p w:rsidR="00E77876" w:rsidRDefault="00E77876" w:rsidP="00E77876">
      <w:pPr>
        <w:pStyle w:val="ListParagraph"/>
        <w:numPr>
          <w:ilvl w:val="0"/>
          <w:numId w:val="1"/>
        </w:numPr>
        <w:spacing w:line="276" w:lineRule="auto"/>
        <w:rPr>
          <w:rFonts w:cstheme="minorHAnsi"/>
          <w:sz w:val="24"/>
          <w:szCs w:val="24"/>
        </w:rPr>
      </w:pPr>
      <w:r w:rsidRPr="00E77876">
        <w:rPr>
          <w:rFonts w:cstheme="minorHAnsi"/>
          <w:sz w:val="24"/>
          <w:szCs w:val="24"/>
        </w:rPr>
        <w:t>a</w:t>
      </w:r>
      <w:r w:rsidR="00613CC5" w:rsidRPr="00E77876">
        <w:rPr>
          <w:rFonts w:cstheme="minorHAnsi"/>
          <w:sz w:val="24"/>
          <w:szCs w:val="24"/>
        </w:rPr>
        <w:t xml:space="preserve"> parent is a bad influence on a child</w:t>
      </w:r>
    </w:p>
    <w:p w:rsidR="00613CC5" w:rsidRPr="00E77876" w:rsidRDefault="00E77876" w:rsidP="00E77876">
      <w:pPr>
        <w:pStyle w:val="ListParagraph"/>
        <w:numPr>
          <w:ilvl w:val="0"/>
          <w:numId w:val="1"/>
        </w:numPr>
        <w:spacing w:line="276" w:lineRule="auto"/>
        <w:rPr>
          <w:rFonts w:cstheme="minorHAnsi"/>
          <w:sz w:val="24"/>
          <w:szCs w:val="24"/>
        </w:rPr>
      </w:pPr>
      <w:r w:rsidRPr="00E77876">
        <w:rPr>
          <w:rFonts w:cstheme="minorHAnsi"/>
          <w:sz w:val="24"/>
          <w:szCs w:val="24"/>
        </w:rPr>
        <w:t>a</w:t>
      </w:r>
      <w:r w:rsidR="00613CC5" w:rsidRPr="00E77876">
        <w:rPr>
          <w:rFonts w:cstheme="minorHAnsi"/>
          <w:sz w:val="24"/>
          <w:szCs w:val="24"/>
        </w:rPr>
        <w:t xml:space="preserve"> parent is failing to provide suitable supervision</w:t>
      </w:r>
    </w:p>
    <w:p w:rsidR="00033BE0" w:rsidRPr="00F506AE" w:rsidRDefault="00613CC5" w:rsidP="00E77876">
      <w:pPr>
        <w:spacing w:line="276" w:lineRule="auto"/>
        <w:rPr>
          <w:rFonts w:cstheme="minorHAnsi"/>
          <w:sz w:val="24"/>
          <w:szCs w:val="24"/>
        </w:rPr>
      </w:pPr>
      <w:r w:rsidRPr="00F506AE">
        <w:rPr>
          <w:rFonts w:cstheme="minorHAnsi"/>
          <w:sz w:val="24"/>
          <w:szCs w:val="24"/>
        </w:rPr>
        <w:t>• If a parenting contract is to be used as an informal intervention against a young person under 18 their parents or guardians should be contacted first</w:t>
      </w:r>
    </w:p>
    <w:p w:rsidR="00E77876" w:rsidRDefault="00E77876" w:rsidP="00613CC5">
      <w:pPr>
        <w:rPr>
          <w:rFonts w:cstheme="minorHAnsi"/>
          <w:b/>
          <w:sz w:val="24"/>
          <w:szCs w:val="24"/>
        </w:rPr>
      </w:pPr>
    </w:p>
    <w:p w:rsidR="00E77876" w:rsidRDefault="00E77876" w:rsidP="00613CC5">
      <w:pPr>
        <w:rPr>
          <w:rFonts w:cstheme="minorHAnsi"/>
          <w:b/>
          <w:sz w:val="24"/>
          <w:szCs w:val="24"/>
        </w:rPr>
      </w:pPr>
    </w:p>
    <w:p w:rsidR="00E77876" w:rsidRDefault="00E77876" w:rsidP="00613CC5">
      <w:pPr>
        <w:rPr>
          <w:rFonts w:cstheme="minorHAnsi"/>
          <w:b/>
          <w:sz w:val="24"/>
          <w:szCs w:val="24"/>
        </w:rPr>
      </w:pPr>
    </w:p>
    <w:p w:rsidR="00613CC5" w:rsidRPr="00F506AE" w:rsidRDefault="00613CC5" w:rsidP="00E77876">
      <w:pPr>
        <w:shd w:val="clear" w:color="auto" w:fill="DEEAF6" w:themeFill="accent1" w:themeFillTint="33"/>
        <w:rPr>
          <w:rFonts w:cstheme="minorHAnsi"/>
          <w:sz w:val="24"/>
          <w:szCs w:val="24"/>
        </w:rPr>
      </w:pPr>
      <w:r w:rsidRPr="00F506AE">
        <w:rPr>
          <w:rFonts w:cstheme="minorHAnsi"/>
          <w:b/>
          <w:sz w:val="24"/>
          <w:szCs w:val="24"/>
        </w:rPr>
        <w:lastRenderedPageBreak/>
        <w:t>Support and Counselling</w:t>
      </w:r>
    </w:p>
    <w:p w:rsidR="007276E2" w:rsidRPr="00F506AE" w:rsidRDefault="00613CC5" w:rsidP="00E77876">
      <w:pPr>
        <w:spacing w:line="276" w:lineRule="auto"/>
        <w:rPr>
          <w:rFonts w:cstheme="minorHAnsi"/>
          <w:sz w:val="24"/>
          <w:szCs w:val="24"/>
        </w:rPr>
      </w:pPr>
      <w:r w:rsidRPr="00F506AE">
        <w:rPr>
          <w:rFonts w:cstheme="minorHAnsi"/>
          <w:sz w:val="24"/>
          <w:szCs w:val="24"/>
        </w:rPr>
        <w:t>• Addresses underlying causes of ASB for example, misuse of alcohol or drugs before further low level crime is committed</w:t>
      </w:r>
    </w:p>
    <w:p w:rsidR="000F7EEB" w:rsidRPr="00F506AE" w:rsidRDefault="000F7EEB" w:rsidP="00613CC5">
      <w:pPr>
        <w:rPr>
          <w:rFonts w:cstheme="minorHAnsi"/>
          <w:sz w:val="24"/>
          <w:szCs w:val="24"/>
        </w:rPr>
      </w:pPr>
    </w:p>
    <w:p w:rsidR="00246BB8" w:rsidRPr="00F506AE" w:rsidRDefault="00246BB8" w:rsidP="00E77876">
      <w:pPr>
        <w:shd w:val="clear" w:color="auto" w:fill="DEEAF6" w:themeFill="accent1" w:themeFillTint="33"/>
        <w:rPr>
          <w:rFonts w:cstheme="minorHAnsi"/>
          <w:b/>
          <w:bCs/>
          <w:sz w:val="24"/>
          <w:szCs w:val="24"/>
        </w:rPr>
      </w:pPr>
      <w:r w:rsidRPr="00F506AE">
        <w:rPr>
          <w:rFonts w:cstheme="minorHAnsi"/>
          <w:b/>
          <w:bCs/>
          <w:sz w:val="24"/>
          <w:szCs w:val="24"/>
        </w:rPr>
        <w:t>Civil Injunction</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8972"/>
      </w:tblGrid>
      <w:tr w:rsidR="00F506AE" w:rsidRPr="00F506AE" w:rsidTr="00E77876">
        <w:trPr>
          <w:trHeight w:val="266"/>
        </w:trPr>
        <w:tc>
          <w:tcPr>
            <w:tcW w:w="8972" w:type="dxa"/>
          </w:tcPr>
          <w:p w:rsidR="00246BB8" w:rsidRPr="00F506AE" w:rsidRDefault="00246BB8" w:rsidP="00E77876">
            <w:pPr>
              <w:autoSpaceDE w:val="0"/>
              <w:autoSpaceDN w:val="0"/>
              <w:adjustRightInd w:val="0"/>
              <w:spacing w:after="0" w:line="276" w:lineRule="auto"/>
              <w:rPr>
                <w:rFonts w:cstheme="minorHAnsi"/>
                <w:sz w:val="24"/>
                <w:szCs w:val="24"/>
              </w:rPr>
            </w:pPr>
            <w:r w:rsidRPr="00F506AE">
              <w:rPr>
                <w:rFonts w:cstheme="minorHAnsi"/>
                <w:sz w:val="24"/>
                <w:szCs w:val="24"/>
              </w:rPr>
              <w:t>To stop or prevent individuals en</w:t>
            </w:r>
            <w:r w:rsidR="00E77876">
              <w:rPr>
                <w:rFonts w:cstheme="minorHAnsi"/>
                <w:sz w:val="24"/>
                <w:szCs w:val="24"/>
              </w:rPr>
              <w:t xml:space="preserve">gaging in anti-social behaviour </w:t>
            </w:r>
            <w:r w:rsidRPr="00F506AE">
              <w:rPr>
                <w:rFonts w:cstheme="minorHAnsi"/>
                <w:sz w:val="24"/>
                <w:szCs w:val="24"/>
              </w:rPr>
              <w:t xml:space="preserve">quickly, nipping problems in the bud before they escalate. </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Issued by the county court and High Court for over 18s and the youth court for under 18s.</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Injunction will include prohibitions and can also include positive requirements to get the perpetrator to address the underlying causes of their anti-social behaviour.</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Agencies must consult youth offending teams in applications against under 18s.</w:t>
            </w:r>
          </w:p>
        </w:tc>
      </w:tr>
    </w:tbl>
    <w:p w:rsidR="00246BB8" w:rsidRPr="00F506AE" w:rsidRDefault="00246BB8" w:rsidP="00613CC5">
      <w:pPr>
        <w:rPr>
          <w:rFonts w:cstheme="minorHAnsi"/>
          <w:sz w:val="24"/>
          <w:szCs w:val="24"/>
          <w:u w:val="single"/>
        </w:rPr>
      </w:pPr>
    </w:p>
    <w:p w:rsidR="000F7EEB" w:rsidRPr="00F506AE" w:rsidRDefault="000F7EEB" w:rsidP="00E77876">
      <w:pPr>
        <w:shd w:val="clear" w:color="auto" w:fill="DEEAF6" w:themeFill="accent1" w:themeFillTint="33"/>
        <w:rPr>
          <w:rFonts w:cstheme="minorHAnsi"/>
          <w:b/>
          <w:sz w:val="24"/>
          <w:szCs w:val="24"/>
        </w:rPr>
      </w:pPr>
      <w:r w:rsidRPr="00F506AE">
        <w:rPr>
          <w:rFonts w:cstheme="minorHAnsi"/>
          <w:b/>
          <w:sz w:val="24"/>
          <w:szCs w:val="24"/>
        </w:rPr>
        <w:t>Criminal Behaviour Order</w:t>
      </w:r>
    </w:p>
    <w:tbl>
      <w:tblPr>
        <w:tblW w:w="9261" w:type="dxa"/>
        <w:tblInd w:w="-108" w:type="dxa"/>
        <w:tblBorders>
          <w:top w:val="nil"/>
          <w:left w:val="nil"/>
          <w:bottom w:val="nil"/>
          <w:right w:val="nil"/>
        </w:tblBorders>
        <w:tblLayout w:type="fixed"/>
        <w:tblLook w:val="0000" w:firstRow="0" w:lastRow="0" w:firstColumn="0" w:lastColumn="0" w:noHBand="0" w:noVBand="0"/>
      </w:tblPr>
      <w:tblGrid>
        <w:gridCol w:w="9261"/>
      </w:tblGrid>
      <w:tr w:rsidR="00F506AE" w:rsidRPr="00F506AE" w:rsidTr="00E77876">
        <w:trPr>
          <w:trHeight w:val="431"/>
        </w:trPr>
        <w:tc>
          <w:tcPr>
            <w:tcW w:w="9261" w:type="dxa"/>
          </w:tcPr>
          <w:p w:rsidR="00E77876"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Issued by any criminal court against a person who has been convicted of an offence to tackle the most persistently anti-s</w:t>
            </w:r>
            <w:r w:rsidR="00E77876">
              <w:rPr>
                <w:rFonts w:cstheme="minorHAnsi"/>
                <w:sz w:val="24"/>
                <w:szCs w:val="24"/>
              </w:rPr>
              <w:t>ocial behaviour</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Issued by any criminal court for any criminal offence.</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The anti-social behaviour does not need to be part of the criminal offence.</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Order will include prohibitions to stop the anti-social behaviour but it can also include positive requirements to get the offender to address the underlying causes of the offender's behaviour.</w:t>
            </w:r>
          </w:p>
          <w:p w:rsidR="000F7EEB" w:rsidRPr="00F506AE" w:rsidRDefault="000F7EEB" w:rsidP="00E77876">
            <w:pPr>
              <w:autoSpaceDE w:val="0"/>
              <w:autoSpaceDN w:val="0"/>
              <w:adjustRightInd w:val="0"/>
              <w:spacing w:after="0" w:line="276" w:lineRule="auto"/>
              <w:rPr>
                <w:rFonts w:cstheme="minorHAnsi"/>
                <w:sz w:val="24"/>
                <w:szCs w:val="24"/>
              </w:rPr>
            </w:pPr>
            <w:r w:rsidRPr="00F506AE">
              <w:rPr>
                <w:rFonts w:cstheme="minorHAnsi"/>
                <w:sz w:val="24"/>
                <w:szCs w:val="24"/>
              </w:rPr>
              <w:t xml:space="preserve">• Agencies must find out the view of the youth offending team (YOT) for applications for under 18s.ocial individuals who are also engaged in criminal activity. </w:t>
            </w:r>
          </w:p>
          <w:p w:rsidR="000F7EEB" w:rsidRPr="00F506AE" w:rsidRDefault="000F7EEB" w:rsidP="000F7EEB">
            <w:pPr>
              <w:autoSpaceDE w:val="0"/>
              <w:autoSpaceDN w:val="0"/>
              <w:adjustRightInd w:val="0"/>
              <w:spacing w:after="0" w:line="240" w:lineRule="auto"/>
              <w:rPr>
                <w:rFonts w:cstheme="minorHAnsi"/>
                <w:sz w:val="24"/>
                <w:szCs w:val="24"/>
              </w:rPr>
            </w:pPr>
          </w:p>
        </w:tc>
      </w:tr>
    </w:tbl>
    <w:p w:rsidR="000F7EEB" w:rsidRPr="00F506AE" w:rsidRDefault="000F7EEB" w:rsidP="00613CC5">
      <w:pPr>
        <w:rPr>
          <w:rFonts w:cstheme="minorHAnsi"/>
          <w:b/>
          <w:sz w:val="24"/>
          <w:szCs w:val="24"/>
          <w:u w:val="single"/>
        </w:rPr>
      </w:pPr>
    </w:p>
    <w:sectPr w:rsidR="000F7EEB" w:rsidRPr="00F506AE" w:rsidSect="00E7787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7876" w:rsidRDefault="00E77876" w:rsidP="00E77876">
      <w:pPr>
        <w:spacing w:after="0" w:line="240" w:lineRule="auto"/>
      </w:pPr>
      <w:r>
        <w:separator/>
      </w:r>
    </w:p>
  </w:endnote>
  <w:endnote w:type="continuationSeparator" w:id="0">
    <w:p w:rsidR="00E77876" w:rsidRDefault="00E77876" w:rsidP="00E77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876" w:rsidRDefault="00E77876" w:rsidP="00E77876">
    <w:pPr>
      <w:pStyle w:val="Footer"/>
      <w:rPr>
        <w:color w:val="000000"/>
        <w:sz w:val="17"/>
        <w:szCs w:val="20"/>
      </w:rPr>
    </w:pPr>
    <w:bookmarkStart w:id="3" w:name="TITUS1FooterEvenPages"/>
    <w:r w:rsidRPr="00E77876">
      <w:rPr>
        <w:color w:val="000000"/>
        <w:sz w:val="17"/>
        <w:szCs w:val="20"/>
      </w:rPr>
      <w:t> </w:t>
    </w:r>
  </w:p>
  <w:bookmarkEnd w:id="3"/>
  <w:p w:rsidR="00E77876" w:rsidRPr="00E77876" w:rsidRDefault="00E77876" w:rsidP="00E77876">
    <w:pPr>
      <w:pStyle w:val="Footer"/>
      <w:rPr>
        <w:sz w:val="20"/>
        <w:szCs w:val="20"/>
      </w:rPr>
    </w:pPr>
    <w:r w:rsidRPr="00E77876">
      <w:rPr>
        <w:sz w:val="20"/>
        <w:szCs w:val="20"/>
      </w:rPr>
      <w:t>AJW54949</w:t>
    </w:r>
    <w:r w:rsidRPr="00E77876">
      <w:rPr>
        <w:sz w:val="20"/>
        <w:szCs w:val="20"/>
      </w:rPr>
      <w:ptab w:relativeTo="margin" w:alignment="center" w:leader="none"/>
    </w:r>
    <w:r w:rsidRPr="00E77876">
      <w:rPr>
        <w:sz w:val="20"/>
        <w:szCs w:val="20"/>
      </w:rPr>
      <w:t>Version 1.0</w:t>
    </w:r>
    <w:r w:rsidRPr="00E77876">
      <w:rPr>
        <w:sz w:val="20"/>
        <w:szCs w:val="20"/>
      </w:rPr>
      <w:ptab w:relativeTo="margin" w:alignment="right" w:leader="none"/>
    </w:r>
  </w:p>
  <w:p w:rsidR="00E77876" w:rsidRPr="00E77876" w:rsidRDefault="00E77876" w:rsidP="00E77876">
    <w:pPr>
      <w:pStyle w:val="Footer"/>
      <w:rPr>
        <w:sz w:val="20"/>
        <w:szCs w:val="20"/>
      </w:rPr>
    </w:pPr>
    <w:r w:rsidRPr="00E77876">
      <w:rPr>
        <w:sz w:val="20"/>
        <w:szCs w:val="20"/>
      </w:rPr>
      <w:t>February 2019</w:t>
    </w:r>
  </w:p>
  <w:p w:rsidR="00E77876" w:rsidRDefault="00E778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876" w:rsidRDefault="00E77876" w:rsidP="00E77876">
    <w:pPr>
      <w:pStyle w:val="Footer"/>
      <w:rPr>
        <w:color w:val="000000"/>
        <w:sz w:val="17"/>
        <w:szCs w:val="20"/>
      </w:rPr>
    </w:pPr>
    <w:bookmarkStart w:id="4" w:name="TITUS1FooterPrimary"/>
    <w:r w:rsidRPr="00E77876">
      <w:rPr>
        <w:color w:val="000000"/>
        <w:sz w:val="17"/>
        <w:szCs w:val="20"/>
      </w:rPr>
      <w:t> </w:t>
    </w:r>
  </w:p>
  <w:bookmarkEnd w:id="4"/>
  <w:p w:rsidR="00E77876" w:rsidRPr="00E77876" w:rsidRDefault="00E77876">
    <w:pPr>
      <w:pStyle w:val="Footer"/>
      <w:rPr>
        <w:sz w:val="20"/>
        <w:szCs w:val="20"/>
      </w:rPr>
    </w:pPr>
    <w:r w:rsidRPr="00E77876">
      <w:rPr>
        <w:sz w:val="20"/>
        <w:szCs w:val="20"/>
      </w:rPr>
      <w:t>AJW54949</w:t>
    </w:r>
    <w:r w:rsidRPr="00E77876">
      <w:rPr>
        <w:sz w:val="20"/>
        <w:szCs w:val="20"/>
      </w:rPr>
      <w:ptab w:relativeTo="margin" w:alignment="center" w:leader="none"/>
    </w:r>
    <w:r w:rsidRPr="00E77876">
      <w:rPr>
        <w:sz w:val="20"/>
        <w:szCs w:val="20"/>
      </w:rPr>
      <w:t>Version 1.0</w:t>
    </w:r>
    <w:r w:rsidRPr="00E77876">
      <w:rPr>
        <w:sz w:val="20"/>
        <w:szCs w:val="20"/>
      </w:rPr>
      <w:ptab w:relativeTo="margin" w:alignment="right" w:leader="none"/>
    </w:r>
  </w:p>
  <w:p w:rsidR="00E77876" w:rsidRPr="00E77876" w:rsidRDefault="00E77876">
    <w:pPr>
      <w:pStyle w:val="Footer"/>
      <w:rPr>
        <w:sz w:val="20"/>
        <w:szCs w:val="20"/>
      </w:rPr>
    </w:pPr>
    <w:r w:rsidRPr="00E77876">
      <w:rPr>
        <w:sz w:val="20"/>
        <w:szCs w:val="20"/>
      </w:rPr>
      <w:t>February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876" w:rsidRDefault="00E77876" w:rsidP="00E77876">
    <w:pPr>
      <w:pStyle w:val="Footer"/>
      <w:rPr>
        <w:color w:val="000000"/>
        <w:sz w:val="17"/>
        <w:szCs w:val="20"/>
      </w:rPr>
    </w:pPr>
    <w:bookmarkStart w:id="6" w:name="TITUS1FooterFirstPage"/>
    <w:r w:rsidRPr="00E77876">
      <w:rPr>
        <w:color w:val="000000"/>
        <w:sz w:val="17"/>
        <w:szCs w:val="20"/>
      </w:rPr>
      <w:t> </w:t>
    </w:r>
  </w:p>
  <w:bookmarkEnd w:id="6"/>
  <w:p w:rsidR="00E77876" w:rsidRPr="00E77876" w:rsidRDefault="00E77876" w:rsidP="00E77876">
    <w:pPr>
      <w:pStyle w:val="Footer"/>
      <w:rPr>
        <w:sz w:val="20"/>
        <w:szCs w:val="20"/>
      </w:rPr>
    </w:pPr>
    <w:r w:rsidRPr="00E77876">
      <w:rPr>
        <w:sz w:val="20"/>
        <w:szCs w:val="20"/>
      </w:rPr>
      <w:t>AJW54949</w:t>
    </w:r>
    <w:r w:rsidRPr="00E77876">
      <w:rPr>
        <w:sz w:val="20"/>
        <w:szCs w:val="20"/>
      </w:rPr>
      <w:ptab w:relativeTo="margin" w:alignment="center" w:leader="none"/>
    </w:r>
    <w:r w:rsidRPr="00E77876">
      <w:rPr>
        <w:sz w:val="20"/>
        <w:szCs w:val="20"/>
      </w:rPr>
      <w:t>Version 1.0</w:t>
    </w:r>
    <w:r w:rsidRPr="00E77876">
      <w:rPr>
        <w:sz w:val="20"/>
        <w:szCs w:val="20"/>
      </w:rPr>
      <w:ptab w:relativeTo="margin" w:alignment="right" w:leader="none"/>
    </w:r>
  </w:p>
  <w:p w:rsidR="00E77876" w:rsidRPr="00E77876" w:rsidRDefault="00E77876" w:rsidP="00E77876">
    <w:pPr>
      <w:pStyle w:val="Footer"/>
      <w:rPr>
        <w:sz w:val="20"/>
        <w:szCs w:val="20"/>
      </w:rPr>
    </w:pPr>
    <w:r w:rsidRPr="00E77876">
      <w:rPr>
        <w:sz w:val="20"/>
        <w:szCs w:val="20"/>
      </w:rPr>
      <w:t>February 2019</w:t>
    </w:r>
  </w:p>
  <w:p w:rsidR="00E77876" w:rsidRDefault="00E77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7876" w:rsidRDefault="00E77876" w:rsidP="00E77876">
      <w:pPr>
        <w:spacing w:after="0" w:line="240" w:lineRule="auto"/>
      </w:pPr>
      <w:r>
        <w:separator/>
      </w:r>
    </w:p>
  </w:footnote>
  <w:footnote w:type="continuationSeparator" w:id="0">
    <w:p w:rsidR="00E77876" w:rsidRDefault="00E77876" w:rsidP="00E778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876" w:rsidRDefault="00E77876" w:rsidP="00E77876">
    <w:pPr>
      <w:pStyle w:val="Header"/>
      <w:rPr>
        <w:color w:val="000000"/>
        <w:sz w:val="17"/>
      </w:rPr>
    </w:pPr>
    <w:bookmarkStart w:id="1" w:name="TITUS1HeaderEvenPages"/>
    <w:r w:rsidRPr="00E77876">
      <w:rPr>
        <w:color w:val="000000"/>
        <w:sz w:val="17"/>
      </w:rPr>
      <w:t> </w:t>
    </w:r>
  </w:p>
  <w:bookmarkEnd w:id="1"/>
  <w:p w:rsidR="00E77876" w:rsidRDefault="00E778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876" w:rsidRDefault="00E77876" w:rsidP="00E77876">
    <w:pPr>
      <w:pStyle w:val="Header"/>
      <w:rPr>
        <w:color w:val="000000"/>
        <w:sz w:val="17"/>
      </w:rPr>
    </w:pPr>
    <w:bookmarkStart w:id="2" w:name="TITUS1HeaderPrimary"/>
    <w:r w:rsidRPr="00E77876">
      <w:rPr>
        <w:color w:val="000000"/>
        <w:sz w:val="17"/>
      </w:rPr>
      <w:t> </w:t>
    </w:r>
  </w:p>
  <w:bookmarkEnd w:id="2" w:displacedByCustomXml="next"/>
  <w:sdt>
    <w:sdtPr>
      <w:id w:val="968934779"/>
      <w:docPartObj>
        <w:docPartGallery w:val="Page Numbers (Margins)"/>
        <w:docPartUnique/>
      </w:docPartObj>
    </w:sdtPr>
    <w:sdtEndPr/>
    <w:sdtContent>
      <w:p w:rsidR="00E77876" w:rsidRDefault="00E77876">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7876" w:rsidRDefault="00E7787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7559E1" w:rsidRPr="007559E1">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rsidR="00E77876" w:rsidRDefault="00E7787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7559E1" w:rsidRPr="007559E1">
                          <w:rPr>
                            <w:rFonts w:asciiTheme="majorHAnsi" w:eastAsiaTheme="majorEastAsia" w:hAnsiTheme="majorHAnsi" w:cstheme="majorBidi"/>
                            <w:noProof/>
                            <w:sz w:val="44"/>
                            <w:szCs w:val="44"/>
                          </w:rPr>
                          <w:t>3</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7876" w:rsidRDefault="00E77876" w:rsidP="00E77876">
    <w:pPr>
      <w:pStyle w:val="Header"/>
      <w:rPr>
        <w:color w:val="000000"/>
        <w:sz w:val="17"/>
      </w:rPr>
    </w:pPr>
    <w:bookmarkStart w:id="5" w:name="TITUS1HeaderFirstPage"/>
    <w:r w:rsidRPr="00E77876">
      <w:rPr>
        <w:color w:val="000000"/>
        <w:sz w:val="17"/>
      </w:rPr>
      <w:t> </w:t>
    </w:r>
  </w:p>
  <w:bookmarkEnd w:id="5" w:displacedByCustomXml="next"/>
  <w:sdt>
    <w:sdtPr>
      <w:id w:val="-1686274644"/>
      <w:docPartObj>
        <w:docPartGallery w:val="Page Numbers (Margins)"/>
        <w:docPartUnique/>
      </w:docPartObj>
    </w:sdtPr>
    <w:sdtEndPr/>
    <w:sdtContent>
      <w:p w:rsidR="00E77876" w:rsidRDefault="00E77876" w:rsidP="00E77876">
        <w:pPr>
          <w:pStyle w:val="Header"/>
        </w:pPr>
        <w:r>
          <w:rPr>
            <w:noProof/>
            <w:lang w:eastAsia="en-GB"/>
          </w:rPr>
          <mc:AlternateContent>
            <mc:Choice Requires="wps">
              <w:drawing>
                <wp:anchor distT="0" distB="0" distL="114300" distR="114300" simplePos="0" relativeHeight="251661312" behindDoc="0" locked="0" layoutInCell="0" allowOverlap="1" wp14:anchorId="7AE26357" wp14:editId="5A0A071A">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77876" w:rsidRDefault="00E77876" w:rsidP="00E7787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7559E1" w:rsidRPr="007559E1">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AE26357" id="Rectangle 2" o:spid="_x0000_s1027" style="position:absolute;margin-left:0;margin-top:0;width:40.2pt;height:171.9pt;z-index:251661312;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" o:allowincell="f" filled="f" stroked="f">
                  <v:textbox style="layout-flow:vertical;mso-layout-flow-alt:bottom-to-top;mso-fit-shape-to-text:t">
                    <w:txbxContent>
                      <w:p w:rsidR="00E77876" w:rsidRDefault="00E77876" w:rsidP="00E77876">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sidR="007559E1" w:rsidRPr="007559E1">
                          <w:rPr>
                            <w:rFonts w:asciiTheme="majorHAnsi" w:eastAsiaTheme="majorEastAsia" w:hAnsiTheme="majorHAnsi" w:cstheme="majorBidi"/>
                            <w:noProof/>
                            <w:sz w:val="44"/>
                            <w:szCs w:val="44"/>
                          </w:rPr>
                          <w:t>1</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p w:rsidR="00E77876" w:rsidRDefault="00E77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1964FA"/>
    <w:multiLevelType w:val="hybridMultilevel"/>
    <w:tmpl w:val="D6F2A7AE"/>
    <w:lvl w:ilvl="0" w:tplc="2ADA6570">
      <w:start w:val="17"/>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h2W9LiA64MokdEF4pXaDdTwcvB+rQqeLo2mFCjrOPVgtAEHqdG7qwC6/0GzFJ6y3PHzZYijStVwZoVfvCrzMZg==" w:salt="cQyMDza2FP5dGrP+rZQjOA=="/>
  <w:zoom w:percent="10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CC5"/>
    <w:rsid w:val="00033BE0"/>
    <w:rsid w:val="000F7EEB"/>
    <w:rsid w:val="00246BB8"/>
    <w:rsid w:val="00613CC5"/>
    <w:rsid w:val="007276E2"/>
    <w:rsid w:val="007559E1"/>
    <w:rsid w:val="00C43E2E"/>
    <w:rsid w:val="00E43DEC"/>
    <w:rsid w:val="00E77876"/>
    <w:rsid w:val="00F50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B55FA9C8-1B0A-4D65-8A76-B96447D6D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3BE0"/>
    <w:pPr>
      <w:spacing w:after="0" w:line="240" w:lineRule="auto"/>
    </w:pPr>
  </w:style>
  <w:style w:type="paragraph" w:styleId="ListParagraph">
    <w:name w:val="List Paragraph"/>
    <w:basedOn w:val="Normal"/>
    <w:uiPriority w:val="34"/>
    <w:qFormat/>
    <w:rsid w:val="00E77876"/>
    <w:pPr>
      <w:ind w:left="720"/>
      <w:contextualSpacing/>
    </w:pPr>
  </w:style>
  <w:style w:type="paragraph" w:styleId="Header">
    <w:name w:val="header"/>
    <w:basedOn w:val="Normal"/>
    <w:link w:val="HeaderChar"/>
    <w:uiPriority w:val="99"/>
    <w:unhideWhenUsed/>
    <w:rsid w:val="00E778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876"/>
  </w:style>
  <w:style w:type="paragraph" w:styleId="Footer">
    <w:name w:val="footer"/>
    <w:basedOn w:val="Normal"/>
    <w:link w:val="FooterChar"/>
    <w:uiPriority w:val="99"/>
    <w:unhideWhenUsed/>
    <w:rsid w:val="00E778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575</Words>
  <Characters>3280</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Jones,Sarah swp5354</dc:creator>
  <cp:keywords/>
  <dc:description/>
  <cp:lastModifiedBy>Jones,Sarah swp5354</cp:lastModifiedBy>
  <cp:revision>2</cp:revision>
  <dcterms:created xsi:type="dcterms:W3CDTF">2019-02-20T14:31:00Z</dcterms:created>
  <dcterms:modified xsi:type="dcterms:W3CDTF">2019-02-20T14:31:00Z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e82dd876-fd79-4132-9049-712d4a95c4ac</vt:lpwstr>
  </property>
  <property fmtid="{D5CDD505-2E9C-101B-9397-08002B2CF9AE}" pid="3" name="Classification">
    <vt:lpwstr>OFFICIAL</vt:lpwstr>
  </property>
  <property fmtid="{D5CDD505-2E9C-101B-9397-08002B2CF9AE}" pid="4" name="Visibility">
    <vt:lpwstr>NOT VISIBLE</vt:lpwstr>
  </property>
</Properties>
</file>