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6F180" w14:textId="77777777" w:rsidR="00A13CFE" w:rsidRDefault="00A13CFE" w:rsidP="00A13CFE">
      <w:pPr>
        <w:spacing w:line="259" w:lineRule="auto"/>
        <w:jc w:val="center"/>
      </w:pPr>
    </w:p>
    <w:p w14:paraId="488B871A" w14:textId="77777777" w:rsidR="00A13CFE" w:rsidRDefault="00A13CFE" w:rsidP="00A13CFE">
      <w:pPr>
        <w:spacing w:line="259" w:lineRule="auto"/>
        <w:jc w:val="center"/>
      </w:pPr>
    </w:p>
    <w:p w14:paraId="2BCAD4DA" w14:textId="77777777" w:rsidR="00A13CFE" w:rsidRDefault="00A13CFE" w:rsidP="00A13CFE">
      <w:pPr>
        <w:spacing w:line="259" w:lineRule="auto"/>
        <w:jc w:val="center"/>
      </w:pPr>
    </w:p>
    <w:p w14:paraId="1F5471F5" w14:textId="77777777" w:rsidR="00A13CFE" w:rsidRDefault="00A13CFE" w:rsidP="00A13CFE">
      <w:pPr>
        <w:spacing w:line="259" w:lineRule="auto"/>
        <w:jc w:val="center"/>
      </w:pPr>
    </w:p>
    <w:p w14:paraId="05A497C7" w14:textId="77777777" w:rsidR="00A13CFE" w:rsidRDefault="00A13CFE" w:rsidP="00A13CFE">
      <w:pPr>
        <w:spacing w:line="259" w:lineRule="auto"/>
        <w:jc w:val="center"/>
      </w:pPr>
    </w:p>
    <w:p w14:paraId="165F639E" w14:textId="77777777" w:rsidR="00A13CFE" w:rsidRDefault="00A13CFE" w:rsidP="00A13CFE">
      <w:pPr>
        <w:spacing w:line="259" w:lineRule="auto"/>
        <w:jc w:val="center"/>
      </w:pPr>
    </w:p>
    <w:p w14:paraId="647D7252" w14:textId="77777777" w:rsidR="00A13CFE" w:rsidRDefault="00A13CFE" w:rsidP="00A13CFE">
      <w:pPr>
        <w:spacing w:line="259" w:lineRule="auto"/>
        <w:jc w:val="center"/>
      </w:pPr>
    </w:p>
    <w:p w14:paraId="3B97B065" w14:textId="77777777" w:rsidR="00A13CFE" w:rsidRDefault="00A13CFE" w:rsidP="00A13CFE">
      <w:pPr>
        <w:spacing w:line="259" w:lineRule="auto"/>
        <w:jc w:val="center"/>
      </w:pPr>
    </w:p>
    <w:p w14:paraId="4556EF27" w14:textId="77777777" w:rsidR="00A13CFE" w:rsidRDefault="00A13CFE" w:rsidP="00A13CFE">
      <w:pPr>
        <w:spacing w:line="259" w:lineRule="auto"/>
        <w:jc w:val="center"/>
      </w:pPr>
    </w:p>
    <w:p w14:paraId="33218A8E" w14:textId="77777777" w:rsidR="00A13CFE" w:rsidRDefault="00A13CFE" w:rsidP="00895F59">
      <w:pPr>
        <w:spacing w:line="259" w:lineRule="auto"/>
        <w:jc w:val="center"/>
      </w:pPr>
      <w:r>
        <w:t>Financial Management for the Hotel Industry</w:t>
      </w:r>
    </w:p>
    <w:p w14:paraId="1E36485E" w14:textId="77777777" w:rsidR="00452FE0" w:rsidRDefault="00452FE0" w:rsidP="00895F59">
      <w:pPr>
        <w:spacing w:line="259" w:lineRule="auto"/>
        <w:jc w:val="center"/>
      </w:pPr>
      <w:r>
        <w:t>BMIH5007</w:t>
      </w:r>
    </w:p>
    <w:p w14:paraId="55C66CD3" w14:textId="77777777" w:rsidR="003B3326" w:rsidRDefault="003B3326" w:rsidP="00895F59">
      <w:pPr>
        <w:spacing w:line="259" w:lineRule="auto"/>
        <w:jc w:val="center"/>
      </w:pPr>
    </w:p>
    <w:p w14:paraId="28CD25D4" w14:textId="1A78E654" w:rsidR="00A13CFE" w:rsidRDefault="00A13CFE" w:rsidP="00895F59">
      <w:pPr>
        <w:spacing w:line="259" w:lineRule="auto"/>
        <w:jc w:val="center"/>
      </w:pPr>
      <w:r>
        <w:t>Name of the Student</w:t>
      </w:r>
      <w:r w:rsidR="00FC46D9">
        <w:t>: AXENTE PAUL ADRIAN</w:t>
      </w:r>
    </w:p>
    <w:p w14:paraId="11840490" w14:textId="77777777" w:rsidR="003B3326" w:rsidRDefault="003B3326" w:rsidP="00895F59">
      <w:pPr>
        <w:jc w:val="center"/>
        <w:rPr>
          <w:lang w:val="en-GB"/>
        </w:rPr>
      </w:pPr>
      <w:r>
        <w:t>Student ID number</w:t>
      </w:r>
      <w:r w:rsidRPr="004E104F">
        <w:rPr>
          <w:lang w:val="en-GB"/>
        </w:rPr>
        <w:t>:</w:t>
      </w:r>
      <w:r w:rsidRPr="00CF1B8A">
        <w:t xml:space="preserve"> </w:t>
      </w:r>
      <w:r w:rsidRPr="00CF1B8A">
        <w:rPr>
          <w:lang w:val="en-GB"/>
        </w:rPr>
        <w:t>2234367</w:t>
      </w:r>
    </w:p>
    <w:p w14:paraId="16F3F4A4" w14:textId="42AF8FF1" w:rsidR="00A13CFE" w:rsidRPr="00FC46D9" w:rsidRDefault="003B3326" w:rsidP="00895F59">
      <w:pPr>
        <w:spacing w:line="259" w:lineRule="auto"/>
        <w:jc w:val="center"/>
      </w:pPr>
      <w:r>
        <w:t>Lecturer’s name</w:t>
      </w:r>
      <w:r w:rsidRPr="004E104F">
        <w:rPr>
          <w:lang w:val="en-GB"/>
        </w:rPr>
        <w:t>:</w:t>
      </w:r>
      <w:r>
        <w:rPr>
          <w:lang w:val="en-GB"/>
        </w:rPr>
        <w:t xml:space="preserve"> </w:t>
      </w:r>
      <w:proofErr w:type="spellStart"/>
      <w:r>
        <w:t>Dr.</w:t>
      </w:r>
      <w:proofErr w:type="spellEnd"/>
      <w:r>
        <w:t xml:space="preserve"> Ernest </w:t>
      </w:r>
      <w:proofErr w:type="spellStart"/>
      <w:r>
        <w:t>Wavei</w:t>
      </w:r>
      <w:proofErr w:type="spellEnd"/>
      <w:r>
        <w:t xml:space="preserve"> </w:t>
      </w:r>
      <w:r w:rsidR="00A13CFE">
        <w:br w:type="page"/>
      </w:r>
    </w:p>
    <w:sdt>
      <w:sdtPr>
        <w:rPr>
          <w:rFonts w:ascii="Times New Roman" w:eastAsiaTheme="minorHAnsi" w:hAnsi="Times New Roman" w:cstheme="minorBidi"/>
          <w:color w:val="auto"/>
          <w:sz w:val="24"/>
          <w:szCs w:val="22"/>
          <w:lang w:val="en-IN"/>
        </w:rPr>
        <w:id w:val="2039701880"/>
        <w:docPartObj>
          <w:docPartGallery w:val="Table of Contents"/>
          <w:docPartUnique/>
        </w:docPartObj>
      </w:sdtPr>
      <w:sdtEndPr>
        <w:rPr>
          <w:b/>
          <w:bCs/>
          <w:noProof/>
        </w:rPr>
      </w:sdtEndPr>
      <w:sdtContent>
        <w:p w14:paraId="27FCE6EF" w14:textId="77777777" w:rsidR="00A13CFE" w:rsidRPr="00A13CFE" w:rsidRDefault="00A13CFE" w:rsidP="00916152">
          <w:pPr>
            <w:pStyle w:val="TOCHeading"/>
            <w:spacing w:line="480" w:lineRule="auto"/>
            <w:jc w:val="center"/>
            <w:rPr>
              <w:rFonts w:ascii="Times New Roman" w:hAnsi="Times New Roman" w:cs="Times New Roman"/>
              <w:b/>
              <w:bCs/>
              <w:color w:val="auto"/>
              <w:sz w:val="24"/>
              <w:szCs w:val="24"/>
            </w:rPr>
          </w:pPr>
          <w:r w:rsidRPr="00A13CFE">
            <w:rPr>
              <w:rFonts w:ascii="Times New Roman" w:hAnsi="Times New Roman" w:cs="Times New Roman"/>
              <w:b/>
              <w:bCs/>
              <w:color w:val="auto"/>
              <w:sz w:val="24"/>
              <w:szCs w:val="24"/>
            </w:rPr>
            <w:t>Table of Contents</w:t>
          </w:r>
        </w:p>
        <w:p w14:paraId="2C3430DF" w14:textId="77777777" w:rsidR="00A13CFE" w:rsidRDefault="00A13CFE">
          <w:pPr>
            <w:pStyle w:val="TOC1"/>
            <w:tabs>
              <w:tab w:val="right" w:leader="dot" w:pos="9016"/>
            </w:tabs>
            <w:rPr>
              <w:noProof/>
            </w:rPr>
          </w:pPr>
          <w:r>
            <w:fldChar w:fldCharType="begin"/>
          </w:r>
          <w:r>
            <w:instrText xml:space="preserve"> TOC \o "1-3" \h \z \u </w:instrText>
          </w:r>
          <w:r>
            <w:fldChar w:fldCharType="separate"/>
          </w:r>
          <w:hyperlink w:anchor="_Toc166680252" w:history="1">
            <w:r w:rsidRPr="00F05A9C">
              <w:rPr>
                <w:rStyle w:val="Hyperlink"/>
                <w:noProof/>
              </w:rPr>
              <w:t>Introduction:</w:t>
            </w:r>
            <w:r>
              <w:rPr>
                <w:noProof/>
                <w:webHidden/>
              </w:rPr>
              <w:tab/>
            </w:r>
            <w:r>
              <w:rPr>
                <w:noProof/>
                <w:webHidden/>
              </w:rPr>
              <w:fldChar w:fldCharType="begin"/>
            </w:r>
            <w:r>
              <w:rPr>
                <w:noProof/>
                <w:webHidden/>
              </w:rPr>
              <w:instrText xml:space="preserve"> PAGEREF _Toc166680252 \h </w:instrText>
            </w:r>
            <w:r>
              <w:rPr>
                <w:noProof/>
                <w:webHidden/>
              </w:rPr>
            </w:r>
            <w:r>
              <w:rPr>
                <w:noProof/>
                <w:webHidden/>
              </w:rPr>
              <w:fldChar w:fldCharType="separate"/>
            </w:r>
            <w:r>
              <w:rPr>
                <w:noProof/>
                <w:webHidden/>
              </w:rPr>
              <w:t>2</w:t>
            </w:r>
            <w:r>
              <w:rPr>
                <w:noProof/>
                <w:webHidden/>
              </w:rPr>
              <w:fldChar w:fldCharType="end"/>
            </w:r>
          </w:hyperlink>
        </w:p>
        <w:p w14:paraId="6943B0E1" w14:textId="77777777" w:rsidR="00A13CFE" w:rsidRDefault="00895F59">
          <w:pPr>
            <w:pStyle w:val="TOC1"/>
            <w:tabs>
              <w:tab w:val="right" w:leader="dot" w:pos="9016"/>
            </w:tabs>
            <w:rPr>
              <w:noProof/>
            </w:rPr>
          </w:pPr>
          <w:hyperlink w:anchor="_Toc166680253" w:history="1">
            <w:r w:rsidR="00A13CFE" w:rsidRPr="00F05A9C">
              <w:rPr>
                <w:rStyle w:val="Hyperlink"/>
                <w:noProof/>
              </w:rPr>
              <w:t>Evaluation of trends and patterns in Urban Heights Hotel’s financial performance:</w:t>
            </w:r>
            <w:r w:rsidR="00A13CFE">
              <w:rPr>
                <w:noProof/>
                <w:webHidden/>
              </w:rPr>
              <w:tab/>
            </w:r>
            <w:r w:rsidR="00A13CFE">
              <w:rPr>
                <w:noProof/>
                <w:webHidden/>
              </w:rPr>
              <w:fldChar w:fldCharType="begin"/>
            </w:r>
            <w:r w:rsidR="00A13CFE">
              <w:rPr>
                <w:noProof/>
                <w:webHidden/>
              </w:rPr>
              <w:instrText xml:space="preserve"> PAGEREF _Toc166680253 \h </w:instrText>
            </w:r>
            <w:r w:rsidR="00A13CFE">
              <w:rPr>
                <w:noProof/>
                <w:webHidden/>
              </w:rPr>
            </w:r>
            <w:r w:rsidR="00A13CFE">
              <w:rPr>
                <w:noProof/>
                <w:webHidden/>
              </w:rPr>
              <w:fldChar w:fldCharType="separate"/>
            </w:r>
            <w:r w:rsidR="00A13CFE">
              <w:rPr>
                <w:noProof/>
                <w:webHidden/>
              </w:rPr>
              <w:t>2</w:t>
            </w:r>
            <w:r w:rsidR="00A13CFE">
              <w:rPr>
                <w:noProof/>
                <w:webHidden/>
              </w:rPr>
              <w:fldChar w:fldCharType="end"/>
            </w:r>
          </w:hyperlink>
        </w:p>
        <w:p w14:paraId="64E587B8" w14:textId="77777777" w:rsidR="00A13CFE" w:rsidRDefault="00895F59">
          <w:pPr>
            <w:pStyle w:val="TOC2"/>
            <w:tabs>
              <w:tab w:val="right" w:leader="dot" w:pos="9016"/>
            </w:tabs>
            <w:rPr>
              <w:noProof/>
            </w:rPr>
          </w:pPr>
          <w:hyperlink w:anchor="_Toc166680254" w:history="1">
            <w:r w:rsidR="00A13CFE" w:rsidRPr="00F05A9C">
              <w:rPr>
                <w:rStyle w:val="Hyperlink"/>
                <w:noProof/>
              </w:rPr>
              <w:t>Ratio Analysis</w:t>
            </w:r>
            <w:r w:rsidR="00A13CFE">
              <w:rPr>
                <w:noProof/>
                <w:webHidden/>
              </w:rPr>
              <w:tab/>
            </w:r>
            <w:r w:rsidR="00A13CFE">
              <w:rPr>
                <w:noProof/>
                <w:webHidden/>
              </w:rPr>
              <w:fldChar w:fldCharType="begin"/>
            </w:r>
            <w:r w:rsidR="00A13CFE">
              <w:rPr>
                <w:noProof/>
                <w:webHidden/>
              </w:rPr>
              <w:instrText xml:space="preserve"> PAGEREF _Toc166680254 \h </w:instrText>
            </w:r>
            <w:r w:rsidR="00A13CFE">
              <w:rPr>
                <w:noProof/>
                <w:webHidden/>
              </w:rPr>
            </w:r>
            <w:r w:rsidR="00A13CFE">
              <w:rPr>
                <w:noProof/>
                <w:webHidden/>
              </w:rPr>
              <w:fldChar w:fldCharType="separate"/>
            </w:r>
            <w:r w:rsidR="00A13CFE">
              <w:rPr>
                <w:noProof/>
                <w:webHidden/>
              </w:rPr>
              <w:t>2</w:t>
            </w:r>
            <w:r w:rsidR="00A13CFE">
              <w:rPr>
                <w:noProof/>
                <w:webHidden/>
              </w:rPr>
              <w:fldChar w:fldCharType="end"/>
            </w:r>
          </w:hyperlink>
        </w:p>
        <w:p w14:paraId="549491D5" w14:textId="77777777" w:rsidR="00A13CFE" w:rsidRDefault="00895F59">
          <w:pPr>
            <w:pStyle w:val="TOC3"/>
            <w:tabs>
              <w:tab w:val="right" w:leader="dot" w:pos="9016"/>
            </w:tabs>
            <w:rPr>
              <w:noProof/>
            </w:rPr>
          </w:pPr>
          <w:hyperlink w:anchor="_Toc166680255" w:history="1">
            <w:r w:rsidR="00A13CFE" w:rsidRPr="00F05A9C">
              <w:rPr>
                <w:rStyle w:val="Hyperlink"/>
                <w:noProof/>
              </w:rPr>
              <w:t>Profitability Ratios:</w:t>
            </w:r>
            <w:r w:rsidR="00A13CFE">
              <w:rPr>
                <w:noProof/>
                <w:webHidden/>
              </w:rPr>
              <w:tab/>
            </w:r>
            <w:r w:rsidR="00A13CFE">
              <w:rPr>
                <w:noProof/>
                <w:webHidden/>
              </w:rPr>
              <w:fldChar w:fldCharType="begin"/>
            </w:r>
            <w:r w:rsidR="00A13CFE">
              <w:rPr>
                <w:noProof/>
                <w:webHidden/>
              </w:rPr>
              <w:instrText xml:space="preserve"> PAGEREF _Toc166680255 \h </w:instrText>
            </w:r>
            <w:r w:rsidR="00A13CFE">
              <w:rPr>
                <w:noProof/>
                <w:webHidden/>
              </w:rPr>
            </w:r>
            <w:r w:rsidR="00A13CFE">
              <w:rPr>
                <w:noProof/>
                <w:webHidden/>
              </w:rPr>
              <w:fldChar w:fldCharType="separate"/>
            </w:r>
            <w:r w:rsidR="00A13CFE">
              <w:rPr>
                <w:noProof/>
                <w:webHidden/>
              </w:rPr>
              <w:t>2</w:t>
            </w:r>
            <w:r w:rsidR="00A13CFE">
              <w:rPr>
                <w:noProof/>
                <w:webHidden/>
              </w:rPr>
              <w:fldChar w:fldCharType="end"/>
            </w:r>
          </w:hyperlink>
        </w:p>
        <w:p w14:paraId="62AB791C" w14:textId="77777777" w:rsidR="00A13CFE" w:rsidRDefault="00895F59">
          <w:pPr>
            <w:pStyle w:val="TOC3"/>
            <w:tabs>
              <w:tab w:val="right" w:leader="dot" w:pos="9016"/>
            </w:tabs>
            <w:rPr>
              <w:noProof/>
            </w:rPr>
          </w:pPr>
          <w:hyperlink w:anchor="_Toc166680256" w:history="1">
            <w:r w:rsidR="00A13CFE" w:rsidRPr="00F05A9C">
              <w:rPr>
                <w:rStyle w:val="Hyperlink"/>
                <w:noProof/>
              </w:rPr>
              <w:t>Liquidity Ratios</w:t>
            </w:r>
            <w:r w:rsidR="00A13CFE">
              <w:rPr>
                <w:noProof/>
                <w:webHidden/>
              </w:rPr>
              <w:tab/>
            </w:r>
            <w:r w:rsidR="00A13CFE">
              <w:rPr>
                <w:noProof/>
                <w:webHidden/>
              </w:rPr>
              <w:fldChar w:fldCharType="begin"/>
            </w:r>
            <w:r w:rsidR="00A13CFE">
              <w:rPr>
                <w:noProof/>
                <w:webHidden/>
              </w:rPr>
              <w:instrText xml:space="preserve"> PAGEREF _Toc166680256 \h </w:instrText>
            </w:r>
            <w:r w:rsidR="00A13CFE">
              <w:rPr>
                <w:noProof/>
                <w:webHidden/>
              </w:rPr>
            </w:r>
            <w:r w:rsidR="00A13CFE">
              <w:rPr>
                <w:noProof/>
                <w:webHidden/>
              </w:rPr>
              <w:fldChar w:fldCharType="separate"/>
            </w:r>
            <w:r w:rsidR="00A13CFE">
              <w:rPr>
                <w:noProof/>
                <w:webHidden/>
              </w:rPr>
              <w:t>3</w:t>
            </w:r>
            <w:r w:rsidR="00A13CFE">
              <w:rPr>
                <w:noProof/>
                <w:webHidden/>
              </w:rPr>
              <w:fldChar w:fldCharType="end"/>
            </w:r>
          </w:hyperlink>
        </w:p>
        <w:p w14:paraId="6752141E" w14:textId="77777777" w:rsidR="00A13CFE" w:rsidRDefault="00895F59">
          <w:pPr>
            <w:pStyle w:val="TOC3"/>
            <w:tabs>
              <w:tab w:val="right" w:leader="dot" w:pos="9016"/>
            </w:tabs>
            <w:rPr>
              <w:noProof/>
            </w:rPr>
          </w:pPr>
          <w:hyperlink w:anchor="_Toc166680257" w:history="1">
            <w:r w:rsidR="00A13CFE" w:rsidRPr="00F05A9C">
              <w:rPr>
                <w:rStyle w:val="Hyperlink"/>
                <w:noProof/>
              </w:rPr>
              <w:t>Solvency Ratios:</w:t>
            </w:r>
            <w:r w:rsidR="00A13CFE">
              <w:rPr>
                <w:noProof/>
                <w:webHidden/>
              </w:rPr>
              <w:tab/>
            </w:r>
            <w:r w:rsidR="00A13CFE">
              <w:rPr>
                <w:noProof/>
                <w:webHidden/>
              </w:rPr>
              <w:fldChar w:fldCharType="begin"/>
            </w:r>
            <w:r w:rsidR="00A13CFE">
              <w:rPr>
                <w:noProof/>
                <w:webHidden/>
              </w:rPr>
              <w:instrText xml:space="preserve"> PAGEREF _Toc166680257 \h </w:instrText>
            </w:r>
            <w:r w:rsidR="00A13CFE">
              <w:rPr>
                <w:noProof/>
                <w:webHidden/>
              </w:rPr>
            </w:r>
            <w:r w:rsidR="00A13CFE">
              <w:rPr>
                <w:noProof/>
                <w:webHidden/>
              </w:rPr>
              <w:fldChar w:fldCharType="separate"/>
            </w:r>
            <w:r w:rsidR="00A13CFE">
              <w:rPr>
                <w:noProof/>
                <w:webHidden/>
              </w:rPr>
              <w:t>4</w:t>
            </w:r>
            <w:r w:rsidR="00A13CFE">
              <w:rPr>
                <w:noProof/>
                <w:webHidden/>
              </w:rPr>
              <w:fldChar w:fldCharType="end"/>
            </w:r>
          </w:hyperlink>
        </w:p>
        <w:p w14:paraId="52DAA0C8" w14:textId="77777777" w:rsidR="00A13CFE" w:rsidRDefault="00895F59">
          <w:pPr>
            <w:pStyle w:val="TOC3"/>
            <w:tabs>
              <w:tab w:val="right" w:leader="dot" w:pos="9016"/>
            </w:tabs>
            <w:rPr>
              <w:noProof/>
            </w:rPr>
          </w:pPr>
          <w:hyperlink w:anchor="_Toc166680258" w:history="1">
            <w:r w:rsidR="00A13CFE" w:rsidRPr="00F05A9C">
              <w:rPr>
                <w:rStyle w:val="Hyperlink"/>
                <w:noProof/>
              </w:rPr>
              <w:t>Efficiency Ratios:</w:t>
            </w:r>
            <w:r w:rsidR="00A13CFE">
              <w:rPr>
                <w:noProof/>
                <w:webHidden/>
              </w:rPr>
              <w:tab/>
            </w:r>
            <w:r w:rsidR="00A13CFE">
              <w:rPr>
                <w:noProof/>
                <w:webHidden/>
              </w:rPr>
              <w:fldChar w:fldCharType="begin"/>
            </w:r>
            <w:r w:rsidR="00A13CFE">
              <w:rPr>
                <w:noProof/>
                <w:webHidden/>
              </w:rPr>
              <w:instrText xml:space="preserve"> PAGEREF _Toc166680258 \h </w:instrText>
            </w:r>
            <w:r w:rsidR="00A13CFE">
              <w:rPr>
                <w:noProof/>
                <w:webHidden/>
              </w:rPr>
            </w:r>
            <w:r w:rsidR="00A13CFE">
              <w:rPr>
                <w:noProof/>
                <w:webHidden/>
              </w:rPr>
              <w:fldChar w:fldCharType="separate"/>
            </w:r>
            <w:r w:rsidR="00A13CFE">
              <w:rPr>
                <w:noProof/>
                <w:webHidden/>
              </w:rPr>
              <w:t>6</w:t>
            </w:r>
            <w:r w:rsidR="00A13CFE">
              <w:rPr>
                <w:noProof/>
                <w:webHidden/>
              </w:rPr>
              <w:fldChar w:fldCharType="end"/>
            </w:r>
          </w:hyperlink>
        </w:p>
        <w:p w14:paraId="2857095A" w14:textId="77777777" w:rsidR="00A13CFE" w:rsidRDefault="00895F59">
          <w:pPr>
            <w:pStyle w:val="TOC2"/>
            <w:tabs>
              <w:tab w:val="right" w:leader="dot" w:pos="9016"/>
            </w:tabs>
            <w:rPr>
              <w:noProof/>
            </w:rPr>
          </w:pPr>
          <w:hyperlink w:anchor="_Toc166680259" w:history="1">
            <w:r w:rsidR="00A13CFE" w:rsidRPr="00F05A9C">
              <w:rPr>
                <w:rStyle w:val="Hyperlink"/>
                <w:noProof/>
              </w:rPr>
              <w:t>Trend Analysis (Common Size Analysis of Financial Statements)</w:t>
            </w:r>
            <w:r w:rsidR="00A13CFE">
              <w:rPr>
                <w:noProof/>
                <w:webHidden/>
              </w:rPr>
              <w:tab/>
            </w:r>
            <w:r w:rsidR="00A13CFE">
              <w:rPr>
                <w:noProof/>
                <w:webHidden/>
              </w:rPr>
              <w:fldChar w:fldCharType="begin"/>
            </w:r>
            <w:r w:rsidR="00A13CFE">
              <w:rPr>
                <w:noProof/>
                <w:webHidden/>
              </w:rPr>
              <w:instrText xml:space="preserve"> PAGEREF _Toc166680259 \h </w:instrText>
            </w:r>
            <w:r w:rsidR="00A13CFE">
              <w:rPr>
                <w:noProof/>
                <w:webHidden/>
              </w:rPr>
            </w:r>
            <w:r w:rsidR="00A13CFE">
              <w:rPr>
                <w:noProof/>
                <w:webHidden/>
              </w:rPr>
              <w:fldChar w:fldCharType="separate"/>
            </w:r>
            <w:r w:rsidR="00A13CFE">
              <w:rPr>
                <w:noProof/>
                <w:webHidden/>
              </w:rPr>
              <w:t>7</w:t>
            </w:r>
            <w:r w:rsidR="00A13CFE">
              <w:rPr>
                <w:noProof/>
                <w:webHidden/>
              </w:rPr>
              <w:fldChar w:fldCharType="end"/>
            </w:r>
          </w:hyperlink>
        </w:p>
        <w:p w14:paraId="2E0E7C5E" w14:textId="77777777" w:rsidR="00A13CFE" w:rsidRDefault="00895F59">
          <w:pPr>
            <w:pStyle w:val="TOC1"/>
            <w:tabs>
              <w:tab w:val="right" w:leader="dot" w:pos="9016"/>
            </w:tabs>
            <w:rPr>
              <w:noProof/>
            </w:rPr>
          </w:pPr>
          <w:hyperlink w:anchor="_Toc166680260" w:history="1">
            <w:r w:rsidR="00A13CFE" w:rsidRPr="00F05A9C">
              <w:rPr>
                <w:rStyle w:val="Hyperlink"/>
                <w:noProof/>
              </w:rPr>
              <w:t>Key reasons for decline in profitability:</w:t>
            </w:r>
            <w:r w:rsidR="00A13CFE">
              <w:rPr>
                <w:noProof/>
                <w:webHidden/>
              </w:rPr>
              <w:tab/>
            </w:r>
            <w:r w:rsidR="00A13CFE">
              <w:rPr>
                <w:noProof/>
                <w:webHidden/>
              </w:rPr>
              <w:fldChar w:fldCharType="begin"/>
            </w:r>
            <w:r w:rsidR="00A13CFE">
              <w:rPr>
                <w:noProof/>
                <w:webHidden/>
              </w:rPr>
              <w:instrText xml:space="preserve"> PAGEREF _Toc166680260 \h </w:instrText>
            </w:r>
            <w:r w:rsidR="00A13CFE">
              <w:rPr>
                <w:noProof/>
                <w:webHidden/>
              </w:rPr>
            </w:r>
            <w:r w:rsidR="00A13CFE">
              <w:rPr>
                <w:noProof/>
                <w:webHidden/>
              </w:rPr>
              <w:fldChar w:fldCharType="separate"/>
            </w:r>
            <w:r w:rsidR="00A13CFE">
              <w:rPr>
                <w:noProof/>
                <w:webHidden/>
              </w:rPr>
              <w:t>9</w:t>
            </w:r>
            <w:r w:rsidR="00A13CFE">
              <w:rPr>
                <w:noProof/>
                <w:webHidden/>
              </w:rPr>
              <w:fldChar w:fldCharType="end"/>
            </w:r>
          </w:hyperlink>
        </w:p>
        <w:p w14:paraId="7CC5DE3D" w14:textId="77777777" w:rsidR="00A13CFE" w:rsidRDefault="00895F59">
          <w:pPr>
            <w:pStyle w:val="TOC1"/>
            <w:tabs>
              <w:tab w:val="right" w:leader="dot" w:pos="9016"/>
            </w:tabs>
            <w:rPr>
              <w:noProof/>
            </w:rPr>
          </w:pPr>
          <w:hyperlink w:anchor="_Toc166680261" w:history="1">
            <w:r w:rsidR="00A13CFE" w:rsidRPr="00F05A9C">
              <w:rPr>
                <w:rStyle w:val="Hyperlink"/>
                <w:noProof/>
              </w:rPr>
              <w:t>Comprehensive Turnaround strategy:</w:t>
            </w:r>
            <w:r w:rsidR="00A13CFE">
              <w:rPr>
                <w:noProof/>
                <w:webHidden/>
              </w:rPr>
              <w:tab/>
            </w:r>
            <w:r w:rsidR="00A13CFE">
              <w:rPr>
                <w:noProof/>
                <w:webHidden/>
              </w:rPr>
              <w:fldChar w:fldCharType="begin"/>
            </w:r>
            <w:r w:rsidR="00A13CFE">
              <w:rPr>
                <w:noProof/>
                <w:webHidden/>
              </w:rPr>
              <w:instrText xml:space="preserve"> PAGEREF _Toc166680261 \h </w:instrText>
            </w:r>
            <w:r w:rsidR="00A13CFE">
              <w:rPr>
                <w:noProof/>
                <w:webHidden/>
              </w:rPr>
            </w:r>
            <w:r w:rsidR="00A13CFE">
              <w:rPr>
                <w:noProof/>
                <w:webHidden/>
              </w:rPr>
              <w:fldChar w:fldCharType="separate"/>
            </w:r>
            <w:r w:rsidR="00A13CFE">
              <w:rPr>
                <w:noProof/>
                <w:webHidden/>
              </w:rPr>
              <w:t>10</w:t>
            </w:r>
            <w:r w:rsidR="00A13CFE">
              <w:rPr>
                <w:noProof/>
                <w:webHidden/>
              </w:rPr>
              <w:fldChar w:fldCharType="end"/>
            </w:r>
          </w:hyperlink>
        </w:p>
        <w:p w14:paraId="4DEBBDED" w14:textId="77777777" w:rsidR="00A13CFE" w:rsidRDefault="00895F59">
          <w:pPr>
            <w:pStyle w:val="TOC1"/>
            <w:tabs>
              <w:tab w:val="right" w:leader="dot" w:pos="9016"/>
            </w:tabs>
            <w:rPr>
              <w:noProof/>
            </w:rPr>
          </w:pPr>
          <w:hyperlink w:anchor="_Toc166680262" w:history="1">
            <w:r w:rsidR="00A13CFE" w:rsidRPr="00F05A9C">
              <w:rPr>
                <w:rStyle w:val="Hyperlink"/>
                <w:noProof/>
              </w:rPr>
              <w:t>Conclusion:</w:t>
            </w:r>
            <w:r w:rsidR="00A13CFE">
              <w:rPr>
                <w:noProof/>
                <w:webHidden/>
              </w:rPr>
              <w:tab/>
            </w:r>
            <w:r w:rsidR="00A13CFE">
              <w:rPr>
                <w:noProof/>
                <w:webHidden/>
              </w:rPr>
              <w:fldChar w:fldCharType="begin"/>
            </w:r>
            <w:r w:rsidR="00A13CFE">
              <w:rPr>
                <w:noProof/>
                <w:webHidden/>
              </w:rPr>
              <w:instrText xml:space="preserve"> PAGEREF _Toc166680262 \h </w:instrText>
            </w:r>
            <w:r w:rsidR="00A13CFE">
              <w:rPr>
                <w:noProof/>
                <w:webHidden/>
              </w:rPr>
            </w:r>
            <w:r w:rsidR="00A13CFE">
              <w:rPr>
                <w:noProof/>
                <w:webHidden/>
              </w:rPr>
              <w:fldChar w:fldCharType="separate"/>
            </w:r>
            <w:r w:rsidR="00A13CFE">
              <w:rPr>
                <w:noProof/>
                <w:webHidden/>
              </w:rPr>
              <w:t>12</w:t>
            </w:r>
            <w:r w:rsidR="00A13CFE">
              <w:rPr>
                <w:noProof/>
                <w:webHidden/>
              </w:rPr>
              <w:fldChar w:fldCharType="end"/>
            </w:r>
          </w:hyperlink>
        </w:p>
        <w:p w14:paraId="67E1F8FF" w14:textId="77777777" w:rsidR="00A13CFE" w:rsidRDefault="00895F59">
          <w:pPr>
            <w:pStyle w:val="TOC1"/>
            <w:tabs>
              <w:tab w:val="right" w:leader="dot" w:pos="9016"/>
            </w:tabs>
            <w:rPr>
              <w:noProof/>
            </w:rPr>
          </w:pPr>
          <w:hyperlink w:anchor="_Toc166680263" w:history="1">
            <w:r w:rsidR="00A13CFE" w:rsidRPr="00F05A9C">
              <w:rPr>
                <w:rStyle w:val="Hyperlink"/>
                <w:noProof/>
              </w:rPr>
              <w:t>References:</w:t>
            </w:r>
            <w:r w:rsidR="00A13CFE">
              <w:rPr>
                <w:noProof/>
                <w:webHidden/>
              </w:rPr>
              <w:tab/>
            </w:r>
            <w:r w:rsidR="00A13CFE">
              <w:rPr>
                <w:noProof/>
                <w:webHidden/>
              </w:rPr>
              <w:fldChar w:fldCharType="begin"/>
            </w:r>
            <w:r w:rsidR="00A13CFE">
              <w:rPr>
                <w:noProof/>
                <w:webHidden/>
              </w:rPr>
              <w:instrText xml:space="preserve"> PAGEREF _Toc166680263 \h </w:instrText>
            </w:r>
            <w:r w:rsidR="00A13CFE">
              <w:rPr>
                <w:noProof/>
                <w:webHidden/>
              </w:rPr>
            </w:r>
            <w:r w:rsidR="00A13CFE">
              <w:rPr>
                <w:noProof/>
                <w:webHidden/>
              </w:rPr>
              <w:fldChar w:fldCharType="separate"/>
            </w:r>
            <w:r w:rsidR="00A13CFE">
              <w:rPr>
                <w:noProof/>
                <w:webHidden/>
              </w:rPr>
              <w:t>13</w:t>
            </w:r>
            <w:r w:rsidR="00A13CFE">
              <w:rPr>
                <w:noProof/>
                <w:webHidden/>
              </w:rPr>
              <w:fldChar w:fldCharType="end"/>
            </w:r>
          </w:hyperlink>
        </w:p>
        <w:p w14:paraId="631A4EEA" w14:textId="77777777" w:rsidR="00A13CFE" w:rsidRDefault="00A13CFE">
          <w:r>
            <w:rPr>
              <w:b/>
              <w:bCs/>
              <w:noProof/>
            </w:rPr>
            <w:fldChar w:fldCharType="end"/>
          </w:r>
        </w:p>
      </w:sdtContent>
    </w:sdt>
    <w:p w14:paraId="03523FA7" w14:textId="77777777" w:rsidR="00A13CFE" w:rsidRDefault="00A13CFE">
      <w:pPr>
        <w:spacing w:line="259" w:lineRule="auto"/>
        <w:jc w:val="left"/>
        <w:rPr>
          <w:b/>
        </w:rPr>
      </w:pPr>
      <w:r>
        <w:br w:type="page"/>
      </w:r>
    </w:p>
    <w:p w14:paraId="05609894" w14:textId="77777777" w:rsidR="00515C81" w:rsidRDefault="00F55EC2" w:rsidP="00895F59">
      <w:pPr>
        <w:pStyle w:val="Heading1"/>
      </w:pPr>
      <w:bookmarkStart w:id="0" w:name="_Toc166680252"/>
      <w:r>
        <w:lastRenderedPageBreak/>
        <w:t>Introduction:</w:t>
      </w:r>
      <w:bookmarkEnd w:id="0"/>
      <w:r>
        <w:t xml:space="preserve"> </w:t>
      </w:r>
    </w:p>
    <w:p w14:paraId="65CA0E01" w14:textId="77777777" w:rsidR="00F55EC2" w:rsidRDefault="00F55EC2" w:rsidP="00895F59">
      <w:pPr>
        <w:ind w:firstLine="720"/>
      </w:pPr>
      <w:r>
        <w:t>The present report is based on “The Urban Heights” hotel with restaurant, event and bar facilities. The hotel is situated in urban landscape. Nevertheless, in the recent years, the hotel has suffered reduction in its profitability position due to fall in its revenue, occupancy rates and consumer satisfaction. As a result, the owner of hotel has expressed regarding the future viability of the business</w:t>
      </w:r>
      <w:r w:rsidR="00123A4B">
        <w:t xml:space="preserve">. The current report will be recommending turnaround strategy for “The Urban Heights” so that the business returns to profitable position. Furthermore, the report will be conducting ratio analysis of the hotel to understand the profitability, liquidity, solvency and efficiency position of the business. Finally, a conclusive turnaround strategy will be recommended to the owner of “The Urban Heights”. </w:t>
      </w:r>
    </w:p>
    <w:p w14:paraId="13881B97" w14:textId="77777777" w:rsidR="001478BC" w:rsidRDefault="001478BC" w:rsidP="00895F59">
      <w:pPr>
        <w:pStyle w:val="Heading1"/>
      </w:pPr>
      <w:bookmarkStart w:id="1" w:name="_Toc166680253"/>
      <w:r>
        <w:t>Evaluation of trends and patterns in Urban Heights Hotel’s financial performance</w:t>
      </w:r>
      <w:r w:rsidR="00123A4B">
        <w:t>:</w:t>
      </w:r>
      <w:bookmarkEnd w:id="1"/>
    </w:p>
    <w:p w14:paraId="6797353D" w14:textId="77777777" w:rsidR="001478BC" w:rsidRDefault="001478BC" w:rsidP="00895F59">
      <w:pPr>
        <w:pStyle w:val="Heading2"/>
      </w:pPr>
      <w:bookmarkStart w:id="2" w:name="_Toc166680254"/>
      <w:r>
        <w:t>Ratio Analysis</w:t>
      </w:r>
      <w:bookmarkEnd w:id="2"/>
    </w:p>
    <w:p w14:paraId="2EE246A5" w14:textId="77777777" w:rsidR="00A13CFE" w:rsidRDefault="001478BC" w:rsidP="00895F59">
      <w:pPr>
        <w:pStyle w:val="Heading3"/>
      </w:pPr>
      <w:bookmarkStart w:id="3" w:name="_Toc166680255"/>
      <w:r w:rsidRPr="00A13CFE">
        <w:t>Profitability Ratios:</w:t>
      </w:r>
      <w:bookmarkEnd w:id="3"/>
      <w:r>
        <w:t xml:space="preserve"> </w:t>
      </w:r>
    </w:p>
    <w:p w14:paraId="39BCE77B" w14:textId="77777777" w:rsidR="001478BC" w:rsidRDefault="001478BC" w:rsidP="00895F59">
      <w:pPr>
        <w:ind w:firstLine="720"/>
      </w:pPr>
      <w:r>
        <w:t xml:space="preserve">The profitability ratios are considered as financial metric which is used in assessing the </w:t>
      </w:r>
      <w:r w:rsidR="00557DC1">
        <w:t>ability of a company to produce income in relation to number of factors</w:t>
      </w:r>
      <w:r w:rsidR="005A0A85">
        <w:t xml:space="preserve"> (</w:t>
      </w:r>
      <w:proofErr w:type="spellStart"/>
      <w:r w:rsidR="005A0A85" w:rsidRPr="000B2B43">
        <w:t>Glavonjić</w:t>
      </w:r>
      <w:proofErr w:type="spellEnd"/>
      <w:r w:rsidR="005A0A85" w:rsidRPr="000B2B43">
        <w:t xml:space="preserve"> 2024</w:t>
      </w:r>
      <w:r w:rsidR="005A0A85">
        <w:t>)</w:t>
      </w:r>
      <w:r w:rsidR="00557DC1">
        <w:t xml:space="preserve">. </w:t>
      </w:r>
    </w:p>
    <w:p w14:paraId="1F0934B9" w14:textId="77777777" w:rsidR="00557DC1" w:rsidRDefault="00557DC1" w:rsidP="00895F59">
      <w:pPr>
        <w:jc w:val="center"/>
      </w:pPr>
      <w:r w:rsidRPr="00557DC1">
        <w:rPr>
          <w:noProof/>
        </w:rPr>
        <w:drawing>
          <wp:inline distT="0" distB="0" distL="0" distR="0" wp14:anchorId="42E1B396" wp14:editId="67B34A65">
            <wp:extent cx="3505200" cy="809625"/>
            <wp:effectExtent l="0" t="0" r="0" b="9525"/>
            <wp:docPr id="307355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809625"/>
                    </a:xfrm>
                    <a:prstGeom prst="rect">
                      <a:avLst/>
                    </a:prstGeom>
                    <a:noFill/>
                    <a:ln>
                      <a:noFill/>
                    </a:ln>
                  </pic:spPr>
                </pic:pic>
              </a:graphicData>
            </a:graphic>
          </wp:inline>
        </w:drawing>
      </w:r>
    </w:p>
    <w:p w14:paraId="3F386B48" w14:textId="67057DBD" w:rsidR="00557DC1" w:rsidRDefault="00557DC1" w:rsidP="00895F59">
      <w:pPr>
        <w:ind w:firstLine="720"/>
      </w:pPr>
      <w:r>
        <w:t xml:space="preserve">The profitability ratios </w:t>
      </w:r>
      <w:r w:rsidR="008E09AC">
        <w:t>show</w:t>
      </w:r>
      <w:r>
        <w:t xml:space="preserve"> a declining trend for The Urban Heights, as the net profit ratio reported in 2021 has stood 28.00% but it nosedived to stand at 9.09% in 2022 and further plunged in 2023 to stand negatively at 27.78%. The lower net profit ratio of the company represents that The Urban Heights is not able to translate majority of its profit in sales by the end of financial year. The decline in profitability ratio is largely attributable to decline in net income and sales revenue reported by The Urban Heights. </w:t>
      </w:r>
    </w:p>
    <w:p w14:paraId="72788D55" w14:textId="77777777" w:rsidR="00557DC1" w:rsidRDefault="00557DC1" w:rsidP="00895F59">
      <w:pPr>
        <w:ind w:firstLine="720"/>
      </w:pPr>
      <w:r>
        <w:lastRenderedPageBreak/>
        <w:t>Moving forward the return on asset and return on equity of has experienced a similar trend of downfall in the last three years as return on asset fell from 12.84% in 2021 to stand at -10.68% in 2023 whereas return on equity fell from 31.82% in 2021 to stand negatively at -36.23%. The primary reason for fall in ROA is attributable to lack of efficiency by The Urban Heights to convert the sum invested in procurement of assets into net income or profits</w:t>
      </w:r>
      <w:r w:rsidR="005A0A85">
        <w:t xml:space="preserve"> (</w:t>
      </w:r>
      <w:r w:rsidR="005A0A85" w:rsidRPr="000B2B43">
        <w:t>Schroeder, Clark and Cathey 2022</w:t>
      </w:r>
      <w:r w:rsidR="005A0A85">
        <w:t>)</w:t>
      </w:r>
      <w:r>
        <w:t xml:space="preserve">. Similarly, the prime reason for decline in return on equity is due to ineffective use of investors fund and inability of the company to maintain a positive trends in earnings. </w:t>
      </w:r>
    </w:p>
    <w:p w14:paraId="15D2F077" w14:textId="77777777" w:rsidR="00557DC1" w:rsidRDefault="00557DC1" w:rsidP="00557DC1">
      <w:pPr>
        <w:jc w:val="center"/>
      </w:pPr>
      <w:r>
        <w:rPr>
          <w:noProof/>
        </w:rPr>
        <w:drawing>
          <wp:inline distT="0" distB="0" distL="0" distR="0" wp14:anchorId="0E67D031" wp14:editId="100DD937">
            <wp:extent cx="4572000" cy="2876550"/>
            <wp:effectExtent l="0" t="0" r="0" b="0"/>
            <wp:docPr id="478707894" name="Chart 1">
              <a:extLst xmlns:a="http://schemas.openxmlformats.org/drawingml/2006/main">
                <a:ext uri="{FF2B5EF4-FFF2-40B4-BE49-F238E27FC236}">
                  <a16:creationId xmlns:a16="http://schemas.microsoft.com/office/drawing/2014/main" id="{7DDC967C-DBAE-52EB-3FA9-E13CAFB1A4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5FBF00" w14:textId="77777777" w:rsidR="00557DC1" w:rsidRDefault="00557DC1" w:rsidP="00557DC1">
      <w:pPr>
        <w:jc w:val="center"/>
      </w:pPr>
      <w:r w:rsidRPr="00A13CFE">
        <w:rPr>
          <w:b/>
          <w:bCs/>
        </w:rPr>
        <w:t>Figure 1:</w:t>
      </w:r>
      <w:r>
        <w:t xml:space="preserve"> Profitability Ratios of The Urban Heights</w:t>
      </w:r>
    </w:p>
    <w:p w14:paraId="6C2F3E8F" w14:textId="77777777" w:rsidR="00557DC1" w:rsidRDefault="00557DC1" w:rsidP="00557DC1">
      <w:pPr>
        <w:jc w:val="center"/>
      </w:pPr>
      <w:r w:rsidRPr="00A13CFE">
        <w:rPr>
          <w:b/>
          <w:bCs/>
        </w:rPr>
        <w:t>Source:</w:t>
      </w:r>
      <w:r>
        <w:t xml:space="preserve"> (As Created by Author)</w:t>
      </w:r>
    </w:p>
    <w:p w14:paraId="6B7FF2CD" w14:textId="77777777" w:rsidR="00557DC1" w:rsidRDefault="00557DC1" w:rsidP="00895F59">
      <w:pPr>
        <w:pStyle w:val="Heading3"/>
      </w:pPr>
      <w:bookmarkStart w:id="4" w:name="_Toc166680256"/>
      <w:r>
        <w:t>Liquidity Ratios</w:t>
      </w:r>
      <w:bookmarkEnd w:id="4"/>
    </w:p>
    <w:p w14:paraId="2692903F" w14:textId="77777777" w:rsidR="00557DC1" w:rsidRDefault="00557DC1" w:rsidP="00895F59">
      <w:pPr>
        <w:ind w:firstLine="720"/>
      </w:pPr>
      <w:r>
        <w:t xml:space="preserve">The liquidity ratios are regarded as financial trend that is used in evaluating an organisation’s ability </w:t>
      </w:r>
      <w:r w:rsidR="001F445A">
        <w:t>to fulfil the short-term debt obligation without using external capital</w:t>
      </w:r>
      <w:r w:rsidR="005A0A85">
        <w:t xml:space="preserve"> (</w:t>
      </w:r>
      <w:r w:rsidR="005A0A85" w:rsidRPr="000B2B43">
        <w:t xml:space="preserve">Weygandt, Kimmel and </w:t>
      </w:r>
      <w:proofErr w:type="spellStart"/>
      <w:r w:rsidR="005A0A85" w:rsidRPr="000B2B43">
        <w:t>Kieso</w:t>
      </w:r>
      <w:proofErr w:type="spellEnd"/>
      <w:r w:rsidR="005A0A85" w:rsidRPr="000B2B43">
        <w:t xml:space="preserve"> 2018</w:t>
      </w:r>
      <w:r w:rsidR="005A0A85">
        <w:t>)</w:t>
      </w:r>
      <w:r w:rsidR="001F445A">
        <w:t xml:space="preserve">. </w:t>
      </w:r>
    </w:p>
    <w:p w14:paraId="5FB47868" w14:textId="77777777" w:rsidR="001F445A" w:rsidRDefault="001F445A" w:rsidP="00895F59">
      <w:pPr>
        <w:jc w:val="center"/>
      </w:pPr>
      <w:r w:rsidRPr="001F445A">
        <w:rPr>
          <w:noProof/>
        </w:rPr>
        <w:lastRenderedPageBreak/>
        <w:drawing>
          <wp:inline distT="0" distB="0" distL="0" distR="0" wp14:anchorId="6439FAC7" wp14:editId="1F568853">
            <wp:extent cx="3505200" cy="609600"/>
            <wp:effectExtent l="0" t="0" r="0" b="0"/>
            <wp:docPr id="1427542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5200" cy="609600"/>
                    </a:xfrm>
                    <a:prstGeom prst="rect">
                      <a:avLst/>
                    </a:prstGeom>
                    <a:noFill/>
                    <a:ln>
                      <a:noFill/>
                    </a:ln>
                  </pic:spPr>
                </pic:pic>
              </a:graphicData>
            </a:graphic>
          </wp:inline>
        </w:drawing>
      </w:r>
    </w:p>
    <w:p w14:paraId="297C1E7A" w14:textId="77777777" w:rsidR="001F445A" w:rsidRDefault="001F445A" w:rsidP="00895F59">
      <w:pPr>
        <w:ind w:firstLine="720"/>
      </w:pPr>
      <w:r>
        <w:t>The current ratio of The Urban Heights has stood 1.80 in 2021 whereas in the following two years the liquidity position of the company deteriorated to stand at 0.60. A similar trend is found in Quick ratio as the ratio has stood 1.20 times in 2021 whereas it further declined to stand at 0.33</w:t>
      </w:r>
      <w:r w:rsidR="005A0A85">
        <w:t xml:space="preserve"> (</w:t>
      </w:r>
      <w:r w:rsidR="005A0A85" w:rsidRPr="000B2B43">
        <w:t>Williams</w:t>
      </w:r>
      <w:r w:rsidR="005A0A85">
        <w:t xml:space="preserve"> et al. 2018)</w:t>
      </w:r>
      <w:r>
        <w:t xml:space="preserve">. This implies that liquidity position of The Urban Heights has been unfavourable and the hotel may struggle to pay its short-term debt obligations or it may be forced to sell its fixed asset to pay the short-term obligations that are falling due within one calendar year. </w:t>
      </w:r>
    </w:p>
    <w:p w14:paraId="19A9E8FE" w14:textId="77777777" w:rsidR="001F445A" w:rsidRDefault="001F445A" w:rsidP="001F445A">
      <w:pPr>
        <w:jc w:val="center"/>
      </w:pPr>
      <w:r>
        <w:rPr>
          <w:noProof/>
        </w:rPr>
        <w:drawing>
          <wp:inline distT="0" distB="0" distL="0" distR="0" wp14:anchorId="51AB58C9" wp14:editId="239288A7">
            <wp:extent cx="4572000" cy="2762250"/>
            <wp:effectExtent l="0" t="0" r="0" b="0"/>
            <wp:docPr id="289563964" name="Chart 1">
              <a:extLst xmlns:a="http://schemas.openxmlformats.org/drawingml/2006/main">
                <a:ext uri="{FF2B5EF4-FFF2-40B4-BE49-F238E27FC236}">
                  <a16:creationId xmlns:a16="http://schemas.microsoft.com/office/drawing/2014/main" id="{B5521ECF-0EAB-8C4A-14FF-406AF4114B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5C145E" w14:textId="77777777" w:rsidR="001F445A" w:rsidRDefault="001F445A" w:rsidP="001F445A">
      <w:pPr>
        <w:jc w:val="center"/>
      </w:pPr>
      <w:r w:rsidRPr="00A13CFE">
        <w:rPr>
          <w:b/>
          <w:bCs/>
        </w:rPr>
        <w:t>Figure 2:</w:t>
      </w:r>
      <w:r>
        <w:t xml:space="preserve"> Liquidity Ratios of The Urban Heights</w:t>
      </w:r>
    </w:p>
    <w:p w14:paraId="3586278D" w14:textId="77777777" w:rsidR="001F445A" w:rsidRDefault="001F445A" w:rsidP="001F445A">
      <w:pPr>
        <w:jc w:val="center"/>
      </w:pPr>
      <w:r w:rsidRPr="00A13CFE">
        <w:rPr>
          <w:b/>
          <w:bCs/>
        </w:rPr>
        <w:t>Source:</w:t>
      </w:r>
      <w:r>
        <w:t xml:space="preserve"> (As Created by Author)</w:t>
      </w:r>
    </w:p>
    <w:p w14:paraId="76A8180C" w14:textId="77777777" w:rsidR="001F445A" w:rsidRDefault="001F445A" w:rsidP="00895F59">
      <w:pPr>
        <w:pStyle w:val="Heading3"/>
      </w:pPr>
      <w:bookmarkStart w:id="5" w:name="_Toc166680257"/>
      <w:r>
        <w:t>Solvency Ratios:</w:t>
      </w:r>
      <w:bookmarkEnd w:id="5"/>
      <w:r>
        <w:t xml:space="preserve"> </w:t>
      </w:r>
    </w:p>
    <w:p w14:paraId="29AF7DAC" w14:textId="77777777" w:rsidR="00494AF9" w:rsidRDefault="00494AF9" w:rsidP="00895F59">
      <w:pPr>
        <w:ind w:firstLine="720"/>
      </w:pPr>
      <w:r>
        <w:t>The solvency ratio is viewed as a metric which is used in evaluating the ability of a company to fulfil the long-term debt obligations</w:t>
      </w:r>
      <w:r w:rsidR="005A0A85">
        <w:t xml:space="preserve"> (</w:t>
      </w:r>
      <w:r w:rsidR="005A0A85" w:rsidRPr="000B2B43">
        <w:t>Hassan and Marston 2019</w:t>
      </w:r>
      <w:r w:rsidR="005A0A85">
        <w:t>)</w:t>
      </w:r>
      <w:r>
        <w:t xml:space="preserve">. This ratio is used in understanding the overall financial health of the company. </w:t>
      </w:r>
    </w:p>
    <w:p w14:paraId="4C74E5F5" w14:textId="77777777" w:rsidR="00494AF9" w:rsidRDefault="00494AF9" w:rsidP="00895F59">
      <w:r w:rsidRPr="00494AF9">
        <w:rPr>
          <w:noProof/>
        </w:rPr>
        <w:lastRenderedPageBreak/>
        <w:drawing>
          <wp:inline distT="0" distB="0" distL="0" distR="0" wp14:anchorId="55B89E6F" wp14:editId="26A2F0B4">
            <wp:extent cx="3505200" cy="809625"/>
            <wp:effectExtent l="0" t="0" r="0" b="9525"/>
            <wp:docPr id="3082734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5200" cy="809625"/>
                    </a:xfrm>
                    <a:prstGeom prst="rect">
                      <a:avLst/>
                    </a:prstGeom>
                    <a:noFill/>
                    <a:ln>
                      <a:noFill/>
                    </a:ln>
                  </pic:spPr>
                </pic:pic>
              </a:graphicData>
            </a:graphic>
          </wp:inline>
        </w:drawing>
      </w:r>
    </w:p>
    <w:p w14:paraId="3BA6C3DE" w14:textId="77777777" w:rsidR="00B4164A" w:rsidRDefault="00494AF9" w:rsidP="00895F59">
      <w:pPr>
        <w:ind w:firstLine="720"/>
      </w:pPr>
      <w:r>
        <w:t xml:space="preserve">The solvency ratio shows that debt to asset ratio of The Urban Heights has increased in the span of three years to stand at 0.71 in 2023 after recording 0.60 in 2021. The debt to asset ratio of The Urban Heights is very high and this signifies that it is </w:t>
      </w:r>
      <w:r w:rsidR="00B4164A">
        <w:t>riskier</w:t>
      </w:r>
      <w:r>
        <w:t xml:space="preserve"> to make investment in the business because it is highly leveraged. </w:t>
      </w:r>
    </w:p>
    <w:p w14:paraId="07B4E9A7" w14:textId="77777777" w:rsidR="00494AF9" w:rsidRDefault="00494AF9" w:rsidP="00895F59">
      <w:pPr>
        <w:ind w:firstLine="720"/>
      </w:pPr>
      <w:r>
        <w:t>Moving further, the equity ratio of The Urban Heights has fell down to 0.29 in the last three years</w:t>
      </w:r>
      <w:r w:rsidR="005A0A85">
        <w:t xml:space="preserve"> (</w:t>
      </w:r>
      <w:r w:rsidR="005A0A85" w:rsidRPr="000B2B43">
        <w:t>Eun, Resnick and Chuluun 2021</w:t>
      </w:r>
      <w:r w:rsidR="005A0A85">
        <w:t>)</w:t>
      </w:r>
      <w:r>
        <w:t xml:space="preserve">. </w:t>
      </w:r>
      <w:r w:rsidR="00B4164A">
        <w:t xml:space="preserve">The equity ratio of The Urban Heights is low and this shows that the investors are not willing to finance the operations of company due to its declining profitability level and higher level of debt. </w:t>
      </w:r>
    </w:p>
    <w:p w14:paraId="42746284" w14:textId="77777777" w:rsidR="00B4164A" w:rsidRDefault="00B4164A" w:rsidP="00895F59">
      <w:pPr>
        <w:ind w:firstLine="720"/>
      </w:pPr>
      <w:r>
        <w:t>Finally, the debt-to-equity ratio is computed for The Urban Heights to compare the company’s total debt with its total equity. The debt-to-equity ratio reported by the hotel has shown an alarming upward rising trend of debt in comparison to its declining level of equity as the ratio has stood 2.39 in 2023 which very high</w:t>
      </w:r>
      <w:r w:rsidR="005A0A85">
        <w:t xml:space="preserve"> (</w:t>
      </w:r>
      <w:r w:rsidR="005A0A85" w:rsidRPr="000B2B43">
        <w:t>Bindseil 2020</w:t>
      </w:r>
      <w:r w:rsidR="005A0A85">
        <w:t>)</w:t>
      </w:r>
      <w:r>
        <w:t xml:space="preserve">. This shows that the investors do not want to fund the operations of business because of lack of performance and this has forced The Urban Heights to seek additional debt financing. </w:t>
      </w:r>
    </w:p>
    <w:p w14:paraId="05F43A4C" w14:textId="77777777" w:rsidR="00B4164A" w:rsidRDefault="00B4164A" w:rsidP="00895F59">
      <w:pPr>
        <w:ind w:firstLine="720"/>
      </w:pPr>
      <w:r>
        <w:rPr>
          <w:noProof/>
        </w:rPr>
        <w:lastRenderedPageBreak/>
        <w:drawing>
          <wp:inline distT="0" distB="0" distL="0" distR="0" wp14:anchorId="4D431F73" wp14:editId="7CC1DAAA">
            <wp:extent cx="5076825" cy="2743200"/>
            <wp:effectExtent l="0" t="0" r="9525" b="0"/>
            <wp:docPr id="2009516148" name="Chart 1">
              <a:extLst xmlns:a="http://schemas.openxmlformats.org/drawingml/2006/main">
                <a:ext uri="{FF2B5EF4-FFF2-40B4-BE49-F238E27FC236}">
                  <a16:creationId xmlns:a16="http://schemas.microsoft.com/office/drawing/2014/main" id="{EB6A5A08-E3C6-88AE-2B82-E286004190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6D2F02" w14:textId="77777777" w:rsidR="00B4164A" w:rsidRDefault="00B4164A" w:rsidP="00895F59">
      <w:pPr>
        <w:spacing w:line="360" w:lineRule="auto"/>
        <w:jc w:val="center"/>
      </w:pPr>
      <w:r w:rsidRPr="00A13CFE">
        <w:rPr>
          <w:b/>
          <w:bCs/>
        </w:rPr>
        <w:t>Figure 3:</w:t>
      </w:r>
      <w:r>
        <w:t xml:space="preserve"> Solvency Ratios of The Urban Heights</w:t>
      </w:r>
    </w:p>
    <w:p w14:paraId="48B11872" w14:textId="77777777" w:rsidR="00B4164A" w:rsidRDefault="00B4164A" w:rsidP="00895F59">
      <w:pPr>
        <w:spacing w:line="360" w:lineRule="auto"/>
        <w:jc w:val="center"/>
      </w:pPr>
      <w:r w:rsidRPr="00A13CFE">
        <w:rPr>
          <w:b/>
          <w:bCs/>
        </w:rPr>
        <w:t>Source:</w:t>
      </w:r>
      <w:r>
        <w:t xml:space="preserve"> (As Created by Author)</w:t>
      </w:r>
    </w:p>
    <w:p w14:paraId="4D03BA82" w14:textId="77777777" w:rsidR="00B4164A" w:rsidRDefault="00B4164A" w:rsidP="00895F59">
      <w:pPr>
        <w:pStyle w:val="Heading3"/>
      </w:pPr>
      <w:bookmarkStart w:id="6" w:name="_Toc166680258"/>
      <w:r>
        <w:t>Efficiency Ratios:</w:t>
      </w:r>
      <w:bookmarkEnd w:id="6"/>
      <w:r>
        <w:t xml:space="preserve"> </w:t>
      </w:r>
    </w:p>
    <w:p w14:paraId="2316F90D" w14:textId="77777777" w:rsidR="00B4164A" w:rsidRDefault="00B4164A" w:rsidP="00895F59">
      <w:pPr>
        <w:ind w:firstLine="720"/>
      </w:pPr>
      <w:r>
        <w:t>Efficiency ratio is used in measuring the company’s short-term or current financial performance to understand how effectively it is using its resources to produce income</w:t>
      </w:r>
      <w:r w:rsidR="005A0A85">
        <w:t xml:space="preserve"> (</w:t>
      </w:r>
      <w:proofErr w:type="spellStart"/>
      <w:r w:rsidR="005A0A85" w:rsidRPr="000B2B43">
        <w:t>Kieso</w:t>
      </w:r>
      <w:proofErr w:type="spellEnd"/>
      <w:r w:rsidR="005A0A85">
        <w:t xml:space="preserve"> et al. 2019)</w:t>
      </w:r>
      <w:r>
        <w:t xml:space="preserve">. </w:t>
      </w:r>
    </w:p>
    <w:p w14:paraId="435D29CF" w14:textId="77777777" w:rsidR="00B4164A" w:rsidRDefault="00B4164A" w:rsidP="00895F59">
      <w:pPr>
        <w:jc w:val="center"/>
      </w:pPr>
      <w:r w:rsidRPr="00B4164A">
        <w:rPr>
          <w:noProof/>
        </w:rPr>
        <w:drawing>
          <wp:inline distT="0" distB="0" distL="0" distR="0" wp14:anchorId="53F8DDD7" wp14:editId="0D6360A4">
            <wp:extent cx="3505200" cy="609600"/>
            <wp:effectExtent l="0" t="0" r="0" b="0"/>
            <wp:docPr id="1847233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5200" cy="609600"/>
                    </a:xfrm>
                    <a:prstGeom prst="rect">
                      <a:avLst/>
                    </a:prstGeom>
                    <a:noFill/>
                    <a:ln>
                      <a:noFill/>
                    </a:ln>
                  </pic:spPr>
                </pic:pic>
              </a:graphicData>
            </a:graphic>
          </wp:inline>
        </w:drawing>
      </w:r>
    </w:p>
    <w:p w14:paraId="6819CBFB" w14:textId="77777777" w:rsidR="00B4164A" w:rsidRDefault="00B4164A" w:rsidP="00895F59">
      <w:pPr>
        <w:ind w:firstLine="720"/>
      </w:pPr>
      <w:r>
        <w:t xml:space="preserve">The </w:t>
      </w:r>
      <w:r w:rsidR="00CB445A">
        <w:t xml:space="preserve">efficiency ratios shows that The Urban Heights is not making effective use of its assets as the hotel reported declining trend in its asset turnover over the span of three years to stand at 0.38 in 2023. This signifies that the hotel is very likely suffering from poor management problems. </w:t>
      </w:r>
    </w:p>
    <w:p w14:paraId="40B33799" w14:textId="77777777" w:rsidR="00CB445A" w:rsidRDefault="00CB445A" w:rsidP="00895F59">
      <w:pPr>
        <w:ind w:firstLine="720"/>
      </w:pPr>
      <w:r>
        <w:t xml:space="preserve">Meanwhile, the receivables turnover ratio of The Urban Heights has experienced an upward rising trend and this can be seen as a positive sign. The ratio is high and indicates that the hotel is collecting its receivables throughout the year frequently. From the cash flow point </w:t>
      </w:r>
      <w:r>
        <w:lastRenderedPageBreak/>
        <w:t>of view, higher accounts receivables of The Urban Heights shows that the company can collect cash from its customers to pay its debt obligations.</w:t>
      </w:r>
    </w:p>
    <w:p w14:paraId="3668B323" w14:textId="77777777" w:rsidR="00CB445A" w:rsidRDefault="00CB445A" w:rsidP="00895F59">
      <w:pPr>
        <w:ind w:firstLine="720"/>
        <w:jc w:val="center"/>
      </w:pPr>
      <w:r>
        <w:rPr>
          <w:noProof/>
        </w:rPr>
        <w:drawing>
          <wp:inline distT="0" distB="0" distL="0" distR="0" wp14:anchorId="2C0FCC81" wp14:editId="30232A6C">
            <wp:extent cx="4572000" cy="2743200"/>
            <wp:effectExtent l="0" t="0" r="0" b="0"/>
            <wp:docPr id="1975113712" name="Chart 1">
              <a:extLst xmlns:a="http://schemas.openxmlformats.org/drawingml/2006/main">
                <a:ext uri="{FF2B5EF4-FFF2-40B4-BE49-F238E27FC236}">
                  <a16:creationId xmlns:a16="http://schemas.microsoft.com/office/drawing/2014/main" id="{9A670C6A-AC79-E551-BBFE-6F56713D5E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AD1549" w14:textId="77777777" w:rsidR="00CB445A" w:rsidRDefault="00CB445A" w:rsidP="00895F59">
      <w:pPr>
        <w:jc w:val="center"/>
      </w:pPr>
      <w:r w:rsidRPr="00A13CFE">
        <w:rPr>
          <w:b/>
          <w:bCs/>
        </w:rPr>
        <w:t>Figure 4:</w:t>
      </w:r>
      <w:r>
        <w:t xml:space="preserve"> Efficiency Ratios of The Urban Heights</w:t>
      </w:r>
    </w:p>
    <w:p w14:paraId="30168DFA" w14:textId="77777777" w:rsidR="00CB445A" w:rsidRDefault="00CB445A" w:rsidP="00895F59">
      <w:pPr>
        <w:jc w:val="center"/>
      </w:pPr>
      <w:r w:rsidRPr="00A13CFE">
        <w:rPr>
          <w:b/>
          <w:bCs/>
        </w:rPr>
        <w:t>Source:</w:t>
      </w:r>
      <w:r>
        <w:t xml:space="preserve"> (As Created by Author)</w:t>
      </w:r>
    </w:p>
    <w:p w14:paraId="6C517E58" w14:textId="77777777" w:rsidR="00CB445A" w:rsidRDefault="00CB445A" w:rsidP="00895F59">
      <w:pPr>
        <w:pStyle w:val="Heading2"/>
      </w:pPr>
      <w:bookmarkStart w:id="7" w:name="_Toc166680259"/>
      <w:r>
        <w:t>Trend Analysis (Common Size Analysis of Financial Statements)</w:t>
      </w:r>
      <w:bookmarkEnd w:id="7"/>
    </w:p>
    <w:p w14:paraId="0D68DD99" w14:textId="77777777" w:rsidR="00CB445A" w:rsidRDefault="00220DC3" w:rsidP="00895F59">
      <w:r w:rsidRPr="00220DC3">
        <w:rPr>
          <w:noProof/>
        </w:rPr>
        <w:drawing>
          <wp:inline distT="0" distB="0" distL="0" distR="0" wp14:anchorId="387F3DC2" wp14:editId="04710E93">
            <wp:extent cx="5731510" cy="831215"/>
            <wp:effectExtent l="0" t="0" r="2540" b="6985"/>
            <wp:docPr id="598708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31215"/>
                    </a:xfrm>
                    <a:prstGeom prst="rect">
                      <a:avLst/>
                    </a:prstGeom>
                    <a:noFill/>
                    <a:ln>
                      <a:noFill/>
                    </a:ln>
                  </pic:spPr>
                </pic:pic>
              </a:graphicData>
            </a:graphic>
          </wp:inline>
        </w:drawing>
      </w:r>
    </w:p>
    <w:p w14:paraId="0B09F227" w14:textId="77777777" w:rsidR="00220DC3" w:rsidRDefault="00220DC3" w:rsidP="00895F59">
      <w:pPr>
        <w:jc w:val="center"/>
      </w:pPr>
      <w:r>
        <w:rPr>
          <w:noProof/>
        </w:rPr>
        <w:lastRenderedPageBreak/>
        <w:drawing>
          <wp:inline distT="0" distB="0" distL="0" distR="0" wp14:anchorId="559F1AF1" wp14:editId="7165355A">
            <wp:extent cx="4657725" cy="2886075"/>
            <wp:effectExtent l="0" t="0" r="9525" b="9525"/>
            <wp:docPr id="993866271" name="Chart 1">
              <a:extLst xmlns:a="http://schemas.openxmlformats.org/drawingml/2006/main">
                <a:ext uri="{FF2B5EF4-FFF2-40B4-BE49-F238E27FC236}">
                  <a16:creationId xmlns:a16="http://schemas.microsoft.com/office/drawing/2014/main" id="{93D65F92-207F-CFCE-004C-396CC0D4E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9B8528" w14:textId="77777777" w:rsidR="00220DC3" w:rsidRDefault="00220DC3" w:rsidP="00895F59">
      <w:pPr>
        <w:jc w:val="center"/>
      </w:pPr>
      <w:r w:rsidRPr="00A13CFE">
        <w:rPr>
          <w:b/>
          <w:bCs/>
        </w:rPr>
        <w:t xml:space="preserve">Figure 5: </w:t>
      </w:r>
      <w:r>
        <w:t>Trend Analysis of Income Statement of The Urban Heights</w:t>
      </w:r>
    </w:p>
    <w:p w14:paraId="445011D8" w14:textId="77777777" w:rsidR="00220DC3" w:rsidRDefault="00220DC3" w:rsidP="00895F59">
      <w:pPr>
        <w:jc w:val="center"/>
      </w:pPr>
      <w:r w:rsidRPr="00A13CFE">
        <w:rPr>
          <w:b/>
          <w:bCs/>
        </w:rPr>
        <w:t>Source:</w:t>
      </w:r>
      <w:r>
        <w:t xml:space="preserve"> (As Created by Author)</w:t>
      </w:r>
    </w:p>
    <w:p w14:paraId="4EC95BCB" w14:textId="77777777" w:rsidR="0043628A" w:rsidRDefault="0043628A" w:rsidP="00895F59">
      <w:pPr>
        <w:ind w:firstLine="720"/>
      </w:pPr>
      <w:r>
        <w:t xml:space="preserve">A declining trend is found in the revenues reported by The Urban Heights. The revenue change recorded by the hotel stood 12.00% in 2022 while it further declined in 2023 to stand at 18.18%. Meanwhile, the hotel recorded significant rise in its operating expense because in 2022 the operating expense increased to stand at 11.11% while in 2023 it increased 15.00%. Finally, the trend analysis shows that the net profit of the company has declined significantly in the last three financial year and the hotel recorded net loss of 500,000 in 2023 representing a negative decline in profitability position by -350.00%. </w:t>
      </w:r>
    </w:p>
    <w:p w14:paraId="1DD349CC" w14:textId="77777777" w:rsidR="0043628A" w:rsidRDefault="007E04E5" w:rsidP="00895F59">
      <w:r w:rsidRPr="007E04E5">
        <w:rPr>
          <w:noProof/>
        </w:rPr>
        <w:lastRenderedPageBreak/>
        <w:drawing>
          <wp:inline distT="0" distB="0" distL="0" distR="0" wp14:anchorId="0048E1BE" wp14:editId="0708DC51">
            <wp:extent cx="5731510" cy="2807335"/>
            <wp:effectExtent l="0" t="0" r="2540" b="0"/>
            <wp:docPr id="15576901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07335"/>
                    </a:xfrm>
                    <a:prstGeom prst="rect">
                      <a:avLst/>
                    </a:prstGeom>
                    <a:noFill/>
                    <a:ln>
                      <a:noFill/>
                    </a:ln>
                  </pic:spPr>
                </pic:pic>
              </a:graphicData>
            </a:graphic>
          </wp:inline>
        </w:drawing>
      </w:r>
      <w:r w:rsidR="0043628A">
        <w:t xml:space="preserve"> </w:t>
      </w:r>
    </w:p>
    <w:p w14:paraId="4DC2E2C9" w14:textId="77777777" w:rsidR="007E04E5" w:rsidRDefault="007E04E5" w:rsidP="00895F59">
      <w:pPr>
        <w:pStyle w:val="Heading1"/>
      </w:pPr>
      <w:bookmarkStart w:id="8" w:name="_Toc166680260"/>
      <w:r>
        <w:t>Key reasons for decline in profitability:</w:t>
      </w:r>
      <w:bookmarkEnd w:id="8"/>
      <w:r>
        <w:t xml:space="preserve"> </w:t>
      </w:r>
    </w:p>
    <w:p w14:paraId="48832464" w14:textId="77777777" w:rsidR="009D3DA9" w:rsidRDefault="009D3DA9" w:rsidP="00895F59">
      <w:r>
        <w:t>With rise in competition in hotel industry, several hotels are facing challenges in maintain stable trend in revenue</w:t>
      </w:r>
      <w:r w:rsidR="005A0A85">
        <w:t xml:space="preserve"> (</w:t>
      </w:r>
      <w:r w:rsidR="005A0A85" w:rsidRPr="000B2B43">
        <w:t>Mak and Chang 2019</w:t>
      </w:r>
      <w:r w:rsidR="005A0A85">
        <w:t>)</w:t>
      </w:r>
      <w:r>
        <w:t xml:space="preserve">. In case of The Urban Heights, there are number of factors that have contributed to fall in hotel revenue and profitability. The key reasons for decline in profitability of The Urban Heights are given below; </w:t>
      </w:r>
    </w:p>
    <w:p w14:paraId="6A17F554" w14:textId="77777777" w:rsidR="009D3DA9" w:rsidRDefault="009D3DA9" w:rsidP="00895F59">
      <w:r w:rsidRPr="005A0A85">
        <w:rPr>
          <w:b/>
          <w:bCs/>
        </w:rPr>
        <w:t>1: Competition:</w:t>
      </w:r>
      <w:r>
        <w:t xml:space="preserve"> With rising number of alternative accommodation and hotels, competition in the market has become very challenging. This has given rise to fall in bookings for The Urban Heights and fall in room rates as well. The only way, The Urban Heights can stand out from the crowd is by providing its customers with very unique services and guest experience. </w:t>
      </w:r>
    </w:p>
    <w:p w14:paraId="342B9206" w14:textId="77777777" w:rsidR="009D3DA9" w:rsidRDefault="009D3DA9" w:rsidP="00895F59">
      <w:r w:rsidRPr="005A0A85">
        <w:rPr>
          <w:b/>
          <w:bCs/>
        </w:rPr>
        <w:t>2: Lower occupancy:</w:t>
      </w:r>
      <w:r>
        <w:t xml:space="preserve"> One of the key reasons for fall in revenue of hotel is lower rate of occupancy</w:t>
      </w:r>
      <w:r w:rsidR="005A0A85">
        <w:t xml:space="preserve"> (</w:t>
      </w:r>
      <w:proofErr w:type="spellStart"/>
      <w:r w:rsidR="005A0A85" w:rsidRPr="000B2B43">
        <w:t>Ezzaouia</w:t>
      </w:r>
      <w:proofErr w:type="spellEnd"/>
      <w:r w:rsidR="005A0A85" w:rsidRPr="000B2B43">
        <w:t xml:space="preserve"> and </w:t>
      </w:r>
      <w:proofErr w:type="spellStart"/>
      <w:r w:rsidR="005A0A85" w:rsidRPr="000B2B43">
        <w:t>Bulchand-Gidumal</w:t>
      </w:r>
      <w:proofErr w:type="spellEnd"/>
      <w:r w:rsidR="005A0A85" w:rsidRPr="000B2B43">
        <w:t xml:space="preserve"> 2020</w:t>
      </w:r>
      <w:r w:rsidR="005A0A85">
        <w:t>)</w:t>
      </w:r>
      <w:r>
        <w:t xml:space="preserve">. This has resulted from seasonal variation in tourism industry or level of competition intensifying by providing the guests with occupancy at a greater competitive price. </w:t>
      </w:r>
    </w:p>
    <w:p w14:paraId="068DC959" w14:textId="77777777" w:rsidR="009D3DA9" w:rsidRDefault="009D3DA9" w:rsidP="00895F59">
      <w:r w:rsidRPr="005A0A85">
        <w:rPr>
          <w:b/>
          <w:bCs/>
        </w:rPr>
        <w:t>3: Rising cost of labour and shortage and hotel staff:</w:t>
      </w:r>
      <w:r>
        <w:t xml:space="preserve"> Following the covid-19 pandemic, shortage in staffs and increasing cost of labour is believed to have an impact on the profitability </w:t>
      </w:r>
      <w:r>
        <w:lastRenderedPageBreak/>
        <w:t xml:space="preserve">of The Urban Heights. As a result, the hotels are forced to increase wages in order to fill up the vacancies and attract professionals to return to hospitality industry. In order to prevent rates from going very high, The Urban Heights absorbed some amount of cost and has cut back on its margin which has contributed to revenue loss. </w:t>
      </w:r>
    </w:p>
    <w:p w14:paraId="087214A8" w14:textId="77777777" w:rsidR="009D3DA9" w:rsidRDefault="009D3DA9" w:rsidP="00895F59">
      <w:r w:rsidRPr="005A0A85">
        <w:rPr>
          <w:b/>
          <w:bCs/>
        </w:rPr>
        <w:t>4: Geopolitical and world events:</w:t>
      </w:r>
      <w:r>
        <w:t xml:space="preserve"> Wars, rising inflation, post-pandemic revenue travel and major global events have contributed to </w:t>
      </w:r>
      <w:r w:rsidR="000B2B43">
        <w:t>reduced room rates and lower profitability. The war between Ukraine and Russia has caused strained to supply chains, increasing the price of food and energy costs</w:t>
      </w:r>
      <w:r w:rsidR="005A0A85">
        <w:t xml:space="preserve"> (</w:t>
      </w:r>
      <w:r w:rsidR="005A0A85" w:rsidRPr="000B2B43">
        <w:t>Kim and Han 2022</w:t>
      </w:r>
      <w:r w:rsidR="005A0A85">
        <w:t>)</w:t>
      </w:r>
      <w:r w:rsidR="000B2B43">
        <w:t xml:space="preserve">. These have all trickled-down the impact on The Urban Heights pricing. </w:t>
      </w:r>
    </w:p>
    <w:p w14:paraId="1B8F22C9" w14:textId="77777777" w:rsidR="000B2B43" w:rsidRPr="009D3DA9" w:rsidRDefault="000B2B43" w:rsidP="00895F59">
      <w:r w:rsidRPr="005A0A85">
        <w:rPr>
          <w:b/>
          <w:bCs/>
        </w:rPr>
        <w:t>5: Global warming:</w:t>
      </w:r>
      <w:r>
        <w:t xml:space="preserve"> Extreme weather conditions has resulted in very number of visitors and lower room rates, leading to fall in revenue for The Urban Heights</w:t>
      </w:r>
      <w:r w:rsidR="005A0A85">
        <w:t xml:space="preserve"> (</w:t>
      </w:r>
      <w:r w:rsidR="005A0A85" w:rsidRPr="000B2B43">
        <w:t>Kim, Barbe</w:t>
      </w:r>
      <w:r w:rsidR="005A0A85">
        <w:t>r</w:t>
      </w:r>
      <w:r w:rsidR="005A0A85" w:rsidRPr="000B2B43">
        <w:t xml:space="preserve"> and Kim 2019</w:t>
      </w:r>
      <w:r w:rsidR="005A0A85">
        <w:t>)</w:t>
      </w:r>
      <w:r>
        <w:t xml:space="preserve">. The prolonged level of heatwaves, unanticipated cold fronts and restricted supply of water have negatively created an impact on demand for The Urban Heights room. </w:t>
      </w:r>
    </w:p>
    <w:p w14:paraId="5D3643DF" w14:textId="77777777" w:rsidR="007E04E5" w:rsidRDefault="007E04E5" w:rsidP="00895F59">
      <w:pPr>
        <w:pStyle w:val="Heading1"/>
      </w:pPr>
      <w:bookmarkStart w:id="9" w:name="_Toc166680261"/>
      <w:r>
        <w:t>Comprehensive Turnaround strategy:</w:t>
      </w:r>
      <w:bookmarkEnd w:id="9"/>
      <w:r>
        <w:t xml:space="preserve"> </w:t>
      </w:r>
    </w:p>
    <w:p w14:paraId="05D6AD76" w14:textId="77777777" w:rsidR="007E04E5" w:rsidRDefault="007E04E5" w:rsidP="00895F59">
      <w:r>
        <w:t xml:space="preserve">The turnaround strategy that is recommended to The Urban Heights are as follows; </w:t>
      </w:r>
    </w:p>
    <w:p w14:paraId="17C94D7A" w14:textId="46807F8E" w:rsidR="007E04E5" w:rsidRDefault="007E04E5" w:rsidP="00895F59">
      <w:r w:rsidRPr="005A0A85">
        <w:rPr>
          <w:b/>
          <w:bCs/>
        </w:rPr>
        <w:t xml:space="preserve">1: Identifying Strengths, Weaknesses, Opportunities and Threats: </w:t>
      </w:r>
      <w:r>
        <w:t>One of the most important strategies to turnaround the failing operations of The Urban Heights is that the hotel should commence with SWOT analysis. This involves considering the hotel’s strengths, weaknesses, opportunities and threats. This can be done by assessing The Urban Heights assets and guest</w:t>
      </w:r>
      <w:r w:rsidR="00895F59">
        <w:t xml:space="preserve"> </w:t>
      </w:r>
      <w:r>
        <w:t>surveys to arrive at the plan to drive the business towards success</w:t>
      </w:r>
      <w:r w:rsidR="005A0A85">
        <w:t xml:space="preserve"> (</w:t>
      </w:r>
      <w:r w:rsidR="005A0A85" w:rsidRPr="000B2B43">
        <w:t>El Alaoui</w:t>
      </w:r>
      <w:r w:rsidR="005A0A85">
        <w:t xml:space="preserve"> et al. 2023)</w:t>
      </w:r>
      <w:r>
        <w:t xml:space="preserve">. The Urban Heights should emphasize on direct bookings as this is highly profitable instead of taking bookings from commission-based online travel agencies. </w:t>
      </w:r>
    </w:p>
    <w:p w14:paraId="20AE1159" w14:textId="77777777" w:rsidR="007E04E5" w:rsidRDefault="007E04E5" w:rsidP="00895F59">
      <w:r w:rsidRPr="005A0A85">
        <w:rPr>
          <w:b/>
          <w:bCs/>
        </w:rPr>
        <w:t>2: Changing to transparent and upbeat procedures:</w:t>
      </w:r>
      <w:r>
        <w:t xml:space="preserve"> The owner of The Urban Heights is recommended to share the findings of SWOT analysis and long-term transition strategies. Past </w:t>
      </w:r>
      <w:r>
        <w:lastRenderedPageBreak/>
        <w:t>studies have shown that employees tend to become disoriented on finding uncertain employment future. The Urban Heights owner should assure that the employees known in advance regarding the upcoming changes every time.</w:t>
      </w:r>
    </w:p>
    <w:p w14:paraId="50DC3682" w14:textId="77777777" w:rsidR="007E04E5" w:rsidRDefault="007E04E5" w:rsidP="00895F59">
      <w:r w:rsidRPr="005A0A85">
        <w:rPr>
          <w:b/>
          <w:bCs/>
        </w:rPr>
        <w:t>3: Investing in Automation to streamline procedures:</w:t>
      </w:r>
      <w:r>
        <w:t xml:space="preserve"> The Urban Heights owner is recommended to make right investment in Customer Relationship Management (CRM) software which will allow seamless operation of hotels when interacting with the guests</w:t>
      </w:r>
      <w:r w:rsidR="005A0A85">
        <w:t xml:space="preserve"> (</w:t>
      </w:r>
      <w:r w:rsidR="005A0A85" w:rsidRPr="000B2B43">
        <w:t>So</w:t>
      </w:r>
      <w:r w:rsidR="005A0A85">
        <w:t>h</w:t>
      </w:r>
      <w:r w:rsidR="005A0A85" w:rsidRPr="000B2B43">
        <w:t xml:space="preserve"> and Seo 2023</w:t>
      </w:r>
      <w:r w:rsidR="005A0A85">
        <w:t>)</w:t>
      </w:r>
      <w:r>
        <w:t xml:space="preserve">. The CRM platform would allow The Urban Heights to maintain electronic profiles of guests, which also involves keeping full track of hotel reviews made by guests. The owner is recommended to send automated emails as a marketing function to attract more visitors. </w:t>
      </w:r>
    </w:p>
    <w:p w14:paraId="2B23F564" w14:textId="77777777" w:rsidR="007E04E5" w:rsidRDefault="007E04E5" w:rsidP="00895F59">
      <w:r w:rsidRPr="005A0A85">
        <w:rPr>
          <w:b/>
          <w:bCs/>
        </w:rPr>
        <w:t>4: Cutting down unwanted spending:</w:t>
      </w:r>
      <w:r>
        <w:t xml:space="preserve"> </w:t>
      </w:r>
      <w:r w:rsidR="004F466E">
        <w:t>There are several ways The Urban Heights can cut down hotel operational expenses. The Urban Heights should at first prioritize costs that it can consider cutting from the bottom of the list. Making certain investments can help in lowering costs over the time such as installing highly efficient lighting and new HVAC system instead of increasing the number of employees when facing financial challenges</w:t>
      </w:r>
      <w:r w:rsidR="005A0A85">
        <w:t xml:space="preserve"> (</w:t>
      </w:r>
      <w:r w:rsidR="005A0A85" w:rsidRPr="00A6524C">
        <w:t>Fang and Partovi 2022</w:t>
      </w:r>
      <w:r w:rsidR="005A0A85">
        <w:t>)</w:t>
      </w:r>
      <w:r w:rsidR="004F466E">
        <w:t xml:space="preserve">. The Urban Heights is recommended to cross-train the existing staff members as a precautionary measure to avoid shortage of staff in future. </w:t>
      </w:r>
    </w:p>
    <w:p w14:paraId="1D89C0D7" w14:textId="77777777" w:rsidR="004F466E" w:rsidRDefault="004F466E" w:rsidP="00895F59">
      <w:r w:rsidRPr="005A0A85">
        <w:rPr>
          <w:b/>
          <w:bCs/>
        </w:rPr>
        <w:t xml:space="preserve">5: Providing employees with tools for excellent service: </w:t>
      </w:r>
      <w:r>
        <w:t>The Urban Heights hotel representative that directly communicates with the guests at front desk must emphasize on providing outstanding customer service</w:t>
      </w:r>
      <w:r w:rsidR="005A0A85">
        <w:t xml:space="preserve"> (</w:t>
      </w:r>
      <w:proofErr w:type="spellStart"/>
      <w:r w:rsidR="005A0A85" w:rsidRPr="00A6524C">
        <w:t>Köseoglu</w:t>
      </w:r>
      <w:proofErr w:type="spellEnd"/>
      <w:r w:rsidR="005A0A85">
        <w:t xml:space="preserve"> et al. 2020)</w:t>
      </w:r>
      <w:r>
        <w:t xml:space="preserve">. All the hotel staff of The Urban Heights that are directly interacting with guests must be given appropriate training for improved people skills. The staff must have knowledge regarding hotel’s technology that provide greater level of convenience to guests. </w:t>
      </w:r>
    </w:p>
    <w:p w14:paraId="48B7C4D5" w14:textId="77777777" w:rsidR="004F466E" w:rsidRDefault="004F466E" w:rsidP="00895F59">
      <w:r w:rsidRPr="005A0A85">
        <w:rPr>
          <w:b/>
          <w:bCs/>
        </w:rPr>
        <w:lastRenderedPageBreak/>
        <w:t>6: Implementing low season tactics:</w:t>
      </w:r>
      <w:r>
        <w:t xml:space="preserve"> The Urban Heights should implement low-prices during off-season and provide the guests with complimentary lunch/dinner package during off-season visit. This will allow The Urban Heights to target right audience during low season and hike its profits. </w:t>
      </w:r>
    </w:p>
    <w:p w14:paraId="4D06F938" w14:textId="77777777" w:rsidR="007E04E5" w:rsidRDefault="000B2B43" w:rsidP="00895F59">
      <w:pPr>
        <w:pStyle w:val="Heading1"/>
      </w:pPr>
      <w:bookmarkStart w:id="10" w:name="_Toc166680262"/>
      <w:r>
        <w:t>Conclusion:</w:t>
      </w:r>
      <w:bookmarkEnd w:id="10"/>
    </w:p>
    <w:p w14:paraId="1F93AB05" w14:textId="77777777" w:rsidR="000B2B43" w:rsidRDefault="000B2B43" w:rsidP="00895F59">
      <w:pPr>
        <w:ind w:firstLine="720"/>
      </w:pPr>
      <w:r>
        <w:t xml:space="preserve">On a conclusive note, the profitability level of The Urban Heights has declined over the span of three years and this is largely attributable to geopolitical events such as war in Ukraine, rising inflation, increasing cost of labour and restrictions in supply chain have all impacted the operations of hotel. The Urban Heights is recommended to turnaround its operations by improving its hotel visibility through online channels by collaborating with reliable channel manager and implementing strong customer relationship management such as by providing off-season discount with complementary lunch/dinner packages can help in reviving the profitability position of the hotel. </w:t>
      </w:r>
    </w:p>
    <w:p w14:paraId="7F1491D7" w14:textId="77777777" w:rsidR="000B2B43" w:rsidRDefault="000B2B43">
      <w:pPr>
        <w:spacing w:line="259" w:lineRule="auto"/>
        <w:jc w:val="left"/>
      </w:pPr>
      <w:r>
        <w:br w:type="page"/>
      </w:r>
    </w:p>
    <w:p w14:paraId="532BD9B1" w14:textId="77777777" w:rsidR="000B2B43" w:rsidRDefault="000B2B43" w:rsidP="000B2B43">
      <w:pPr>
        <w:pStyle w:val="Heading1"/>
      </w:pPr>
      <w:bookmarkStart w:id="11" w:name="_Toc166680263"/>
      <w:r>
        <w:lastRenderedPageBreak/>
        <w:t>References:</w:t>
      </w:r>
      <w:bookmarkEnd w:id="11"/>
      <w:r>
        <w:t xml:space="preserve"> </w:t>
      </w:r>
    </w:p>
    <w:p w14:paraId="544B4D6A" w14:textId="77777777" w:rsidR="005A0A85" w:rsidRDefault="005A0A85" w:rsidP="005A0A85">
      <w:r w:rsidRPr="000B2B43">
        <w:t>Bindseil, U., 2020. Tiered CBDC and the financial system. </w:t>
      </w:r>
      <w:r w:rsidRPr="000B2B43">
        <w:rPr>
          <w:i/>
          <w:iCs/>
        </w:rPr>
        <w:t>Available at SSRN 3513422</w:t>
      </w:r>
      <w:r w:rsidRPr="000B2B43">
        <w:t>.</w:t>
      </w:r>
    </w:p>
    <w:p w14:paraId="67E5CDD9" w14:textId="77777777" w:rsidR="005A0A85" w:rsidRDefault="005A0A85" w:rsidP="005A0A85">
      <w:r w:rsidRPr="000B2B43">
        <w:t>El Alaoui, M.H., Ibrahim, M.D., Daneshvar, S., Alola, U.V. and Alola, A.A., 2023. A two-stage data envelopment analysis approach to productivity, efficiency and their sustainability in the hotel industry of Tunisia. </w:t>
      </w:r>
      <w:r w:rsidRPr="000B2B43">
        <w:rPr>
          <w:i/>
          <w:iCs/>
        </w:rPr>
        <w:t>Quality &amp; Quantity</w:t>
      </w:r>
      <w:r w:rsidRPr="000B2B43">
        <w:t>, </w:t>
      </w:r>
      <w:r w:rsidRPr="000B2B43">
        <w:rPr>
          <w:i/>
          <w:iCs/>
        </w:rPr>
        <w:t>57</w:t>
      </w:r>
      <w:r w:rsidRPr="000B2B43">
        <w:t>(1), pp.955-972.</w:t>
      </w:r>
    </w:p>
    <w:p w14:paraId="7616DEB6" w14:textId="77777777" w:rsidR="005A0A85" w:rsidRDefault="005A0A85" w:rsidP="005A0A85">
      <w:r w:rsidRPr="000B2B43">
        <w:t>Eun, C.S., Resnick, B.G. and Chuluun, T., 2021. </w:t>
      </w:r>
      <w:r w:rsidRPr="000B2B43">
        <w:rPr>
          <w:i/>
          <w:iCs/>
        </w:rPr>
        <w:t>International financial management</w:t>
      </w:r>
      <w:r w:rsidRPr="000B2B43">
        <w:t>. McGraw-Hill.</w:t>
      </w:r>
    </w:p>
    <w:p w14:paraId="666AE6FF" w14:textId="77777777" w:rsidR="005A0A85" w:rsidRDefault="005A0A85" w:rsidP="005A0A85">
      <w:proofErr w:type="spellStart"/>
      <w:r w:rsidRPr="000B2B43">
        <w:t>Ezzaouia</w:t>
      </w:r>
      <w:proofErr w:type="spellEnd"/>
      <w:r w:rsidRPr="000B2B43">
        <w:t xml:space="preserve">, I. and </w:t>
      </w:r>
      <w:proofErr w:type="spellStart"/>
      <w:r w:rsidRPr="000B2B43">
        <w:t>Bulchand-Gidumal</w:t>
      </w:r>
      <w:proofErr w:type="spellEnd"/>
      <w:r w:rsidRPr="000B2B43">
        <w:t>, J., 2020. Factors influencing the adoption of information technology in the hotel industry. An analysis in a developing country. </w:t>
      </w:r>
      <w:r w:rsidRPr="000B2B43">
        <w:rPr>
          <w:i/>
          <w:iCs/>
        </w:rPr>
        <w:t>Tourism Management Perspectives</w:t>
      </w:r>
      <w:r w:rsidRPr="000B2B43">
        <w:t>, </w:t>
      </w:r>
      <w:r w:rsidRPr="000B2B43">
        <w:rPr>
          <w:i/>
          <w:iCs/>
        </w:rPr>
        <w:t>34</w:t>
      </w:r>
      <w:r w:rsidRPr="000B2B43">
        <w:t>, p.100675.</w:t>
      </w:r>
    </w:p>
    <w:p w14:paraId="2E2CC0A5" w14:textId="77777777" w:rsidR="005A0A85" w:rsidRDefault="005A0A85" w:rsidP="005A0A85">
      <w:r w:rsidRPr="00A6524C">
        <w:t>Fang, J. and Partovi, F.Y., 2022. Technology planning in the hotel industry. </w:t>
      </w:r>
      <w:r w:rsidRPr="00A6524C">
        <w:rPr>
          <w:i/>
          <w:iCs/>
        </w:rPr>
        <w:t>Tourism Management Perspectives</w:t>
      </w:r>
      <w:r w:rsidRPr="00A6524C">
        <w:t>, </w:t>
      </w:r>
      <w:r w:rsidRPr="00A6524C">
        <w:rPr>
          <w:i/>
          <w:iCs/>
        </w:rPr>
        <w:t>44</w:t>
      </w:r>
      <w:r w:rsidRPr="00A6524C">
        <w:t>, p.101018.</w:t>
      </w:r>
    </w:p>
    <w:p w14:paraId="05E74506" w14:textId="77777777" w:rsidR="005A0A85" w:rsidRPr="000B2B43" w:rsidRDefault="005A0A85" w:rsidP="005A0A85">
      <w:proofErr w:type="spellStart"/>
      <w:r w:rsidRPr="000B2B43">
        <w:t>Glavonjić</w:t>
      </w:r>
      <w:proofErr w:type="spellEnd"/>
      <w:r w:rsidRPr="000B2B43">
        <w:t>, M. 2024</w:t>
      </w:r>
      <w:r>
        <w:t>.</w:t>
      </w:r>
      <w:r w:rsidRPr="000B2B43">
        <w:t xml:space="preserve"> </w:t>
      </w:r>
      <w:r w:rsidRPr="000B2B43">
        <w:rPr>
          <w:i/>
          <w:iCs/>
        </w:rPr>
        <w:t>5 key reasons why hotel revenue decreases and solutions</w:t>
      </w:r>
      <w:r w:rsidRPr="000B2B43">
        <w:t>. https://otasync.me/blog/5-key-reasons-why-hotel-revenue-decreases-and-solutions/.</w:t>
      </w:r>
    </w:p>
    <w:p w14:paraId="144FAACF" w14:textId="77777777" w:rsidR="005A0A85" w:rsidRDefault="005A0A85" w:rsidP="005A0A85">
      <w:r w:rsidRPr="000B2B43">
        <w:t>Hassan, O.A. and Marston, C., 2019. Corporate financial disclosure measurement in the empirical accounting literature: A review article. </w:t>
      </w:r>
      <w:r w:rsidRPr="000B2B43">
        <w:rPr>
          <w:i/>
          <w:iCs/>
        </w:rPr>
        <w:t>The International Journal of Accounting</w:t>
      </w:r>
      <w:r w:rsidRPr="000B2B43">
        <w:t>, </w:t>
      </w:r>
      <w:r w:rsidRPr="000B2B43">
        <w:rPr>
          <w:i/>
          <w:iCs/>
        </w:rPr>
        <w:t>54</w:t>
      </w:r>
      <w:r w:rsidRPr="000B2B43">
        <w:t>(02), p.1950006.</w:t>
      </w:r>
    </w:p>
    <w:p w14:paraId="4F588072" w14:textId="77777777" w:rsidR="005A0A85" w:rsidRDefault="005A0A85" w:rsidP="005A0A85">
      <w:proofErr w:type="spellStart"/>
      <w:r w:rsidRPr="000B2B43">
        <w:t>Kieso</w:t>
      </w:r>
      <w:proofErr w:type="spellEnd"/>
      <w:r w:rsidRPr="000B2B43">
        <w:t>, D.E., Weygandt, J.J., Warfield, T.D., Wiecek, I.M. and McConomy, B.J., 2019. </w:t>
      </w:r>
      <w:r w:rsidRPr="000B2B43">
        <w:rPr>
          <w:i/>
          <w:iCs/>
        </w:rPr>
        <w:t>Intermediate Accounting, Volume 2</w:t>
      </w:r>
      <w:r w:rsidRPr="000B2B43">
        <w:t>. John Wiley &amp; Sons.</w:t>
      </w:r>
    </w:p>
    <w:p w14:paraId="11446691" w14:textId="77777777" w:rsidR="005A0A85" w:rsidRDefault="005A0A85" w:rsidP="005A0A85">
      <w:r w:rsidRPr="000B2B43">
        <w:t>Kim, J.J. and Han, H., 2022. Saving the hotel industry: Strategic response to the COVID-19 pandemic, hotel selection analysis, and customer retention. </w:t>
      </w:r>
      <w:r w:rsidRPr="000B2B43">
        <w:rPr>
          <w:i/>
          <w:iCs/>
        </w:rPr>
        <w:t>International Journal of Hospitality Management</w:t>
      </w:r>
      <w:r w:rsidRPr="000B2B43">
        <w:t>, </w:t>
      </w:r>
      <w:r w:rsidRPr="000B2B43">
        <w:rPr>
          <w:i/>
          <w:iCs/>
        </w:rPr>
        <w:t>102</w:t>
      </w:r>
      <w:r w:rsidRPr="000B2B43">
        <w:t>, p.103163.</w:t>
      </w:r>
    </w:p>
    <w:p w14:paraId="081F714A" w14:textId="77777777" w:rsidR="005A0A85" w:rsidRDefault="005A0A85" w:rsidP="005A0A85">
      <w:r w:rsidRPr="000B2B43">
        <w:lastRenderedPageBreak/>
        <w:t>Kim, Y.H., Barber, N. and Kim, D.K., 2019. Sustainability research in the hotel industry: Past, present, and future. </w:t>
      </w:r>
      <w:r w:rsidRPr="000B2B43">
        <w:rPr>
          <w:i/>
          <w:iCs/>
        </w:rPr>
        <w:t>Journal of Hospitality Marketing &amp; Management</w:t>
      </w:r>
      <w:r w:rsidRPr="000B2B43">
        <w:t>, </w:t>
      </w:r>
      <w:r w:rsidRPr="000B2B43">
        <w:rPr>
          <w:i/>
          <w:iCs/>
        </w:rPr>
        <w:t>28</w:t>
      </w:r>
      <w:r w:rsidRPr="000B2B43">
        <w:t>(5), pp.576-620.</w:t>
      </w:r>
    </w:p>
    <w:p w14:paraId="3949E898" w14:textId="77777777" w:rsidR="005A0A85" w:rsidRDefault="005A0A85" w:rsidP="005A0A85">
      <w:proofErr w:type="spellStart"/>
      <w:r w:rsidRPr="00A6524C">
        <w:t>Köseoglu</w:t>
      </w:r>
      <w:proofErr w:type="spellEnd"/>
      <w:r w:rsidRPr="00A6524C">
        <w:t xml:space="preserve">, M.A., Altin, M., Chan, E. and </w:t>
      </w:r>
      <w:proofErr w:type="spellStart"/>
      <w:r w:rsidRPr="00A6524C">
        <w:t>Aladag</w:t>
      </w:r>
      <w:proofErr w:type="spellEnd"/>
      <w:r w:rsidRPr="00A6524C">
        <w:t>, O.F., 2020. What are the key success factors for strategy formulation and implementation? Perspectives of managers in the hotel industry. </w:t>
      </w:r>
      <w:r w:rsidRPr="00A6524C">
        <w:rPr>
          <w:i/>
          <w:iCs/>
        </w:rPr>
        <w:t>International Journal of Hospitality Management</w:t>
      </w:r>
      <w:r w:rsidRPr="00A6524C">
        <w:t>, </w:t>
      </w:r>
      <w:r w:rsidRPr="00A6524C">
        <w:rPr>
          <w:i/>
          <w:iCs/>
        </w:rPr>
        <w:t>89</w:t>
      </w:r>
      <w:r w:rsidRPr="00A6524C">
        <w:t>, p.102574.</w:t>
      </w:r>
    </w:p>
    <w:p w14:paraId="636CD859" w14:textId="77777777" w:rsidR="005A0A85" w:rsidRDefault="005A0A85" w:rsidP="005A0A85">
      <w:r w:rsidRPr="000B2B43">
        <w:t>Mak, A.H. and Chang, R.C., 2019. The driving and restraining forces for environmental strategy adoption in the hotel industry: A force field analysis approach. </w:t>
      </w:r>
      <w:r w:rsidRPr="000B2B43">
        <w:rPr>
          <w:i/>
          <w:iCs/>
        </w:rPr>
        <w:t>Tourism Management</w:t>
      </w:r>
      <w:r w:rsidRPr="000B2B43">
        <w:t>, </w:t>
      </w:r>
      <w:r w:rsidRPr="000B2B43">
        <w:rPr>
          <w:i/>
          <w:iCs/>
        </w:rPr>
        <w:t>73</w:t>
      </w:r>
      <w:r w:rsidRPr="000B2B43">
        <w:t>, pp.48-60.</w:t>
      </w:r>
    </w:p>
    <w:p w14:paraId="61B4B2F6" w14:textId="77777777" w:rsidR="005A0A85" w:rsidRDefault="005A0A85" w:rsidP="005A0A85">
      <w:r w:rsidRPr="000B2B43">
        <w:t>Schroeder, R.G., Clark, M.W. and Cathey, J.M., 2022. </w:t>
      </w:r>
      <w:r w:rsidRPr="000B2B43">
        <w:rPr>
          <w:i/>
          <w:iCs/>
        </w:rPr>
        <w:t>Financial accounting theory and analysis: text and cases</w:t>
      </w:r>
      <w:r w:rsidRPr="000B2B43">
        <w:t>. John Wiley &amp; Sons.</w:t>
      </w:r>
    </w:p>
    <w:p w14:paraId="6C425F08" w14:textId="77777777" w:rsidR="005A0A85" w:rsidRDefault="005A0A85" w:rsidP="005A0A85">
      <w:r w:rsidRPr="000B2B43">
        <w:t>Soh, J. and Seo, K., 2023. An analysis of the impact of short-term vacation rentals on the hotel industry. </w:t>
      </w:r>
      <w:r w:rsidRPr="000B2B43">
        <w:rPr>
          <w:i/>
          <w:iCs/>
        </w:rPr>
        <w:t>Journal of Hospitality &amp; Tourism Research</w:t>
      </w:r>
      <w:r w:rsidRPr="000B2B43">
        <w:t>, </w:t>
      </w:r>
      <w:r w:rsidRPr="000B2B43">
        <w:rPr>
          <w:i/>
          <w:iCs/>
        </w:rPr>
        <w:t>47</w:t>
      </w:r>
      <w:r w:rsidRPr="000B2B43">
        <w:t>(4), pp.760-771.</w:t>
      </w:r>
    </w:p>
    <w:p w14:paraId="4944A3AD" w14:textId="77777777" w:rsidR="005A0A85" w:rsidRDefault="005A0A85" w:rsidP="005A0A85">
      <w:r w:rsidRPr="000B2B43">
        <w:t xml:space="preserve">Weygandt, J.J., Kimmel, P.D. and </w:t>
      </w:r>
      <w:proofErr w:type="spellStart"/>
      <w:r w:rsidRPr="000B2B43">
        <w:t>Kieso</w:t>
      </w:r>
      <w:proofErr w:type="spellEnd"/>
      <w:r w:rsidRPr="000B2B43">
        <w:t>, D.E., 2018. </w:t>
      </w:r>
      <w:r w:rsidRPr="000B2B43">
        <w:rPr>
          <w:i/>
          <w:iCs/>
        </w:rPr>
        <w:t>Financial accounting with international financial reporting standards</w:t>
      </w:r>
      <w:r w:rsidRPr="000B2B43">
        <w:t>. John Wiley &amp; Sons.</w:t>
      </w:r>
    </w:p>
    <w:p w14:paraId="694801BB" w14:textId="77777777" w:rsidR="005A0A85" w:rsidRDefault="005A0A85" w:rsidP="005A0A85">
      <w:r w:rsidRPr="000B2B43">
        <w:t xml:space="preserve">Williams, J.R., Haka, S.F., Bettner, M.S. and </w:t>
      </w:r>
      <w:proofErr w:type="spellStart"/>
      <w:r w:rsidRPr="000B2B43">
        <w:t>Carcello</w:t>
      </w:r>
      <w:proofErr w:type="spellEnd"/>
      <w:r w:rsidRPr="000B2B43">
        <w:t>, J.V., 2018. </w:t>
      </w:r>
      <w:r w:rsidRPr="000B2B43">
        <w:rPr>
          <w:i/>
          <w:iCs/>
        </w:rPr>
        <w:t>Financial &amp; managerial accounting: The basis for business decisions</w:t>
      </w:r>
      <w:r w:rsidRPr="000B2B43">
        <w:t>. McGraw-Hill.</w:t>
      </w:r>
    </w:p>
    <w:p w14:paraId="0A7753A1" w14:textId="77777777" w:rsidR="005A0A85" w:rsidRDefault="005A0A85" w:rsidP="005A0A85"/>
    <w:p w14:paraId="1ED00229" w14:textId="77777777" w:rsidR="00CB445A" w:rsidRDefault="00CB445A" w:rsidP="00CB445A">
      <w:pPr>
        <w:ind w:firstLine="720"/>
      </w:pPr>
    </w:p>
    <w:p w14:paraId="2CEF9AFD" w14:textId="77777777" w:rsidR="00B4164A" w:rsidRDefault="00B4164A" w:rsidP="00B4164A">
      <w:pPr>
        <w:ind w:firstLine="720"/>
      </w:pPr>
    </w:p>
    <w:p w14:paraId="7F19A94F" w14:textId="77777777" w:rsidR="00557DC1" w:rsidRDefault="00557DC1" w:rsidP="00F55EC2"/>
    <w:p w14:paraId="16812DE5" w14:textId="77777777" w:rsidR="00123A4B" w:rsidRDefault="00123A4B" w:rsidP="00F55EC2">
      <w:r>
        <w:t xml:space="preserve"> </w:t>
      </w:r>
    </w:p>
    <w:p w14:paraId="74CA56C5" w14:textId="77777777" w:rsidR="00123A4B" w:rsidRPr="00F55EC2" w:rsidRDefault="00123A4B" w:rsidP="00F55EC2"/>
    <w:sectPr w:rsidR="00123A4B" w:rsidRPr="00F55EC2" w:rsidSect="00A13CF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E8B832" w14:textId="77777777" w:rsidR="009236AE" w:rsidRDefault="009236AE" w:rsidP="00A13CFE">
      <w:pPr>
        <w:spacing w:after="0" w:line="240" w:lineRule="auto"/>
      </w:pPr>
      <w:r>
        <w:separator/>
      </w:r>
    </w:p>
  </w:endnote>
  <w:endnote w:type="continuationSeparator" w:id="0">
    <w:p w14:paraId="20EF3CD1" w14:textId="77777777" w:rsidR="009236AE" w:rsidRDefault="009236AE" w:rsidP="00A13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923654" w14:textId="77777777" w:rsidR="009236AE" w:rsidRDefault="009236AE" w:rsidP="00A13CFE">
      <w:pPr>
        <w:spacing w:after="0" w:line="240" w:lineRule="auto"/>
      </w:pPr>
      <w:r>
        <w:separator/>
      </w:r>
    </w:p>
  </w:footnote>
  <w:footnote w:type="continuationSeparator" w:id="0">
    <w:p w14:paraId="253AE179" w14:textId="77777777" w:rsidR="009236AE" w:rsidRDefault="009236AE" w:rsidP="00A13C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EC2"/>
    <w:rsid w:val="00057B17"/>
    <w:rsid w:val="000B2B43"/>
    <w:rsid w:val="000F0083"/>
    <w:rsid w:val="00123A4B"/>
    <w:rsid w:val="001478BC"/>
    <w:rsid w:val="001F445A"/>
    <w:rsid w:val="00220DC3"/>
    <w:rsid w:val="003B3326"/>
    <w:rsid w:val="0041235D"/>
    <w:rsid w:val="0043628A"/>
    <w:rsid w:val="00452FE0"/>
    <w:rsid w:val="00494AF9"/>
    <w:rsid w:val="004F466E"/>
    <w:rsid w:val="00515C81"/>
    <w:rsid w:val="00557DC1"/>
    <w:rsid w:val="005A0A85"/>
    <w:rsid w:val="005F61FE"/>
    <w:rsid w:val="00655756"/>
    <w:rsid w:val="0068737F"/>
    <w:rsid w:val="00695BB2"/>
    <w:rsid w:val="006A5FF1"/>
    <w:rsid w:val="007E04E5"/>
    <w:rsid w:val="00895F59"/>
    <w:rsid w:val="008E09AC"/>
    <w:rsid w:val="00916152"/>
    <w:rsid w:val="009236AE"/>
    <w:rsid w:val="009B1018"/>
    <w:rsid w:val="009D3DA9"/>
    <w:rsid w:val="009F7362"/>
    <w:rsid w:val="00A13CFE"/>
    <w:rsid w:val="00A61326"/>
    <w:rsid w:val="00B4164A"/>
    <w:rsid w:val="00C30E6A"/>
    <w:rsid w:val="00CB445A"/>
    <w:rsid w:val="00F413E4"/>
    <w:rsid w:val="00F55EC2"/>
    <w:rsid w:val="00FC46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214F7E"/>
  <w15:chartTrackingRefBased/>
  <w15:docId w15:val="{AD52B39E-38ED-4690-B361-5CDDDF3D5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EC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5EC2"/>
    <w:pPr>
      <w:outlineLvl w:val="0"/>
    </w:pPr>
    <w:rPr>
      <w:b/>
    </w:rPr>
  </w:style>
  <w:style w:type="paragraph" w:styleId="Heading2">
    <w:name w:val="heading 2"/>
    <w:basedOn w:val="Heading1"/>
    <w:next w:val="Normal"/>
    <w:link w:val="Heading2Char"/>
    <w:uiPriority w:val="9"/>
    <w:unhideWhenUsed/>
    <w:qFormat/>
    <w:rsid w:val="00F55EC2"/>
    <w:pPr>
      <w:outlineLvl w:val="1"/>
    </w:pPr>
  </w:style>
  <w:style w:type="paragraph" w:styleId="Heading3">
    <w:name w:val="heading 3"/>
    <w:basedOn w:val="Normal"/>
    <w:next w:val="Normal"/>
    <w:link w:val="Heading3Char"/>
    <w:uiPriority w:val="9"/>
    <w:unhideWhenUsed/>
    <w:qFormat/>
    <w:rsid w:val="00A13CFE"/>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F55E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E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E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E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E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E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EC2"/>
    <w:rPr>
      <w:rFonts w:ascii="Times New Roman" w:hAnsi="Times New Roman"/>
      <w:b/>
      <w:sz w:val="24"/>
    </w:rPr>
  </w:style>
  <w:style w:type="character" w:customStyle="1" w:styleId="Heading2Char">
    <w:name w:val="Heading 2 Char"/>
    <w:basedOn w:val="DefaultParagraphFont"/>
    <w:link w:val="Heading2"/>
    <w:uiPriority w:val="9"/>
    <w:rsid w:val="00F55EC2"/>
    <w:rPr>
      <w:rFonts w:ascii="Times New Roman" w:hAnsi="Times New Roman"/>
      <w:b/>
      <w:sz w:val="24"/>
    </w:rPr>
  </w:style>
  <w:style w:type="character" w:customStyle="1" w:styleId="Heading3Char">
    <w:name w:val="Heading 3 Char"/>
    <w:basedOn w:val="DefaultParagraphFont"/>
    <w:link w:val="Heading3"/>
    <w:uiPriority w:val="9"/>
    <w:rsid w:val="00A13CFE"/>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F55E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E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E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E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E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EC2"/>
    <w:rPr>
      <w:rFonts w:eastAsiaTheme="majorEastAsia" w:cstheme="majorBidi"/>
      <w:color w:val="272727" w:themeColor="text1" w:themeTint="D8"/>
    </w:rPr>
  </w:style>
  <w:style w:type="paragraph" w:styleId="Title">
    <w:name w:val="Title"/>
    <w:basedOn w:val="Normal"/>
    <w:next w:val="Normal"/>
    <w:link w:val="TitleChar"/>
    <w:uiPriority w:val="10"/>
    <w:qFormat/>
    <w:rsid w:val="00F55E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E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E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E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EC2"/>
    <w:pPr>
      <w:spacing w:before="160"/>
      <w:jc w:val="center"/>
    </w:pPr>
    <w:rPr>
      <w:i/>
      <w:iCs/>
      <w:color w:val="404040" w:themeColor="text1" w:themeTint="BF"/>
    </w:rPr>
  </w:style>
  <w:style w:type="character" w:customStyle="1" w:styleId="QuoteChar">
    <w:name w:val="Quote Char"/>
    <w:basedOn w:val="DefaultParagraphFont"/>
    <w:link w:val="Quote"/>
    <w:uiPriority w:val="29"/>
    <w:rsid w:val="00F55EC2"/>
    <w:rPr>
      <w:i/>
      <w:iCs/>
      <w:color w:val="404040" w:themeColor="text1" w:themeTint="BF"/>
    </w:rPr>
  </w:style>
  <w:style w:type="paragraph" w:styleId="ListParagraph">
    <w:name w:val="List Paragraph"/>
    <w:basedOn w:val="Normal"/>
    <w:uiPriority w:val="34"/>
    <w:qFormat/>
    <w:rsid w:val="00F55EC2"/>
    <w:pPr>
      <w:ind w:left="720"/>
      <w:contextualSpacing/>
    </w:pPr>
  </w:style>
  <w:style w:type="character" w:styleId="IntenseEmphasis">
    <w:name w:val="Intense Emphasis"/>
    <w:basedOn w:val="DefaultParagraphFont"/>
    <w:uiPriority w:val="21"/>
    <w:qFormat/>
    <w:rsid w:val="00F55EC2"/>
    <w:rPr>
      <w:i/>
      <w:iCs/>
      <w:color w:val="0F4761" w:themeColor="accent1" w:themeShade="BF"/>
    </w:rPr>
  </w:style>
  <w:style w:type="paragraph" w:styleId="IntenseQuote">
    <w:name w:val="Intense Quote"/>
    <w:basedOn w:val="Normal"/>
    <w:next w:val="Normal"/>
    <w:link w:val="IntenseQuoteChar"/>
    <w:uiPriority w:val="30"/>
    <w:qFormat/>
    <w:rsid w:val="00F55E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EC2"/>
    <w:rPr>
      <w:i/>
      <w:iCs/>
      <w:color w:val="0F4761" w:themeColor="accent1" w:themeShade="BF"/>
    </w:rPr>
  </w:style>
  <w:style w:type="character" w:styleId="IntenseReference">
    <w:name w:val="Intense Reference"/>
    <w:basedOn w:val="DefaultParagraphFont"/>
    <w:uiPriority w:val="32"/>
    <w:qFormat/>
    <w:rsid w:val="00F55EC2"/>
    <w:rPr>
      <w:b/>
      <w:bCs/>
      <w:smallCaps/>
      <w:color w:val="0F4761" w:themeColor="accent1" w:themeShade="BF"/>
      <w:spacing w:val="5"/>
    </w:rPr>
  </w:style>
  <w:style w:type="paragraph" w:styleId="Header">
    <w:name w:val="header"/>
    <w:basedOn w:val="Normal"/>
    <w:link w:val="HeaderChar"/>
    <w:uiPriority w:val="99"/>
    <w:unhideWhenUsed/>
    <w:rsid w:val="00A13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CFE"/>
    <w:rPr>
      <w:rFonts w:ascii="Times New Roman" w:hAnsi="Times New Roman"/>
      <w:sz w:val="24"/>
    </w:rPr>
  </w:style>
  <w:style w:type="paragraph" w:styleId="Footer">
    <w:name w:val="footer"/>
    <w:basedOn w:val="Normal"/>
    <w:link w:val="FooterChar"/>
    <w:uiPriority w:val="99"/>
    <w:unhideWhenUsed/>
    <w:rsid w:val="00A13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CFE"/>
    <w:rPr>
      <w:rFonts w:ascii="Times New Roman" w:hAnsi="Times New Roman"/>
      <w:sz w:val="24"/>
    </w:rPr>
  </w:style>
  <w:style w:type="paragraph" w:styleId="TOCHeading">
    <w:name w:val="TOC Heading"/>
    <w:basedOn w:val="Heading1"/>
    <w:next w:val="Normal"/>
    <w:uiPriority w:val="39"/>
    <w:unhideWhenUsed/>
    <w:qFormat/>
    <w:rsid w:val="00A13CFE"/>
    <w:pPr>
      <w:keepNext/>
      <w:keepLines/>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rPr>
  </w:style>
  <w:style w:type="paragraph" w:styleId="TOC1">
    <w:name w:val="toc 1"/>
    <w:basedOn w:val="Normal"/>
    <w:next w:val="Normal"/>
    <w:autoRedefine/>
    <w:uiPriority w:val="39"/>
    <w:unhideWhenUsed/>
    <w:rsid w:val="00A13CFE"/>
    <w:pPr>
      <w:spacing w:after="100"/>
    </w:pPr>
  </w:style>
  <w:style w:type="paragraph" w:styleId="TOC2">
    <w:name w:val="toc 2"/>
    <w:basedOn w:val="Normal"/>
    <w:next w:val="Normal"/>
    <w:autoRedefine/>
    <w:uiPriority w:val="39"/>
    <w:unhideWhenUsed/>
    <w:rsid w:val="00A13CFE"/>
    <w:pPr>
      <w:spacing w:after="100"/>
      <w:ind w:left="240"/>
    </w:pPr>
  </w:style>
  <w:style w:type="paragraph" w:styleId="TOC3">
    <w:name w:val="toc 3"/>
    <w:basedOn w:val="Normal"/>
    <w:next w:val="Normal"/>
    <w:autoRedefine/>
    <w:uiPriority w:val="39"/>
    <w:unhideWhenUsed/>
    <w:rsid w:val="00A13CFE"/>
    <w:pPr>
      <w:spacing w:after="100"/>
      <w:ind w:left="480"/>
    </w:pPr>
  </w:style>
  <w:style w:type="character" w:styleId="Hyperlink">
    <w:name w:val="Hyperlink"/>
    <w:basedOn w:val="DefaultParagraphFont"/>
    <w:uiPriority w:val="99"/>
    <w:unhideWhenUsed/>
    <w:rsid w:val="00A13CF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161058">
      <w:bodyDiv w:val="1"/>
      <w:marLeft w:val="0"/>
      <w:marRight w:val="0"/>
      <w:marTop w:val="0"/>
      <w:marBottom w:val="0"/>
      <w:divBdr>
        <w:top w:val="none" w:sz="0" w:space="0" w:color="auto"/>
        <w:left w:val="none" w:sz="0" w:space="0" w:color="auto"/>
        <w:bottom w:val="none" w:sz="0" w:space="0" w:color="auto"/>
        <w:right w:val="none" w:sz="0" w:space="0" w:color="auto"/>
      </w:divBdr>
      <w:divsChild>
        <w:div w:id="391588313">
          <w:marLeft w:val="-720"/>
          <w:marRight w:val="0"/>
          <w:marTop w:val="0"/>
          <w:marBottom w:val="0"/>
          <w:divBdr>
            <w:top w:val="none" w:sz="0" w:space="0" w:color="auto"/>
            <w:left w:val="none" w:sz="0" w:space="0" w:color="auto"/>
            <w:bottom w:val="none" w:sz="0" w:space="0" w:color="auto"/>
            <w:right w:val="none" w:sz="0" w:space="0" w:color="auto"/>
          </w:divBdr>
        </w:div>
      </w:divsChild>
    </w:div>
    <w:div w:id="251740939">
      <w:bodyDiv w:val="1"/>
      <w:marLeft w:val="0"/>
      <w:marRight w:val="0"/>
      <w:marTop w:val="0"/>
      <w:marBottom w:val="0"/>
      <w:divBdr>
        <w:top w:val="none" w:sz="0" w:space="0" w:color="auto"/>
        <w:left w:val="none" w:sz="0" w:space="0" w:color="auto"/>
        <w:bottom w:val="none" w:sz="0" w:space="0" w:color="auto"/>
        <w:right w:val="none" w:sz="0" w:space="0" w:color="auto"/>
      </w:divBdr>
    </w:div>
    <w:div w:id="1632514755">
      <w:bodyDiv w:val="1"/>
      <w:marLeft w:val="0"/>
      <w:marRight w:val="0"/>
      <w:marTop w:val="0"/>
      <w:marBottom w:val="0"/>
      <w:divBdr>
        <w:top w:val="none" w:sz="0" w:space="0" w:color="auto"/>
        <w:left w:val="none" w:sz="0" w:space="0" w:color="auto"/>
        <w:bottom w:val="none" w:sz="0" w:space="0" w:color="auto"/>
        <w:right w:val="none" w:sz="0" w:space="0" w:color="auto"/>
      </w:divBdr>
      <w:divsChild>
        <w:div w:id="145721456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chart" Target="charts/chart3.xml"/><Relationship Id="rId17" Type="http://schemas.openxmlformats.org/officeDocument/2006/relationships/image" Target="media/image6.emf"/><Relationship Id="rId2" Type="http://schemas.openxmlformats.org/officeDocument/2006/relationships/styles" Target="styles.xml"/><Relationship Id="rId16"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5.emf"/><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o-RO"/>
        </a:p>
      </c:txPr>
    </c:title>
    <c:autoTitleDeleted val="0"/>
    <c:plotArea>
      <c:layout/>
      <c:barChart>
        <c:barDir val="col"/>
        <c:grouping val="clustered"/>
        <c:varyColors val="0"/>
        <c:ser>
          <c:idx val="0"/>
          <c:order val="0"/>
          <c:tx>
            <c:strRef>
              <c:f>'Graphs and Charts'!$D$2</c:f>
              <c:strCache>
                <c:ptCount val="1"/>
                <c:pt idx="0">
                  <c:v>2021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'Graphs and Charts'!$C$3:$C$5</c:f>
              <c:strCache>
                <c:ptCount val="3"/>
                <c:pt idx="0">
                  <c:v>Net Profit Ratio </c:v>
                </c:pt>
                <c:pt idx="1">
                  <c:v>Return on Assets</c:v>
                </c:pt>
                <c:pt idx="2">
                  <c:v>Return on Equity</c:v>
                </c:pt>
              </c:strCache>
            </c:strRef>
          </c:cat>
          <c:val>
            <c:numRef>
              <c:f>'Graphs and Charts'!$D$3:$D$5</c:f>
              <c:numCache>
                <c:formatCode>0.00%</c:formatCode>
                <c:ptCount val="3"/>
                <c:pt idx="0">
                  <c:v>0.28000000000000003</c:v>
                </c:pt>
                <c:pt idx="1">
                  <c:v>0.12844036697247707</c:v>
                </c:pt>
                <c:pt idx="2">
                  <c:v>0.31818181818181818</c:v>
                </c:pt>
              </c:numCache>
            </c:numRef>
          </c:val>
          <c:extLst>
            <c:ext xmlns:c16="http://schemas.microsoft.com/office/drawing/2014/chart" uri="{C3380CC4-5D6E-409C-BE32-E72D297353CC}">
              <c16:uniqueId val="{00000000-89D3-482E-8F98-EB49D07F9808}"/>
            </c:ext>
          </c:extLst>
        </c:ser>
        <c:ser>
          <c:idx val="1"/>
          <c:order val="1"/>
          <c:tx>
            <c:strRef>
              <c:f>'Graphs and Charts'!$E$2</c:f>
              <c:strCache>
                <c:ptCount val="1"/>
                <c:pt idx="0">
                  <c:v>2022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'Graphs and Charts'!$C$3:$C$5</c:f>
              <c:strCache>
                <c:ptCount val="3"/>
                <c:pt idx="0">
                  <c:v>Net Profit Ratio </c:v>
                </c:pt>
                <c:pt idx="1">
                  <c:v>Return on Assets</c:v>
                </c:pt>
                <c:pt idx="2">
                  <c:v>Return on Equity</c:v>
                </c:pt>
              </c:strCache>
            </c:strRef>
          </c:cat>
          <c:val>
            <c:numRef>
              <c:f>'Graphs and Charts'!$E$3:$E$5</c:f>
              <c:numCache>
                <c:formatCode>0.00%</c:formatCode>
                <c:ptCount val="3"/>
                <c:pt idx="0">
                  <c:v>9.0909090909090912E-2</c:v>
                </c:pt>
                <c:pt idx="1">
                  <c:v>3.9215686274509803E-2</c:v>
                </c:pt>
                <c:pt idx="2">
                  <c:v>0.10928961748633879</c:v>
                </c:pt>
              </c:numCache>
            </c:numRef>
          </c:val>
          <c:extLst>
            <c:ext xmlns:c16="http://schemas.microsoft.com/office/drawing/2014/chart" uri="{C3380CC4-5D6E-409C-BE32-E72D297353CC}">
              <c16:uniqueId val="{00000001-89D3-482E-8F98-EB49D07F9808}"/>
            </c:ext>
          </c:extLst>
        </c:ser>
        <c:ser>
          <c:idx val="2"/>
          <c:order val="2"/>
          <c:tx>
            <c:strRef>
              <c:f>'Graphs and Charts'!$F$2</c:f>
              <c:strCache>
                <c:ptCount val="1"/>
                <c:pt idx="0">
                  <c:v>2023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'Graphs and Charts'!$C$3:$C$5</c:f>
              <c:strCache>
                <c:ptCount val="3"/>
                <c:pt idx="0">
                  <c:v>Net Profit Ratio </c:v>
                </c:pt>
                <c:pt idx="1">
                  <c:v>Return on Assets</c:v>
                </c:pt>
                <c:pt idx="2">
                  <c:v>Return on Equity</c:v>
                </c:pt>
              </c:strCache>
            </c:strRef>
          </c:cat>
          <c:val>
            <c:numRef>
              <c:f>'Graphs and Charts'!$F$3:$F$5</c:f>
              <c:numCache>
                <c:formatCode>0.00%</c:formatCode>
                <c:ptCount val="3"/>
                <c:pt idx="0">
                  <c:v>-0.27777777777777779</c:v>
                </c:pt>
                <c:pt idx="1">
                  <c:v>-0.10683760683760683</c:v>
                </c:pt>
                <c:pt idx="2">
                  <c:v>-0.36231884057971014</c:v>
                </c:pt>
              </c:numCache>
            </c:numRef>
          </c:val>
          <c:extLst>
            <c:ext xmlns:c16="http://schemas.microsoft.com/office/drawing/2014/chart" uri="{C3380CC4-5D6E-409C-BE32-E72D297353CC}">
              <c16:uniqueId val="{00000002-89D3-482E-8F98-EB49D07F9808}"/>
            </c:ext>
          </c:extLst>
        </c:ser>
        <c:dLbls>
          <c:dLblPos val="outEnd"/>
          <c:showLegendKey val="0"/>
          <c:showVal val="1"/>
          <c:showCatName val="0"/>
          <c:showSerName val="0"/>
          <c:showPercent val="0"/>
          <c:showBubbleSize val="0"/>
        </c:dLbls>
        <c:gapWidth val="100"/>
        <c:overlap val="-24"/>
        <c:axId val="474908128"/>
        <c:axId val="474914368"/>
      </c:barChart>
      <c:catAx>
        <c:axId val="4749081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474914368"/>
        <c:crosses val="autoZero"/>
        <c:auto val="1"/>
        <c:lblAlgn val="ctr"/>
        <c:lblOffset val="100"/>
        <c:noMultiLvlLbl val="0"/>
      </c:catAx>
      <c:valAx>
        <c:axId val="474914368"/>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474908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'Graphs and Charts'!$C$8</c:f>
              <c:strCache>
                <c:ptCount val="1"/>
                <c:pt idx="0">
                  <c:v>Current Ratios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'Graphs and Charts'!$D$7:$F$7</c:f>
              <c:numCache>
                <c:formatCode>General</c:formatCode>
                <c:ptCount val="3"/>
                <c:pt idx="0">
                  <c:v>2021</c:v>
                </c:pt>
                <c:pt idx="1">
                  <c:v>2022</c:v>
                </c:pt>
                <c:pt idx="2">
                  <c:v>2023</c:v>
                </c:pt>
              </c:numCache>
            </c:numRef>
          </c:cat>
          <c:val>
            <c:numRef>
              <c:f>'Graphs and Charts'!$D$8:$F$8</c:f>
              <c:numCache>
                <c:formatCode>_(* #,##0.00_);_(* \(#,##0.00\);_(* "-"??_);_(@_)</c:formatCode>
                <c:ptCount val="3"/>
                <c:pt idx="0">
                  <c:v>1.8</c:v>
                </c:pt>
                <c:pt idx="1">
                  <c:v>1.1111111111111112</c:v>
                </c:pt>
                <c:pt idx="2">
                  <c:v>0.6</c:v>
                </c:pt>
              </c:numCache>
            </c:numRef>
          </c:val>
          <c:extLst>
            <c:ext xmlns:c16="http://schemas.microsoft.com/office/drawing/2014/chart" uri="{C3380CC4-5D6E-409C-BE32-E72D297353CC}">
              <c16:uniqueId val="{00000000-DB18-49D7-BCF1-71A0534C0F00}"/>
            </c:ext>
          </c:extLst>
        </c:ser>
        <c:ser>
          <c:idx val="1"/>
          <c:order val="1"/>
          <c:tx>
            <c:strRef>
              <c:f>'Graphs and Charts'!$C$9</c:f>
              <c:strCache>
                <c:ptCount val="1"/>
                <c:pt idx="0">
                  <c:v>Quick Ratio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'Graphs and Charts'!$D$7:$F$7</c:f>
              <c:numCache>
                <c:formatCode>General</c:formatCode>
                <c:ptCount val="3"/>
                <c:pt idx="0">
                  <c:v>2021</c:v>
                </c:pt>
                <c:pt idx="1">
                  <c:v>2022</c:v>
                </c:pt>
                <c:pt idx="2">
                  <c:v>2023</c:v>
                </c:pt>
              </c:numCache>
            </c:numRef>
          </c:cat>
          <c:val>
            <c:numRef>
              <c:f>'Graphs and Charts'!$D$9:$F$9</c:f>
              <c:numCache>
                <c:formatCode>_(* #,##0.00_);_(* \(#,##0.00\);_(* "-"??_);_(@_)</c:formatCode>
                <c:ptCount val="3"/>
                <c:pt idx="0">
                  <c:v>1.2</c:v>
                </c:pt>
                <c:pt idx="1">
                  <c:v>0.7407407407407407</c:v>
                </c:pt>
                <c:pt idx="2">
                  <c:v>0.33333333333333331</c:v>
                </c:pt>
              </c:numCache>
            </c:numRef>
          </c:val>
          <c:extLst>
            <c:ext xmlns:c16="http://schemas.microsoft.com/office/drawing/2014/chart" uri="{C3380CC4-5D6E-409C-BE32-E72D297353CC}">
              <c16:uniqueId val="{00000001-DB18-49D7-BCF1-71A0534C0F00}"/>
            </c:ext>
          </c:extLst>
        </c:ser>
        <c:dLbls>
          <c:dLblPos val="inEnd"/>
          <c:showLegendKey val="0"/>
          <c:showVal val="1"/>
          <c:showCatName val="0"/>
          <c:showSerName val="0"/>
          <c:showPercent val="0"/>
          <c:showBubbleSize val="0"/>
        </c:dLbls>
        <c:gapWidth val="65"/>
        <c:axId val="473770144"/>
        <c:axId val="473769184"/>
      </c:barChart>
      <c:catAx>
        <c:axId val="4737701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473769184"/>
        <c:crosses val="autoZero"/>
        <c:auto val="1"/>
        <c:lblAlgn val="ctr"/>
        <c:lblOffset val="100"/>
        <c:noMultiLvlLbl val="0"/>
      </c:catAx>
      <c:valAx>
        <c:axId val="4737691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_(* #,##0.00_);_(* \(#,##0.00\);_(* &quot;-&quot;??_);_(@_)" sourceLinked="1"/>
        <c:majorTickMark val="none"/>
        <c:minorTickMark val="none"/>
        <c:tickLblPos val="nextTo"/>
        <c:crossAx val="47377014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Solvency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'Graphs and Charts'!$C$12</c:f>
              <c:strCache>
                <c:ptCount val="1"/>
                <c:pt idx="0">
                  <c:v>Debt to Asset Ratio</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'Graphs and Charts'!$D$11:$F$11</c:f>
              <c:numCache>
                <c:formatCode>General</c:formatCode>
                <c:ptCount val="3"/>
                <c:pt idx="0">
                  <c:v>2021</c:v>
                </c:pt>
                <c:pt idx="1">
                  <c:v>2022</c:v>
                </c:pt>
                <c:pt idx="2">
                  <c:v>2023</c:v>
                </c:pt>
              </c:numCache>
            </c:numRef>
          </c:cat>
          <c:val>
            <c:numRef>
              <c:f>'Graphs and Charts'!$D$12:$F$12</c:f>
              <c:numCache>
                <c:formatCode>0.00</c:formatCode>
                <c:ptCount val="3"/>
                <c:pt idx="0">
                  <c:v>0.59633027522935778</c:v>
                </c:pt>
                <c:pt idx="1">
                  <c:v>0.64117647058823535</c:v>
                </c:pt>
                <c:pt idx="2">
                  <c:v>0.70512820512820518</c:v>
                </c:pt>
              </c:numCache>
            </c:numRef>
          </c:val>
          <c:extLst>
            <c:ext xmlns:c16="http://schemas.microsoft.com/office/drawing/2014/chart" uri="{C3380CC4-5D6E-409C-BE32-E72D297353CC}">
              <c16:uniqueId val="{00000000-69B9-46F2-9D88-CFC7C3E032B4}"/>
            </c:ext>
          </c:extLst>
        </c:ser>
        <c:ser>
          <c:idx val="1"/>
          <c:order val="1"/>
          <c:tx>
            <c:strRef>
              <c:f>'Graphs and Charts'!$C$13</c:f>
              <c:strCache>
                <c:ptCount val="1"/>
                <c:pt idx="0">
                  <c:v>Equity Ratio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'Graphs and Charts'!$D$11:$F$11</c:f>
              <c:numCache>
                <c:formatCode>General</c:formatCode>
                <c:ptCount val="3"/>
                <c:pt idx="0">
                  <c:v>2021</c:v>
                </c:pt>
                <c:pt idx="1">
                  <c:v>2022</c:v>
                </c:pt>
                <c:pt idx="2">
                  <c:v>2023</c:v>
                </c:pt>
              </c:numCache>
            </c:numRef>
          </c:cat>
          <c:val>
            <c:numRef>
              <c:f>'Graphs and Charts'!$D$13:$F$13</c:f>
              <c:numCache>
                <c:formatCode>_(* #,##0.00_);_(* \(#,##0.00\);_(* "-"??_);_(@_)</c:formatCode>
                <c:ptCount val="3"/>
                <c:pt idx="0">
                  <c:v>0.40366972477064222</c:v>
                </c:pt>
                <c:pt idx="1">
                  <c:v>0.35882352941176471</c:v>
                </c:pt>
                <c:pt idx="2">
                  <c:v>0.29487179487179488</c:v>
                </c:pt>
              </c:numCache>
            </c:numRef>
          </c:val>
          <c:extLst>
            <c:ext xmlns:c16="http://schemas.microsoft.com/office/drawing/2014/chart" uri="{C3380CC4-5D6E-409C-BE32-E72D297353CC}">
              <c16:uniqueId val="{00000001-69B9-46F2-9D88-CFC7C3E032B4}"/>
            </c:ext>
          </c:extLst>
        </c:ser>
        <c:ser>
          <c:idx val="2"/>
          <c:order val="2"/>
          <c:tx>
            <c:strRef>
              <c:f>'Graphs and Charts'!$C$14</c:f>
              <c:strCache>
                <c:ptCount val="1"/>
                <c:pt idx="0">
                  <c:v>Debt-to-Equity Ratio</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'Graphs and Charts'!$D$11:$F$11</c:f>
              <c:numCache>
                <c:formatCode>General</c:formatCode>
                <c:ptCount val="3"/>
                <c:pt idx="0">
                  <c:v>2021</c:v>
                </c:pt>
                <c:pt idx="1">
                  <c:v>2022</c:v>
                </c:pt>
                <c:pt idx="2">
                  <c:v>2023</c:v>
                </c:pt>
              </c:numCache>
            </c:numRef>
          </c:cat>
          <c:val>
            <c:numRef>
              <c:f>'Graphs and Charts'!$D$14:$F$14</c:f>
              <c:numCache>
                <c:formatCode>_(* #,##0.00_);_(* \(#,##0.00\);_(* "-"??_);_(@_)</c:formatCode>
                <c:ptCount val="3"/>
                <c:pt idx="0">
                  <c:v>1.4772727272727273</c:v>
                </c:pt>
                <c:pt idx="1">
                  <c:v>1.7868852459016393</c:v>
                </c:pt>
                <c:pt idx="2">
                  <c:v>2.3913043478260869</c:v>
                </c:pt>
              </c:numCache>
            </c:numRef>
          </c:val>
          <c:extLst>
            <c:ext xmlns:c16="http://schemas.microsoft.com/office/drawing/2014/chart" uri="{C3380CC4-5D6E-409C-BE32-E72D297353CC}">
              <c16:uniqueId val="{00000002-69B9-46F2-9D88-CFC7C3E032B4}"/>
            </c:ext>
          </c:extLst>
        </c:ser>
        <c:dLbls>
          <c:dLblPos val="inEnd"/>
          <c:showLegendKey val="0"/>
          <c:showVal val="1"/>
          <c:showCatName val="0"/>
          <c:showSerName val="0"/>
          <c:showPercent val="0"/>
          <c:showBubbleSize val="0"/>
        </c:dLbls>
        <c:gapWidth val="65"/>
        <c:axId val="474918688"/>
        <c:axId val="474916768"/>
      </c:barChart>
      <c:catAx>
        <c:axId val="4749186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474916768"/>
        <c:crosses val="autoZero"/>
        <c:auto val="1"/>
        <c:lblAlgn val="ctr"/>
        <c:lblOffset val="100"/>
        <c:noMultiLvlLbl val="0"/>
      </c:catAx>
      <c:valAx>
        <c:axId val="4749167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4749186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o-RO"/>
        </a:p>
      </c:txPr>
    </c:title>
    <c:autoTitleDeleted val="0"/>
    <c:plotArea>
      <c:layout/>
      <c:barChart>
        <c:barDir val="col"/>
        <c:grouping val="clustered"/>
        <c:varyColors val="0"/>
        <c:ser>
          <c:idx val="0"/>
          <c:order val="0"/>
          <c:tx>
            <c:strRef>
              <c:f>'Graphs and Charts'!$C$17</c:f>
              <c:strCache>
                <c:ptCount val="1"/>
                <c:pt idx="0">
                  <c:v>Asset Turnover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'Graphs and Charts'!$D$16:$F$16</c:f>
              <c:numCache>
                <c:formatCode>General</c:formatCode>
                <c:ptCount val="3"/>
                <c:pt idx="0">
                  <c:v>2021</c:v>
                </c:pt>
                <c:pt idx="1">
                  <c:v>2022</c:v>
                </c:pt>
                <c:pt idx="2">
                  <c:v>2023</c:v>
                </c:pt>
              </c:numCache>
            </c:numRef>
          </c:cat>
          <c:val>
            <c:numRef>
              <c:f>'Graphs and Charts'!$D$17:$F$17</c:f>
              <c:numCache>
                <c:formatCode>_(* #,##0.00_);_(* \(#,##0.00\);_(* "-"??_);_(@_)</c:formatCode>
                <c:ptCount val="3"/>
                <c:pt idx="0">
                  <c:v>0.45871559633027525</c:v>
                </c:pt>
                <c:pt idx="1">
                  <c:v>0.43137254901960786</c:v>
                </c:pt>
                <c:pt idx="2">
                  <c:v>0.38461538461538464</c:v>
                </c:pt>
              </c:numCache>
            </c:numRef>
          </c:val>
          <c:extLst>
            <c:ext xmlns:c16="http://schemas.microsoft.com/office/drawing/2014/chart" uri="{C3380CC4-5D6E-409C-BE32-E72D297353CC}">
              <c16:uniqueId val="{00000000-DAA9-4577-B8E2-A3B837352FBD}"/>
            </c:ext>
          </c:extLst>
        </c:ser>
        <c:ser>
          <c:idx val="1"/>
          <c:order val="1"/>
          <c:tx>
            <c:strRef>
              <c:f>'Graphs and Charts'!$C$18</c:f>
              <c:strCache>
                <c:ptCount val="1"/>
                <c:pt idx="0">
                  <c:v>Receivables Turnover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'Graphs and Charts'!$D$16:$F$16</c:f>
              <c:numCache>
                <c:formatCode>General</c:formatCode>
                <c:ptCount val="3"/>
                <c:pt idx="0">
                  <c:v>2021</c:v>
                </c:pt>
                <c:pt idx="1">
                  <c:v>2022</c:v>
                </c:pt>
                <c:pt idx="2">
                  <c:v>2023</c:v>
                </c:pt>
              </c:numCache>
            </c:numRef>
          </c:cat>
          <c:val>
            <c:numRef>
              <c:f>'Graphs and Charts'!$D$18:$F$18</c:f>
              <c:numCache>
                <c:formatCode>_(* #,##0.00_);_(* \(#,##0.00\);_(* "-"??_);_(@_)</c:formatCode>
                <c:ptCount val="3"/>
                <c:pt idx="0">
                  <c:v>16.666666666666668</c:v>
                </c:pt>
                <c:pt idx="1">
                  <c:v>22</c:v>
                </c:pt>
                <c:pt idx="2">
                  <c:v>22.5</c:v>
                </c:pt>
              </c:numCache>
            </c:numRef>
          </c:val>
          <c:extLst>
            <c:ext xmlns:c16="http://schemas.microsoft.com/office/drawing/2014/chart" uri="{C3380CC4-5D6E-409C-BE32-E72D297353CC}">
              <c16:uniqueId val="{00000001-DAA9-4577-B8E2-A3B837352FBD}"/>
            </c:ext>
          </c:extLst>
        </c:ser>
        <c:dLbls>
          <c:dLblPos val="inEnd"/>
          <c:showLegendKey val="0"/>
          <c:showVal val="1"/>
          <c:showCatName val="0"/>
          <c:showSerName val="0"/>
          <c:showPercent val="0"/>
          <c:showBubbleSize val="0"/>
        </c:dLbls>
        <c:gapWidth val="100"/>
        <c:overlap val="-24"/>
        <c:axId val="612103568"/>
        <c:axId val="612093008"/>
      </c:barChart>
      <c:catAx>
        <c:axId val="6121035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612093008"/>
        <c:crosses val="autoZero"/>
        <c:auto val="1"/>
        <c:lblAlgn val="ctr"/>
        <c:lblOffset val="100"/>
        <c:noMultiLvlLbl val="0"/>
      </c:catAx>
      <c:valAx>
        <c:axId val="612093008"/>
        <c:scaling>
          <c:orientation val="minMax"/>
        </c:scaling>
        <c:delete val="0"/>
        <c:axPos val="l"/>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612103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o-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Trend Analysis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'Income Statement Analysis'!$M$4</c:f>
              <c:strCache>
                <c:ptCount val="1"/>
                <c:pt idx="0">
                  <c:v>Revenue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'Income Statement Analysis'!$N$2:$P$3</c:f>
              <c:strCache>
                <c:ptCount val="3"/>
                <c:pt idx="0">
                  <c:v>2021</c:v>
                </c:pt>
                <c:pt idx="1">
                  <c:v>2022</c:v>
                </c:pt>
                <c:pt idx="2">
                  <c:v>2023</c:v>
                </c:pt>
              </c:strCache>
            </c:strRef>
          </c:cat>
          <c:val>
            <c:numRef>
              <c:f>'Income Statement Analysis'!$N$4:$P$4</c:f>
              <c:numCache>
                <c:formatCode>General</c:formatCode>
                <c:ptCount val="3"/>
                <c:pt idx="0">
                  <c:v>2500000</c:v>
                </c:pt>
                <c:pt idx="1">
                  <c:v>2200000</c:v>
                </c:pt>
                <c:pt idx="2">
                  <c:v>1800000</c:v>
                </c:pt>
              </c:numCache>
            </c:numRef>
          </c:val>
          <c:extLst>
            <c:ext xmlns:c16="http://schemas.microsoft.com/office/drawing/2014/chart" uri="{C3380CC4-5D6E-409C-BE32-E72D297353CC}">
              <c16:uniqueId val="{00000000-D877-4064-8894-0ED3FF72250E}"/>
            </c:ext>
          </c:extLst>
        </c:ser>
        <c:ser>
          <c:idx val="1"/>
          <c:order val="1"/>
          <c:tx>
            <c:strRef>
              <c:f>'Income Statement Analysis'!$M$5</c:f>
              <c:strCache>
                <c:ptCount val="1"/>
                <c:pt idx="0">
                  <c:v>Operating Expenses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'Income Statement Analysis'!$N$2:$P$3</c:f>
              <c:strCache>
                <c:ptCount val="3"/>
                <c:pt idx="0">
                  <c:v>2021</c:v>
                </c:pt>
                <c:pt idx="1">
                  <c:v>2022</c:v>
                </c:pt>
                <c:pt idx="2">
                  <c:v>2023</c:v>
                </c:pt>
              </c:strCache>
            </c:strRef>
          </c:cat>
          <c:val>
            <c:numRef>
              <c:f>'Income Statement Analysis'!$N$5:$P$5</c:f>
              <c:numCache>
                <c:formatCode>General</c:formatCode>
                <c:ptCount val="3"/>
                <c:pt idx="0">
                  <c:v>1800000</c:v>
                </c:pt>
                <c:pt idx="1">
                  <c:v>2000000</c:v>
                </c:pt>
                <c:pt idx="2">
                  <c:v>2300000</c:v>
                </c:pt>
              </c:numCache>
            </c:numRef>
          </c:val>
          <c:extLst>
            <c:ext xmlns:c16="http://schemas.microsoft.com/office/drawing/2014/chart" uri="{C3380CC4-5D6E-409C-BE32-E72D297353CC}">
              <c16:uniqueId val="{00000001-D877-4064-8894-0ED3FF72250E}"/>
            </c:ext>
          </c:extLst>
        </c:ser>
        <c:ser>
          <c:idx val="2"/>
          <c:order val="2"/>
          <c:tx>
            <c:strRef>
              <c:f>'Income Statement Analysis'!$M$6</c:f>
              <c:strCache>
                <c:ptCount val="1"/>
                <c:pt idx="0">
                  <c:v>Net Income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'Income Statement Analysis'!$N$2:$P$3</c:f>
              <c:strCache>
                <c:ptCount val="3"/>
                <c:pt idx="0">
                  <c:v>2021</c:v>
                </c:pt>
                <c:pt idx="1">
                  <c:v>2022</c:v>
                </c:pt>
                <c:pt idx="2">
                  <c:v>2023</c:v>
                </c:pt>
              </c:strCache>
            </c:strRef>
          </c:cat>
          <c:val>
            <c:numRef>
              <c:f>'Income Statement Analysis'!$N$6:$P$6</c:f>
              <c:numCache>
                <c:formatCode>General</c:formatCode>
                <c:ptCount val="3"/>
                <c:pt idx="0">
                  <c:v>700000</c:v>
                </c:pt>
                <c:pt idx="1">
                  <c:v>200000</c:v>
                </c:pt>
                <c:pt idx="2">
                  <c:v>-500000</c:v>
                </c:pt>
              </c:numCache>
            </c:numRef>
          </c:val>
          <c:extLst>
            <c:ext xmlns:c16="http://schemas.microsoft.com/office/drawing/2014/chart" uri="{C3380CC4-5D6E-409C-BE32-E72D297353CC}">
              <c16:uniqueId val="{00000002-D877-4064-8894-0ED3FF72250E}"/>
            </c:ext>
          </c:extLst>
        </c:ser>
        <c:dLbls>
          <c:dLblPos val="inEnd"/>
          <c:showLegendKey val="0"/>
          <c:showVal val="1"/>
          <c:showCatName val="0"/>
          <c:showSerName val="0"/>
          <c:showPercent val="0"/>
          <c:showBubbleSize val="0"/>
        </c:dLbls>
        <c:gapWidth val="65"/>
        <c:axId val="475305232"/>
        <c:axId val="475305712"/>
      </c:barChart>
      <c:catAx>
        <c:axId val="4753052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475305712"/>
        <c:crosses val="autoZero"/>
        <c:auto val="1"/>
        <c:lblAlgn val="ctr"/>
        <c:lblOffset val="100"/>
        <c:noMultiLvlLbl val="0"/>
      </c:catAx>
      <c:valAx>
        <c:axId val="475305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7530523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4AADB-04BB-42D9-8F2C-47CE8BA53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2462</Words>
  <Characters>14285</Characters>
  <Application>Microsoft Office Word</Application>
  <DocSecurity>0</DocSecurity>
  <Lines>119</Lines>
  <Paragraphs>33</Paragraphs>
  <ScaleCrop>false</ScaleCrop>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7</cp:revision>
  <dcterms:created xsi:type="dcterms:W3CDTF">2024-05-15T15:33:00Z</dcterms:created>
  <dcterms:modified xsi:type="dcterms:W3CDTF">2024-05-20T16:24:00Z</dcterms:modified>
</cp:coreProperties>
</file>