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100"/>
          <w:szCs w:val="100"/>
        </w:rPr>
      </w:pPr>
    </w:p>
    <w:p>
      <w:pPr>
        <w:pStyle w:val="Body"/>
        <w:jc w:val="center"/>
        <w:rPr>
          <w:sz w:val="100"/>
          <w:szCs w:val="100"/>
        </w:rPr>
      </w:pPr>
    </w:p>
    <w:p>
      <w:pPr>
        <w:pStyle w:val="Body"/>
        <w:jc w:val="center"/>
        <w:rPr>
          <w:sz w:val="100"/>
          <w:szCs w:val="100"/>
        </w:rPr>
      </w:pPr>
    </w:p>
    <w:p>
      <w:pPr>
        <w:pStyle w:val="Body"/>
        <w:jc w:val="center"/>
        <w:rPr>
          <w:rFonts w:ascii="Arial" w:cs="Arial" w:hAnsi="Arial" w:eastAsia="Arial"/>
          <w:sz w:val="96"/>
          <w:szCs w:val="96"/>
        </w:rPr>
      </w:pPr>
      <w:r>
        <w:rPr>
          <w:rFonts w:ascii="Arial" w:hAnsi="Arial"/>
          <w:sz w:val="96"/>
          <w:szCs w:val="96"/>
          <w:rtl w:val="0"/>
          <w:lang w:val="en-US"/>
        </w:rPr>
        <w:t>Driving Performance for Senior Managers</w:t>
      </w:r>
    </w:p>
    <w:p>
      <w:pPr>
        <w:pStyle w:val="Body"/>
        <w:jc w:val="center"/>
        <w:rPr>
          <w:rFonts w:ascii="Arial" w:cs="Arial" w:hAnsi="Arial" w:eastAsia="Arial"/>
          <w:sz w:val="100"/>
          <w:szCs w:val="100"/>
        </w:rPr>
      </w:pPr>
    </w:p>
    <w:p>
      <w:pPr>
        <w:pStyle w:val="Body"/>
        <w:jc w:val="center"/>
        <w:rPr>
          <w:rFonts w:ascii="Arial" w:cs="Arial" w:hAnsi="Arial" w:eastAsia="Arial"/>
          <w:sz w:val="72"/>
          <w:szCs w:val="72"/>
        </w:rPr>
      </w:pPr>
      <w:r>
        <w:rPr>
          <w:rFonts w:ascii="Arial" w:hAnsi="Arial"/>
          <w:sz w:val="72"/>
          <w:szCs w:val="72"/>
          <w:rtl w:val="0"/>
          <w:lang w:val="en-US"/>
        </w:rPr>
        <w:t>Lunchtime Learning Sessions</w:t>
      </w:r>
    </w:p>
    <w:p>
      <w:pPr>
        <w:pStyle w:val="Body"/>
        <w:jc w:val="center"/>
        <w:rPr>
          <w:rFonts w:ascii="Arial" w:cs="Arial" w:hAnsi="Arial" w:eastAsia="Arial"/>
        </w:rPr>
      </w:pPr>
    </w:p>
    <w:p>
      <w:pPr>
        <w:pStyle w:val="Body"/>
        <w:jc w:val="center"/>
        <w:rPr>
          <w:rFonts w:ascii="Arial" w:cs="Arial" w:hAnsi="Arial" w:eastAsia="Arial"/>
          <w:sz w:val="72"/>
          <w:szCs w:val="72"/>
        </w:rPr>
      </w:pPr>
      <w:r>
        <w:rPr>
          <w:rFonts w:ascii="Arial" w:hAnsi="Arial"/>
          <w:sz w:val="72"/>
          <w:szCs w:val="72"/>
          <w:rtl w:val="0"/>
          <w:lang w:val="en-US"/>
        </w:rPr>
        <w:t>Facilitation Guide</w:t>
      </w:r>
    </w:p>
    <w:p>
      <w:pPr>
        <w:pStyle w:val="Body"/>
        <w:jc w:val="center"/>
        <w:rPr>
          <w:i w:val="1"/>
          <w:iCs w:val="1"/>
          <w:u w:val="single"/>
        </w:rPr>
      </w:pPr>
    </w:p>
    <w:p>
      <w:pPr>
        <w:pStyle w:val="Body"/>
        <w:rPr>
          <w:i w:val="1"/>
          <w:iCs w:val="1"/>
          <w:u w:val="single"/>
        </w:rPr>
      </w:pPr>
    </w:p>
    <w:p>
      <w:pPr>
        <w:pStyle w:val="Body"/>
        <w:rPr>
          <w:rFonts w:ascii="Arial" w:cs="Arial" w:hAnsi="Arial" w:eastAsia="Arial"/>
          <w:sz w:val="24"/>
          <w:szCs w:val="24"/>
        </w:rPr>
      </w:pPr>
    </w:p>
    <w:p>
      <w:pPr>
        <w:pStyle w:val="Body"/>
        <w:jc w:val="center"/>
        <w:rPr>
          <w:rFonts w:ascii="Arial" w:cs="Arial" w:hAnsi="Arial" w:eastAsia="Arial"/>
          <w:sz w:val="24"/>
          <w:szCs w:val="24"/>
        </w:rPr>
      </w:pPr>
      <w:r>
        <w:rPr>
          <w:rFonts w:ascii="Arial" w:hAnsi="Arial"/>
          <w:sz w:val="24"/>
          <w:szCs w:val="24"/>
          <w:rtl w:val="0"/>
          <w:lang w:val="en-US"/>
        </w:rPr>
        <w:t>Word Count:</w:t>
      </w:r>
    </w:p>
    <w:p>
      <w:pPr>
        <w:pStyle w:val="Body"/>
        <w:jc w:val="center"/>
        <w:rPr>
          <w:rFonts w:ascii="Arial" w:cs="Arial" w:hAnsi="Arial" w:eastAsia="Arial"/>
          <w:sz w:val="24"/>
          <w:szCs w:val="24"/>
        </w:rPr>
      </w:pPr>
      <w:r>
        <w:rPr>
          <w:rFonts w:ascii="Arial" w:hAnsi="Arial"/>
          <w:sz w:val="24"/>
          <w:szCs w:val="24"/>
          <w:rtl w:val="0"/>
          <w:lang w:val="en-US"/>
        </w:rPr>
        <w:t>Task 1: 3390 words</w:t>
      </w:r>
    </w:p>
    <w:p>
      <w:pPr>
        <w:pStyle w:val="Body"/>
        <w:jc w:val="center"/>
        <w:rPr>
          <w:rFonts w:ascii="Arial" w:cs="Arial" w:hAnsi="Arial" w:eastAsia="Arial"/>
          <w:sz w:val="24"/>
          <w:szCs w:val="24"/>
        </w:rPr>
      </w:pPr>
      <w:r>
        <w:rPr>
          <w:rFonts w:ascii="Arial" w:hAnsi="Arial"/>
          <w:sz w:val="24"/>
          <w:szCs w:val="24"/>
          <w:rtl w:val="0"/>
          <w:lang w:val="en-US"/>
        </w:rPr>
        <w:t>Task 2: 1254 words</w:t>
      </w:r>
    </w:p>
    <w:p>
      <w:pPr>
        <w:pStyle w:val="Body"/>
        <w:jc w:val="center"/>
        <w:rPr>
          <w:i w:val="1"/>
          <w:iCs w:val="1"/>
          <w:u w:val="single"/>
        </w:rPr>
      </w:pPr>
    </w:p>
    <w:p>
      <w:pPr>
        <w:pStyle w:val="Body"/>
        <w:jc w:val="center"/>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rPr>
          <w:i w:val="1"/>
          <w:iCs w:val="1"/>
          <w:u w:val="single"/>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Session 1 - Managing Performance</w:t>
      </w:r>
    </w:p>
    <w:p>
      <w:pPr>
        <w:pStyle w:val="Body"/>
        <w:jc w:val="both"/>
        <w:rPr>
          <w:rFonts w:ascii="Arial" w:cs="Arial" w:hAnsi="Arial" w:eastAsia="Arial"/>
          <w:sz w:val="24"/>
          <w:szCs w:val="24"/>
        </w:rPr>
      </w:pPr>
    </w:p>
    <w:p>
      <w:pPr>
        <w:pStyle w:val="Body"/>
        <w:jc w:val="both"/>
        <w:rPr>
          <w:rFonts w:ascii="Arial" w:cs="Arial" w:hAnsi="Arial" w:eastAsia="Arial"/>
          <w:sz w:val="24"/>
          <w:szCs w:val="24"/>
          <w:u w:val="single"/>
        </w:rPr>
      </w:pPr>
      <w:r>
        <w:rPr>
          <w:rFonts w:ascii="Arial" w:hAnsi="Arial"/>
          <w:sz w:val="24"/>
          <w:szCs w:val="24"/>
          <w:u w:val="single"/>
          <w:rtl w:val="0"/>
          <w:lang w:val="en-US"/>
        </w:rPr>
        <w:t>Delivery Notes</w:t>
      </w:r>
    </w:p>
    <w:p>
      <w:pPr>
        <w:pStyle w:val="Body"/>
        <w:jc w:val="both"/>
        <w:rPr>
          <w:rFonts w:ascii="Arial" w:cs="Arial" w:hAnsi="Arial" w:eastAsia="Arial"/>
          <w:sz w:val="24"/>
          <w:szCs w:val="24"/>
          <w:u w:val="single"/>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4"/>
        <w:gridCol w:w="8368"/>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1</w:t>
            </w:r>
          </w:p>
        </w:tc>
      </w:tr>
      <w:tr>
        <w:tblPrEx>
          <w:shd w:val="clear" w:color="auto" w:fill="auto"/>
        </w:tblPrEx>
        <w:trPr>
          <w:trHeight w:val="4651" w:hRule="atLeast"/>
        </w:trPr>
        <w:tc>
          <w:tcPr>
            <w:tcW w:type="dxa" w:w="24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tc>
        <w:tc>
          <w:tcPr>
            <w:tcW w:type="dxa" w:w="836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d7d9dc"/>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8053" cy="295352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5-05-01 at 15.52.22.png"/>
                          <pic:cNvPicPr>
                            <a:picLocks noChangeAspect="0"/>
                          </pic:cNvPicPr>
                        </pic:nvPicPr>
                        <pic:blipFill>
                          <a:blip r:embed="rId4">
                            <a:extLst/>
                          </a:blip>
                          <a:srcRect l="0" t="0" r="0" b="0"/>
                          <a:stretch>
                            <a:fillRect/>
                          </a:stretch>
                        </pic:blipFill>
                        <pic:spPr>
                          <a:xfrm>
                            <a:off x="0" y="0"/>
                            <a:ext cx="5238053" cy="2953522"/>
                          </a:xfrm>
                          <a:prstGeom prst="rect">
                            <a:avLst/>
                          </a:prstGeom>
                        </pic:spPr>
                      </pic:pic>
                    </a:graphicData>
                  </a:graphic>
                </wp:inline>
              </w:drawing>
            </w:r>
          </w:p>
        </w:tc>
      </w:tr>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bl>
    <w:p>
      <w:pPr>
        <w:pStyle w:val="Body"/>
        <w:jc w:val="both"/>
        <w:rPr>
          <w:rFonts w:ascii="Arial" w:cs="Arial" w:hAnsi="Arial" w:eastAsia="Arial"/>
          <w:sz w:val="24"/>
          <w:szCs w:val="24"/>
        </w:rPr>
      </w:pPr>
    </w:p>
    <w:p>
      <w:pPr>
        <w:pStyle w:val="Body"/>
        <w:jc w:val="both"/>
        <w:rPr>
          <w:rFonts w:ascii="Arial" w:cs="Arial" w:hAnsi="Arial" w:eastAsia="Arial"/>
          <w:sz w:val="24"/>
          <w:szCs w:val="24"/>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96"/>
        <w:gridCol w:w="8376"/>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2</w:t>
            </w:r>
          </w:p>
        </w:tc>
      </w:tr>
      <w:tr>
        <w:tblPrEx>
          <w:shd w:val="clear" w:color="auto" w:fill="auto"/>
        </w:tblPrEx>
        <w:trPr>
          <w:trHeight w:val="4651" w:hRule="atLeast"/>
        </w:trPr>
        <w:tc>
          <w:tcPr>
            <w:tcW w:type="dxa" w:w="239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3minutes</w:t>
            </w:r>
          </w:p>
        </w:tc>
        <w:tc>
          <w:tcPr>
            <w:tcW w:type="dxa" w:w="837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f90ac"/>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14591" cy="2953522"/>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5-05-04 at 15.57.19.png"/>
                          <pic:cNvPicPr>
                            <a:picLocks noChangeAspect="0"/>
                          </pic:cNvPicPr>
                        </pic:nvPicPr>
                        <pic:blipFill>
                          <a:blip r:embed="rId5">
                            <a:extLst/>
                          </a:blip>
                          <a:srcRect l="0" t="0" r="0" b="0"/>
                          <a:stretch>
                            <a:fillRect/>
                          </a:stretch>
                        </pic:blipFill>
                        <pic:spPr>
                          <a:xfrm>
                            <a:off x="0" y="0"/>
                            <a:ext cx="5214591" cy="2953522"/>
                          </a:xfrm>
                          <a:prstGeom prst="rect">
                            <a:avLst/>
                          </a:prstGeom>
                        </pic:spPr>
                      </pic:pic>
                    </a:graphicData>
                  </a:graphic>
                </wp:inline>
              </w:drawing>
            </w:r>
          </w:p>
        </w:tc>
      </w:tr>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pPr>
            <w:r>
              <w:rPr>
                <w:rFonts w:ascii="Arial" w:hAnsi="Arial"/>
                <w:rtl w:val="0"/>
                <w14:textOutline w14:w="12700" w14:cap="flat">
                  <w14:noFill/>
                  <w14:miter w14:lim="400000"/>
                </w14:textOutline>
              </w:rPr>
              <w:t>Welcome the co-hort and introduce the session by reading the slide.</w:t>
            </w:r>
          </w:p>
        </w:tc>
      </w:tr>
    </w:tbl>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p>
      <w:pPr>
        <w:pStyle w:val="Body"/>
        <w:jc w:val="both"/>
        <w:rPr>
          <w:rFonts w:ascii="Arial" w:cs="Arial" w:hAnsi="Arial" w:eastAsia="Arial"/>
          <w:sz w:val="24"/>
          <w:szCs w:val="24"/>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12"/>
        <w:gridCol w:w="8360"/>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3</w:t>
            </w:r>
          </w:p>
        </w:tc>
      </w:tr>
      <w:tr>
        <w:tblPrEx>
          <w:shd w:val="clear" w:color="auto" w:fill="auto"/>
        </w:tblPrEx>
        <w:trPr>
          <w:trHeight w:val="4651" w:hRule="atLeast"/>
        </w:trPr>
        <w:tc>
          <w:tcPr>
            <w:tcW w:type="dxa" w:w="241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5minutes</w:t>
            </w:r>
          </w:p>
        </w:tc>
        <w:tc>
          <w:tcPr>
            <w:tcW w:type="dxa" w:w="835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0acc5"/>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75555" cy="2953522"/>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5-05-05 at 15.45.59.png"/>
                          <pic:cNvPicPr>
                            <a:picLocks noChangeAspect="0"/>
                          </pic:cNvPicPr>
                        </pic:nvPicPr>
                        <pic:blipFill>
                          <a:blip r:embed="rId6">
                            <a:extLst/>
                          </a:blip>
                          <a:srcRect l="0" t="0" r="0" b="0"/>
                          <a:stretch>
                            <a:fillRect/>
                          </a:stretch>
                        </pic:blipFill>
                        <pic:spPr>
                          <a:xfrm>
                            <a:off x="0" y="0"/>
                            <a:ext cx="5275555" cy="2953522"/>
                          </a:xfrm>
                          <a:prstGeom prst="rect">
                            <a:avLst/>
                          </a:prstGeom>
                        </pic:spPr>
                      </pic:pic>
                    </a:graphicData>
                  </a:graphic>
                </wp:inline>
              </w:drawing>
            </w:r>
          </w:p>
        </w:tc>
      </w:tr>
      <w:tr>
        <w:tblPrEx>
          <w:shd w:val="clear" w:color="auto" w:fill="auto"/>
        </w:tblPrEx>
        <w:trPr>
          <w:trHeight w:val="1959"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numPr>
                <w:ilvl w:val="0"/>
                <w:numId w:val="1"/>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E</w:t>
            </w:r>
            <w:r>
              <w:rPr>
                <w:rFonts w:ascii="Arial" w:hAnsi="Arial"/>
                <w:rtl w:val="0"/>
                <w:lang w:val="en-US"/>
                <w14:textOutline w14:w="12700" w14:cap="flat">
                  <w14:noFill/>
                  <w14:miter w14:lim="400000"/>
                </w14:textOutline>
              </w:rPr>
              <w:t xml:space="preserve">nsures that employees perform to the best of their ability and in line with Company expectations and its strategic direction. Employees have a role within the organisation and this should be clearly laid </w:t>
            </w:r>
            <w:r>
              <w:rPr>
                <w:rFonts w:ascii="Arial" w:hAnsi="Arial"/>
                <w:rtl w:val="0"/>
                <w:lang w:val="en-US"/>
                <w14:textOutline w14:w="12700" w14:cap="flat">
                  <w14:noFill/>
                  <w14:miter w14:lim="400000"/>
                </w14:textOutline>
              </w:rPr>
              <w:t>out</w:t>
            </w:r>
            <w:r>
              <w:rPr>
                <w:rFonts w:ascii="Arial" w:hAnsi="Arial"/>
                <w:rtl w:val="0"/>
                <w:lang w:val="en-US"/>
                <w14:textOutline w14:w="12700" w14:cap="flat">
                  <w14:noFill/>
                  <w14:miter w14:lim="400000"/>
                </w14:textOutline>
              </w:rPr>
              <w:t xml:space="preserve"> to ensure transparency. The approach is not singular, but collective across the business (CIPD, 2025</w:t>
            </w:r>
            <w:r>
              <w:rPr>
                <w:rFonts w:ascii="Arial" w:hAnsi="Arial"/>
                <w:rtl w:val="0"/>
                <w:lang w:val="en-US"/>
                <w14:textOutline w14:w="12700" w14:cap="flat">
                  <w14:noFill/>
                  <w14:miter w14:lim="400000"/>
                </w14:textOutline>
              </w:rPr>
              <w:t>c</w:t>
            </w:r>
            <w:r>
              <w:rPr>
                <w:rFonts w:ascii="Arial" w:hAnsi="Arial"/>
                <w:rtl w:val="0"/>
                <w14:textOutline w14:w="12700" w14:cap="flat">
                  <w14:noFill/>
                  <w14:miter w14:lim="400000"/>
                </w14:textOutline>
              </w:rPr>
              <w:t>).</w:t>
            </w:r>
          </w:p>
          <w:p>
            <w:pPr>
              <w:pStyle w:val="Default"/>
              <w:numPr>
                <w:ilvl w:val="0"/>
                <w:numId w:val="1"/>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Can be seen</w:t>
            </w:r>
            <w:r>
              <w:rPr>
                <w:rFonts w:ascii="Arial" w:hAnsi="Arial"/>
                <w:rtl w:val="0"/>
                <w:lang w:val="it-IT"/>
                <w14:textOutline w14:w="12700" w14:cap="flat">
                  <w14:noFill/>
                  <w14:miter w14:lim="400000"/>
                </w14:textOutline>
              </w:rPr>
              <w:t xml:space="preserve"> negati</w:t>
            </w:r>
            <w:r>
              <w:rPr>
                <w:rFonts w:ascii="Arial" w:hAnsi="Arial"/>
                <w:rtl w:val="0"/>
                <w:lang w:val="en-US"/>
                <w14:textOutline w14:w="12700" w14:cap="flat">
                  <w14:noFill/>
                  <w14:miter w14:lim="400000"/>
                </w14:textOutline>
              </w:rPr>
              <w:t>vely as it has been</w:t>
            </w:r>
            <w:r>
              <w:rPr>
                <w:rFonts w:ascii="Arial" w:hAnsi="Arial"/>
                <w:rtl w:val="0"/>
                <w14:textOutline w14:w="12700" w14:cap="flat">
                  <w14:noFill/>
                  <w14:miter w14:lim="400000"/>
                </w14:textOutline>
              </w:rPr>
              <w:t xml:space="preserve"> </w:t>
            </w:r>
            <w:r>
              <w:rPr>
                <w:rFonts w:ascii="Arial" w:hAnsi="Arial"/>
                <w:rtl w:val="0"/>
                <w:lang w:val="en-US"/>
                <w14:textOutline w14:w="12700" w14:cap="flat">
                  <w14:noFill/>
                  <w14:miter w14:lim="400000"/>
                </w14:textOutline>
              </w:rPr>
              <w:t xml:space="preserve">associated with </w:t>
            </w:r>
            <w:r>
              <w:rPr>
                <w:rFonts w:ascii="Arial" w:hAnsi="Arial"/>
                <w:rtl w:val="0"/>
                <w:lang w:val="en-US"/>
                <w14:textOutline w14:w="12700" w14:cap="flat">
                  <w14:noFill/>
                  <w14:miter w14:lim="400000"/>
                </w14:textOutline>
              </w:rPr>
              <w:t xml:space="preserve">dismissal. Many factors can influence this, such as culture, but the overarching aim is to </w:t>
            </w:r>
            <w:r>
              <w:rPr>
                <w:rFonts w:ascii="Arial" w:hAnsi="Arial"/>
                <w:rtl w:val="0"/>
                <w:lang w:val="en-US"/>
                <w14:textOutline w14:w="12700" w14:cap="flat">
                  <w14:noFill/>
                  <w14:miter w14:lim="400000"/>
                </w14:textOutline>
              </w:rPr>
              <w:t xml:space="preserve">positively </w:t>
            </w:r>
            <w:r>
              <w:rPr>
                <w:rFonts w:ascii="Arial" w:hAnsi="Arial"/>
                <w:rtl w:val="0"/>
                <w:lang w:val="en-US"/>
                <w14:textOutline w14:w="12700" w14:cap="flat">
                  <w14:noFill/>
                  <w14:miter w14:lim="400000"/>
                </w14:textOutline>
              </w:rPr>
              <w:t>manage and support the colleague</w:t>
            </w:r>
            <w:r>
              <w:rPr>
                <w:rFonts w:ascii="Arial" w:hAnsi="Arial" w:hint="default"/>
                <w:rtl w:val="1"/>
                <w14:textOutline w14:w="12700" w14:cap="flat">
                  <w14:noFill/>
                  <w14:miter w14:lim="400000"/>
                </w14:textOutline>
              </w:rPr>
              <w:t>’</w:t>
            </w:r>
            <w:r>
              <w:rPr>
                <w:rFonts w:ascii="Arial" w:hAnsi="Arial"/>
                <w:rtl w:val="0"/>
                <w:lang w:val="en-US"/>
                <w14:textOutline w14:w="12700" w14:cap="flat">
                  <w14:noFill/>
                  <w14:miter w14:lim="400000"/>
                </w14:textOutline>
              </w:rPr>
              <w:t>s performance</w:t>
            </w:r>
            <w:r>
              <w:rPr>
                <w:rFonts w:ascii="Arial" w:hAnsi="Arial"/>
                <w:rtl w:val="0"/>
                <w:lang w:val="en-US"/>
                <w14:textOutline w14:w="12700" w14:cap="flat">
                  <w14:noFill/>
                  <w14:miter w14:lim="400000"/>
                </w14:textOutline>
              </w:rPr>
              <w:t xml:space="preserve"> </w:t>
            </w:r>
            <w:r>
              <w:rPr>
                <w:rFonts w:ascii="Arial" w:hAnsi="Arial"/>
                <w:rtl w:val="0"/>
                <w:lang w:val="en-US"/>
                <w14:textOutline w14:w="12700" w14:cap="flat">
                  <w14:noFill/>
                  <w14:miter w14:lim="400000"/>
                </w14:textOutline>
              </w:rPr>
              <w:t>(Harvey, 2018).</w:t>
            </w:r>
          </w:p>
        </w:tc>
      </w:tr>
    </w:tbl>
    <w:p>
      <w:pPr>
        <w:pStyle w:val="Body"/>
        <w:jc w:val="both"/>
        <w:rPr>
          <w:rFonts w:ascii="Arial" w:cs="Arial" w:hAnsi="Arial" w:eastAsia="Arial"/>
          <w:sz w:val="24"/>
          <w:szCs w:val="24"/>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99"/>
        <w:gridCol w:w="8373"/>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4</w:t>
            </w:r>
          </w:p>
        </w:tc>
      </w:tr>
      <w:tr>
        <w:tblPrEx>
          <w:shd w:val="clear" w:color="auto" w:fill="auto"/>
        </w:tblPrEx>
        <w:trPr>
          <w:trHeight w:val="4651" w:hRule="atLeast"/>
        </w:trPr>
        <w:tc>
          <w:tcPr>
            <w:tcW w:type="dxa" w:w="23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8minutes</w:t>
            </w:r>
          </w:p>
        </w:tc>
        <w:tc>
          <w:tcPr>
            <w:tcW w:type="dxa" w:w="837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394b0"/>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72107" cy="2953522"/>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5-05-04 at 16.32.08.png"/>
                          <pic:cNvPicPr>
                            <a:picLocks noChangeAspect="0"/>
                          </pic:cNvPicPr>
                        </pic:nvPicPr>
                        <pic:blipFill>
                          <a:blip r:embed="rId7">
                            <a:extLst/>
                          </a:blip>
                          <a:srcRect l="0" t="0" r="0" b="0"/>
                          <a:stretch>
                            <a:fillRect/>
                          </a:stretch>
                        </pic:blipFill>
                        <pic:spPr>
                          <a:xfrm>
                            <a:off x="0" y="0"/>
                            <a:ext cx="5272107" cy="2953522"/>
                          </a:xfrm>
                          <a:prstGeom prst="rect">
                            <a:avLst/>
                          </a:prstGeom>
                        </pic:spPr>
                      </pic:pic>
                    </a:graphicData>
                  </a:graphic>
                </wp:inline>
              </w:drawing>
            </w:r>
          </w:p>
        </w:tc>
      </w:tr>
      <w:tr>
        <w:tblPrEx>
          <w:shd w:val="clear" w:color="auto" w:fill="auto"/>
        </w:tblPrEx>
        <w:trPr>
          <w:trHeight w:val="4479"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The need is intertwined throughout the organisation, from business performance and financial success to customer satisfaction and being a supportive and development focused employer of choice.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Strong performance management sets the foundations and outlines expectations in how colleague</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outputs contribute overall. These factors enable managers to measure colleague performance and intervene when needed to highlight under performance or provide resources to elevate an employee to the next level (Koskarova, 2022).</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DCWW is highly regulated and bound by various legal obligations meaning breaches and non-compliance have a significant reputational impact and potential risk to life. A strategic approach, beyond the bare minimum, is needed when managing a team</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performance (Cranfield, 2024).</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Case law highlights how organisationally damaging failure to follow HR process can be. An underperforming employee was dismissed without being given warnings during the formal process, which led the tribunal to find in favour of the colleague (Machell, 2025).</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99"/>
        <w:gridCol w:w="8373"/>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5</w:t>
            </w:r>
          </w:p>
        </w:tc>
      </w:tr>
      <w:tr>
        <w:tblPrEx>
          <w:shd w:val="clear" w:color="auto" w:fill="auto"/>
        </w:tblPrEx>
        <w:trPr>
          <w:trHeight w:val="4651" w:hRule="atLeast"/>
        </w:trPr>
        <w:tc>
          <w:tcPr>
            <w:tcW w:type="dxa" w:w="23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6minutes</w:t>
            </w:r>
          </w:p>
        </w:tc>
        <w:tc>
          <w:tcPr>
            <w:tcW w:type="dxa" w:w="837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191ad"/>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9661" cy="2953522"/>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5-05-01 at 15.59.17.png"/>
                          <pic:cNvPicPr>
                            <a:picLocks noChangeAspect="0"/>
                          </pic:cNvPicPr>
                        </pic:nvPicPr>
                        <pic:blipFill>
                          <a:blip r:embed="rId8">
                            <a:extLst/>
                          </a:blip>
                          <a:srcRect l="0" t="0" r="0" b="0"/>
                          <a:stretch>
                            <a:fillRect/>
                          </a:stretch>
                        </pic:blipFill>
                        <pic:spPr>
                          <a:xfrm>
                            <a:off x="0" y="0"/>
                            <a:ext cx="5239661" cy="2953522"/>
                          </a:xfrm>
                          <a:prstGeom prst="rect">
                            <a:avLst/>
                          </a:prstGeom>
                        </pic:spPr>
                      </pic:pic>
                    </a:graphicData>
                  </a:graphic>
                </wp:inline>
              </w:drawing>
            </w:r>
          </w:p>
        </w:tc>
      </w:tr>
      <w:tr>
        <w:tblPrEx>
          <w:shd w:val="clear" w:color="auto" w:fill="auto"/>
        </w:tblPrEx>
        <w:trPr>
          <w:trHeight w:val="4199"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Line managers play a crucial role in linking organisational objectives and colleague goals by providing regular, constructive feedback and holding accountable when things have not gone to plan (CIPD, 2025d).</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Creating a high performing team is a manager</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duty and is evidenced by how they motivate, collaborate and drive their reportees forward (ACAS, 2019). Addressing under performance and building colleague</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skills and knowledge are a key part of that as it ensures the right people are in the right roles at the right time (Pasquale Bartlett, 2023).</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The approach taken is influenced by the manager</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leadership style and how that interprets good performance. For example, transformational leaders would have an encouraging, motivational approach to driving performance by empowering individuals to unlock their full potential, whereas an autocratic leader would tell the individuals what is going to happen with very limited input from others, taking away collaborative, knowledge sharing opportunities, which can disengage individuals and stunt their development (Knight, 2024).</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99"/>
        <w:gridCol w:w="8373"/>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6</w:t>
            </w:r>
          </w:p>
        </w:tc>
      </w:tr>
      <w:tr>
        <w:tblPrEx>
          <w:shd w:val="clear" w:color="auto" w:fill="auto"/>
        </w:tblPrEx>
        <w:trPr>
          <w:trHeight w:val="4651" w:hRule="atLeast"/>
        </w:trPr>
        <w:tc>
          <w:tcPr>
            <w:tcW w:type="dxa" w:w="239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7minutes</w:t>
            </w:r>
          </w:p>
        </w:tc>
        <w:tc>
          <w:tcPr>
            <w:tcW w:type="dxa" w:w="837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07e99"/>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50705" cy="2953522"/>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Screenshot 2025-05-01 at 16.08.45.png"/>
                          <pic:cNvPicPr>
                            <a:picLocks noChangeAspect="0"/>
                          </pic:cNvPicPr>
                        </pic:nvPicPr>
                        <pic:blipFill>
                          <a:blip r:embed="rId9">
                            <a:extLst/>
                          </a:blip>
                          <a:srcRect l="0" t="0" r="0" b="0"/>
                          <a:stretch>
                            <a:fillRect/>
                          </a:stretch>
                        </pic:blipFill>
                        <pic:spPr>
                          <a:xfrm>
                            <a:off x="0" y="0"/>
                            <a:ext cx="5250705" cy="2953522"/>
                          </a:xfrm>
                          <a:prstGeom prst="rect">
                            <a:avLst/>
                          </a:prstGeom>
                        </pic:spPr>
                      </pic:pic>
                    </a:graphicData>
                  </a:graphic>
                </wp:inline>
              </w:drawing>
            </w:r>
          </w:p>
        </w:tc>
      </w:tr>
      <w:tr>
        <w:tblPrEx>
          <w:shd w:val="clear" w:color="auto" w:fill="auto"/>
        </w:tblPrEx>
        <w:trPr>
          <w:trHeight w:val="7279"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numPr>
                <w:ilvl w:val="0"/>
                <w:numId w:val="2"/>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Managers need to address performance concerns in a timely manner to give the individual opportunity to acknowledge feedback and implement change.</w:t>
            </w:r>
          </w:p>
          <w:p>
            <w:pPr>
              <w:pStyle w:val="Default"/>
              <w:numPr>
                <w:ilvl w:val="0"/>
                <w:numId w:val="3"/>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If sufficient change is not witnessed, the manager needs to have a further discussion and understand the reasoning behind the lack of progress to assist with any skill or knowledge gaps.</w:t>
            </w:r>
          </w:p>
          <w:p>
            <w:pPr>
              <w:pStyle w:val="Default"/>
              <w:numPr>
                <w:ilvl w:val="3"/>
                <w:numId w:val="3"/>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An informal plan should be put in place with a pathway featuring expectations and how the manager will support. This would usually be over a 4 week period to allow for sustainable improvement.</w:t>
            </w:r>
          </w:p>
          <w:p>
            <w:pPr>
              <w:pStyle w:val="Default"/>
              <w:numPr>
                <w:ilvl w:val="0"/>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 xml:space="preserve">When concerns persist, the manager may need to initiate a formal improvement plan, with HR guidance. </w:t>
            </w:r>
          </w:p>
          <w:p>
            <w:pPr>
              <w:pStyle w:val="Default"/>
              <w:numPr>
                <w:ilvl w:val="1"/>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 plan will involve detailed goals and objectives linked to the areas of under performance, along with mutually agreed supportive measures.</w:t>
            </w:r>
          </w:p>
          <w:p>
            <w:pPr>
              <w:pStyle w:val="Default"/>
              <w:numPr>
                <w:ilvl w:val="1"/>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Severity depending, the formal plan should last for a period of 3 months with monthly formal reviews and regular catch ups in-between led by the manager to review the goals and objectives set.</w:t>
            </w:r>
          </w:p>
          <w:p>
            <w:pPr>
              <w:pStyle w:val="Default"/>
              <w:numPr>
                <w:ilvl w:val="1"/>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It</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important that the plan needs to be mutually agreed between both manager and colleague to ensure clear understanding and acceptance and that it is realistic in terms of what is being asked within the timeframe and resources available.</w:t>
            </w:r>
          </w:p>
          <w:p>
            <w:pPr>
              <w:pStyle w:val="Default"/>
              <w:numPr>
                <w:ilvl w:val="1"/>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 final review will evaluate the overall outputs, with the manager determining if a sufficient, sustained improvement has been demonstrated. There are 3 potential outcomes:</w:t>
            </w:r>
          </w:p>
          <w:p>
            <w:pPr>
              <w:pStyle w:val="Default"/>
              <w:numPr>
                <w:ilvl w:val="3"/>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Additional time to allow for further improvement.</w:t>
            </w:r>
          </w:p>
          <w:p>
            <w:pPr>
              <w:pStyle w:val="Default"/>
              <w:numPr>
                <w:ilvl w:val="3"/>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Redeployment/Demotion can be used if evidence shows that the colleague has put in significant effort but is still not at the required level. This could demonstrate that the individual matches our values but the role isn</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 xml:space="preserve">t the right fit. </w:t>
            </w:r>
          </w:p>
          <w:p>
            <w:pPr>
              <w:pStyle w:val="Default"/>
              <w:numPr>
                <w:ilvl w:val="3"/>
                <w:numId w:val="4"/>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Dismissal - this is used as a last resort and if the colleague has demonstrated a significant lack of progress and/or effort.</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lang w:val="en-US"/>
                <w14:textOutline w14:w="12700" w14:cap="flat">
                  <w14:noFill/>
                  <w14:miter w14:lim="400000"/>
                </w14:textOutline>
              </w:rPr>
              <w:t>(Fitzgerald, 2024)</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4"/>
        <w:gridCol w:w="8318"/>
      </w:tblGrid>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7</w:t>
            </w:r>
          </w:p>
        </w:tc>
      </w:tr>
      <w:tr>
        <w:tblPrEx>
          <w:shd w:val="clear" w:color="auto" w:fill="auto"/>
        </w:tblPrEx>
        <w:trPr>
          <w:trHeight w:val="0" w:hRule="atLeast"/>
        </w:trPr>
        <w:tc>
          <w:tcPr>
            <w:tcW w:type="dxa" w:w="23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5minutes</w:t>
            </w:r>
          </w:p>
        </w:tc>
        <w:tc>
          <w:tcPr>
            <w:tcW w:type="dxa" w:w="83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0abc4"/>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0" cy="0"/>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shot 2025-05-01 at 17.25.28.png"/>
                          <pic:cNvPicPr>
                            <a:picLocks noChangeAspect="0"/>
                          </pic:cNvPicPr>
                        </pic:nvPicPr>
                        <pic:blipFill>
                          <a:blip r:embed="rId10">
                            <a:extLst/>
                          </a:blip>
                          <a:srcRect l="0" t="0" r="0" b="0"/>
                          <a:stretch>
                            <a:fillRect/>
                          </a:stretch>
                        </pic:blipFill>
                        <pic:spPr>
                          <a:xfrm>
                            <a:off x="0" y="0"/>
                            <a:ext cx="0" cy="0"/>
                          </a:xfrm>
                          <a:prstGeom prst="rect">
                            <a:avLst/>
                          </a:prstGeom>
                        </pic:spPr>
                      </pic:pic>
                    </a:graphicData>
                  </a:graphic>
                </wp:inline>
              </w:drawing>
            </w:r>
          </w:p>
        </w:tc>
      </w:tr>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DCWW has an appraisal process requiring performance ratings for colleague</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goals, ranging from under achieved to outstanding. When looking progressively at our approach, there is a debate centred the removal of ratings in reviews and looking solely at the feedback being given to the colleague. Various reasons for this shift have been named, such as making the process more effective and efficient with the aim of increasing performance through detailed, constructive feedback rather than relying on ratings.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This will only succeed though if other performance measures are carried out, such as the opportunity in regular catch ups  to discuss performance, coupled with the individuals involved having the drive and skills required (CIPD, 2020).</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4"/>
        <w:gridCol w:w="8318"/>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8</w:t>
            </w:r>
          </w:p>
        </w:tc>
      </w:tr>
      <w:tr>
        <w:tblPrEx>
          <w:shd w:val="clear" w:color="auto" w:fill="auto"/>
        </w:tblPrEx>
        <w:trPr>
          <w:trHeight w:val="4651" w:hRule="atLeast"/>
        </w:trPr>
        <w:tc>
          <w:tcPr>
            <w:tcW w:type="dxa" w:w="23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5minutes</w:t>
            </w:r>
          </w:p>
        </w:tc>
        <w:tc>
          <w:tcPr>
            <w:tcW w:type="dxa" w:w="83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0a9bf"/>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20028" cy="2953522"/>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shot 2025-05-01 at 17.25.35.png"/>
                          <pic:cNvPicPr>
                            <a:picLocks noChangeAspect="0"/>
                          </pic:cNvPicPr>
                        </pic:nvPicPr>
                        <pic:blipFill>
                          <a:blip r:embed="rId11">
                            <a:extLst/>
                          </a:blip>
                          <a:srcRect l="0" t="0" r="0" b="0"/>
                          <a:stretch>
                            <a:fillRect/>
                          </a:stretch>
                        </pic:blipFill>
                        <pic:spPr>
                          <a:xfrm>
                            <a:off x="0" y="0"/>
                            <a:ext cx="5220028" cy="2953522"/>
                          </a:xfrm>
                          <a:prstGeom prst="rect">
                            <a:avLst/>
                          </a:prstGeom>
                        </pic:spPr>
                      </pic:pic>
                    </a:graphicData>
                  </a:graphic>
                </wp:inline>
              </w:drawing>
            </w:r>
          </w:p>
        </w:tc>
      </w:tr>
      <w:tr>
        <w:tblPrEx>
          <w:shd w:val="clear" w:color="auto" w:fill="auto"/>
        </w:tblPrEx>
        <w:trPr>
          <w:trHeight w:val="307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numPr>
                <w:ilvl w:val="0"/>
                <w:numId w:val="5"/>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DCWW uses an MBO approach in its appraisal process, although its use is not consistent.</w:t>
            </w:r>
          </w:p>
          <w:p>
            <w:pPr>
              <w:pStyle w:val="Default"/>
              <w:numPr>
                <w:ilvl w:val="0"/>
                <w:numId w:val="5"/>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 xml:space="preserve">Some objectives are basic and easily achievable, therefore not stretching colleagues to expand their skills and knowledge. </w:t>
            </w:r>
          </w:p>
          <w:p>
            <w:pPr>
              <w:pStyle w:val="Default"/>
              <w:numPr>
                <w:ilvl w:val="0"/>
                <w:numId w:val="5"/>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 process has financial links through pay increases and bonus, so this could be driving incorrect utilisation.</w:t>
            </w:r>
          </w:p>
          <w:p>
            <w:pPr>
              <w:pStyle w:val="Default"/>
              <w:numPr>
                <w:ilvl w:val="0"/>
                <w:numId w:val="5"/>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 review should take place to remove the association of goals to financial incentive and focus more on driving performance. Senior managers need to be clear with their direct report</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own objectives and increase their accountability (CIPD, 2022).</w:t>
            </w:r>
          </w:p>
          <w:p>
            <w:pPr>
              <w:pStyle w:val="Default"/>
              <w:numPr>
                <w:ilvl w:val="0"/>
                <w:numId w:val="5"/>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HR and senior managers need to strengthen the peer review stage to ensure managers are being consistent and robust in their approach to ratings and objectives (Indeed Editorial Team, 2025).</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4"/>
        <w:gridCol w:w="8318"/>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9</w:t>
            </w:r>
          </w:p>
        </w:tc>
      </w:tr>
      <w:tr>
        <w:tblPrEx>
          <w:shd w:val="clear" w:color="auto" w:fill="auto"/>
        </w:tblPrEx>
        <w:trPr>
          <w:trHeight w:val="4651" w:hRule="atLeast"/>
        </w:trPr>
        <w:tc>
          <w:tcPr>
            <w:tcW w:type="dxa" w:w="23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5minutes</w:t>
            </w:r>
          </w:p>
        </w:tc>
        <w:tc>
          <w:tcPr>
            <w:tcW w:type="dxa" w:w="83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2829e"/>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58950" cy="2953522"/>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Screenshot 2025-05-01 at 17.19.19.png"/>
                          <pic:cNvPicPr>
                            <a:picLocks noChangeAspect="0"/>
                          </pic:cNvPicPr>
                        </pic:nvPicPr>
                        <pic:blipFill>
                          <a:blip r:embed="rId12">
                            <a:extLst/>
                          </a:blip>
                          <a:srcRect l="0" t="0" r="0" b="0"/>
                          <a:stretch>
                            <a:fillRect/>
                          </a:stretch>
                        </pic:blipFill>
                        <pic:spPr>
                          <a:xfrm>
                            <a:off x="0" y="0"/>
                            <a:ext cx="5258950" cy="2953522"/>
                          </a:xfrm>
                          <a:prstGeom prst="rect">
                            <a:avLst/>
                          </a:prstGeom>
                        </pic:spPr>
                      </pic:pic>
                    </a:graphicData>
                  </a:graphic>
                </wp:inline>
              </w:drawing>
            </w:r>
          </w:p>
        </w:tc>
      </w:tr>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pPr>
            <w:r>
              <w:rPr>
                <w:rFonts w:ascii="Arial" w:hAnsi="Arial"/>
                <w:rtl w:val="0"/>
                <w14:textOutline w14:w="12700" w14:cap="flat">
                  <w14:noFill/>
                  <w14:miter w14:lim="400000"/>
                </w14:textOutline>
              </w:rPr>
              <w:t>Answer - Regular 1 to 1 Catch Ups</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Session 2 - Continuous Development</w:t>
      </w:r>
    </w:p>
    <w:p>
      <w:pPr>
        <w:pStyle w:val="Body"/>
        <w:jc w:val="both"/>
        <w:rPr>
          <w:rFonts w:ascii="Arial" w:cs="Arial" w:hAnsi="Arial" w:eastAsia="Arial"/>
          <w:i w:val="1"/>
          <w:iCs w:val="1"/>
          <w:sz w:val="24"/>
          <w:szCs w:val="24"/>
          <w:u w:val="single"/>
        </w:rPr>
      </w:pPr>
    </w:p>
    <w:p>
      <w:pPr>
        <w:pStyle w:val="Body"/>
        <w:jc w:val="both"/>
        <w:rPr>
          <w:rFonts w:ascii="Arial" w:cs="Arial" w:hAnsi="Arial" w:eastAsia="Arial"/>
          <w:sz w:val="24"/>
          <w:szCs w:val="24"/>
          <w:u w:val="single"/>
        </w:rPr>
      </w:pPr>
      <w:r>
        <w:rPr>
          <w:rFonts w:ascii="Arial" w:hAnsi="Arial"/>
          <w:sz w:val="24"/>
          <w:szCs w:val="24"/>
          <w:u w:val="single"/>
          <w:rtl w:val="0"/>
          <w:lang w:val="en-US"/>
        </w:rPr>
        <w:t>Delivery Notes</w:t>
      </w:r>
    </w:p>
    <w:p>
      <w:pPr>
        <w:pStyle w:val="Body"/>
        <w:jc w:val="both"/>
        <w:rPr>
          <w:rFonts w:ascii="Arial" w:cs="Arial" w:hAnsi="Arial" w:eastAsia="Arial"/>
          <w:sz w:val="24"/>
          <w:szCs w:val="24"/>
          <w:u w:val="single"/>
        </w:rPr>
      </w:pPr>
    </w:p>
    <w:tbl>
      <w:tblPr>
        <w:tblW w:w="1077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4"/>
        <w:gridCol w:w="8368"/>
      </w:tblGrid>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1</w:t>
            </w:r>
          </w:p>
        </w:tc>
      </w:tr>
      <w:tr>
        <w:tblPrEx>
          <w:shd w:val="clear" w:color="auto" w:fill="auto"/>
        </w:tblPrEx>
        <w:trPr>
          <w:trHeight w:val="4651" w:hRule="atLeast"/>
        </w:trPr>
        <w:tc>
          <w:tcPr>
            <w:tcW w:type="dxa" w:w="24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r>
              <w:rPr>
                <w:rFonts w:ascii="Helvetica Neue" w:cs="Arial Unicode MS" w:hAnsi="Helvetica Neue" w:eastAsia="Arial Unicode MS"/>
                <w:rtl w:val="0"/>
              </w:rPr>
              <w:t>3 minutes</w:t>
            </w:r>
          </w:p>
        </w:tc>
        <w:tc>
          <w:tcPr>
            <w:tcW w:type="dxa" w:w="836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191ae"/>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83363" cy="2953522"/>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Screenshot 2025-05-04 at 15.58.47.png"/>
                          <pic:cNvPicPr>
                            <a:picLocks noChangeAspect="0"/>
                          </pic:cNvPicPr>
                        </pic:nvPicPr>
                        <pic:blipFill>
                          <a:blip r:embed="rId13">
                            <a:extLst/>
                          </a:blip>
                          <a:srcRect l="0" t="0" r="0" b="0"/>
                          <a:stretch>
                            <a:fillRect/>
                          </a:stretch>
                        </pic:blipFill>
                        <pic:spPr>
                          <a:xfrm>
                            <a:off x="0" y="0"/>
                            <a:ext cx="5283363" cy="2953522"/>
                          </a:xfrm>
                          <a:prstGeom prst="rect">
                            <a:avLst/>
                          </a:prstGeom>
                        </pic:spPr>
                      </pic:pic>
                    </a:graphicData>
                  </a:graphic>
                </wp:inline>
              </w:drawing>
            </w:r>
          </w:p>
        </w:tc>
      </w:tr>
      <w:tr>
        <w:tblPrEx>
          <w:shd w:val="clear" w:color="auto" w:fill="auto"/>
        </w:tblPrEx>
        <w:trPr>
          <w:trHeight w:val="295" w:hRule="atLeast"/>
        </w:trPr>
        <w:tc>
          <w:tcPr>
            <w:tcW w:type="dxa" w:w="1077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pPr>
            <w:r>
              <w:rPr>
                <w:rFonts w:ascii="Arial" w:hAnsi="Arial"/>
                <w:rtl w:val="0"/>
                <w14:textOutline w14:w="12700" w14:cap="flat">
                  <w14:noFill/>
                  <w14:miter w14:lim="400000"/>
                </w14:textOutline>
              </w:rPr>
              <w:t>Welcome the co-hort and introduce the session by reading the slide.</w:t>
            </w:r>
          </w:p>
        </w:tc>
      </w:tr>
    </w:tbl>
    <w:p>
      <w:pPr>
        <w:pStyle w:val="Body"/>
        <w:jc w:val="both"/>
        <w:rPr>
          <w:rFonts w:ascii="Arial" w:cs="Arial" w:hAnsi="Arial" w:eastAsia="Arial"/>
          <w:sz w:val="24"/>
          <w:szCs w:val="24"/>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2</w:t>
            </w:r>
          </w:p>
        </w:tc>
      </w:tr>
      <w:tr>
        <w:tblPrEx>
          <w:shd w:val="clear" w:color="auto" w:fill="auto"/>
        </w:tblPrEx>
        <w:trPr>
          <w:trHeight w:val="0"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3adc5"/>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0" cy="0"/>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Screenshot 2025-05-03 at 11.37.46.png"/>
                          <pic:cNvPicPr>
                            <a:picLocks noChangeAspect="0"/>
                          </pic:cNvPicPr>
                        </pic:nvPicPr>
                        <pic:blipFill>
                          <a:blip r:embed="rId14">
                            <a:extLst/>
                          </a:blip>
                          <a:srcRect l="0" t="0" r="0" b="0"/>
                          <a:stretch>
                            <a:fillRect/>
                          </a:stretch>
                        </pic:blipFill>
                        <pic:spPr>
                          <a:xfrm>
                            <a:off x="0" y="0"/>
                            <a:ext cx="0" cy="0"/>
                          </a:xfrm>
                          <a:prstGeom prst="rect">
                            <a:avLst/>
                          </a:prstGeom>
                        </pic:spPr>
                      </pic:pic>
                    </a:graphicData>
                  </a:graphic>
                </wp:inline>
              </w:drawing>
            </w:r>
          </w:p>
        </w:tc>
      </w:tr>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CPD is essential for individuals to develop and improve within their professional field. This can be through building on their areas of strength or to fill in knowledge gaps. CPD is not singular, it encompasses many different learning opportunities, such as newsletters and professional courses. The aim is to boost confidence, build and maintain knowledge and strengthen abilities (CIPD, No Date b).</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CPD can help prevent colleagues from feeling disengaged and demotivated from their field by introducing them to new trends and knowledge that could spark interest in other areas (Williams, 2022).</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Some regulated roles have a requirement for CPD to maintain accuracy and relevance. This approach should be applied to all roles as legislation and practises are constantly evolving and colleagues enhancing their abilities and skills will positively impact upon everyone (NHS England, No Date). </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3</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6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8fabc1"/>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7836" cy="2953522"/>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Screenshot 2025-05-03 at 12.07.47.png"/>
                          <pic:cNvPicPr>
                            <a:picLocks noChangeAspect="0"/>
                          </pic:cNvPicPr>
                        </pic:nvPicPr>
                        <pic:blipFill>
                          <a:blip r:embed="rId15">
                            <a:extLst/>
                          </a:blip>
                          <a:srcRect l="0" t="0" r="0" b="0"/>
                          <a:stretch>
                            <a:fillRect/>
                          </a:stretch>
                        </pic:blipFill>
                        <pic:spPr>
                          <a:xfrm>
                            <a:off x="0" y="0"/>
                            <a:ext cx="5237836" cy="2953522"/>
                          </a:xfrm>
                          <a:prstGeom prst="rect">
                            <a:avLst/>
                          </a:prstGeom>
                        </pic:spPr>
                      </pic:pic>
                    </a:graphicData>
                  </a:graphic>
                </wp:inline>
              </w:drawing>
            </w:r>
          </w:p>
        </w:tc>
      </w:tr>
      <w:tr>
        <w:tblPrEx>
          <w:shd w:val="clear" w:color="auto" w:fill="auto"/>
        </w:tblPrEx>
        <w:trPr>
          <w:trHeight w:val="335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The aim of this process is to have competent colleagues within the Company, ready to step into critical roles with minimal operational impact. There are individual positions and pools of roles (such as operational supervisors) which are required for basic operational function, the latter having a large volume of potentially capable colleagues who can be developed (CIPD, 2024c).</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The business needs to be agile and resilient in the face of upcoming challenges. The Covid-19 pandemic showcased many businesses failings in having insufficient resource and an inability to flex, which caused severe issues with meeting customer</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 xml:space="preserve">s demands and during the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Great Resignation of 2021</w:t>
            </w:r>
            <w:r>
              <w:rPr>
                <w:rFonts w:ascii="Arial" w:hAnsi="Arial" w:hint="default"/>
                <w:rtl w:val="0"/>
                <w14:textOutline w14:w="12700" w14:cap="flat">
                  <w14:noFill/>
                  <w14:miter w14:lim="400000"/>
                </w14:textOutline>
              </w:rPr>
              <w:t xml:space="preserve">’ </w:t>
            </w:r>
            <w:r>
              <w:rPr>
                <w:rFonts w:ascii="Arial" w:hAnsi="Arial"/>
                <w:rtl w:val="0"/>
                <w14:textOutline w14:w="12700" w14:cap="flat">
                  <w14:noFill/>
                  <w14:miter w14:lim="400000"/>
                </w14:textOutline>
              </w:rPr>
              <w:t>leaving many posts vacant within a short period (Dennison, 2024).</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Developing talent internally can be the easiest and safest method when faced with a potential recruitment challenge. </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4</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e97a7"/>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65818" cy="2953522"/>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Screenshot 2025-05-03 at 13.30.32.png"/>
                          <pic:cNvPicPr>
                            <a:picLocks noChangeAspect="0"/>
                          </pic:cNvPicPr>
                        </pic:nvPicPr>
                        <pic:blipFill>
                          <a:blip r:embed="rId16">
                            <a:extLst/>
                          </a:blip>
                          <a:srcRect l="0" t="0" r="0" b="0"/>
                          <a:stretch>
                            <a:fillRect/>
                          </a:stretch>
                        </pic:blipFill>
                        <pic:spPr>
                          <a:xfrm>
                            <a:off x="0" y="0"/>
                            <a:ext cx="5265818" cy="2953522"/>
                          </a:xfrm>
                          <a:prstGeom prst="rect">
                            <a:avLst/>
                          </a:prstGeom>
                        </pic:spPr>
                      </pic:pic>
                    </a:graphicData>
                  </a:graphic>
                </wp:inline>
              </w:drawing>
            </w:r>
          </w:p>
        </w:tc>
      </w:tr>
      <w:tr>
        <w:tblPrEx>
          <w:shd w:val="clear" w:color="auto" w:fill="auto"/>
        </w:tblPrEx>
        <w:trPr>
          <w:trHeight w:val="391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An employee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 xml:space="preserve">s work needs to have meaning and purpose. It has been shown that when employees feel their work, and in turn their employer, has a purpose, preferably one linked to a societal contribution, there are higher commitment and performance levels and a lower rendition risk (Morgan, 2022).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Maccoby</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4 Rs of Motivation theory breaks down meaningful work, showing that the principle driver is not always monetary.</w:t>
            </w:r>
          </w:p>
          <w:p>
            <w:pPr>
              <w:pStyle w:val="Default"/>
              <w:numPr>
                <w:ilvl w:val="0"/>
                <w:numId w:val="6"/>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Responsibilities - Should align with the individual</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own values and interests</w:t>
            </w:r>
          </w:p>
          <w:p>
            <w:pPr>
              <w:pStyle w:val="Default"/>
              <w:numPr>
                <w:ilvl w:val="0"/>
                <w:numId w:val="6"/>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Relationships - The manager-colleague relationship is crucial to ensuring other relationships are productive</w:t>
            </w:r>
          </w:p>
          <w:p>
            <w:pPr>
              <w:pStyle w:val="Default"/>
              <w:numPr>
                <w:ilvl w:val="0"/>
                <w:numId w:val="6"/>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Rewards - Some are motivated by financial gain, but appreciation and recognition are drivers for high motivation</w:t>
            </w:r>
          </w:p>
          <w:p>
            <w:pPr>
              <w:pStyle w:val="Default"/>
              <w:numPr>
                <w:ilvl w:val="0"/>
                <w:numId w:val="6"/>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 xml:space="preserve">Reasons - Understanding the </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why</w:t>
            </w:r>
            <w:r>
              <w:rPr>
                <w:rFonts w:ascii="Arial" w:hAnsi="Arial" w:hint="default"/>
                <w:rtl w:val="0"/>
                <w:lang w:val="en-US"/>
                <w14:textOutline w14:w="12700" w14:cap="flat">
                  <w14:noFill/>
                  <w14:miter w14:lim="400000"/>
                </w14:textOutline>
              </w:rPr>
              <w:t xml:space="preserve">’ </w:t>
            </w:r>
            <w:r>
              <w:rPr>
                <w:rFonts w:ascii="Arial" w:hAnsi="Arial"/>
                <w:rtl w:val="0"/>
                <w:lang w:val="en-US"/>
                <w14:textOutline w14:w="12700" w14:cap="flat">
                  <w14:noFill/>
                  <w14:miter w14:lim="400000"/>
                </w14:textOutline>
              </w:rPr>
              <w:t>behind the job an employee does can be highly motivating. This is a manager responsibility when driving a team to success (CIPD, 2018)</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5</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10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2a9bd"/>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53609" cy="2953522"/>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Screenshot 2025-05-03 at 14.16.35.png"/>
                          <pic:cNvPicPr>
                            <a:picLocks noChangeAspect="0"/>
                          </pic:cNvPicPr>
                        </pic:nvPicPr>
                        <pic:blipFill>
                          <a:blip r:embed="rId17">
                            <a:extLst/>
                          </a:blip>
                          <a:srcRect l="0" t="0" r="0" b="0"/>
                          <a:stretch>
                            <a:fillRect/>
                          </a:stretch>
                        </pic:blipFill>
                        <pic:spPr>
                          <a:xfrm>
                            <a:off x="0" y="0"/>
                            <a:ext cx="5253609" cy="2953522"/>
                          </a:xfrm>
                          <a:prstGeom prst="rect">
                            <a:avLst/>
                          </a:prstGeom>
                        </pic:spPr>
                      </pic:pic>
                    </a:graphicData>
                  </a:graphic>
                </wp:inline>
              </w:drawing>
            </w:r>
          </w:p>
        </w:tc>
      </w:tr>
      <w:tr>
        <w:tblPrEx>
          <w:shd w:val="clear" w:color="auto" w:fill="auto"/>
        </w:tblPrEx>
        <w:trPr>
          <w:trHeight w:val="727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Coaching and mentoring can enhance an individuals knowledge, skills and overall performance and can be utilised through regular catch ups (CIPD, 2024b). There are similarities between the two approaches, but also differences.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Coaching:</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 facilitator needs to be trained in coaching skills</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There is a defined timeframe</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 activities are goal driven</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Primary focus is on improving performance and personal development</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Mentoring:</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The facilitator is a more experienced colleague</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Conducted over a longer timeframe which can be linked to succession planning</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Focuses on questioning, listening, clarifying and reframing, similar to a coaching approach</w:t>
            </w:r>
          </w:p>
          <w:p>
            <w:pPr>
              <w:pStyle w:val="Default"/>
              <w:numPr>
                <w:ilvl w:val="0"/>
                <w:numId w:val="7"/>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Most effective when both individuals are learning from each other</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Coaching models: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GROW focuses on achievement through goal setting with the mentor asking questions and the individual developing through solution definition (Villegas Threadgould, 2023). However, it can be seen as too structured and unable to resolve complex, underlying issues (Lal Patary, 2023).</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lang w:val="en-US"/>
                <w14:textOutline w14:w="12700" w14:cap="flat">
                  <w14:noFill/>
                  <w14:miter w14:lim="400000"/>
                </w14:textOutline>
              </w:rPr>
              <w:t>Whereas CLEAR encourages change through transforming values, beliefs and behaviours so is more personally focused. It is driven through conversations with the 5 stages used in each session (The World of Work Project, No Date). However, other models may be better suited where more structure and directive is required (Hoffman, 2023).</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6</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4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8fa7be"/>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6971" cy="2953522"/>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Screenshot 2025-05-03 at 14.51.29.png"/>
                          <pic:cNvPicPr>
                            <a:picLocks noChangeAspect="0"/>
                          </pic:cNvPicPr>
                        </pic:nvPicPr>
                        <pic:blipFill>
                          <a:blip r:embed="rId18">
                            <a:extLst/>
                          </a:blip>
                          <a:srcRect l="0" t="0" r="0" b="0"/>
                          <a:stretch>
                            <a:fillRect/>
                          </a:stretch>
                        </pic:blipFill>
                        <pic:spPr>
                          <a:xfrm>
                            <a:off x="0" y="0"/>
                            <a:ext cx="5236971" cy="2953522"/>
                          </a:xfrm>
                          <a:prstGeom prst="rect">
                            <a:avLst/>
                          </a:prstGeom>
                        </pic:spPr>
                      </pic:pic>
                    </a:graphicData>
                  </a:graphic>
                </wp:inline>
              </w:drawing>
            </w:r>
          </w:p>
        </w:tc>
      </w:tr>
      <w:tr>
        <w:tblPrEx>
          <w:shd w:val="clear" w:color="auto" w:fill="auto"/>
        </w:tblPrEx>
        <w:trPr>
          <w:trHeight w:val="335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Employee retention can have a damaging impact on the Company if not properly managed. Closely linked to retention is employee turnover. These two areas need to be regularly reviewed to see if any trends are forming (CIPD, 2025a).</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Impacts include: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numPr>
                <w:ilvl w:val="0"/>
                <w:numId w:val="8"/>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Insufficient skills and knowledge</w:t>
            </w:r>
          </w:p>
          <w:p>
            <w:pPr>
              <w:pStyle w:val="Default"/>
              <w:numPr>
                <w:ilvl w:val="0"/>
                <w:numId w:val="8"/>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High costs on recruitment and onboarding</w:t>
            </w:r>
          </w:p>
          <w:p>
            <w:pPr>
              <w:pStyle w:val="Default"/>
              <w:numPr>
                <w:ilvl w:val="0"/>
                <w:numId w:val="8"/>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Customer impact through inexperienced employees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lang w:val="en-US"/>
                <w14:textOutline w14:w="12700" w14:cap="flat">
                  <w14:noFill/>
                  <w14:miter w14:lim="400000"/>
                </w14:textOutline>
              </w:rPr>
              <w:t>Exit interview data can be used to investigate resignation reasons and actions can then be outlined for improvement.</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7</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5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90a9bf"/>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6971" cy="2953522"/>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Screenshot 2025-05-03 at 14.52.30.png"/>
                          <pic:cNvPicPr>
                            <a:picLocks noChangeAspect="0"/>
                          </pic:cNvPicPr>
                        </pic:nvPicPr>
                        <pic:blipFill>
                          <a:blip r:embed="rId19">
                            <a:extLst/>
                          </a:blip>
                          <a:srcRect l="0" t="0" r="0" b="0"/>
                          <a:stretch>
                            <a:fillRect/>
                          </a:stretch>
                        </pic:blipFill>
                        <pic:spPr>
                          <a:xfrm>
                            <a:off x="0" y="0"/>
                            <a:ext cx="5236971" cy="2953522"/>
                          </a:xfrm>
                          <a:prstGeom prst="rect">
                            <a:avLst/>
                          </a:prstGeom>
                        </pic:spPr>
                      </pic:pic>
                    </a:graphicData>
                  </a:graphic>
                </wp:inline>
              </w:drawing>
            </w:r>
          </w:p>
        </w:tc>
      </w:tr>
      <w:tr>
        <w:tblPrEx>
          <w:shd w:val="clear" w:color="auto" w:fill="auto"/>
        </w:tblPrEx>
        <w:trPr>
          <w:trHeight w:val="279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Current culture does not consistently utilise exit interviews or value their impact.</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Looking forward, as a senior manager, there is an expectation that you will drive this tool within your departments so constructive feedback can be gathered and change implemented (Groysburg and Spain, 2018). This will aid in keeping retention high and maintaining talent levels.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Totaljobs (2018) found that 2 in 3 workers had changed jobs due to a lack of development opportunity. Ensuring performance management techniques have been correctly utilised can aid in limiting this, especially in colleague groups where generational differences can be a contributing factor (CIPD, 2024a).</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8</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2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c94a2"/>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10949" cy="2953522"/>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Screenshot 2025-05-03 at 14.57.50.png"/>
                          <pic:cNvPicPr>
                            <a:picLocks noChangeAspect="0"/>
                          </pic:cNvPicPr>
                        </pic:nvPicPr>
                        <pic:blipFill>
                          <a:blip r:embed="rId20">
                            <a:extLst/>
                          </a:blip>
                          <a:srcRect l="0" t="0" r="0" b="0"/>
                          <a:stretch>
                            <a:fillRect/>
                          </a:stretch>
                        </pic:blipFill>
                        <pic:spPr>
                          <a:xfrm>
                            <a:off x="0" y="0"/>
                            <a:ext cx="5210949" cy="2953522"/>
                          </a:xfrm>
                          <a:prstGeom prst="rect">
                            <a:avLst/>
                          </a:prstGeom>
                        </pic:spPr>
                      </pic:pic>
                    </a:graphicData>
                  </a:graphic>
                </wp:inline>
              </w:drawing>
            </w:r>
          </w:p>
        </w:tc>
      </w:tr>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jc w:val="both"/>
            </w:pPr>
            <w:r>
              <w:rPr>
                <w:rFonts w:ascii="Arial" w:hAnsi="Arial"/>
                <w:rtl w:val="0"/>
              </w:rPr>
              <w:t>Answer - all of the above</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Session 3 - Absence and Capability</w:t>
      </w:r>
    </w:p>
    <w:p>
      <w:pPr>
        <w:pStyle w:val="Body"/>
        <w:jc w:val="both"/>
        <w:rPr>
          <w:rFonts w:ascii="Arial" w:cs="Arial" w:hAnsi="Arial" w:eastAsia="Arial"/>
          <w:i w:val="1"/>
          <w:iCs w:val="1"/>
          <w:sz w:val="24"/>
          <w:szCs w:val="24"/>
          <w:u w:val="single"/>
        </w:rPr>
      </w:pPr>
    </w:p>
    <w:p>
      <w:pPr>
        <w:pStyle w:val="Body"/>
        <w:jc w:val="both"/>
        <w:rPr>
          <w:rFonts w:ascii="Arial" w:cs="Arial" w:hAnsi="Arial" w:eastAsia="Arial"/>
          <w:sz w:val="24"/>
          <w:szCs w:val="24"/>
          <w:u w:val="single"/>
        </w:rPr>
      </w:pPr>
      <w:r>
        <w:rPr>
          <w:rFonts w:ascii="Arial" w:hAnsi="Arial"/>
          <w:sz w:val="24"/>
          <w:szCs w:val="24"/>
          <w:u w:val="single"/>
          <w:rtl w:val="0"/>
          <w:lang w:val="en-US"/>
        </w:rPr>
        <w:t>Delivery Notes</w:t>
      </w: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1</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2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193b0"/>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38053" cy="2953522"/>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Screenshot 2025-05-04 at 15.59.34.png"/>
                          <pic:cNvPicPr>
                            <a:picLocks noChangeAspect="0"/>
                          </pic:cNvPicPr>
                        </pic:nvPicPr>
                        <pic:blipFill>
                          <a:blip r:embed="rId21">
                            <a:extLst/>
                          </a:blip>
                          <a:srcRect l="0" t="0" r="0" b="0"/>
                          <a:stretch>
                            <a:fillRect/>
                          </a:stretch>
                        </pic:blipFill>
                        <pic:spPr>
                          <a:xfrm>
                            <a:off x="0" y="0"/>
                            <a:ext cx="5238053" cy="2953522"/>
                          </a:xfrm>
                          <a:prstGeom prst="rect">
                            <a:avLst/>
                          </a:prstGeom>
                        </pic:spPr>
                      </pic:pic>
                    </a:graphicData>
                  </a:graphic>
                </wp:inline>
              </w:drawing>
            </w:r>
          </w:p>
        </w:tc>
      </w:tr>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pPr>
            <w:r>
              <w:rPr>
                <w:rFonts w:ascii="Arial" w:hAnsi="Arial"/>
                <w:rtl w:val="0"/>
                <w14:textOutline w14:w="12700" w14:cap="flat">
                  <w14:noFill/>
                  <w14:miter w14:lim="400000"/>
                </w14:textOutline>
              </w:rPr>
              <w:t>Welcome the co-hort and introduce the session by reading the slide.</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2</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6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8aaac6"/>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61572" cy="2953522"/>
                  <wp:effectExtent l="0" t="0" r="0" b="0"/>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Screenshot 2025-05-04 at 09.51.21.png"/>
                          <pic:cNvPicPr>
                            <a:picLocks noChangeAspect="0"/>
                          </pic:cNvPicPr>
                        </pic:nvPicPr>
                        <pic:blipFill>
                          <a:blip r:embed="rId22">
                            <a:extLst/>
                          </a:blip>
                          <a:srcRect l="0" t="0" r="0" b="0"/>
                          <a:stretch>
                            <a:fillRect/>
                          </a:stretch>
                        </pic:blipFill>
                        <pic:spPr>
                          <a:xfrm>
                            <a:off x="0" y="0"/>
                            <a:ext cx="5261572" cy="2953522"/>
                          </a:xfrm>
                          <a:prstGeom prst="rect">
                            <a:avLst/>
                          </a:prstGeom>
                        </pic:spPr>
                      </pic:pic>
                    </a:graphicData>
                  </a:graphic>
                </wp:inline>
              </w:drawing>
            </w:r>
          </w:p>
        </w:tc>
      </w:tr>
      <w:tr>
        <w:tblPrEx>
          <w:shd w:val="clear" w:color="auto" w:fill="auto"/>
        </w:tblPrEx>
        <w:trPr>
          <w:trHeight w:val="447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DCWW uses the Bradford Factor formula to manage sickness absence, which uses a calculation based on the number of incidents and days of sickness in a 12month period. The score correlates to a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stage</w:t>
            </w:r>
            <w:r>
              <w:rPr>
                <w:rFonts w:ascii="Arial" w:hAnsi="Arial" w:hint="default"/>
                <w:rtl w:val="0"/>
                <w14:textOutline w14:w="12700" w14:cap="flat">
                  <w14:noFill/>
                  <w14:miter w14:lim="400000"/>
                </w14:textOutline>
              </w:rPr>
              <w:t xml:space="preserve">’ </w:t>
            </w:r>
            <w:r>
              <w:rPr>
                <w:rFonts w:ascii="Arial" w:hAnsi="Arial"/>
                <w:rtl w:val="0"/>
                <w14:textOutline w14:w="12700" w14:cap="flat">
                  <w14:noFill/>
                  <w14:miter w14:lim="400000"/>
                </w14:textOutline>
              </w:rPr>
              <w:t xml:space="preserve">indicating which level of action is potentially required (Morris, 2025). For fairness, the process always starts at stage 1 to ensure adequate support is given and managers can use their discretion throughout the process.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Increasing levels of sickness absence have been linked to drops in performance and productivity. A study carried out by Recruitment and Employment Confederation found that nearly half of employers surveys reported that increased levels of sickness absence were linked to drops in performance and lower productivity (Soliman, 2025). This highlights the need for managers to effectively manage colleague absence.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A separate toolbox talk details the attendance management process. This session</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focus is on long term and repetitive absence and its link to performance and capability. As senior managers, there is an expectation that you will prioritise absence management within your teams and drive line manager training attendance to ensure a consistent approach is taken, company-wide.</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3</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6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294b3"/>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78952" cy="2953522"/>
                  <wp:effectExtent l="0" t="0" r="0" b="0"/>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Screenshot 2025-05-04 at 10.00.43.png"/>
                          <pic:cNvPicPr>
                            <a:picLocks noChangeAspect="0"/>
                          </pic:cNvPicPr>
                        </pic:nvPicPr>
                        <pic:blipFill>
                          <a:blip r:embed="rId23">
                            <a:extLst/>
                          </a:blip>
                          <a:srcRect l="0" t="0" r="0" b="0"/>
                          <a:stretch>
                            <a:fillRect/>
                          </a:stretch>
                        </pic:blipFill>
                        <pic:spPr>
                          <a:xfrm>
                            <a:off x="0" y="0"/>
                            <a:ext cx="5278952" cy="2953522"/>
                          </a:xfrm>
                          <a:prstGeom prst="rect">
                            <a:avLst/>
                          </a:prstGeom>
                        </pic:spPr>
                      </pic:pic>
                    </a:graphicData>
                  </a:graphic>
                </wp:inline>
              </w:drawing>
            </w:r>
          </w:p>
        </w:tc>
      </w:tr>
      <w:tr>
        <w:tblPrEx>
          <w:shd w:val="clear" w:color="auto" w:fill="auto"/>
        </w:tblPrEx>
        <w:trPr>
          <w:trHeight w:val="419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Regular catch ups between managers and colleagues should include work and personal discussions, the latter within boundaries set by the colleague. Building a good relationship aids in understanding how an employee is doing and may raise any health concerns early on, before sickness absence becomes a concern and support can be explored. Occupational health is available anytime, not just when the colleague has started sickness absence. Research has shown that two thirds of absences could be prevented if employees were referred whilst still in work (Cardwell, 2023).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With increased cost and strain put upon teams, regular contact needs to be maintained between managers and colleagues when sickness absence starts to offer support and set parameters on communication for the sickness period. This can prevent absences becoming long term as the manager is being proactive and offering assistance early on (Johnson, 2025).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Understanding why a colleague has called in sick is key in being able to support. If the reason is work-related, you need to know this quickly to ensure that issues are addressed.</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4</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6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d8ba6"/>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49885" cy="2953522"/>
                  <wp:effectExtent l="0" t="0" r="0" b="0"/>
                  <wp:docPr id="1073741845" name="officeArt object"/>
                  <wp:cNvGraphicFramePr/>
                  <a:graphic xmlns:a="http://schemas.openxmlformats.org/drawingml/2006/main">
                    <a:graphicData uri="http://schemas.openxmlformats.org/drawingml/2006/picture">
                      <pic:pic xmlns:pic="http://schemas.openxmlformats.org/drawingml/2006/picture">
                        <pic:nvPicPr>
                          <pic:cNvPr id="1073741845" name="Screenshot 2025-05-04 at 10.01.08.png"/>
                          <pic:cNvPicPr>
                            <a:picLocks noChangeAspect="0"/>
                          </pic:cNvPicPr>
                        </pic:nvPicPr>
                        <pic:blipFill>
                          <a:blip r:embed="rId24">
                            <a:extLst/>
                          </a:blip>
                          <a:srcRect l="0" t="0" r="0" b="0"/>
                          <a:stretch>
                            <a:fillRect/>
                          </a:stretch>
                        </pic:blipFill>
                        <pic:spPr>
                          <a:xfrm>
                            <a:off x="0" y="0"/>
                            <a:ext cx="5249885" cy="2953522"/>
                          </a:xfrm>
                          <a:prstGeom prst="rect">
                            <a:avLst/>
                          </a:prstGeom>
                        </pic:spPr>
                      </pic:pic>
                    </a:graphicData>
                  </a:graphic>
                </wp:inline>
              </w:drawing>
            </w:r>
          </w:p>
        </w:tc>
      </w:tr>
      <w:tr>
        <w:tblPrEx>
          <w:shd w:val="clear" w:color="auto" w:fill="auto"/>
        </w:tblPrEx>
        <w:trPr>
          <w:trHeight w:val="671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Sickness absence can have a significant impact on performance - for the individual, team and Company. Our first priority is to support the colleague.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In long term and high frequency short term cases, managers need to look at the larger picture and evaluate the impact the individual is having on the wider team and Company.</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Occasionally, the issue may not be specifically with the individual, there could </w:t>
            </w:r>
            <w:r>
              <w:rPr>
                <w:rFonts w:ascii="Arial" w:hAnsi="Arial"/>
                <w:rtl w:val="0"/>
                <w:lang w:val="en-US"/>
                <w14:textOutline w14:w="12700" w14:cap="flat">
                  <w14:noFill/>
                  <w14:miter w14:lim="400000"/>
                </w14:textOutline>
              </w:rPr>
              <w:t xml:space="preserve">be </w:t>
            </w:r>
            <w:r>
              <w:rPr>
                <w:rFonts w:ascii="Arial" w:hAnsi="Arial"/>
                <w:rtl w:val="0"/>
                <w:lang w:val="en-US"/>
                <w14:textOutline w14:w="12700" w14:cap="flat">
                  <w14:noFill/>
                  <w14:miter w14:lim="400000"/>
                </w14:textOutline>
              </w:rPr>
              <w:t xml:space="preserve">a cultural concern that </w:t>
            </w:r>
            <w:r>
              <w:rPr>
                <w:rFonts w:ascii="Arial" w:hAnsi="Arial"/>
                <w:rtl w:val="0"/>
                <w:lang w:val="en-US"/>
                <w14:textOutline w14:w="12700" w14:cap="flat">
                  <w14:noFill/>
                  <w14:miter w14:lim="400000"/>
                </w14:textOutline>
              </w:rPr>
              <w:t>others</w:t>
            </w:r>
            <w:r>
              <w:rPr>
                <w:rFonts w:ascii="Arial" w:hAnsi="Arial"/>
                <w:rtl w:val="0"/>
                <w:lang w:val="en-US"/>
                <w14:textOutline w14:w="12700" w14:cap="flat">
                  <w14:noFill/>
                  <w14:miter w14:lim="400000"/>
                </w14:textOutline>
              </w:rPr>
              <w:t xml:space="preserve"> are experiencing</w:t>
            </w:r>
            <w:r>
              <w:rPr>
                <w:rFonts w:ascii="Arial" w:hAnsi="Arial"/>
                <w:rtl w:val="0"/>
                <w:lang w:val="en-US"/>
                <w14:textOutline w14:w="12700" w14:cap="flat">
                  <w14:noFill/>
                  <w14:miter w14:lim="400000"/>
                </w14:textOutline>
              </w:rPr>
              <w:t xml:space="preserve"> </w:t>
            </w:r>
            <w:r>
              <w:rPr>
                <w:rFonts w:ascii="Arial" w:hAnsi="Arial"/>
                <w:rtl w:val="0"/>
                <w:lang w:val="en-US"/>
                <w14:textOutline w14:w="12700" w14:cap="flat">
                  <w14:noFill/>
                  <w14:miter w14:lim="400000"/>
                </w14:textOutline>
              </w:rPr>
              <w:t>which needs further investigation. Reasons c</w:t>
            </w:r>
            <w:r>
              <w:rPr>
                <w:rFonts w:ascii="Arial" w:hAnsi="Arial"/>
                <w:rtl w:val="0"/>
                <w:lang w:val="en-US"/>
                <w14:textOutline w14:w="12700" w14:cap="flat">
                  <w14:noFill/>
                  <w14:miter w14:lim="400000"/>
                </w14:textOutline>
              </w:rPr>
              <w:t xml:space="preserve">an include </w:t>
            </w:r>
            <w:r>
              <w:rPr>
                <w:rFonts w:ascii="Arial" w:hAnsi="Arial"/>
                <w:rtl w:val="0"/>
                <w:lang w:val="en-US"/>
                <w14:textOutline w14:w="12700" w14:cap="flat">
                  <w14:noFill/>
                  <w14:miter w14:lim="400000"/>
                </w14:textOutline>
              </w:rPr>
              <w:t>high stress levels, unmanageable workloads</w:t>
            </w:r>
            <w:r>
              <w:rPr>
                <w:rFonts w:ascii="Arial" w:hAnsi="Arial"/>
                <w:rtl w:val="0"/>
                <w:lang w:val="en-US"/>
                <w14:textOutline w14:w="12700" w14:cap="flat">
                  <w14:noFill/>
                  <w14:miter w14:lim="400000"/>
                </w14:textOutline>
              </w:rPr>
              <w:t xml:space="preserve"> or</w:t>
            </w:r>
            <w:r>
              <w:rPr>
                <w:rFonts w:ascii="Arial" w:hAnsi="Arial"/>
                <w:rtl w:val="0"/>
                <w:lang w:val="en-US"/>
                <w14:textOutline w14:w="12700" w14:cap="flat">
                  <w14:noFill/>
                  <w14:miter w14:lim="400000"/>
                </w14:textOutline>
              </w:rPr>
              <w:t xml:space="preserve"> colleague conflict. Research released in 2019 showed 8.6 million sick days were taken due to workplace dissatisfaction rather than actual illness (McCulloch, 2020). This has a</w:t>
            </w:r>
            <w:r>
              <w:rPr>
                <w:rFonts w:ascii="Arial" w:hAnsi="Arial"/>
                <w:rtl w:val="0"/>
                <w:lang w:val="en-US"/>
                <w14:textOutline w14:w="12700" w14:cap="flat">
                  <w14:noFill/>
                  <w14:miter w14:lim="400000"/>
                </w14:textOutline>
              </w:rPr>
              <w:t xml:space="preserve">n </w:t>
            </w:r>
            <w:r>
              <w:rPr>
                <w:rFonts w:ascii="Arial" w:hAnsi="Arial"/>
                <w:rtl w:val="0"/>
                <w:lang w:val="en-US"/>
                <w14:textOutline w14:w="12700" w14:cap="flat">
                  <w14:noFill/>
                  <w14:miter w14:lim="400000"/>
                </w14:textOutline>
              </w:rPr>
              <w:t>impact on the Company</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performance</w:t>
            </w:r>
            <w:r>
              <w:rPr>
                <w:rFonts w:ascii="Arial" w:hAnsi="Arial"/>
                <w:rtl w:val="0"/>
                <w:lang w:val="en-US"/>
                <w14:textOutline w14:w="12700" w14:cap="flat">
                  <w14:noFill/>
                  <w14:miter w14:lim="400000"/>
                </w14:textOutline>
              </w:rPr>
              <w:t xml:space="preserve"> through lower outputs, which can then lead to a decrease in the service provided to customers, </w:t>
            </w:r>
            <w:r>
              <w:rPr>
                <w:rFonts w:ascii="Arial" w:hAnsi="Arial"/>
                <w:rtl w:val="0"/>
                <w:lang w:val="en-US"/>
                <w14:textOutline w14:w="12700" w14:cap="flat">
                  <w14:noFill/>
                  <w14:miter w14:lim="400000"/>
                </w14:textOutline>
              </w:rPr>
              <w:t>risking</w:t>
            </w:r>
            <w:r>
              <w:rPr>
                <w:rFonts w:ascii="Arial" w:hAnsi="Arial"/>
                <w:rtl w:val="0"/>
                <w:lang w:val="en-US"/>
                <w14:textOutline w14:w="12700" w14:cap="flat">
                  <w14:noFill/>
                  <w14:miter w14:lim="400000"/>
                </w14:textOutline>
              </w:rPr>
              <w:t xml:space="preserve"> reputational and financial implications</w:t>
            </w:r>
            <w:r>
              <w:rPr>
                <w:rFonts w:ascii="Arial" w:hAnsi="Arial"/>
                <w:rtl w:val="0"/>
                <w:lang w:val="en-US"/>
                <w14:textOutline w14:w="12700" w14:cap="flat">
                  <w14:noFill/>
                  <w14:miter w14:lim="400000"/>
                </w14:textOutline>
              </w:rPr>
              <w:t>.</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HR analyse data to explore trends, including absence frequency, length and reason. This is to identify any current or potential concerns that need addressing. This could be through improvement or increased promotion of support tools or changes in manager approach (CIPD, 2025b).</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lang w:val="en-US"/>
                <w14:textOutline w14:w="12700" w14:cap="flat">
                  <w14:noFill/>
                  <w14:miter w14:lim="400000"/>
                </w14:textOutline>
              </w:rPr>
              <w:t xml:space="preserve">For long term cases and those where a high number of short term </w:t>
            </w:r>
            <w:r>
              <w:rPr>
                <w:rFonts w:ascii="Arial" w:hAnsi="Arial"/>
                <w:rtl w:val="0"/>
                <w:lang w:val="en-US"/>
                <w14:textOutline w14:w="12700" w14:cap="flat">
                  <w14:noFill/>
                  <w14:miter w14:lim="400000"/>
                </w14:textOutline>
              </w:rPr>
              <w:t>incidents</w:t>
            </w:r>
            <w:r>
              <w:rPr>
                <w:rFonts w:ascii="Arial" w:hAnsi="Arial"/>
                <w:rtl w:val="0"/>
                <w:lang w:val="en-US"/>
                <w14:textOutline w14:w="12700" w14:cap="flat">
                  <w14:noFill/>
                  <w14:miter w14:lim="400000"/>
                </w14:textOutline>
              </w:rPr>
              <w:t xml:space="preserve"> have developed, occupational health guidance is recommended so managers can have a medical understanding of the absence history and evaluate whether all support measures have been actioned</w:t>
            </w:r>
            <w:r>
              <w:rPr>
                <w:rFonts w:ascii="Arial" w:hAnsi="Arial"/>
                <w:rtl w:val="0"/>
                <w:lang w:val="en-US"/>
                <w14:textOutline w14:w="12700" w14:cap="flat">
                  <w14:noFill/>
                  <w14:miter w14:lim="400000"/>
                </w14:textOutline>
              </w:rPr>
              <w:t>, including reasonable adjustments</w:t>
            </w:r>
            <w:r>
              <w:rPr>
                <w:rFonts w:ascii="Arial" w:hAnsi="Arial"/>
                <w:rtl w:val="0"/>
                <w:lang w:val="en-US"/>
                <w14:textOutline w14:w="12700" w14:cap="flat">
                  <w14:noFill/>
                  <w14:miter w14:lim="400000"/>
                </w14:textOutline>
              </w:rPr>
              <w:t xml:space="preserve">. In </w:t>
            </w:r>
            <w:r>
              <w:rPr>
                <w:rFonts w:ascii="Arial" w:hAnsi="Arial"/>
                <w:rtl w:val="0"/>
                <w:lang w:val="en-US"/>
                <w14:textOutline w14:w="12700" w14:cap="flat">
                  <w14:noFill/>
                  <w14:miter w14:lim="400000"/>
                </w14:textOutline>
              </w:rPr>
              <w:t>general</w:t>
            </w:r>
            <w:r>
              <w:rPr>
                <w:rFonts w:ascii="Arial" w:hAnsi="Arial"/>
                <w:rtl w:val="0"/>
                <w:lang w:val="en-US"/>
                <w14:textOutline w14:w="12700" w14:cap="flat">
                  <w14:noFill/>
                  <w14:miter w14:lim="400000"/>
                </w14:textOutline>
              </w:rPr>
              <w:t xml:space="preserve">, roles can only be adjusted to a certain point before they become intangible long term due to </w:t>
            </w:r>
            <w:r>
              <w:rPr>
                <w:rFonts w:ascii="Arial" w:hAnsi="Arial"/>
                <w:rtl w:val="0"/>
                <w:lang w:val="en-US"/>
                <w14:textOutline w14:w="12700" w14:cap="flat">
                  <w14:noFill/>
                  <w14:miter w14:lim="400000"/>
                </w14:textOutline>
              </w:rPr>
              <w:t>the duties changing vastly beyond the role requirement</w:t>
            </w:r>
            <w:r>
              <w:rPr>
                <w:rFonts w:ascii="Arial" w:hAnsi="Arial"/>
                <w:rtl w:val="0"/>
                <w:lang w:val="en-US"/>
                <w14:textOutline w14:w="12700" w14:cap="flat">
                  <w14:noFill/>
                  <w14:miter w14:lim="400000"/>
                </w14:textOutline>
              </w:rPr>
              <w:t xml:space="preserve">. This is when capability needs to be evaluated. </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5</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8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07e97"/>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59798" cy="2953522"/>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Screenshot 2025-05-04 at 10.01.16.png"/>
                          <pic:cNvPicPr>
                            <a:picLocks noChangeAspect="0"/>
                          </pic:cNvPicPr>
                        </pic:nvPicPr>
                        <pic:blipFill>
                          <a:blip r:embed="rId25">
                            <a:extLst/>
                          </a:blip>
                          <a:srcRect l="0" t="0" r="0" b="0"/>
                          <a:stretch>
                            <a:fillRect/>
                          </a:stretch>
                        </pic:blipFill>
                        <pic:spPr>
                          <a:xfrm>
                            <a:off x="0" y="0"/>
                            <a:ext cx="5259798" cy="2953522"/>
                          </a:xfrm>
                          <a:prstGeom prst="rect">
                            <a:avLst/>
                          </a:prstGeom>
                        </pic:spPr>
                      </pic:pic>
                    </a:graphicData>
                  </a:graphic>
                </wp:inline>
              </w:drawing>
            </w:r>
          </w:p>
        </w:tc>
      </w:tr>
      <w:tr>
        <w:tblPrEx>
          <w:shd w:val="clear" w:color="auto" w:fill="auto"/>
        </w:tblPrEx>
        <w:trPr>
          <w:trHeight w:val="5319"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When absence levels become unsustainable, managers should evaluate whether a medical capability process should be initiated. Occupational health guidance is taken as the initial step to understand more about the colleague</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s health condition, prognosis and if they are fit to work in their current or an alternative role (Peninsula Group, 2025). HR will work with managers throughout the process to avoid any discrimination or misinterpretation of policy (ACAS, 2024).</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The business impact should be considered as there are significant implications due to sickness absence and having cases that are not improving will only exasperate that. The financial implications to the business are significant. Research conducted in 2023 found that the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hidden cost</w:t>
            </w:r>
            <w:r>
              <w:rPr>
                <w:rFonts w:ascii="Arial" w:hAnsi="Arial" w:hint="default"/>
                <w:rtl w:val="0"/>
                <w14:textOutline w14:w="12700" w14:cap="flat">
                  <w14:noFill/>
                  <w14:miter w14:lim="400000"/>
                </w14:textOutline>
              </w:rPr>
              <w:t xml:space="preserve">’ </w:t>
            </w:r>
            <w:r>
              <w:rPr>
                <w:rFonts w:ascii="Arial" w:hAnsi="Arial"/>
                <w:rtl w:val="0"/>
                <w14:textOutline w14:w="12700" w14:cap="flat">
                  <w14:noFill/>
                  <w14:miter w14:lim="400000"/>
                </w14:textOutline>
              </w:rPr>
              <w:t xml:space="preserve">of sickness absence reached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 xml:space="preserve">103billion, a rise of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 xml:space="preserve">30billion on 2018 (Jackson, 2024).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There is the impact on the team where the absence originated. When a colleague is off sick, the workload tends to be spread out to colleagues. This is acceptable for a short, singular period, but when it is frequent and long term, the health and wellbeing of the team can be harmed, creating a vicious cycle where secondary sickness absence can occur (HCML, 2024).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Initially, managers would consider if the employee is fit for redeployment to a more suitable role or if their current role can be adjusted on a temporary basis. If neither of those are possible, ill health dismissal may be the only option.</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6</w:t>
            </w:r>
          </w:p>
        </w:tc>
      </w:tr>
      <w:tr>
        <w:tblPrEx>
          <w:shd w:val="clear" w:color="auto" w:fill="auto"/>
        </w:tblPrEx>
        <w:trPr>
          <w:trHeight w:val="0"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4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395b2"/>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0" cy="0"/>
                  <wp:effectExtent l="0" t="0" r="0" b="0"/>
                  <wp:docPr id="1073741847" name="officeArt object"/>
                  <wp:cNvGraphicFramePr/>
                  <a:graphic xmlns:a="http://schemas.openxmlformats.org/drawingml/2006/main">
                    <a:graphicData uri="http://schemas.openxmlformats.org/drawingml/2006/picture">
                      <pic:pic xmlns:pic="http://schemas.openxmlformats.org/drawingml/2006/picture">
                        <pic:nvPicPr>
                          <pic:cNvPr id="1073741847" name="Screenshot 2025-05-04 at 10.01.23.png"/>
                          <pic:cNvPicPr>
                            <a:picLocks noChangeAspect="0"/>
                          </pic:cNvPicPr>
                        </pic:nvPicPr>
                        <pic:blipFill>
                          <a:blip r:embed="rId26">
                            <a:extLst/>
                          </a:blip>
                          <a:srcRect l="0" t="0" r="0" b="0"/>
                          <a:stretch>
                            <a:fillRect/>
                          </a:stretch>
                        </pic:blipFill>
                        <pic:spPr>
                          <a:xfrm>
                            <a:off x="0" y="0"/>
                            <a:ext cx="0" cy="0"/>
                          </a:xfrm>
                          <a:prstGeom prst="rect">
                            <a:avLst/>
                          </a:prstGeom>
                        </pic:spPr>
                      </pic:pic>
                    </a:graphicData>
                  </a:graphic>
                </wp:inline>
              </w:drawing>
            </w:r>
          </w:p>
        </w:tc>
      </w:tr>
      <w:tr>
        <w:tblPrEx>
          <w:shd w:val="clear" w:color="auto" w:fill="auto"/>
        </w:tblPrEx>
        <w:trPr>
          <w:trHeight w:val="4294967136"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The stages of the attendance management process allow managers to use discretion when determining the outcome of each formal stage. Each case should be evaluated based on its own merits and not a </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one size fits all</w:t>
            </w:r>
            <w:r>
              <w:rPr>
                <w:rFonts w:ascii="Arial" w:hAnsi="Arial" w:hint="default"/>
                <w:rtl w:val="0"/>
                <w14:textOutline w14:w="12700" w14:cap="flat">
                  <w14:noFill/>
                  <w14:miter w14:lim="400000"/>
                </w14:textOutline>
              </w:rPr>
              <w:t xml:space="preserve">’ </w:t>
            </w:r>
            <w:r>
              <w:rPr>
                <w:rFonts w:ascii="Arial" w:hAnsi="Arial"/>
                <w:rtl w:val="0"/>
                <w14:textOutline w14:w="12700" w14:cap="flat">
                  <w14:noFill/>
                  <w14:miter w14:lim="400000"/>
                </w14:textOutline>
              </w:rPr>
              <w:t>approach. This instills fairness in the process but comes with consistency issues. HR are present at meetings of stage 2 onwards to ensure this consistency. However, some view this as time consuming and withholding trust in a manager</w:t>
            </w:r>
            <w:r>
              <w:rPr>
                <w:rFonts w:ascii="Arial" w:hAnsi="Arial" w:hint="default"/>
                <w:rtl w:val="0"/>
                <w14:textOutline w14:w="12700" w14:cap="flat">
                  <w14:noFill/>
                  <w14:miter w14:lim="400000"/>
                </w14:textOutline>
              </w:rPr>
              <w:t>’</w:t>
            </w:r>
            <w:r>
              <w:rPr>
                <w:rFonts w:ascii="Arial" w:hAnsi="Arial"/>
                <w:rtl w:val="0"/>
                <w14:textOutline w14:w="12700" w14:cap="flat">
                  <w14:noFill/>
                  <w14:miter w14:lim="400000"/>
                </w14:textOutline>
              </w:rPr>
              <w:t xml:space="preserve">s judgement without considering discrimination or legal implications.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 xml:space="preserve">Looking forward, it would be empowering for managers to led on stage 2 meetings with HR involvement shifted to stage 3 onwards. This would, initially, be a trial depending on how managers handle the process. After a 12 month period, the Kirkpatrick model will be used as a guide when evaluating the impact on the business by looking at the level of verbal warning issued and the reasons why (Kirkpatrick Partners, No Date). If successful, this change would give time back to the HR team to focus on other projects and increase empowerment and autonomy for line managers. However, managers would only be allowed to led on stage 2 meetings if they have participated in attendance management training. This is where senior managers need to lead and influence their managers in understanding the value of effectively managing absence. </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tbl>
      <w:tblPr>
        <w:tblW w:w="1070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388"/>
        <w:gridCol w:w="8314"/>
      </w:tblGrid>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rtl w:val="0"/>
              </w:rPr>
              <w:t>Slide 7</w:t>
            </w:r>
          </w:p>
        </w:tc>
      </w:tr>
      <w:tr>
        <w:tblPrEx>
          <w:shd w:val="clear" w:color="auto" w:fill="auto"/>
        </w:tblPrEx>
        <w:trPr>
          <w:trHeight w:val="4651" w:hRule="atLeast"/>
        </w:trPr>
        <w:tc>
          <w:tcPr>
            <w:tcW w:type="dxa" w:w="238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0"/>
              <w:left w:type="dxa" w:w="80"/>
              <w:bottom w:type="dxa" w:w="0"/>
              <w:right w:type="dxa" w:w="80"/>
            </w:tcMar>
            <w:vAlign w:val="top"/>
          </w:tcPr>
          <w:p>
            <w:pPr>
              <w:pStyle w:val="Table Style 2"/>
              <w:bidi w:val="0"/>
            </w:pPr>
            <w:r>
              <w:rPr>
                <w:rFonts w:ascii="Helvetica Neue" w:cs="Arial Unicode MS" w:hAnsi="Helvetica Neue" w:eastAsia="Arial Unicode MS"/>
                <w:rtl w:val="0"/>
              </w:rPr>
              <w:t xml:space="preserve">Suggested Time - </w:t>
            </w:r>
          </w:p>
          <w:p>
            <w:pPr>
              <w:pStyle w:val="Table Style 2"/>
              <w:bidi w:val="0"/>
            </w:pPr>
          </w:p>
          <w:p>
            <w:pPr>
              <w:pStyle w:val="Table Style 2"/>
              <w:bidi w:val="0"/>
            </w:pPr>
            <w:r>
              <w:rPr>
                <w:rFonts w:ascii="Helvetica Neue" w:cs="Arial Unicode MS" w:hAnsi="Helvetica Neue" w:eastAsia="Arial Unicode MS"/>
                <w:rtl w:val="0"/>
              </w:rPr>
              <w:t>2 minutes</w:t>
            </w:r>
          </w:p>
        </w:tc>
        <w:tc>
          <w:tcPr>
            <w:tcW w:type="dxa" w:w="831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484a1"/>
            <w:tcMar>
              <w:top w:type="dxa" w:w="0"/>
              <w:left w:type="dxa" w:w="80"/>
              <w:bottom w:type="dxa" w:w="0"/>
              <w:right w:type="dxa" w:w="80"/>
            </w:tcMar>
            <w:vAlign w:val="top"/>
          </w:tcPr>
          <w:p>
            <w:pPr>
              <w:spacing w:before="0" w:after="0"/>
              <w:ind w:left="0" w:right="0" w:firstLine="0"/>
              <w:jc w:val="center"/>
            </w:pPr>
            <w:r>
              <w:drawing xmlns:a="http://schemas.openxmlformats.org/drawingml/2006/main">
                <wp:inline distT="0" distB="0" distL="0" distR="0">
                  <wp:extent cx="5224320" cy="2953522"/>
                  <wp:effectExtent l="0" t="0" r="0" b="0"/>
                  <wp:docPr id="1073741848" name="officeArt object"/>
                  <wp:cNvGraphicFramePr/>
                  <a:graphic xmlns:a="http://schemas.openxmlformats.org/drawingml/2006/main">
                    <a:graphicData uri="http://schemas.openxmlformats.org/drawingml/2006/picture">
                      <pic:pic xmlns:pic="http://schemas.openxmlformats.org/drawingml/2006/picture">
                        <pic:nvPicPr>
                          <pic:cNvPr id="1073741848" name="Screenshot 2025-05-04 at 10.01.29.png"/>
                          <pic:cNvPicPr>
                            <a:picLocks noChangeAspect="0"/>
                          </pic:cNvPicPr>
                        </pic:nvPicPr>
                        <pic:blipFill>
                          <a:blip r:embed="rId27">
                            <a:extLst/>
                          </a:blip>
                          <a:srcRect l="0" t="0" r="0" b="0"/>
                          <a:stretch>
                            <a:fillRect/>
                          </a:stretch>
                        </pic:blipFill>
                        <pic:spPr>
                          <a:xfrm>
                            <a:off x="0" y="0"/>
                            <a:ext cx="5224320" cy="2953522"/>
                          </a:xfrm>
                          <a:prstGeom prst="rect">
                            <a:avLst/>
                          </a:prstGeom>
                        </pic:spPr>
                      </pic:pic>
                    </a:graphicData>
                  </a:graphic>
                </wp:inline>
              </w:drawing>
            </w:r>
          </w:p>
        </w:tc>
      </w:tr>
      <w:tr>
        <w:tblPrEx>
          <w:shd w:val="clear" w:color="auto" w:fill="auto"/>
        </w:tblPrEx>
        <w:trPr>
          <w:trHeight w:val="295" w:hRule="atLeast"/>
        </w:trPr>
        <w:tc>
          <w:tcPr>
            <w:tcW w:type="dxa" w:w="10702"/>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pPr>
            <w:r>
              <w:rPr>
                <w:rFonts w:ascii="Arial" w:hAnsi="Arial"/>
                <w:rtl w:val="0"/>
                <w14:textOutline w14:w="12700" w14:cap="flat">
                  <w14:noFill/>
                  <w14:miter w14:lim="400000"/>
                </w14:textOutline>
              </w:rPr>
              <w:t>Answer - All of the Above</w:t>
            </w:r>
          </w:p>
        </w:tc>
      </w:tr>
    </w:tbl>
    <w:p>
      <w:pPr>
        <w:pStyle w:val="Body"/>
        <w:jc w:val="both"/>
        <w:rPr>
          <w:rFonts w:ascii="Arial" w:cs="Arial" w:hAnsi="Arial" w:eastAsia="Arial"/>
          <w:i w:val="1"/>
          <w:iCs w:val="1"/>
          <w:sz w:val="24"/>
          <w:szCs w:val="24"/>
          <w:u w:val="single"/>
        </w:rPr>
      </w:pPr>
    </w:p>
    <w:p>
      <w:pPr>
        <w:pStyle w:val="Body"/>
        <w:jc w:val="both"/>
        <w:rPr>
          <w:rFonts w:ascii="Arial" w:cs="Arial" w:hAnsi="Arial" w:eastAsia="Arial"/>
          <w:i w:val="1"/>
          <w:iCs w:val="1"/>
          <w:sz w:val="24"/>
          <w:szCs w:val="24"/>
          <w:u w:val="single"/>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Task 2</w:t>
      </w:r>
    </w:p>
    <w:p>
      <w:pPr>
        <w:pStyle w:val="Body"/>
        <w:jc w:val="both"/>
        <w:rPr>
          <w:rFonts w:ascii="Arial" w:cs="Arial" w:hAnsi="Arial" w:eastAsia="Arial"/>
          <w:sz w:val="24"/>
          <w:szCs w:val="24"/>
          <w:u w:val="single"/>
        </w:rPr>
      </w:pPr>
    </w:p>
    <w:p>
      <w:pPr>
        <w:pStyle w:val="Body"/>
        <w:jc w:val="both"/>
        <w:rPr>
          <w:rFonts w:ascii="Arial" w:cs="Arial" w:hAnsi="Arial" w:eastAsia="Arial"/>
          <w:sz w:val="24"/>
          <w:szCs w:val="24"/>
          <w:u w:val="single"/>
        </w:rPr>
      </w:pPr>
      <w:r>
        <w:rPr>
          <w:rFonts w:ascii="Arial" w:hAnsi="Arial"/>
          <w:sz w:val="24"/>
          <w:szCs w:val="24"/>
          <w:u w:val="single"/>
          <w:rtl w:val="0"/>
          <w:lang w:val="en-US"/>
        </w:rPr>
        <w:t>Content:</w:t>
      </w:r>
    </w:p>
    <w:p>
      <w:pPr>
        <w:pStyle w:val="Body"/>
        <w:jc w:val="both"/>
        <w:rPr>
          <w:rFonts w:ascii="Arial" w:cs="Arial" w:hAnsi="Arial" w:eastAsia="Arial"/>
          <w:sz w:val="24"/>
          <w:szCs w:val="24"/>
          <w:u w:val="single"/>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Driving Performance: A Line Manager</w:t>
      </w:r>
      <w:r>
        <w:rPr>
          <w:rFonts w:ascii="Arial" w:hAnsi="Arial" w:hint="default"/>
          <w:b w:val="1"/>
          <w:bCs w:val="1"/>
          <w:sz w:val="24"/>
          <w:szCs w:val="24"/>
          <w:rtl w:val="0"/>
          <w:lang w:val="en-US"/>
        </w:rPr>
        <w:t>’</w:t>
      </w:r>
      <w:r>
        <w:rPr>
          <w:rFonts w:ascii="Arial" w:hAnsi="Arial"/>
          <w:b w:val="1"/>
          <w:bCs w:val="1"/>
          <w:sz w:val="24"/>
          <w:szCs w:val="24"/>
          <w:rtl w:val="0"/>
          <w:lang w:val="en-US"/>
        </w:rPr>
        <w:t>s Guide</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Line managers play a crucial role in driving performance across the Company through the use of business and HR initiatives, whilst maintaining a well developed and performance minded group of colleagues. If a team is underperforming, it can reflect on the manager </w:t>
      </w:r>
      <w:r>
        <w:rPr>
          <w:rFonts w:ascii="Arial" w:hAnsi="Arial" w:hint="default"/>
          <w:sz w:val="24"/>
          <w:szCs w:val="24"/>
          <w:rtl w:val="0"/>
          <w:lang w:val="en-US"/>
        </w:rPr>
        <w:t>’</w:t>
      </w:r>
      <w:r>
        <w:rPr>
          <w:rFonts w:ascii="Arial" w:hAnsi="Arial"/>
          <w:sz w:val="24"/>
          <w:szCs w:val="24"/>
          <w:rtl w:val="0"/>
          <w:lang w:val="en-US"/>
        </w:rPr>
        <w:t>s ability to carry out their role effectively.</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Senior leadership need to provide clear direction to the organisation so that managers can operate in line with this and manage their teams accordingly. An individual</w:t>
      </w:r>
      <w:r>
        <w:rPr>
          <w:rFonts w:ascii="Arial" w:hAnsi="Arial" w:hint="default"/>
          <w:sz w:val="24"/>
          <w:szCs w:val="24"/>
          <w:rtl w:val="0"/>
          <w:lang w:val="en-US"/>
        </w:rPr>
        <w:t>’</w:t>
      </w:r>
      <w:r>
        <w:rPr>
          <w:rFonts w:ascii="Arial" w:hAnsi="Arial"/>
          <w:sz w:val="24"/>
          <w:szCs w:val="24"/>
          <w:rtl w:val="0"/>
          <w:lang w:val="en-US"/>
        </w:rPr>
        <w:t>s goals and objectives should filter down from the top of the structure through the ranks down to entry level positions (Leighton, 2022). This ensures that all colleagues are working towards the collective Company vision (Weddle, 2025). It is also the manager</w:t>
      </w:r>
      <w:r>
        <w:rPr>
          <w:rFonts w:ascii="Arial" w:hAnsi="Arial" w:hint="default"/>
          <w:sz w:val="24"/>
          <w:szCs w:val="24"/>
          <w:rtl w:val="0"/>
          <w:lang w:val="en-US"/>
        </w:rPr>
        <w:t>’</w:t>
      </w:r>
      <w:r>
        <w:rPr>
          <w:rFonts w:ascii="Arial" w:hAnsi="Arial"/>
          <w:sz w:val="24"/>
          <w:szCs w:val="24"/>
          <w:rtl w:val="0"/>
          <w:lang w:val="en-US"/>
        </w:rPr>
        <w:t>s responsibility to bring to life a colleague</w:t>
      </w:r>
      <w:r>
        <w:rPr>
          <w:rFonts w:ascii="Arial" w:hAnsi="Arial" w:hint="default"/>
          <w:sz w:val="24"/>
          <w:szCs w:val="24"/>
          <w:rtl w:val="0"/>
          <w:lang w:val="en-US"/>
        </w:rPr>
        <w:t>’</w:t>
      </w:r>
      <w:r>
        <w:rPr>
          <w:rFonts w:ascii="Arial" w:hAnsi="Arial"/>
          <w:sz w:val="24"/>
          <w:szCs w:val="24"/>
          <w:rtl w:val="0"/>
          <w:lang w:val="en-US"/>
        </w:rPr>
        <w:t>s contribution and involvement in the Company</w:t>
      </w:r>
      <w:r>
        <w:rPr>
          <w:rFonts w:ascii="Arial" w:hAnsi="Arial" w:hint="default"/>
          <w:sz w:val="24"/>
          <w:szCs w:val="24"/>
          <w:rtl w:val="0"/>
          <w:lang w:val="en-US"/>
        </w:rPr>
        <w:t>’</w:t>
      </w:r>
      <w:r>
        <w:rPr>
          <w:rFonts w:ascii="Arial" w:hAnsi="Arial"/>
          <w:sz w:val="24"/>
          <w:szCs w:val="24"/>
          <w:rtl w:val="0"/>
          <w:lang w:val="en-US"/>
        </w:rPr>
        <w:t>s performance. This will drive engagement  and commitment whilst giving an employee</w:t>
      </w:r>
      <w:r>
        <w:rPr>
          <w:rFonts w:ascii="Arial" w:hAnsi="Arial" w:hint="default"/>
          <w:sz w:val="24"/>
          <w:szCs w:val="24"/>
          <w:rtl w:val="0"/>
          <w:lang w:val="en-US"/>
        </w:rPr>
        <w:t>’</w:t>
      </w:r>
      <w:r>
        <w:rPr>
          <w:rFonts w:ascii="Arial" w:hAnsi="Arial"/>
          <w:sz w:val="24"/>
          <w:szCs w:val="24"/>
          <w:rtl w:val="0"/>
          <w:lang w:val="en-US"/>
        </w:rPr>
        <w:t xml:space="preserve">s work meaning and purpose. </w:t>
      </w:r>
    </w:p>
    <w:p>
      <w:pPr>
        <w:pStyle w:val="Body"/>
        <w:jc w:val="both"/>
        <w:rPr>
          <w:rFonts w:ascii="Arial" w:cs="Arial" w:hAnsi="Arial" w:eastAsia="Arial"/>
          <w:sz w:val="24"/>
          <w:szCs w:val="24"/>
        </w:rPr>
      </w:pPr>
    </w:p>
    <w:p>
      <w:pPr>
        <w:pStyle w:val="Body"/>
        <w:jc w:val="both"/>
        <w:rPr>
          <w:rFonts w:ascii="Arial" w:cs="Arial" w:hAnsi="Arial" w:eastAsia="Arial"/>
          <w:sz w:val="24"/>
          <w:szCs w:val="24"/>
        </w:rPr>
      </w:pPr>
      <w:r>
        <w:rPr>
          <w:rFonts w:ascii="Arial" w:hAnsi="Arial"/>
          <w:sz w:val="24"/>
          <w:szCs w:val="24"/>
          <w:rtl w:val="0"/>
          <w:lang w:val="en-US"/>
        </w:rPr>
        <w:t xml:space="preserve">There are various HR processes that provide managers with a clear, consistent and fair method in managing performance. These range from performance improvement and attendance management to learning and development programmes and funding. </w:t>
      </w:r>
    </w:p>
    <w:p>
      <w:pPr>
        <w:pStyle w:val="Body"/>
        <w:jc w:val="both"/>
        <w:rPr>
          <w:rFonts w:ascii="Arial" w:cs="Arial" w:hAnsi="Arial" w:eastAsia="Arial"/>
          <w:sz w:val="24"/>
          <w:szCs w:val="24"/>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u w:val="single"/>
          <w14:textOutline w14:w="12700" w14:cap="flat">
            <w14:noFill/>
            <w14:miter w14:lim="400000"/>
          </w14:textOutline>
        </w:rPr>
      </w:pPr>
      <w:r>
        <w:rPr>
          <w:rFonts w:ascii="Arial" w:hAnsi="Arial"/>
          <w:u w:val="single"/>
          <w:rtl w:val="0"/>
          <w:lang w:val="en-US"/>
          <w14:textOutline w14:w="12700" w14:cap="flat">
            <w14:noFill/>
            <w14:miter w14:lim="400000"/>
          </w14:textOutline>
        </w:rPr>
        <w:t>Adaptability</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u w:val="single"/>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Managers need to be adaptable when managing performance. The policy and principles for managing performance remain the same, but the approach should be individual.</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Generational co-hort theory demonstrates that different age groups require varying levels of intervention and engagement due to differing values, workplace norms and expectations. For example, </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Baby Boomers</w:t>
      </w:r>
      <w:r>
        <w:rPr>
          <w:rFonts w:ascii="Arial" w:hAnsi="Arial" w:hint="default"/>
          <w:rtl w:val="0"/>
          <w:lang w:val="en-US"/>
          <w14:textOutline w14:w="12700" w14:cap="flat">
            <w14:noFill/>
            <w14:miter w14:lim="400000"/>
          </w14:textOutline>
        </w:rPr>
        <w:t xml:space="preserve">’ </w:t>
      </w:r>
      <w:r>
        <w:rPr>
          <w:rFonts w:ascii="Arial" w:hAnsi="Arial"/>
          <w:rtl w:val="0"/>
          <w:lang w:val="en-US"/>
          <w14:textOutline w14:w="12700" w14:cap="flat">
            <w14:noFill/>
            <w14:miter w14:lim="400000"/>
          </w14:textOutline>
        </w:rPr>
        <w:t xml:space="preserve">tend to be vocal and expressive with a strong desire for achievement and self-improvement and are willing to take career risks for financial prosperity and growth, whereas </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Millennials</w:t>
      </w:r>
      <w:r>
        <w:rPr>
          <w:rFonts w:ascii="Arial" w:hAnsi="Arial" w:hint="default"/>
          <w:rtl w:val="0"/>
          <w:lang w:val="en-US"/>
          <w14:textOutline w14:w="12700" w14:cap="flat">
            <w14:noFill/>
            <w14:miter w14:lim="400000"/>
          </w14:textOutline>
        </w:rPr>
        <w:t xml:space="preserve">’ </w:t>
      </w:r>
      <w:r>
        <w:rPr>
          <w:rFonts w:ascii="Arial" w:hAnsi="Arial"/>
          <w:rtl w:val="0"/>
          <w:lang w:val="en-US"/>
          <w14:textOutline w14:w="12700" w14:cap="flat">
            <w14:noFill/>
            <w14:miter w14:lim="400000"/>
          </w14:textOutline>
        </w:rPr>
        <w:t>place a higher value on flexible working arrangements and social impact rather than solely on financial reward (</w:t>
      </w:r>
      <w:r>
        <w:rPr>
          <w:rFonts w:ascii="Arial" w:hAnsi="Arial"/>
          <w:rtl w:val="0"/>
          <w14:textOutline w14:w="12700" w14:cap="flat">
            <w14:noFill/>
            <w14:miter w14:lim="400000"/>
          </w14:textOutline>
        </w:rPr>
        <w:t>Huyler</w:t>
      </w:r>
      <w:r>
        <w:rPr>
          <w:rFonts w:ascii="Arial" w:hAnsi="Arial"/>
          <w:rtl w:val="0"/>
          <w:lang w:val="en-US"/>
          <w14:textOutline w14:w="12700" w14:cap="flat">
            <w14:noFill/>
            <w14:miter w14:lim="400000"/>
          </w14:textOutline>
        </w:rPr>
        <w:t xml:space="preserve"> </w:t>
      </w:r>
      <w:r>
        <w:rPr>
          <w:rFonts w:ascii="Arial" w:hAnsi="Arial"/>
          <w:i w:val="1"/>
          <w:iCs w:val="1"/>
          <w:rtl w:val="0"/>
          <w:lang w:val="en-US"/>
          <w14:textOutline w14:w="12700" w14:cap="flat">
            <w14:noFill/>
            <w14:miter w14:lim="400000"/>
          </w14:textOutline>
        </w:rPr>
        <w:t>et al</w:t>
      </w:r>
      <w:r>
        <w:rPr>
          <w:rFonts w:ascii="Arial" w:hAnsi="Arial"/>
          <w:rtl w:val="0"/>
          <w:lang w:val="en-US"/>
          <w14:textOutline w14:w="12700" w14:cap="flat">
            <w14:noFill/>
            <w14:miter w14:lim="400000"/>
          </w14:textOutline>
        </w:rPr>
        <w:t>., 2025</w:t>
      </w:r>
      <w:r>
        <w:rPr>
          <w:rFonts w:ascii="Arial" w:hAnsi="Arial"/>
          <w:rtl w:val="0"/>
          <w14:textOutline w14:w="12700" w14:cap="flat">
            <w14:noFill/>
            <w14:miter w14:lim="400000"/>
          </w14:textOutline>
        </w:rPr>
        <w:t>)</w:t>
      </w:r>
      <w:r>
        <w:rPr>
          <w:rFonts w:ascii="Arial" w:hAnsi="Arial"/>
          <w:rtl w:val="0"/>
          <w:lang w:val="en-US"/>
          <w14:textOutline w14:w="12700" w14:cap="flat">
            <w14:noFill/>
            <w14:miter w14:lim="400000"/>
          </w14:textOutline>
        </w:rPr>
        <w:t>. Managers should tune into what individual</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 xml:space="preserve">s driving forces are when setting goals and aligning personal and Company expectations with objectives.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Fostering a constructive, progressive approach is linked with a colleague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psychological safety at work. Feeling able to work creatively, take risks and feel heard are crucial elements to employees being able to perform highly and drive performance within the Company (Cooper, 2023).</w:t>
      </w:r>
    </w:p>
    <w:p>
      <w:pPr>
        <w:pStyle w:val="Body"/>
        <w:jc w:val="both"/>
        <w:rPr>
          <w:rFonts w:ascii="Arial" w:cs="Arial" w:hAnsi="Arial" w:eastAsia="Arial"/>
          <w:sz w:val="24"/>
          <w:szCs w:val="24"/>
        </w:rPr>
      </w:pPr>
    </w:p>
    <w:p>
      <w:pPr>
        <w:pStyle w:val="Body"/>
        <w:jc w:val="both"/>
        <w:rPr>
          <w:rFonts w:ascii="Arial" w:cs="Arial" w:hAnsi="Arial" w:eastAsia="Arial"/>
          <w:sz w:val="24"/>
          <w:szCs w:val="24"/>
          <w:u w:val="single"/>
        </w:rPr>
      </w:pPr>
      <w:r>
        <w:rPr>
          <w:rFonts w:ascii="Arial" w:hAnsi="Arial"/>
          <w:sz w:val="24"/>
          <w:szCs w:val="24"/>
          <w:u w:val="single"/>
          <w:rtl w:val="0"/>
          <w:lang w:val="en-US"/>
        </w:rPr>
        <w:t>Informal Initiatives</w:t>
      </w:r>
    </w:p>
    <w:p>
      <w:pPr>
        <w:pStyle w:val="Body"/>
        <w:jc w:val="both"/>
        <w:rPr>
          <w:rFonts w:ascii="Arial" w:cs="Arial" w:hAnsi="Arial" w:eastAsia="Arial"/>
          <w:sz w:val="24"/>
          <w:szCs w:val="24"/>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Touch points in an employee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career provide opportunity for managers to discuss performance. Managers should have confidence in addressing underperformance and striving for a high performing team (Horne, 2024). Each point interlinks and, if underperformance continues, leads to the formal improvement avenue, which is made simpler when managers have followed all informal steps first. It is best practise to keep records of 1 to 1 meetings so individuals can reflect on the content, both positive and constructive (Timms, 2020). Touch points include: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outline w:val="0"/>
          <w:color w:val="9437ff"/>
          <w14:textOutline w14:w="12700" w14:cap="flat">
            <w14:noFill/>
            <w14:miter w14:lim="400000"/>
          </w14:textOutline>
          <w14:textFill>
            <w14:solidFill>
              <w14:srgbClr w14:val="9437FF"/>
            </w14:solidFill>
          </w14:textFill>
        </w:rPr>
      </w:pP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Accurate and realistic job descriptions that outline expectations and performance metrics. They should not be static but collaboratively reviewed regularly as business focus and objectives evolve.</w:t>
      </w: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Probation periods last 6 months and should have SMART objectives with regular progress catch ups. These interactions contribute to a solid foundation and a sense of belonging. They offer an opportunity to address concerns and how improvement can be made. This is crucial, as highlighting issues early gives the colleague time to implement change (Humble, 2022). When managers have concerns with an employee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conduct or performance, HR will assist with a formal review where expectations can be reaffirmed and possible formal action taken.</w:t>
      </w: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Training requirements should align with the colleague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workload, with new starters having an induction plan. Training, whether mandatory or desirable, should be discussed regularly to ensure continuous development remains central to a colleague</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s progression.</w:t>
      </w: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Managers should be conducting regular 1 to 1 meetings with their teams - monthly at a minimum. Concerns should be raised in a timely, constructive manner with well rounded feedback, support and next steps provided (Investors in People, 2019).</w:t>
      </w: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Development conversations offer a platform for managers and colleagues to discuss progression and career plan. They should be held regularly and focus purely on development, separate from a business as usual catch up. They can take place at various points in the year:</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numPr>
          <w:ilvl w:val="2"/>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Annual Appraisal</w:t>
      </w:r>
    </w:p>
    <w:p>
      <w:pPr>
        <w:pStyle w:val="Default"/>
        <w:numPr>
          <w:ilvl w:val="2"/>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Regular Catch Ups</w:t>
      </w:r>
    </w:p>
    <w:p>
      <w:pPr>
        <w:pStyle w:val="Default"/>
        <w:numPr>
          <w:ilvl w:val="2"/>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Probation reviews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It is important to note that not all individuals strive to progress, which is acceptable, but all colleagues need to conduct continuous development to keep knowledge and skills up to date. Career goals should be discussed and pathways explored, whether internal or external, with support given on how this can be achieved. This could be through webinars and external course funding or role shadowing and mentorships (Fraser-Thill and Gopal, 2023).</w:t>
      </w:r>
    </w:p>
    <w:p>
      <w:pPr>
        <w:pStyle w:val="Default"/>
        <w:numPr>
          <w:ilvl w:val="0"/>
          <w:numId w:val="10"/>
        </w:numPr>
        <w:suppressAutoHyphens w:val="1"/>
        <w:spacing w:before="0" w:line="240" w:lineRule="auto"/>
        <w:jc w:val="both"/>
        <w:outlineLvl w:val="0"/>
        <w:rPr>
          <w:rFonts w:ascii="Arial" w:hAnsi="Arial"/>
          <w:lang w:val="en-US"/>
          <w14:textOutline w14:w="12700" w14:cap="flat">
            <w14:noFill/>
            <w14:miter w14:lim="400000"/>
          </w14:textOutline>
        </w:rPr>
      </w:pPr>
      <w:r>
        <w:rPr>
          <w:rFonts w:ascii="Arial" w:hAnsi="Arial"/>
          <w:rtl w:val="0"/>
          <w:lang w:val="en-US"/>
          <w14:textOutline w14:w="12700" w14:cap="flat">
            <w14:noFill/>
            <w14:miter w14:lim="400000"/>
          </w14:textOutline>
        </w:rPr>
        <w:t>Annual appraisals are a key juncture in reviewing the previous year, discussing successes and implementing improvement opportunities. This can contribute to planning goals around the Company objectives and personal opportunities for growth. They can involve potentially difficult conversations, which links back to the importance of having regular catch ups so the colleague is forewarned of performance concerns (Prokhorenko, No Date).</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The focus needs to shift from only discussing development during the annual appraisal, as this can limit positive outcomes and not allow for regular, productive discussion. CPD is about being continuous in your development so needs to be mapped out throughout the year, not just saved for a single time, as this can lead to employees being disengaged and the Company loosing key talent (Machell, 2023).</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Understanding your workforce is key to making succession plans as you can gain insight into their skillset, improvement areas and career aspirations. Some positions require in-depth knowledge of the business or sector which can be challenging to find externally (Granat, 2019).</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u w:val="single"/>
          <w14:textOutline w14:w="12700" w14:cap="flat">
            <w14:noFill/>
            <w14:miter w14:lim="400000"/>
          </w14:textOutline>
        </w:rPr>
      </w:pPr>
      <w:r>
        <w:rPr>
          <w:rFonts w:ascii="Arial" w:hAnsi="Arial"/>
          <w:u w:val="single"/>
          <w:rtl w:val="0"/>
          <w:lang w:val="en-US"/>
          <w14:textOutline w14:w="12700" w14:cap="flat">
            <w14:noFill/>
            <w14:miter w14:lim="400000"/>
          </w14:textOutline>
        </w:rPr>
        <w:t>Formal Initiatives</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When the formal improvement process is required, managers need to work closely with HR to discuss what steps have been followed to date, what improvement is required and what level of improvement has been made since concerns were first raised. This information aids HR in evaluating whether sufficient informal measures have taken place. This is key to ensuring a fair process is being followed and helps mitigate any risk moving forward as there could be the potential of challenge in the formal stage if informal actions have not been fully explored.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Case law highlights how this cause significant issues for employers.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ind w:left="360"/>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A baker was dismissed from his role due to performance concerns, which the employer felt they had addressed sufficiently. A tribunal found that the employer did not address the concerns in an acceptable, process driven way, follow the ACAS code of conduct or take into account the baker</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 xml:space="preserve">s level of written English. The baker was awarded </w:t>
      </w:r>
      <w:r>
        <w:rPr>
          <w:rFonts w:ascii="Arial" w:hAnsi="Arial" w:hint="default"/>
          <w:rtl w:val="0"/>
          <w:lang w:val="en-US"/>
          <w14:textOutline w14:w="12700" w14:cap="flat">
            <w14:noFill/>
            <w14:miter w14:lim="400000"/>
          </w14:textOutline>
        </w:rPr>
        <w:t>£</w:t>
      </w:r>
      <w:r>
        <w:rPr>
          <w:rFonts w:ascii="Arial" w:hAnsi="Arial"/>
          <w:rtl w:val="0"/>
          <w:lang w:val="en-US"/>
          <w14:textOutline w14:w="12700" w14:cap="flat">
            <w14:noFill/>
            <w14:miter w14:lim="400000"/>
          </w14:textOutline>
        </w:rPr>
        <w:t xml:space="preserve">15,000 in compensation (Webber, 2023).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This level of openness and cooperation is required in all interactions with HR as it is their role to safeguard the employee and employer from potential risk and/or harm that stems from a people practise. The HR role is also to provide knowledge and resources to situations that are sensitive and complex, such as medical capability. This scenario is deeply personal and has many vulnerable points for the Company if not handled correctly, such as possible discrimination or unfair treatment, both of which have detrimental impacts on the business and colleague (IMA, 2023). </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both"/>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As well managers working with HR, HR need to ensure that sufficient training is rolled out in a timely manner to new and existing line managers. This will give managers the initial tools to deal with underperformance informally, limiting the number of potential blockers further down the line. Senior management involved may be required if individuals are not attending mandatory training or following the processes laid out in the sessions. This relationship is crucial and should be ongoing, rather than reactive to an event, as it demonstrates the initiatives importance to the Company (Forbes Expert panel, 2021).</w:t>
      </w:r>
    </w:p>
    <w:p>
      <w:pPr>
        <w:pStyle w:val="Body"/>
        <w:jc w:val="both"/>
        <w:rPr>
          <w:rFonts w:ascii="Arial" w:cs="Arial" w:hAnsi="Arial" w:eastAsia="Arial"/>
          <w:sz w:val="24"/>
          <w:szCs w:val="24"/>
        </w:rPr>
      </w:pPr>
    </w:p>
    <w:p>
      <w:pPr>
        <w:pStyle w:val="Body"/>
        <w:jc w:val="both"/>
        <w:rPr>
          <w:rFonts w:ascii="Arial" w:cs="Arial" w:hAnsi="Arial" w:eastAsia="Arial"/>
          <w:b w:val="1"/>
          <w:bCs w:val="1"/>
          <w:sz w:val="24"/>
          <w:szCs w:val="24"/>
        </w:rPr>
      </w:pPr>
      <w:r>
        <w:rPr>
          <w:rFonts w:ascii="Arial" w:hAnsi="Arial"/>
          <w:b w:val="1"/>
          <w:bCs w:val="1"/>
          <w:sz w:val="24"/>
          <w:szCs w:val="24"/>
          <w:rtl w:val="0"/>
          <w:lang w:val="en-US"/>
        </w:rPr>
        <w:t>References</w:t>
      </w:r>
    </w:p>
    <w:p>
      <w:pPr>
        <w:pStyle w:val="Body"/>
        <w:jc w:val="both"/>
        <w:rPr>
          <w:rFonts w:ascii="Arial" w:cs="Arial" w:hAnsi="Arial" w:eastAsia="Arial"/>
          <w:b w:val="1"/>
          <w:bCs w:val="1"/>
          <w:sz w:val="24"/>
          <w:szCs w:val="24"/>
        </w:rPr>
      </w:pPr>
    </w:p>
    <w:p>
      <w:pPr>
        <w:pStyle w:val="Body"/>
        <w:rPr>
          <w:rFonts w:ascii="Arial" w:cs="Arial" w:hAnsi="Arial" w:eastAsia="Arial"/>
          <w:sz w:val="24"/>
          <w:szCs w:val="24"/>
        </w:rPr>
      </w:pPr>
      <w:r>
        <w:rPr>
          <w:rFonts w:ascii="Arial" w:hAnsi="Arial"/>
          <w:sz w:val="24"/>
          <w:szCs w:val="24"/>
          <w:rtl w:val="0"/>
          <w:lang w:val="en-US"/>
        </w:rPr>
        <w:t xml:space="preserve">ACAS. (2019). </w:t>
      </w:r>
      <w:r>
        <w:rPr>
          <w:rFonts w:ascii="Arial" w:hAnsi="Arial"/>
          <w:i w:val="1"/>
          <w:iCs w:val="1"/>
          <w:sz w:val="24"/>
          <w:szCs w:val="24"/>
          <w:rtl w:val="0"/>
          <w:lang w:val="en-US"/>
        </w:rPr>
        <w:t>Leading people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"https://www.acas.org.uk/sites/default/files/2021-03/guidance-leading-people.pdf"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https://www.acas.org.uk/sites/default/files/2021-03/guidance-leading-people.pdf</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ACAS. (2024). </w:t>
      </w:r>
      <w:r>
        <w:rPr>
          <w:rFonts w:ascii="Arial" w:hAnsi="Arial"/>
          <w:i w:val="1"/>
          <w:iCs w:val="1"/>
          <w:sz w:val="24"/>
          <w:szCs w:val="24"/>
          <w:rtl w:val="0"/>
          <w:lang w:val="en-US"/>
        </w:rPr>
        <w:t>Supporting disabled people at work: Capability and performance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"https://www.acas.org.uk/supporting-disabled-people/capability-and-performance-when-someone-is-disabled"</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https://www.acas.org.uk/supporting-disabled-people/capability-and-performance-when-someone-is-disabled</w:t>
      </w:r>
      <w:r>
        <w:rPr>
          <w:rFonts w:ascii="Arial" w:cs="Arial" w:hAnsi="Arial" w:eastAsia="Arial"/>
          <w:sz w:val="24"/>
          <w:szCs w:val="24"/>
        </w:rPr>
        <w:fldChar w:fldCharType="end" w:fldLock="0"/>
      </w:r>
      <w:r>
        <w:rPr>
          <w:rFonts w:ascii="Arial" w:hAnsi="Arial"/>
          <w:sz w:val="24"/>
          <w:szCs w:val="24"/>
          <w:rtl w:val="0"/>
          <w:lang w:val="en-US"/>
        </w:rPr>
        <w:t xml:space="preserve"> (Accessed 19th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Cardwell, I. (2023). </w:t>
      </w:r>
      <w:r>
        <w:rPr>
          <w:rFonts w:ascii="Arial" w:hAnsi="Arial"/>
          <w:i w:val="1"/>
          <w:iCs w:val="1"/>
          <w:sz w:val="24"/>
          <w:szCs w:val="24"/>
          <w:rtl w:val="0"/>
          <w:lang w:val="en-US"/>
        </w:rPr>
        <w:t>Earlier intervention by managers is the key to tackling sickness absence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"https://www.peoplemanagement.co.uk/article/1829283/earlier-intervention-managers-key-tackling-sickness-absence"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https://www.peoplemanagement.co.uk/article/1829283/earlier-intervention-managers-key-tackling-sickness-absence</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CIPD. (No Date a). </w:t>
      </w:r>
      <w:r>
        <w:rPr>
          <w:rFonts w:ascii="Arial" w:hAnsi="Arial"/>
          <w:i w:val="1"/>
          <w:iCs w:val="1"/>
          <w:sz w:val="24"/>
          <w:szCs w:val="24"/>
          <w:rtl w:val="0"/>
          <w:lang w:val="en-US"/>
        </w:rPr>
        <w:t>Performance management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"https://www.cipd.org/uk/topics/performance-management/#:~:text=Performance%20management%20is%20about%20creating,relationship%20between%20staff%20and%20managers"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https://www.cipd.org/uk/topics/performance-management/#:~:text=Performance%20management%20is%20about%20creating,relationship%20between%20staff%20and%20managers</w:t>
      </w:r>
      <w:r>
        <w:rPr>
          <w:rFonts w:ascii="Arial" w:cs="Arial" w:hAnsi="Arial" w:eastAsia="Arial"/>
          <w:sz w:val="24"/>
          <w:szCs w:val="24"/>
        </w:rPr>
        <w:fldChar w:fldCharType="end" w:fldLock="0"/>
      </w:r>
      <w:r>
        <w:rPr>
          <w:rFonts w:ascii="Arial" w:hAnsi="Arial"/>
          <w:sz w:val="24"/>
          <w:szCs w:val="24"/>
          <w:rtl w:val="0"/>
          <w:lang w:val="en-US"/>
        </w:rPr>
        <w:t xml:space="preserve"> (Accessed 1st April 2025).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CIPD. (No Date b) </w:t>
      </w:r>
      <w:r>
        <w:rPr>
          <w:rFonts w:ascii="Arial" w:hAnsi="Arial"/>
          <w:i w:val="1"/>
          <w:iCs w:val="1"/>
          <w:sz w:val="24"/>
          <w:szCs w:val="24"/>
          <w:rtl w:val="0"/>
          <w:lang w:val="en-US"/>
        </w:rPr>
        <w:t>About CPD</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"https://www.cipd.org/uk/learning/cpd/about/"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https://www.cipd.org/uk/learning/cpd/about/</w:t>
      </w:r>
      <w:r>
        <w:rPr>
          <w:rFonts w:ascii="Arial" w:cs="Arial" w:hAnsi="Arial" w:eastAsia="Arial"/>
          <w:sz w:val="24"/>
          <w:szCs w:val="24"/>
        </w:rPr>
        <w:fldChar w:fldCharType="end" w:fldLock="0"/>
      </w:r>
      <w:r>
        <w:rPr>
          <w:rFonts w:ascii="Arial" w:hAnsi="Arial"/>
          <w:sz w:val="24"/>
          <w:szCs w:val="24"/>
          <w:rtl w:val="0"/>
          <w:lang w:val="en-US"/>
        </w:rPr>
        <w:t xml:space="preserve"> (Accessed 2nd April 2025).</w:t>
      </w:r>
    </w:p>
    <w:p>
      <w:pPr>
        <w:pStyle w:val="Body"/>
        <w:rPr>
          <w:rFonts w:ascii="Arial" w:cs="Arial" w:hAnsi="Arial" w:eastAsia="Arial"/>
          <w:sz w:val="24"/>
          <w:szCs w:val="24"/>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(2018). </w:t>
      </w:r>
      <w:r>
        <w:rPr>
          <w:rFonts w:ascii="Arial" w:hAnsi="Arial"/>
          <w:i w:val="1"/>
          <w:iCs w:val="1"/>
          <w:rtl w:val="0"/>
          <w:lang w:val="en-US"/>
          <w14:textOutline w14:w="12700" w14:cap="flat">
            <w14:noFill/>
            <w14:miter w14:lim="400000"/>
          </w14:textOutline>
        </w:rPr>
        <w:t>The meaning of work</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"https://www.cipd.org/uk/views-and-insights/thought-leadership/the-world-of-work/meaning-of-work/"</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https://www.cipd.org/uk/views-and-insights/thought-leadership/the-world-of-work/meaning-of-work/</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6th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CIPD. (2020). </w:t>
      </w:r>
      <w:r>
        <w:rPr>
          <w:rFonts w:ascii="Arial" w:hAnsi="Arial"/>
          <w:i w:val="1"/>
          <w:iCs w:val="1"/>
          <w:sz w:val="24"/>
          <w:szCs w:val="24"/>
          <w:rtl w:val="0"/>
          <w:lang w:val="en-US"/>
        </w:rPr>
        <w:t>Ratingless performance reviews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"https://www.cipd.org/uk/knowledge/bitesize-research/ratingless-performance-reviews/"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https://www.cipd.org/uk/knowledge/bitesize-research/ratingless-performance-reviews/</w:t>
      </w:r>
      <w:r>
        <w:rPr>
          <w:rFonts w:ascii="Arial" w:cs="Arial" w:hAnsi="Arial" w:eastAsia="Arial"/>
          <w:sz w:val="24"/>
          <w:szCs w:val="24"/>
        </w:rPr>
        <w:fldChar w:fldCharType="end" w:fldLock="0"/>
      </w:r>
      <w:r>
        <w:rPr>
          <w:rFonts w:ascii="Arial" w:hAnsi="Arial"/>
          <w:sz w:val="24"/>
          <w:szCs w:val="24"/>
          <w:rtl w:val="0"/>
          <w:lang w:val="en-US"/>
        </w:rPr>
        <w:t xml:space="preserve"> (Accessed 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CIPD. (2022) </w:t>
      </w:r>
      <w:r>
        <w:rPr>
          <w:rFonts w:ascii="Arial" w:hAnsi="Arial"/>
          <w:i w:val="1"/>
          <w:iCs w:val="1"/>
          <w:sz w:val="24"/>
          <w:szCs w:val="24"/>
          <w:rtl w:val="0"/>
          <w:lang w:val="en-US"/>
        </w:rPr>
        <w:t>Incentive And Recognition: An evidence review</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"https://www.cipd.org/globalassets/media/knowledge/knowledge-hub/evidence-reviews/incentives-recognition-practice-summary_tcm18-105466.pdf"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https://www.cipd.org/globalassets/media/knowledge/knowledge-hub/evidence-reviews/incentives-recognition-practice-summary_tcm18-105466.pdf</w:t>
      </w:r>
      <w:r>
        <w:rPr>
          <w:rFonts w:ascii="Arial" w:cs="Arial" w:hAnsi="Arial" w:eastAsia="Arial"/>
          <w:sz w:val="24"/>
          <w:szCs w:val="24"/>
        </w:rPr>
        <w:fldChar w:fldCharType="end" w:fldLock="0"/>
      </w:r>
      <w:r>
        <w:rPr>
          <w:rFonts w:ascii="Arial" w:hAnsi="Arial"/>
          <w:sz w:val="24"/>
          <w:szCs w:val="24"/>
          <w:rtl w:val="0"/>
          <w:lang w:val="en-US"/>
        </w:rPr>
        <w:t xml:space="preserve"> (Accessed 2nd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(2024a). </w:t>
      </w:r>
      <w:r>
        <w:rPr>
          <w:rFonts w:ascii="Arial" w:hAnsi="Arial"/>
          <w:i w:val="1"/>
          <w:iCs w:val="1"/>
          <w:rtl w:val="0"/>
          <w:lang w:val="en-US"/>
          <w14:textOutline w14:w="12700" w14:cap="flat">
            <w14:noFill/>
            <w14:miter w14:lim="400000"/>
          </w14:textOutline>
        </w:rPr>
        <w:t>Changing face of the youth labour market</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"https://www.cipd.org/globalassets/media/knowledge/knowledge-hub/reports/2024-pdfs/8735-changing-face-of-the-youth-labour-market-web.pdf"</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https://www.cipd.org/globalassets/media/knowledge/knowledge-hub/reports/2024-pdfs/8735-changing-face-of-the-youth-labour-market-web.pdf</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5th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(2024b). </w:t>
      </w:r>
      <w:r>
        <w:rPr>
          <w:rFonts w:ascii="Arial" w:hAnsi="Arial"/>
          <w:i w:val="1"/>
          <w:iCs w:val="1"/>
          <w:rtl w:val="0"/>
          <w:lang w:val="en-US"/>
          <w14:textOutline w14:w="12700" w14:cap="flat">
            <w14:noFill/>
            <w14:miter w14:lim="400000"/>
          </w14:textOutline>
        </w:rPr>
        <w:t>Coaching and mentoring</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"https://www.cipd.org/uk/knowledge/factsheets/coaching-mentoring-factsheet/"</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https://www.cipd.org/uk/knowledge/factsheets/coaching-mentoring-factsheet/</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6th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(2024c). </w:t>
      </w:r>
      <w:r>
        <w:rPr>
          <w:rFonts w:ascii="Arial" w:hAnsi="Arial"/>
          <w:i w:val="1"/>
          <w:iCs w:val="1"/>
          <w:rtl w:val="0"/>
          <w:lang w:val="en-US"/>
          <w14:textOutline w14:w="12700" w14:cap="flat">
            <w14:noFill/>
            <w14:miter w14:lim="400000"/>
          </w14:textOutline>
        </w:rPr>
        <w:t>Succession planning</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"https://www.cipd.org/uk/knowledge/factsheets/succession-planning-factsheet/"</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https://www.cipd.org/uk/knowledge/factsheets/succession-planning-factsheet/</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2nd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(2025a). </w:t>
      </w:r>
      <w:r>
        <w:rPr>
          <w:rFonts w:ascii="Arial" w:hAnsi="Arial"/>
          <w:i w:val="1"/>
          <w:iCs w:val="1"/>
          <w:rtl w:val="0"/>
          <w:lang w:val="en-US"/>
          <w14:textOutline w14:w="12700" w14:cap="flat">
            <w14:noFill/>
            <w14:miter w14:lim="400000"/>
          </w14:textOutline>
        </w:rPr>
        <w:t>Employee turnover and retention</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"https://www.cipd.org/uk/knowledge/factsheets/turnover-retention-factsheet/"</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https://www.cipd.org/uk/knowledge/factsheets/turnover-retention-factsheet/</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20th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(2025b). </w:t>
      </w:r>
      <w:r>
        <w:rPr>
          <w:rFonts w:ascii="Arial" w:hAnsi="Arial"/>
          <w:i w:val="1"/>
          <w:iCs w:val="1"/>
          <w:rtl w:val="0"/>
          <w:lang w:val="en-US"/>
          <w14:textOutline w14:w="12700" w14:cap="flat">
            <w14:noFill/>
            <w14:miter w14:lim="400000"/>
          </w14:textOutline>
        </w:rPr>
        <w:t>People analytics</w:t>
      </w:r>
      <w:r>
        <w:rPr>
          <w:rFonts w:ascii="Arial" w:hAnsi="Arial"/>
          <w:rtl w:val="0"/>
          <w:lang w:val="en-US"/>
          <w14:textOutline w14:w="12700" w14:cap="flat">
            <w14:noFill/>
            <w14:miter w14:lim="400000"/>
          </w14:textOutline>
        </w:rPr>
        <w:t xml:space="preserve"> Available at: </w:t>
      </w:r>
      <w:r>
        <w:rPr>
          <w:rStyle w:val="Hyperlink.0"/>
          <w:rFonts w:ascii="Arial" w:cs="Arial" w:hAnsi="Arial" w:eastAsia="Arial"/>
          <w14:textOutline w14:w="12700" w14:cap="flat">
            <w14:noFill/>
            <w14:miter w14:lim="400000"/>
          </w14:textOutline>
        </w:rPr>
        <w:fldChar w:fldCharType="begin" w:fldLock="0"/>
      </w:r>
      <w:r>
        <w:rPr>
          <w:rStyle w:val="Hyperlink.0"/>
          <w:rFonts w:ascii="Arial" w:cs="Arial" w:hAnsi="Arial" w:eastAsia="Arial"/>
          <w14:textOutline w14:w="12700" w14:cap="flat">
            <w14:noFill/>
            <w14:miter w14:lim="400000"/>
          </w14:textOutline>
        </w:rPr>
        <w:instrText xml:space="preserve"> HYPERLINK "https://www.cipd.org/en/knowledge/factsheets/analytics-factsheet/#one"</w:instrText>
      </w:r>
      <w:r>
        <w:rPr>
          <w:rStyle w:val="Hyperlink.0"/>
          <w:rFonts w:ascii="Arial" w:cs="Arial" w:hAnsi="Arial" w:eastAsia="Arial"/>
          <w14:textOutline w14:w="12700" w14:cap="flat">
            <w14:noFill/>
            <w14:miter w14:lim="400000"/>
          </w14:textOutline>
        </w:rPr>
        <w:fldChar w:fldCharType="separate" w:fldLock="0"/>
      </w:r>
      <w:r>
        <w:rPr>
          <w:rStyle w:val="Hyperlink.0"/>
          <w:rFonts w:ascii="Arial" w:hAnsi="Arial"/>
          <w:rtl w:val="0"/>
          <w:lang w:val="en-US"/>
          <w14:textOutline w14:w="12700" w14:cap="flat">
            <w14:noFill/>
            <w14:miter w14:lim="400000"/>
          </w14:textOutline>
        </w:rPr>
        <w:t>https://www.cipd.org/en/knowledge/factsheets/analytics-factsheet/#one</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15th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CIPD. (2025c). </w:t>
      </w:r>
      <w:r>
        <w:rPr>
          <w:rFonts w:ascii="Arial" w:hAnsi="Arial"/>
          <w:i w:val="1"/>
          <w:iCs w:val="1"/>
          <w:sz w:val="24"/>
          <w:szCs w:val="24"/>
          <w:rtl w:val="0"/>
          <w:lang w:val="en-US"/>
        </w:rPr>
        <w:t>Performance management: an introduction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"https://www.cipd.org/uk/knowledge/factsheets/performance-factsheet/"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https://www.cipd.org/uk/knowledge/factsheets/performance-factsheet/</w:t>
      </w:r>
      <w:r>
        <w:rPr>
          <w:rFonts w:ascii="Arial" w:cs="Arial" w:hAnsi="Arial" w:eastAsia="Arial"/>
          <w:sz w:val="24"/>
          <w:szCs w:val="24"/>
        </w:rPr>
        <w:fldChar w:fldCharType="end" w:fldLock="0"/>
      </w:r>
      <w:r>
        <w:rPr>
          <w:rFonts w:ascii="Arial" w:hAnsi="Arial"/>
          <w:sz w:val="24"/>
          <w:szCs w:val="24"/>
          <w:rtl w:val="0"/>
          <w:lang w:val="en-US"/>
        </w:rPr>
        <w:t xml:space="preserve"> (Accessed 1st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CIPD. (2025d). </w:t>
      </w:r>
      <w:r>
        <w:rPr>
          <w:rFonts w:ascii="Arial" w:hAnsi="Arial"/>
          <w:i w:val="1"/>
          <w:iCs w:val="1"/>
          <w:rtl w:val="0"/>
          <w:lang w:val="en-US"/>
          <w14:textOutline w14:w="12700" w14:cap="flat">
            <w14:noFill/>
            <w14:miter w14:lim="400000"/>
          </w14:textOutline>
        </w:rPr>
        <w:t>Line managers</w:t>
      </w:r>
      <w:r>
        <w:rPr>
          <w:rFonts w:ascii="Arial" w:hAnsi="Arial" w:hint="default"/>
          <w:i w:val="1"/>
          <w:iCs w:val="1"/>
          <w:rtl w:val="0"/>
          <w:lang w:val="en-US"/>
          <w14:textOutline w14:w="12700" w14:cap="flat">
            <w14:noFill/>
            <w14:miter w14:lim="400000"/>
          </w14:textOutline>
        </w:rPr>
        <w:t xml:space="preserve">’ </w:t>
      </w:r>
      <w:r>
        <w:rPr>
          <w:rFonts w:ascii="Arial" w:hAnsi="Arial"/>
          <w:i w:val="1"/>
          <w:iCs w:val="1"/>
          <w:rtl w:val="0"/>
          <w:lang w:val="en-US"/>
          <w14:textOutline w14:w="12700" w14:cap="flat">
            <w14:noFill/>
            <w14:miter w14:lim="400000"/>
          </w14:textOutline>
        </w:rPr>
        <w:t>role in supporting the people profession</w:t>
      </w:r>
      <w:r>
        <w:rPr>
          <w:rFonts w:ascii="Arial" w:hAnsi="Arial"/>
          <w:rtl w:val="0"/>
          <w:lang w:val="en-US"/>
          <w14:textOutline w14:w="12700" w14:cap="flat">
            <w14:noFill/>
            <w14:miter w14:lim="400000"/>
          </w14:textOutline>
        </w:rPr>
        <w:t xml:space="preserve"> Available at: </w:t>
      </w:r>
      <w:r>
        <w:rPr>
          <w:rStyle w:val="Hyperlink.1"/>
          <w:rFonts w:ascii="Arial" w:cs="Arial" w:hAnsi="Arial" w:eastAsia="Arial"/>
          <w14:textOutline w14:w="12700" w14:cap="flat">
            <w14:noFill/>
            <w14:miter w14:lim="400000"/>
          </w14:textOutline>
        </w:rPr>
        <w:fldChar w:fldCharType="begin" w:fldLock="0"/>
      </w:r>
      <w:r>
        <w:rPr>
          <w:rStyle w:val="Hyperlink.1"/>
          <w:rFonts w:ascii="Arial" w:cs="Arial" w:hAnsi="Arial" w:eastAsia="Arial"/>
          <w14:textOutline w14:w="12700" w14:cap="flat">
            <w14:noFill/>
            <w14:miter w14:lim="400000"/>
          </w14:textOutline>
        </w:rPr>
        <w:instrText xml:space="preserve"> HYPERLINK "https://www.cipd.org/en/knowledge/factsheets/line-managers-factsheet/"</w:instrText>
      </w:r>
      <w:r>
        <w:rPr>
          <w:rStyle w:val="Hyperlink.1"/>
          <w:rFonts w:ascii="Arial" w:cs="Arial" w:hAnsi="Arial" w:eastAsia="Arial"/>
          <w14:textOutline w14:w="12700" w14:cap="flat">
            <w14:noFill/>
            <w14:miter w14:lim="400000"/>
          </w14:textOutline>
        </w:rPr>
        <w:fldChar w:fldCharType="separate" w:fldLock="0"/>
      </w:r>
      <w:r>
        <w:rPr>
          <w:rStyle w:val="Hyperlink.1"/>
          <w:rFonts w:ascii="Arial" w:hAnsi="Arial"/>
          <w:rtl w:val="0"/>
          <w:lang w:val="en-US"/>
          <w14:textOutline w14:w="12700" w14:cap="flat">
            <w14:noFill/>
            <w14:miter w14:lim="400000"/>
          </w14:textOutline>
        </w:rPr>
        <w:t>https://www.cipd.org/en/knowledge/factsheets/line-managers-factsheet/</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15th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Cloete, A. (2023a). </w:t>
      </w:r>
      <w:r>
        <w:rPr>
          <w:rFonts w:ascii="Arial" w:hAnsi="Arial"/>
          <w:i w:val="1"/>
          <w:iCs w:val="1"/>
          <w:sz w:val="24"/>
          <w:szCs w:val="24"/>
          <w:rtl w:val="0"/>
          <w:lang w:val="en-US"/>
        </w:rPr>
        <w:t>The GROW Coaching Model: Transformative Techniques for Coaches</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"https://clarityflow.com/grow-coaching-model"</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https://clarityflow.com/grow-coaching-model</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Cloete, A. (2023b). </w:t>
      </w:r>
      <w:r>
        <w:rPr>
          <w:rFonts w:ascii="Arial" w:hAnsi="Arial"/>
          <w:i w:val="1"/>
          <w:iCs w:val="1"/>
          <w:sz w:val="24"/>
          <w:szCs w:val="24"/>
          <w:rtl w:val="0"/>
          <w:lang w:val="en-US"/>
        </w:rPr>
        <w:t>The CLEAR Coaching Model: Transformative Techniques for Coaches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"https://clarityflow.com/clear-coaching-model"</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https://clarityflow.com/clear-coaching-model</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Cooper, L. (2023). The Relationship Between Performance and Psychological Safety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"https://trainingindustry.com/articles/performance-management/the-relationship-between-performance-and-psychological-safety/"</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https://trainingindustry.com/articles/performance-management/the-relationship-between-performance-and-psychological-safety/</w:t>
      </w:r>
      <w:r>
        <w:rPr>
          <w:rFonts w:ascii="Arial" w:cs="Arial" w:hAnsi="Arial" w:eastAsia="Arial"/>
          <w:sz w:val="24"/>
          <w:szCs w:val="24"/>
        </w:rPr>
        <w:fldChar w:fldCharType="end" w:fldLock="0"/>
      </w:r>
      <w:r>
        <w:rPr>
          <w:rFonts w:ascii="Arial" w:hAnsi="Arial"/>
          <w:sz w:val="24"/>
          <w:szCs w:val="24"/>
          <w:rtl w:val="0"/>
          <w:lang w:val="en-US"/>
        </w:rPr>
        <w:t xml:space="preserve"> (Accessed 19th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Cranfield, N. (2024). </w:t>
      </w:r>
      <w:r>
        <w:rPr>
          <w:rFonts w:ascii="Arial" w:hAnsi="Arial"/>
          <w:i w:val="1"/>
          <w:iCs w:val="1"/>
          <w:sz w:val="24"/>
          <w:szCs w:val="24"/>
          <w:rtl w:val="0"/>
          <w:lang w:val="en-US"/>
        </w:rPr>
        <w:t>The legal importance of managing employee performance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"https://www.peoplemanagement.co.uk/article/1873561/legal-importance-managing-employee-performance"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https://www.peoplemanagement.co.uk/article/1873561/legal-importance-managing-employee-performance</w:t>
      </w:r>
      <w:r>
        <w:rPr>
          <w:rFonts w:ascii="Arial" w:cs="Arial" w:hAnsi="Arial" w:eastAsia="Arial"/>
          <w:sz w:val="24"/>
          <w:szCs w:val="24"/>
        </w:rPr>
        <w:fldChar w:fldCharType="end" w:fldLock="0"/>
      </w:r>
      <w:r>
        <w:rPr>
          <w:rFonts w:ascii="Arial" w:hAnsi="Arial"/>
          <w:sz w:val="24"/>
          <w:szCs w:val="24"/>
          <w:rtl w:val="0"/>
          <w:lang w:val="en-US"/>
        </w:rPr>
        <w:t xml:space="preserve"> (Accessed 15th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Dennison, K. (2024). </w:t>
      </w:r>
      <w:r>
        <w:rPr>
          <w:rFonts w:ascii="Arial" w:hAnsi="Arial"/>
          <w:i w:val="1"/>
          <w:iCs w:val="1"/>
          <w:sz w:val="24"/>
          <w:szCs w:val="24"/>
          <w:rtl w:val="0"/>
          <w:lang w:val="en-US"/>
        </w:rPr>
        <w:t>The Importance Of Succession Planning, No More Than Ever</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"https://www.forbes.com/sites/karadennison/2024/06/25/the-importance-of-succession-planning-now-more-than-ever/"</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https://www.forbes.com/sites/karadennison/2024/06/25/the-importance-of-succession-planning-now-more-than-ever/</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Fraser-Thill, R and Shuba, G. (2023). </w:t>
      </w:r>
      <w:r>
        <w:rPr>
          <w:rFonts w:ascii="Arial" w:hAnsi="Arial"/>
          <w:i w:val="1"/>
          <w:iCs w:val="1"/>
          <w:sz w:val="24"/>
          <w:szCs w:val="24"/>
          <w:rtl w:val="0"/>
          <w:lang w:val="en-US"/>
        </w:rPr>
        <w:t>How to Talk to Your team About Their Career Development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"https://hbr.org/2023/03/how-to-talk-to-your-team-about-their-career-development"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https://hbr.org/2023/03/how-to-talk-to-your-team-about-their-career-development</w:t>
      </w:r>
      <w:r>
        <w:rPr>
          <w:rFonts w:ascii="Arial" w:cs="Arial" w:hAnsi="Arial" w:eastAsia="Arial"/>
          <w:sz w:val="24"/>
          <w:szCs w:val="24"/>
        </w:rPr>
        <w:fldChar w:fldCharType="end" w:fldLock="0"/>
      </w:r>
      <w:r>
        <w:rPr>
          <w:rFonts w:ascii="Arial" w:hAnsi="Arial"/>
          <w:sz w:val="24"/>
          <w:szCs w:val="24"/>
          <w:rtl w:val="0"/>
          <w:lang w:val="en-US"/>
        </w:rPr>
        <w:t xml:space="preserve"> (Accessed 17th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Fitzgerald, L. (2024). </w:t>
      </w:r>
      <w:r>
        <w:rPr>
          <w:rFonts w:ascii="Arial" w:hAnsi="Arial"/>
          <w:i w:val="1"/>
          <w:iCs w:val="1"/>
          <w:sz w:val="24"/>
          <w:szCs w:val="24"/>
          <w:rtl w:val="0"/>
          <w:lang w:val="en-US"/>
        </w:rPr>
        <w:t>How to manage an underperforming employee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"https://www.fitzgeraldhr.co.uk/manage-an-underperforming-employee/"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https://www.fitzgeraldhr.co.uk/manage-an-underperforming-employee/</w:t>
      </w:r>
      <w:r>
        <w:rPr>
          <w:rFonts w:ascii="Arial" w:cs="Arial" w:hAnsi="Arial" w:eastAsia="Arial"/>
          <w:sz w:val="24"/>
          <w:szCs w:val="24"/>
        </w:rPr>
        <w:fldChar w:fldCharType="end" w:fldLock="0"/>
      </w:r>
      <w:r>
        <w:rPr>
          <w:rFonts w:ascii="Arial" w:hAnsi="Arial"/>
          <w:sz w:val="24"/>
          <w:szCs w:val="24"/>
          <w:rtl w:val="0"/>
          <w:lang w:val="en-US"/>
        </w:rPr>
        <w:t xml:space="preserve"> (Accessed 16th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Forbes Expert Panel. (2021). </w:t>
      </w:r>
      <w:r>
        <w:rPr>
          <w:rFonts w:ascii="Arial" w:hAnsi="Arial"/>
          <w:i w:val="1"/>
          <w:iCs w:val="1"/>
          <w:sz w:val="24"/>
          <w:szCs w:val="24"/>
          <w:rtl w:val="0"/>
          <w:lang w:val="en-US"/>
        </w:rPr>
        <w:t>Seven Solid Ways Leaders Can Support HR When Employee Turnover Is High</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"https://www.forbes.com/councils/yec/2021/12/22/seven-solid-ways-leaders-can-support-hr-when-employee-turnover-is-high/"</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https://www.forbes.com/councils/yec/2021/12/22/seven-solid-ways-leaders-can-support-hr-when-employee-turnover-is-high/</w:t>
      </w:r>
      <w:r>
        <w:rPr>
          <w:rFonts w:ascii="Arial" w:cs="Arial" w:hAnsi="Arial" w:eastAsia="Arial"/>
          <w:sz w:val="24"/>
          <w:szCs w:val="24"/>
        </w:rPr>
        <w:fldChar w:fldCharType="end" w:fldLock="0"/>
      </w:r>
      <w:r>
        <w:rPr>
          <w:rFonts w:ascii="Arial" w:hAnsi="Arial"/>
          <w:sz w:val="24"/>
          <w:szCs w:val="24"/>
          <w:rtl w:val="0"/>
          <w:lang w:val="en-US"/>
        </w:rPr>
        <w:t xml:space="preserve"> (Accessed 22nd April 2025).</w:t>
      </w:r>
    </w:p>
    <w:p>
      <w:pPr>
        <w:pStyle w:val="Body"/>
        <w:rPr>
          <w:rFonts w:ascii="Arial" w:cs="Arial" w:hAnsi="Arial" w:eastAsia="Arial"/>
          <w:sz w:val="24"/>
          <w:szCs w:val="24"/>
        </w:rPr>
      </w:pPr>
    </w:p>
    <w:p>
      <w:pPr>
        <w:pStyle w:val="Default"/>
        <w:bidi w:val="0"/>
        <w:spacing w:before="0" w:line="240" w:lineRule="auto"/>
        <w:ind w:left="0" w:right="0" w:firstLine="0"/>
        <w:jc w:val="left"/>
        <w:rPr>
          <w:rFonts w:ascii="Arial" w:cs="Arial" w:hAnsi="Arial" w:eastAsia="Arial"/>
          <w:shd w:val="clear" w:color="auto" w:fill="ffffff"/>
          <w:rtl w:val="0"/>
        </w:rPr>
      </w:pPr>
      <w:r>
        <w:rPr>
          <w:rFonts w:ascii="Arial" w:hAnsi="Arial"/>
          <w:shd w:val="clear" w:color="auto" w:fill="ffffff"/>
          <w:rtl w:val="0"/>
          <w:lang w:val="it-IT"/>
        </w:rPr>
        <w:t xml:space="preserve">Gomez, L., Huyler, D., Rocco, T. S., </w:t>
      </w:r>
      <w:r>
        <w:rPr>
          <w:rFonts w:ascii="Arial" w:hAnsi="Arial"/>
          <w:shd w:val="clear" w:color="auto" w:fill="ffffff"/>
          <w:rtl w:val="0"/>
          <w:lang w:val="en-US"/>
        </w:rPr>
        <w:t>and</w:t>
      </w:r>
      <w:r>
        <w:rPr>
          <w:rFonts w:ascii="Arial" w:hAnsi="Arial"/>
          <w:shd w:val="clear" w:color="auto" w:fill="ffffff"/>
          <w:rtl w:val="0"/>
        </w:rPr>
        <w:t xml:space="preserve"> Plakhotnik, M. S. (2025). </w:t>
      </w:r>
      <w:r>
        <w:rPr>
          <w:rFonts w:ascii="Arial" w:hAnsi="Arial"/>
          <w:shd w:val="clear" w:color="auto" w:fill="ffffff"/>
          <w:rtl w:val="0"/>
          <w:lang w:val="en-US"/>
        </w:rPr>
        <w:t>'</w:t>
      </w:r>
      <w:r>
        <w:rPr>
          <w:rFonts w:ascii="Arial" w:hAnsi="Arial"/>
          <w:shd w:val="clear" w:color="auto" w:fill="ffffff"/>
          <w:rtl w:val="0"/>
          <w:lang w:val="en-US"/>
        </w:rPr>
        <w:t>Leading Different Generational Cohorts in the Workplace: Focus on Situational and Inclusive Leadership</w:t>
      </w:r>
      <w:r>
        <w:rPr>
          <w:rFonts w:ascii="Arial" w:hAnsi="Arial" w:hint="default"/>
          <w:shd w:val="clear" w:color="auto" w:fill="ffffff"/>
          <w:rtl w:val="0"/>
          <w:lang w:val="en-US"/>
        </w:rPr>
        <w:t>’</w:t>
      </w:r>
      <w:r>
        <w:rPr>
          <w:rFonts w:ascii="Arial" w:hAnsi="Arial"/>
          <w:shd w:val="clear" w:color="auto" w:fill="ffffff"/>
          <w:rtl w:val="0"/>
          <w:lang w:val="en-US"/>
        </w:rPr>
        <w:t>,</w:t>
      </w:r>
      <w:r>
        <w:rPr>
          <w:rFonts w:ascii="Arial" w:hAnsi="Arial" w:hint="default"/>
          <w:shd w:val="clear" w:color="auto" w:fill="ffffff"/>
          <w:rtl w:val="0"/>
        </w:rPr>
        <w:t> </w:t>
      </w:r>
      <w:r>
        <w:rPr>
          <w:rFonts w:ascii="Arial" w:hAnsi="Arial"/>
          <w:i w:val="1"/>
          <w:iCs w:val="1"/>
          <w:shd w:val="clear" w:color="auto" w:fill="ffffff"/>
          <w:rtl w:val="0"/>
          <w:lang w:val="en-US"/>
        </w:rPr>
        <w:t>New Horizons in Adult Education and Human Resource Development</w:t>
      </w:r>
      <w:r>
        <w:rPr>
          <w:rFonts w:ascii="Arial" w:hAnsi="Arial"/>
          <w:shd w:val="clear" w:color="auto" w:fill="ffffff"/>
          <w:rtl w:val="0"/>
        </w:rPr>
        <w:t>,</w:t>
      </w:r>
      <w:r>
        <w:rPr>
          <w:rFonts w:ascii="Arial" w:hAnsi="Arial" w:hint="default"/>
          <w:shd w:val="clear" w:color="auto" w:fill="ffffff"/>
          <w:rtl w:val="0"/>
        </w:rPr>
        <w:t> </w:t>
      </w:r>
      <w:r>
        <w:rPr>
          <w:rFonts w:ascii="Arial" w:hAnsi="Arial"/>
          <w:i w:val="1"/>
          <w:iCs w:val="1"/>
          <w:shd w:val="clear" w:color="auto" w:fill="ffffff"/>
          <w:rtl w:val="0"/>
        </w:rPr>
        <w:t>37</w:t>
      </w:r>
      <w:r>
        <w:rPr>
          <w:rFonts w:ascii="Arial" w:hAnsi="Arial"/>
          <w:shd w:val="clear" w:color="auto" w:fill="ffffff"/>
          <w:rtl w:val="0"/>
        </w:rPr>
        <w:t>(1), 6-19.</w:t>
      </w:r>
      <w:r>
        <w:rPr>
          <w:rFonts w:ascii="Arial" w:hAnsi="Arial"/>
          <w:shd w:val="clear" w:color="auto" w:fill="ffffff"/>
          <w:rtl w:val="0"/>
          <w:lang w:val="en-US"/>
        </w:rPr>
        <w:t xml:space="preserve"> Available at:</w:t>
      </w:r>
      <w:r>
        <w:rPr>
          <w:rFonts w:ascii="Arial" w:hAnsi="Arial" w:hint="default"/>
          <w:shd w:val="clear" w:color="auto" w:fill="ffffff"/>
          <w:rtl w:val="0"/>
        </w:rPr>
        <w:t> </w:t>
      </w:r>
      <w:r>
        <w:rPr>
          <w:rFonts w:ascii="Arial" w:cs="Arial" w:hAnsi="Arial" w:eastAsia="Arial"/>
          <w:shd w:val="clear" w:color="auto" w:fill="ffffff"/>
          <w:rtl w:val="0"/>
        </w:rPr>
        <w:fldChar w:fldCharType="begin" w:fldLock="0"/>
      </w:r>
      <w:r>
        <w:rPr>
          <w:rFonts w:ascii="Arial" w:cs="Arial" w:hAnsi="Arial" w:eastAsia="Arial"/>
          <w:shd w:val="clear" w:color="auto" w:fill="ffffff"/>
          <w:rtl w:val="0"/>
        </w:rPr>
        <w:instrText xml:space="preserve"> HYPERLINK "https://doi-org.ezproxy.uwtsd.ac.uk/10.1177/19394225241297230"</w:instrText>
      </w:r>
      <w:r>
        <w:rPr>
          <w:rFonts w:ascii="Arial" w:cs="Arial" w:hAnsi="Arial" w:eastAsia="Arial"/>
          <w:shd w:val="clear" w:color="auto" w:fill="ffffff"/>
          <w:rtl w:val="0"/>
        </w:rPr>
        <w:fldChar w:fldCharType="separate" w:fldLock="0"/>
      </w:r>
      <w:r>
        <w:rPr>
          <w:rFonts w:ascii="Arial" w:hAnsi="Arial"/>
          <w:shd w:val="clear" w:color="auto" w:fill="ffffff"/>
          <w:rtl w:val="0"/>
        </w:rPr>
        <w:t>https://doi-org.ezproxy.uwtsd.ac.uk/10.1177/19394225241297230</w:t>
      </w:r>
      <w:r>
        <w:rPr>
          <w:rFonts w:ascii="Arial" w:cs="Arial" w:hAnsi="Arial" w:eastAsia="Arial"/>
          <w:shd w:val="clear" w:color="auto" w:fill="ffffff"/>
          <w:rtl w:val="0"/>
        </w:rPr>
        <w:fldChar w:fldCharType="end" w:fldLock="0"/>
      </w:r>
      <w:r>
        <w:rPr>
          <w:rFonts w:ascii="Arial" w:hAnsi="Arial"/>
          <w:shd w:val="clear" w:color="auto" w:fill="ffffff"/>
          <w:rtl w:val="0"/>
          <w:lang w:val="en-US"/>
        </w:rPr>
        <w:t>.</w:t>
      </w:r>
    </w:p>
    <w:p>
      <w:pPr>
        <w:pStyle w:val="Default"/>
        <w:bidi w:val="0"/>
        <w:spacing w:before="0" w:line="240" w:lineRule="auto"/>
        <w:ind w:left="0" w:right="0" w:firstLine="0"/>
        <w:jc w:val="left"/>
        <w:rPr>
          <w:rFonts w:ascii="Arial" w:cs="Arial" w:hAnsi="Arial" w:eastAsia="Arial"/>
          <w:shd w:val="clear" w:color="auto" w:fill="ffffff"/>
          <w:rtl w:val="0"/>
        </w:rPr>
      </w:pPr>
    </w:p>
    <w:p>
      <w:pPr>
        <w:pStyle w:val="Body"/>
        <w:rPr>
          <w:rFonts w:ascii="Arial" w:cs="Arial" w:hAnsi="Arial" w:eastAsia="Arial"/>
          <w:sz w:val="24"/>
          <w:szCs w:val="24"/>
        </w:rPr>
      </w:pPr>
      <w:r>
        <w:rPr>
          <w:rFonts w:ascii="Arial" w:hAnsi="Arial"/>
          <w:sz w:val="24"/>
          <w:szCs w:val="24"/>
          <w:rtl w:val="0"/>
          <w:lang w:val="en-US"/>
        </w:rPr>
        <w:t xml:space="preserve">Granat, J. (2019). </w:t>
      </w:r>
      <w:r>
        <w:rPr>
          <w:rFonts w:ascii="Arial" w:hAnsi="Arial"/>
          <w:i w:val="1"/>
          <w:iCs w:val="1"/>
          <w:sz w:val="24"/>
          <w:szCs w:val="24"/>
          <w:rtl w:val="0"/>
          <w:lang w:val="en-US"/>
        </w:rPr>
        <w:t>Four Benefits Of Promoting Talent From Within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"https://www.forbes.com/councils/forbesfinancecouncil/2019/11/05/four-benefits-of-promoting-talent-from-within"</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https://www.forbes.com/councils/forbesfinancecouncil/2019/11/05/four-benefits-of-promoting-talent-from-within</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Groysberg, B. and Spain, E. (2016). </w:t>
      </w:r>
      <w:r>
        <w:rPr>
          <w:rFonts w:ascii="Arial" w:hAnsi="Arial"/>
          <w:i w:val="1"/>
          <w:iCs w:val="1"/>
          <w:sz w:val="24"/>
          <w:szCs w:val="24"/>
          <w:rtl w:val="0"/>
          <w:lang w:val="en-US"/>
        </w:rPr>
        <w:t>Making Exit Interviews Count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"https://hbr.org/2016/04/making-exit-interviews-count"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https://hbr.org/2016/04/making-exit-interviews-count</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Harvey, S. (2018) </w:t>
      </w:r>
      <w:r>
        <w:rPr>
          <w:rFonts w:ascii="Arial" w:hAnsi="Arial"/>
          <w:i w:val="1"/>
          <w:iCs w:val="1"/>
          <w:sz w:val="24"/>
          <w:szCs w:val="24"/>
          <w:rtl w:val="0"/>
          <w:lang w:val="en-US"/>
        </w:rPr>
        <w:t>Why Does Performance Management Get a Bad Rap?</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"https://www.mindtools.com/blog/performance-management-bad-rap/"</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https://www.mindtools.com/blog/performance-management-bad-rap/</w:t>
      </w:r>
      <w:r>
        <w:rPr>
          <w:rFonts w:ascii="Arial" w:cs="Arial" w:hAnsi="Arial" w:eastAsia="Arial"/>
          <w:sz w:val="24"/>
          <w:szCs w:val="24"/>
        </w:rPr>
        <w:fldChar w:fldCharType="end" w:fldLock="0"/>
      </w:r>
      <w:r>
        <w:rPr>
          <w:rFonts w:ascii="Arial" w:hAnsi="Arial"/>
          <w:sz w:val="24"/>
          <w:szCs w:val="24"/>
          <w:rtl w:val="0"/>
          <w:lang w:val="en-US"/>
        </w:rPr>
        <w:t xml:space="preserve"> (Accessed 15th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HCML. (2024). </w:t>
      </w:r>
      <w:r>
        <w:rPr>
          <w:rFonts w:ascii="Arial" w:hAnsi="Arial"/>
          <w:i w:val="1"/>
          <w:iCs w:val="1"/>
          <w:sz w:val="24"/>
          <w:szCs w:val="24"/>
          <w:rtl w:val="0"/>
          <w:lang w:val="en-US"/>
        </w:rPr>
        <w:t>Workers say colleague absence is making them ill due to increased workload</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"https://hcml.co.uk/news/workers-say-colleague-absence-is-making-them-ill-due-to-increased-workload/"</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https://hcml.co.uk/news/workers-say-colleague-absence-is-making-them-ill-due-to-increased-workload/</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Hoffman, M. (2023) </w:t>
      </w:r>
      <w:r>
        <w:rPr>
          <w:rFonts w:ascii="Arial" w:hAnsi="Arial"/>
          <w:i w:val="1"/>
          <w:iCs w:val="1"/>
          <w:sz w:val="24"/>
          <w:szCs w:val="24"/>
          <w:rtl w:val="0"/>
          <w:lang w:val="en-US"/>
        </w:rPr>
        <w:t>CLEAR Coaching Model by Peter Hawkins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"https://eq4c.com/clear-coaching-model-by-peter-hawkins/"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https://eq4c.com/clear-coaching-model-by-peter-hawkins/</w:t>
      </w:r>
      <w:r>
        <w:rPr>
          <w:rFonts w:ascii="Arial" w:cs="Arial" w:hAnsi="Arial" w:eastAsia="Arial"/>
          <w:sz w:val="24"/>
          <w:szCs w:val="24"/>
        </w:rPr>
        <w:fldChar w:fldCharType="end" w:fldLock="0"/>
      </w:r>
      <w:r>
        <w:rPr>
          <w:rFonts w:ascii="Arial" w:hAnsi="Arial"/>
          <w:sz w:val="24"/>
          <w:szCs w:val="24"/>
          <w:rtl w:val="0"/>
          <w:lang w:val="en-US"/>
        </w:rPr>
        <w:t xml:space="preserve"> (Accessed on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Horne, A. (2024). </w:t>
      </w:r>
      <w:r>
        <w:rPr>
          <w:rFonts w:ascii="Arial" w:hAnsi="Arial"/>
          <w:i w:val="1"/>
          <w:iCs w:val="1"/>
          <w:sz w:val="24"/>
          <w:szCs w:val="24"/>
          <w:rtl w:val="0"/>
          <w:lang w:val="en-US"/>
        </w:rPr>
        <w:t>The dos and don</w:t>
      </w:r>
      <w:r>
        <w:rPr>
          <w:rFonts w:ascii="Arial" w:hAnsi="Arial" w:hint="default"/>
          <w:i w:val="1"/>
          <w:iCs w:val="1"/>
          <w:sz w:val="24"/>
          <w:szCs w:val="24"/>
          <w:rtl w:val="0"/>
          <w:lang w:val="en-US"/>
        </w:rPr>
        <w:t>’</w:t>
      </w:r>
      <w:r>
        <w:rPr>
          <w:rFonts w:ascii="Arial" w:hAnsi="Arial"/>
          <w:i w:val="1"/>
          <w:iCs w:val="1"/>
          <w:sz w:val="24"/>
          <w:szCs w:val="24"/>
          <w:rtl w:val="0"/>
          <w:lang w:val="en-US"/>
        </w:rPr>
        <w:t>ts of managing underperforming staff</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"https://www.peoplemanagement.co.uk/article/1864223/dos-donts-managing-underperforming-staff"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https://www.peoplemanagement.co.uk/article/1864223/dos-donts-managing-underperforming-staff</w:t>
      </w:r>
      <w:r>
        <w:rPr>
          <w:rFonts w:ascii="Arial" w:cs="Arial" w:hAnsi="Arial" w:eastAsia="Arial"/>
          <w:sz w:val="24"/>
          <w:szCs w:val="24"/>
        </w:rPr>
        <w:fldChar w:fldCharType="end" w:fldLock="0"/>
      </w:r>
      <w:r>
        <w:rPr>
          <w:rFonts w:ascii="Arial" w:hAnsi="Arial"/>
          <w:sz w:val="24"/>
          <w:szCs w:val="24"/>
          <w:rtl w:val="0"/>
          <w:lang w:val="en-US"/>
        </w:rPr>
        <w:t xml:space="preserve"> (Accessed 16th April 2025).</w:t>
      </w:r>
      <w:r>
        <w:rPr>
          <w:rFonts w:ascii="Arial" w:cs="Arial" w:hAnsi="Arial" w:eastAsia="Arial"/>
          <w:sz w:val="24"/>
          <w:szCs w:val="24"/>
        </w:rPr>
        <w:br w:type="textWrapping"/>
      </w:r>
    </w:p>
    <w:p>
      <w:pPr>
        <w:pStyle w:val="Body"/>
        <w:rPr>
          <w:rFonts w:ascii="Arial" w:cs="Arial" w:hAnsi="Arial" w:eastAsia="Arial"/>
          <w:sz w:val="24"/>
          <w:szCs w:val="24"/>
        </w:rPr>
      </w:pPr>
      <w:r>
        <w:rPr>
          <w:rFonts w:ascii="Arial" w:hAnsi="Arial"/>
          <w:sz w:val="24"/>
          <w:szCs w:val="24"/>
          <w:rtl w:val="0"/>
          <w:lang w:val="en-US"/>
        </w:rPr>
        <w:t xml:space="preserve">Humble, C. (2022). </w:t>
      </w:r>
      <w:r>
        <w:rPr>
          <w:rFonts w:ascii="Arial" w:hAnsi="Arial"/>
          <w:i w:val="1"/>
          <w:iCs w:val="1"/>
          <w:sz w:val="24"/>
          <w:szCs w:val="24"/>
          <w:rtl w:val="0"/>
          <w:lang w:val="en-US"/>
        </w:rPr>
        <w:t>Probationary periods: what HR needs to know</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"https://www.peoplemanagement.co.uk/article/1792918/probationary-periods-hr-needs-know"</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https://www.peoplemanagement.co.uk/article/1792918/probationary-periods-hr-needs-know</w:t>
      </w:r>
      <w:r>
        <w:rPr>
          <w:rFonts w:ascii="Arial" w:cs="Arial" w:hAnsi="Arial" w:eastAsia="Arial"/>
          <w:sz w:val="24"/>
          <w:szCs w:val="24"/>
        </w:rPr>
        <w:fldChar w:fldCharType="end" w:fldLock="0"/>
      </w:r>
      <w:r>
        <w:rPr>
          <w:rFonts w:ascii="Arial" w:hAnsi="Arial"/>
          <w:sz w:val="24"/>
          <w:szCs w:val="24"/>
          <w:rtl w:val="0"/>
          <w:lang w:val="en-US"/>
        </w:rPr>
        <w:t xml:space="preserve"> (Accessed 17th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en-US"/>
          <w14:textOutline w14:w="12700" w14:cap="flat">
            <w14:noFill/>
            <w14:miter w14:lim="400000"/>
          </w14:textOutline>
        </w:rPr>
        <w:t xml:space="preserve">IMA. (2023). </w:t>
      </w:r>
      <w:r>
        <w:rPr>
          <w:rFonts w:ascii="Arial" w:hAnsi="Arial"/>
          <w:i w:val="1"/>
          <w:iCs w:val="1"/>
          <w:rtl w:val="0"/>
          <w:lang w:val="en-US"/>
          <w14:textOutline w14:w="12700" w14:cap="flat">
            <w14:noFill/>
            <w14:miter w14:lim="400000"/>
          </w14:textOutline>
        </w:rPr>
        <w:t>The Role of HR in Compliance</w:t>
      </w:r>
      <w:r>
        <w:rPr>
          <w:rFonts w:ascii="Arial" w:hAnsi="Arial"/>
          <w:rtl w:val="0"/>
          <w:lang w:val="en-US"/>
          <w14:textOutline w14:w="12700" w14:cap="flat">
            <w14:noFill/>
            <w14:miter w14:lim="400000"/>
          </w14:textOutline>
        </w:rPr>
        <w:t xml:space="preserve"> Available at: </w:t>
      </w:r>
      <w:r>
        <w:rPr>
          <w:rStyle w:val="Hyperlink.1"/>
          <w:rFonts w:ascii="Arial" w:cs="Arial" w:hAnsi="Arial" w:eastAsia="Arial"/>
          <w14:textOutline w14:w="12700" w14:cap="flat">
            <w14:noFill/>
            <w14:miter w14:lim="400000"/>
          </w14:textOutline>
        </w:rPr>
        <w:fldChar w:fldCharType="begin" w:fldLock="0"/>
      </w:r>
      <w:r>
        <w:rPr>
          <w:rStyle w:val="Hyperlink.1"/>
          <w:rFonts w:ascii="Arial" w:cs="Arial" w:hAnsi="Arial" w:eastAsia="Arial"/>
          <w14:textOutline w14:w="12700" w14:cap="flat">
            <w14:noFill/>
            <w14:miter w14:lim="400000"/>
          </w14:textOutline>
        </w:rPr>
        <w:instrText xml:space="preserve"> HYPERLINK "https://imacorp.com/insights/hr-insights-the-role-of-hr-in-compliance"</w:instrText>
      </w:r>
      <w:r>
        <w:rPr>
          <w:rStyle w:val="Hyperlink.1"/>
          <w:rFonts w:ascii="Arial" w:cs="Arial" w:hAnsi="Arial" w:eastAsia="Arial"/>
          <w14:textOutline w14:w="12700" w14:cap="flat">
            <w14:noFill/>
            <w14:miter w14:lim="400000"/>
          </w14:textOutline>
        </w:rPr>
        <w:fldChar w:fldCharType="separate" w:fldLock="0"/>
      </w:r>
      <w:r>
        <w:rPr>
          <w:rStyle w:val="Hyperlink.1"/>
          <w:rFonts w:ascii="Arial" w:hAnsi="Arial"/>
          <w:rtl w:val="0"/>
          <w:lang w:val="en-US"/>
          <w14:textOutline w14:w="12700" w14:cap="flat">
            <w14:noFill/>
            <w14:miter w14:lim="400000"/>
          </w14:textOutline>
        </w:rPr>
        <w:t>https://imacorp.com/insights/hr-insights-the-role-of-hr-in-compliance</w:t>
      </w:r>
      <w:r>
        <w:rPr>
          <w:rFonts w:ascii="Arial" w:cs="Arial" w:hAnsi="Arial" w:eastAsia="Arial"/>
          <w14:textOutline w14:w="12700" w14:cap="flat">
            <w14:noFill/>
            <w14:miter w14:lim="400000"/>
          </w14:textOutline>
        </w:rPr>
        <w:fldChar w:fldCharType="end" w:fldLock="0"/>
      </w:r>
      <w:r>
        <w:rPr>
          <w:rFonts w:ascii="Arial" w:hAnsi="Arial"/>
          <w:rtl w:val="0"/>
          <w:lang w:val="en-US"/>
          <w14:textOutline w14:w="12700" w14:cap="flat">
            <w14:noFill/>
            <w14:miter w14:lim="400000"/>
          </w14:textOutline>
        </w:rPr>
        <w:t xml:space="preserve"> (Accessed 5th May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Body"/>
        <w:rPr>
          <w:rFonts w:ascii="Arial" w:cs="Arial" w:hAnsi="Arial" w:eastAsia="Arial"/>
          <w:sz w:val="24"/>
          <w:szCs w:val="24"/>
        </w:rPr>
      </w:pPr>
      <w:r>
        <w:rPr>
          <w:rFonts w:ascii="Arial" w:hAnsi="Arial"/>
          <w:sz w:val="24"/>
          <w:szCs w:val="24"/>
          <w:rtl w:val="0"/>
          <w:lang w:val="en-US"/>
        </w:rPr>
        <w:t xml:space="preserve">Indeed Editorial Team. (2025). </w:t>
      </w:r>
      <w:r>
        <w:rPr>
          <w:rFonts w:ascii="Arial" w:hAnsi="Arial"/>
          <w:i w:val="1"/>
          <w:iCs w:val="1"/>
          <w:sz w:val="24"/>
          <w:szCs w:val="24"/>
          <w:rtl w:val="0"/>
          <w:lang w:val="en-US"/>
        </w:rPr>
        <w:t xml:space="preserve">What is management by objectives (MBO)? (With examples)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"https://uk.indeed.com/career-advice/career-development/what-is-management-by-objectives#:~:text=better%20understand%20it.-,What%20is%20management%20by%20objectives%20(MBO)%3F,management%20and%20all%20other%20employees"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https://uk.indeed.com/career-advice/career-development/what-is-management-by-objectives#:~:text=better%20understand%20it.-,What%20is%20management%20by%20objectives%20(MBO)%3F,management%20and%20all%20other%20employees</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Body"/>
        <w:rPr>
          <w:rFonts w:ascii="Arial" w:cs="Arial" w:hAnsi="Arial" w:eastAsia="Arial"/>
          <w:sz w:val="24"/>
          <w:szCs w:val="24"/>
        </w:rPr>
      </w:pPr>
      <w:r>
        <w:rPr>
          <w:rFonts w:ascii="Arial" w:hAnsi="Arial"/>
          <w:sz w:val="24"/>
          <w:szCs w:val="24"/>
          <w:rtl w:val="0"/>
          <w:lang w:val="en-US"/>
        </w:rPr>
        <w:t xml:space="preserve">Investors In People. (2019). </w:t>
      </w:r>
      <w:r>
        <w:rPr>
          <w:rFonts w:ascii="Arial" w:hAnsi="Arial"/>
          <w:i w:val="1"/>
          <w:iCs w:val="1"/>
          <w:sz w:val="24"/>
          <w:szCs w:val="24"/>
          <w:rtl w:val="0"/>
          <w:lang w:val="en-US"/>
        </w:rPr>
        <w:t>Are regular catch-ups a good idea?</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"https://www.investorsinpeople.com/knowledge/are-regular-catch-ups-a-good-idea/"</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https://www.investorsinpeople.com/knowledge/are-regular-catch-ups-a-good-idea/</w:t>
      </w:r>
      <w:r>
        <w:rPr>
          <w:rFonts w:ascii="Arial" w:cs="Arial" w:hAnsi="Arial" w:eastAsia="Arial"/>
          <w:sz w:val="24"/>
          <w:szCs w:val="24"/>
        </w:rPr>
        <w:fldChar w:fldCharType="end" w:fldLock="0"/>
      </w:r>
      <w:r>
        <w:rPr>
          <w:rFonts w:ascii="Arial" w:hAnsi="Arial"/>
          <w:sz w:val="24"/>
          <w:szCs w:val="24"/>
          <w:rtl w:val="0"/>
          <w:lang w:val="en-US"/>
        </w:rPr>
        <w:t xml:space="preserve"> (Accessed 17th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Jackson, I. (2024). </w:t>
      </w:r>
      <w:r>
        <w:rPr>
          <w:rFonts w:ascii="Arial" w:hAnsi="Arial"/>
          <w:i w:val="1"/>
          <w:iCs w:val="1"/>
          <w:sz w:val="24"/>
          <w:szCs w:val="24"/>
          <w:rtl w:val="0"/>
          <w:lang w:val="en-US"/>
        </w:rPr>
        <w:t xml:space="preserve">Workplace sickness costs businesses over </w:t>
      </w:r>
      <w:r>
        <w:rPr>
          <w:rFonts w:ascii="Arial" w:hAnsi="Arial" w:hint="default"/>
          <w:i w:val="1"/>
          <w:iCs w:val="1"/>
          <w:sz w:val="24"/>
          <w:szCs w:val="24"/>
          <w:rtl w:val="0"/>
          <w:lang w:val="en-US"/>
        </w:rPr>
        <w:t>£</w:t>
      </w:r>
      <w:r>
        <w:rPr>
          <w:rFonts w:ascii="Arial" w:hAnsi="Arial"/>
          <w:i w:val="1"/>
          <w:iCs w:val="1"/>
          <w:sz w:val="24"/>
          <w:szCs w:val="24"/>
          <w:rtl w:val="0"/>
          <w:lang w:val="en-US"/>
        </w:rPr>
        <w:t>100bn a year, report finds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"https://www.peoplemanagement.co.uk/article/1882937/workplace-sickness-costs-businesses-100bn-year-report-finds"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https://www.peoplemanagement.co.uk/article/1882937/workplace-sickness-costs-businesses-100bn-year-report-finds</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Johnson, N. (2025). </w:t>
      </w:r>
      <w:r>
        <w:rPr>
          <w:rFonts w:ascii="Arial" w:hAnsi="Arial"/>
          <w:i w:val="1"/>
          <w:iCs w:val="1"/>
          <w:sz w:val="24"/>
          <w:szCs w:val="24"/>
          <w:rtl w:val="0"/>
          <w:lang w:val="en-US"/>
        </w:rPr>
        <w:t>Why early intervention is key for a healthy workforce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"https://www.peoplemanagement.co.uk/article/1900932/why-early-intervention-key-healthy-workforce"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https://www.peoplemanagement.co.uk/article/1900932/why-early-intervention-key-healthy-workforce</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r>
        <w:rPr>
          <w:rFonts w:ascii="Arial" w:hAnsi="Arial"/>
          <w:rtl w:val="0"/>
          <w:lang w:val="de-DE"/>
          <w14:textOutline w14:w="12700" w14:cap="flat">
            <w14:noFill/>
            <w14:miter w14:lim="400000"/>
          </w14:textOutline>
        </w:rPr>
        <w:t xml:space="preserve">Kirkpatrick Partners. (No Date). </w:t>
      </w:r>
      <w:r>
        <w:rPr>
          <w:rFonts w:ascii="Arial" w:hAnsi="Arial"/>
          <w:i w:val="1"/>
          <w:iCs w:val="1"/>
          <w:rtl w:val="0"/>
          <w:lang w:val="en-US"/>
          <w14:textOutline w14:w="12700" w14:cap="flat">
            <w14:noFill/>
            <w14:miter w14:lim="400000"/>
          </w14:textOutline>
        </w:rPr>
        <w:t>The Kirkpatrick Model</w:t>
      </w:r>
      <w:r>
        <w:rPr>
          <w:rFonts w:ascii="Arial" w:hAnsi="Arial"/>
          <w:rtl w:val="0"/>
          <w:lang w:val="en-US"/>
          <w14:textOutline w14:w="12700" w14:cap="flat">
            <w14:noFill/>
            <w14:miter w14:lim="400000"/>
          </w14:textOutline>
        </w:rPr>
        <w:t xml:space="preserve"> Available at: https://www.kirkpatrickpartners.com/the-kirkpatrick-model/ (Accessed 5th February 2025).</w:t>
      </w:r>
    </w:p>
    <w:p>
      <w:pPr>
        <w:pStyle w:val="Default"/>
        <w:tabs>
          <w:tab w:val="left" w:pos="1440"/>
          <w:tab w:val="left" w:pos="2880"/>
          <w:tab w:val="left" w:pos="4320"/>
          <w:tab w:val="left" w:pos="5760"/>
          <w:tab w:val="left" w:pos="7200"/>
          <w:tab w:val="left" w:pos="8640"/>
          <w:tab w:val="left" w:pos="10080"/>
        </w:tabs>
        <w:suppressAutoHyphens w:val="1"/>
        <w:spacing w:before="0" w:line="240" w:lineRule="auto"/>
        <w:jc w:val="left"/>
        <w:outlineLvl w:val="0"/>
        <w:rPr>
          <w:rFonts w:ascii="Arial" w:cs="Arial" w:hAnsi="Arial" w:eastAsia="Arial"/>
          <w14:textOutline w14:w="12700" w14:cap="flat">
            <w14:noFill/>
            <w14:miter w14:lim="400000"/>
          </w14:textOutline>
        </w:rPr>
      </w:pPr>
    </w:p>
    <w:p>
      <w:pPr>
        <w:pStyle w:val="Body"/>
        <w:rPr>
          <w:rFonts w:ascii="Arial" w:cs="Arial" w:hAnsi="Arial" w:eastAsia="Arial"/>
          <w:sz w:val="24"/>
          <w:szCs w:val="24"/>
        </w:rPr>
      </w:pPr>
      <w:r>
        <w:rPr>
          <w:rFonts w:ascii="Arial" w:hAnsi="Arial"/>
          <w:sz w:val="24"/>
          <w:szCs w:val="24"/>
          <w:rtl w:val="0"/>
          <w:lang w:val="en-US"/>
        </w:rPr>
        <w:t xml:space="preserve">Knight, R. (2024). </w:t>
      </w:r>
      <w:r>
        <w:rPr>
          <w:rFonts w:ascii="Arial" w:hAnsi="Arial"/>
          <w:i w:val="1"/>
          <w:iCs w:val="1"/>
          <w:sz w:val="24"/>
          <w:szCs w:val="24"/>
          <w:rtl w:val="0"/>
          <w:lang w:val="en-US"/>
        </w:rPr>
        <w:t>6 Common Leadership Styles - and How to Decide Which to Use When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"https://hbr.org/2024/04/6-common-leadership-styles-and-how-to-decide-which-to-use-when"</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https://hbr.org/2024/04/6-common-leadership-styles-and-how-to-decide-which-to-use-when</w:t>
      </w:r>
      <w:r>
        <w:rPr>
          <w:rFonts w:ascii="Arial" w:cs="Arial" w:hAnsi="Arial" w:eastAsia="Arial"/>
          <w:sz w:val="24"/>
          <w:szCs w:val="24"/>
        </w:rPr>
        <w:fldChar w:fldCharType="end" w:fldLock="0"/>
      </w:r>
      <w:r>
        <w:rPr>
          <w:rFonts w:ascii="Arial" w:hAnsi="Arial"/>
          <w:sz w:val="24"/>
          <w:szCs w:val="24"/>
          <w:rtl w:val="0"/>
          <w:lang w:val="en-US"/>
        </w:rPr>
        <w:t xml:space="preserve"> (Accessed 16th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Koskarova, A. (2022). </w:t>
      </w:r>
      <w:r>
        <w:rPr>
          <w:rFonts w:ascii="Arial" w:hAnsi="Arial"/>
          <w:i w:val="1"/>
          <w:iCs w:val="1"/>
          <w:sz w:val="24"/>
          <w:szCs w:val="24"/>
          <w:rtl w:val="0"/>
          <w:lang w:val="en-US"/>
        </w:rPr>
        <w:t>The Importance Of Performance Management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"https://www.forbes.com/councils/forbesbusinesscouncil/2022/08/09/the-importance-of-performance-management/"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https://www.forbes.com/councils/forbesbusinesscouncil/2022/08/09/the-importance-of-performance-management/</w:t>
      </w:r>
      <w:r>
        <w:rPr>
          <w:rFonts w:ascii="Arial" w:cs="Arial" w:hAnsi="Arial" w:eastAsia="Arial"/>
          <w:sz w:val="24"/>
          <w:szCs w:val="24"/>
        </w:rPr>
        <w:fldChar w:fldCharType="end" w:fldLock="0"/>
      </w:r>
      <w:r>
        <w:rPr>
          <w:rFonts w:ascii="Arial" w:hAnsi="Arial"/>
          <w:sz w:val="24"/>
          <w:szCs w:val="24"/>
          <w:rtl w:val="0"/>
          <w:lang w:val="en-US"/>
        </w:rPr>
        <w:t xml:space="preserve"> (Accessed 15th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Lal Patary, C. (2023). </w:t>
      </w:r>
      <w:r>
        <w:rPr>
          <w:rFonts w:ascii="Arial" w:hAnsi="Arial"/>
          <w:i w:val="1"/>
          <w:iCs w:val="1"/>
          <w:sz w:val="24"/>
          <w:szCs w:val="24"/>
          <w:rtl w:val="0"/>
          <w:lang w:val="en-US"/>
        </w:rPr>
        <w:t>Knowing the constraints of the Coaching context is an excellent Coaching tool!</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"https://www.linkedin.com/pulse/knowing-constraints-coaching-context-excellent-tool-chandan-patary/"</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https://www.linkedin.com/pulse/knowing-constraints-coaching-context-excellent-tool-chandan-patary/</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Leighton, N. (2022). </w:t>
      </w:r>
      <w:r>
        <w:rPr>
          <w:rFonts w:ascii="Arial" w:hAnsi="Arial"/>
          <w:i w:val="1"/>
          <w:iCs w:val="1"/>
          <w:sz w:val="24"/>
          <w:szCs w:val="24"/>
          <w:rtl w:val="0"/>
          <w:lang w:val="en-US"/>
        </w:rPr>
        <w:t>Why Performance Goals Are Important (And How To Empower Your Team To Set Their Own)</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"https://www.forbes.com/councils/forbescoachescouncil/2022/08/10/why-performance-goals-are-important-and-how-to-empower-your-team-to-set-their-own/"</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https://www.forbes.com/councils/forbescoachescouncil/2022/08/10/why-performance-goals-are-important-and-how-to-empower-your-team-to-set-their-own/</w:t>
      </w:r>
      <w:r>
        <w:rPr>
          <w:rFonts w:ascii="Arial" w:cs="Arial" w:hAnsi="Arial" w:eastAsia="Arial"/>
          <w:sz w:val="24"/>
          <w:szCs w:val="24"/>
        </w:rPr>
        <w:fldChar w:fldCharType="end" w:fldLock="0"/>
      </w:r>
      <w:r>
        <w:rPr>
          <w:rFonts w:ascii="Arial" w:hAnsi="Arial"/>
          <w:sz w:val="24"/>
          <w:szCs w:val="24"/>
          <w:rtl w:val="0"/>
          <w:lang w:val="en-US"/>
        </w:rPr>
        <w:t xml:space="preserve"> (Accessed 22nd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Maccoby, M. (2010). </w:t>
      </w:r>
      <w:r>
        <w:rPr>
          <w:rFonts w:ascii="Arial" w:hAnsi="Arial"/>
          <w:i w:val="1"/>
          <w:iCs w:val="1"/>
          <w:sz w:val="24"/>
          <w:szCs w:val="24"/>
          <w:rtl w:val="0"/>
          <w:lang w:val="en-US"/>
        </w:rPr>
        <w:t>The 4 Rs Of Motivation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"https://www-tandfonline-com.ezproxy.uwtsd.ac.uk/doi/epdf/10.1080/08956308.2010.11657641?needAccess=true"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https://www-tandfonline-com.ezproxy.uwtsd.ac.uk/doi/epdf/10.1080/08956308.2010.11657641?needAccess=true</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Machell, M. (2023). </w:t>
      </w:r>
      <w:r>
        <w:rPr>
          <w:rFonts w:ascii="Arial" w:hAnsi="Arial"/>
          <w:i w:val="1"/>
          <w:iCs w:val="1"/>
          <w:sz w:val="24"/>
          <w:szCs w:val="24"/>
          <w:rtl w:val="0"/>
          <w:lang w:val="en-US"/>
        </w:rPr>
        <w:t>Majority of UK workers lack regular career conversations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"https://www.hrmagazine.co.uk/content/news/majority-of-uk-workers-lack-regular-career-conversations/"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https://www.hrmagazine.co.uk/content/news/majority-of-uk-workers-lack-regular-career-conversations/</w:t>
      </w:r>
      <w:r>
        <w:rPr>
          <w:rFonts w:ascii="Arial" w:cs="Arial" w:hAnsi="Arial" w:eastAsia="Arial"/>
          <w:sz w:val="24"/>
          <w:szCs w:val="24"/>
        </w:rPr>
        <w:fldChar w:fldCharType="end" w:fldLock="0"/>
      </w:r>
      <w:r>
        <w:rPr>
          <w:rFonts w:ascii="Arial" w:hAnsi="Arial"/>
          <w:sz w:val="24"/>
          <w:szCs w:val="24"/>
          <w:rtl w:val="0"/>
          <w:lang w:val="en-US"/>
        </w:rPr>
        <w:t xml:space="preserve"> (Accessed 19th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Machell, M. (2025). </w:t>
      </w:r>
      <w:r>
        <w:rPr>
          <w:rFonts w:ascii="Arial" w:hAnsi="Arial"/>
          <w:i w:val="1"/>
          <w:iCs w:val="1"/>
          <w:sz w:val="24"/>
          <w:szCs w:val="24"/>
          <w:rtl w:val="0"/>
          <w:lang w:val="en-US"/>
        </w:rPr>
        <w:t xml:space="preserve">Underperforming social media worker wins </w:t>
      </w:r>
      <w:r>
        <w:rPr>
          <w:rFonts w:ascii="Arial" w:hAnsi="Arial" w:hint="default"/>
          <w:i w:val="1"/>
          <w:iCs w:val="1"/>
          <w:sz w:val="24"/>
          <w:szCs w:val="24"/>
          <w:rtl w:val="0"/>
          <w:lang w:val="en-US"/>
        </w:rPr>
        <w:t>£</w:t>
      </w:r>
      <w:r>
        <w:rPr>
          <w:rFonts w:ascii="Arial" w:hAnsi="Arial"/>
          <w:i w:val="1"/>
          <w:iCs w:val="1"/>
          <w:sz w:val="24"/>
          <w:szCs w:val="24"/>
          <w:rtl w:val="0"/>
          <w:lang w:val="en-US"/>
        </w:rPr>
        <w:t>20,000 in tribunal</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"https://www.hrmagazine.co.uk/content/news/underperforming-social-media-worker-wins-20-000-in-tribunal/"</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https://www.hrmagazine.co.uk/content/news/underperforming-social-media-worker-wins-20-000-in-tribunal/</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Morgan, K. (2022). </w:t>
      </w:r>
      <w:r>
        <w:rPr>
          <w:rFonts w:ascii="Arial" w:hAnsi="Arial"/>
          <w:i w:val="1"/>
          <w:iCs w:val="1"/>
          <w:sz w:val="24"/>
          <w:szCs w:val="24"/>
          <w:rtl w:val="0"/>
          <w:lang w:val="en-US"/>
        </w:rPr>
        <w:t xml:space="preserve">The search for </w:t>
      </w:r>
      <w:r>
        <w:rPr>
          <w:rFonts w:ascii="Arial" w:hAnsi="Arial" w:hint="default"/>
          <w:i w:val="1"/>
          <w:iCs w:val="1"/>
          <w:sz w:val="24"/>
          <w:szCs w:val="24"/>
          <w:rtl w:val="0"/>
          <w:lang w:val="en-US"/>
        </w:rPr>
        <w:t>‘</w:t>
      </w:r>
      <w:r>
        <w:rPr>
          <w:rFonts w:ascii="Arial" w:hAnsi="Arial"/>
          <w:i w:val="1"/>
          <w:iCs w:val="1"/>
          <w:sz w:val="24"/>
          <w:szCs w:val="24"/>
          <w:rtl w:val="0"/>
          <w:lang w:val="en-US"/>
        </w:rPr>
        <w:t>meaning</w:t>
      </w:r>
      <w:r>
        <w:rPr>
          <w:rFonts w:ascii="Arial" w:hAnsi="Arial" w:hint="default"/>
          <w:i w:val="1"/>
          <w:iCs w:val="1"/>
          <w:sz w:val="24"/>
          <w:szCs w:val="24"/>
          <w:rtl w:val="0"/>
          <w:lang w:val="en-US"/>
        </w:rPr>
        <w:t xml:space="preserve">’ </w:t>
      </w:r>
      <w:r>
        <w:rPr>
          <w:rFonts w:ascii="Arial" w:hAnsi="Arial"/>
          <w:i w:val="1"/>
          <w:iCs w:val="1"/>
          <w:sz w:val="24"/>
          <w:szCs w:val="24"/>
          <w:rtl w:val="0"/>
          <w:lang w:val="en-US"/>
        </w:rPr>
        <w:t>at work</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"https://www.bbc.co.uk/worklife/article/20220902-the-search-for-meaning-at-work"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https://www.bbc.co.uk/worklife/article/20220902-the-search-for-meaning-at-work</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Morris, A. (2025). </w:t>
      </w:r>
      <w:r>
        <w:rPr>
          <w:rFonts w:ascii="Arial" w:hAnsi="Arial"/>
          <w:i w:val="1"/>
          <w:iCs w:val="1"/>
          <w:sz w:val="24"/>
          <w:szCs w:val="24"/>
          <w:rtl w:val="0"/>
          <w:lang w:val="en-US"/>
        </w:rPr>
        <w:t>Bradford Factor &amp; Managing Absence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"https://www.davidsonmorris.com/bradford-factor/"</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https://www.davidsonmorris.com/bradford-factor/</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Murray-Nevill, J. (2018). </w:t>
      </w:r>
      <w:r>
        <w:rPr>
          <w:rFonts w:ascii="Arial" w:hAnsi="Arial"/>
          <w:i w:val="1"/>
          <w:iCs w:val="1"/>
          <w:sz w:val="24"/>
          <w:szCs w:val="24"/>
          <w:rtl w:val="0"/>
          <w:lang w:val="en-US"/>
        </w:rPr>
        <w:t>Two in three workers quit due to a lack of learning and development opportunities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"https://www.totaljobs.com/media-centre/two-in-three-workers-quit-due-to-a-lack-of-learning-and-development-opportunities/"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https://www.totaljobs.com/media-centre/two-in-three-workers-quit-due-to-a-lack-of-learning-and-development-opportunities/</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NHS. (No Date). </w:t>
      </w:r>
      <w:r>
        <w:rPr>
          <w:rFonts w:ascii="Arial" w:hAnsi="Arial"/>
          <w:i w:val="1"/>
          <w:iCs w:val="1"/>
          <w:sz w:val="24"/>
          <w:szCs w:val="24"/>
          <w:rtl w:val="0"/>
          <w:lang w:val="en-US"/>
        </w:rPr>
        <w:t xml:space="preserve">Continuous Professional Development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"https://www.hee.nhs.uk/our-work/population-health/regional-work/south-west-population-public-health-academy/continuous-professional-development"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https://www.hee.nhs.uk/our-work/population-health/regional-work/south-west-population-public-health-academy/continuous-professional-development</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Soliman, I. (2025). </w:t>
      </w:r>
      <w:r>
        <w:rPr>
          <w:rFonts w:ascii="Arial" w:hAnsi="Arial"/>
          <w:i w:val="1"/>
          <w:iCs w:val="1"/>
          <w:sz w:val="24"/>
          <w:szCs w:val="24"/>
          <w:rtl w:val="0"/>
          <w:lang w:val="en-US"/>
        </w:rPr>
        <w:t xml:space="preserve">Half of employers say increased sickness levels causing lower productivity. Study finds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1913615/half-employers-say-increased-sickness-levels-causing-lower-productivity-study-finds#:~:text=Half%20of%20employers%20say%20increased%20sickness%20levels%20causing%20lower%20productivity%2C%20study%20finds,-Experts%20urge%20stronger&amp;text=Increasing%20sickness%20absence%20is%20significantly,performance%2C%20new%20research%20has%20found"</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1913615/half-employers-say-increased-sickness-levels-causing-lower-productivity-study-finds#:~:text=Half%20of%20employers%20say%20increased%20sickness%20levels%20causing%20lower%20productivity%2C%20study%20finds,-Experts%20urge%20stronger&amp;text=Increasing%20sickness%20absence%20is%20significantly,performance%2C%20new%20research%20has%20found</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Timms, M.(2020) </w:t>
      </w:r>
      <w:r>
        <w:rPr>
          <w:rFonts w:ascii="Arial" w:hAnsi="Arial"/>
          <w:i w:val="1"/>
          <w:iCs w:val="1"/>
          <w:sz w:val="24"/>
          <w:szCs w:val="24"/>
          <w:rtl w:val="0"/>
          <w:lang w:val="en-US"/>
        </w:rPr>
        <w:t>Why Every Manager Should Hold 1:1 Meetings, And How To Do Them Well</w:t>
      </w:r>
      <w:r>
        <w:rPr>
          <w:rFonts w:ascii="Arial" w:hAnsi="Arial"/>
          <w:sz w:val="24"/>
          <w:szCs w:val="24"/>
          <w:rtl w:val="0"/>
          <w:lang w:val="en-US"/>
        </w:rPr>
        <w:t xml:space="preserve"> Available at: </w:t>
      </w:r>
      <w:r>
        <w:rPr>
          <w:rStyle w:val="Hyperlink.2"/>
          <w:rFonts w:ascii="Arial" w:cs="Arial" w:hAnsi="Arial" w:eastAsia="Arial"/>
          <w:sz w:val="24"/>
          <w:szCs w:val="24"/>
        </w:rPr>
        <w:fldChar w:fldCharType="begin" w:fldLock="0"/>
      </w:r>
      <w:r>
        <w:rPr>
          <w:rStyle w:val="Hyperlink.2"/>
          <w:rFonts w:ascii="Arial" w:cs="Arial" w:hAnsi="Arial" w:eastAsia="Arial"/>
          <w:sz w:val="24"/>
          <w:szCs w:val="24"/>
        </w:rPr>
        <w:instrText xml:space="preserve"> HYPERLINK "https://www.linkedin.com/pulse/why-every-manager-should-hold-11-meetings-how-do-them-michael-timms/"</w:instrText>
      </w:r>
      <w:r>
        <w:rPr>
          <w:rStyle w:val="Hyperlink.2"/>
          <w:rFonts w:ascii="Arial" w:cs="Arial" w:hAnsi="Arial" w:eastAsia="Arial"/>
          <w:sz w:val="24"/>
          <w:szCs w:val="24"/>
        </w:rPr>
        <w:fldChar w:fldCharType="separate" w:fldLock="0"/>
      </w:r>
      <w:r>
        <w:rPr>
          <w:rStyle w:val="Hyperlink.2"/>
          <w:rFonts w:ascii="Arial" w:hAnsi="Arial"/>
          <w:sz w:val="24"/>
          <w:szCs w:val="24"/>
          <w:rtl w:val="0"/>
          <w:lang w:val="en-US"/>
        </w:rPr>
        <w:t>https://www.linkedin.com/pulse/why-every-manager-should-hold-11-meetings-how-do-them-michael-timms/</w:t>
      </w:r>
      <w:r>
        <w:rPr>
          <w:rFonts w:ascii="Arial" w:cs="Arial" w:hAnsi="Arial" w:eastAsia="Arial"/>
          <w:sz w:val="24"/>
          <w:szCs w:val="24"/>
        </w:rPr>
        <w:fldChar w:fldCharType="end" w:fldLock="0"/>
      </w:r>
      <w:r>
        <w:rPr>
          <w:rFonts w:ascii="Arial" w:hAnsi="Arial"/>
          <w:sz w:val="24"/>
          <w:szCs w:val="24"/>
          <w:rtl w:val="0"/>
          <w:lang w:val="en-US"/>
        </w:rPr>
        <w:t xml:space="preserve"> (Accessed 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Pasquale Bartlett, L. (2023). </w:t>
      </w:r>
      <w:r>
        <w:rPr>
          <w:rFonts w:ascii="Arial" w:hAnsi="Arial"/>
          <w:i w:val="1"/>
          <w:iCs w:val="1"/>
          <w:sz w:val="24"/>
          <w:szCs w:val="24"/>
          <w:rtl w:val="0"/>
          <w:lang w:val="en-US"/>
        </w:rPr>
        <w:t>Building A High-Performing Team</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"https://www.forbes.com/councils/forbescommunicationscouncil/2023/07/17/building-a-high-performing-team/"</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https://www.forbes.com/councils/forbescommunicationscouncil/2023/07/17/building-a-high-performing-team/</w:t>
      </w:r>
      <w:r>
        <w:rPr>
          <w:rFonts w:ascii="Arial" w:cs="Arial" w:hAnsi="Arial" w:eastAsia="Arial"/>
          <w:sz w:val="24"/>
          <w:szCs w:val="24"/>
        </w:rPr>
        <w:fldChar w:fldCharType="end" w:fldLock="0"/>
      </w:r>
      <w:r>
        <w:rPr>
          <w:rFonts w:ascii="Arial" w:hAnsi="Arial"/>
          <w:sz w:val="24"/>
          <w:szCs w:val="24"/>
          <w:rtl w:val="0"/>
          <w:lang w:val="en-US"/>
        </w:rPr>
        <w:t xml:space="preserve"> (Accessed 16th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Peninsula Group. (2023). </w:t>
      </w:r>
      <w:r>
        <w:rPr>
          <w:rFonts w:ascii="Arial" w:hAnsi="Arial"/>
          <w:i w:val="1"/>
          <w:iCs w:val="1"/>
          <w:sz w:val="24"/>
          <w:szCs w:val="24"/>
          <w:rtl w:val="0"/>
          <w:lang w:val="en-US"/>
        </w:rPr>
        <w:t>What Are Capability Procedures and Why Are They Important?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"https://www.peninsulagrouplimited.com/resource-hub/learning-development/what-are-capability-procedures-and-why-are-they-important/"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https://www.peninsulagrouplimited.com/resource-hub/learning-development/what-are-capability-procedures-and-why-are-they-important/</w:t>
      </w:r>
      <w:r>
        <w:rPr>
          <w:rFonts w:ascii="Arial" w:cs="Arial" w:hAnsi="Arial" w:eastAsia="Arial"/>
          <w:sz w:val="24"/>
          <w:szCs w:val="24"/>
        </w:rPr>
        <w:fldChar w:fldCharType="end" w:fldLock="0"/>
      </w:r>
      <w:r>
        <w:rPr>
          <w:rFonts w:ascii="Arial" w:hAnsi="Arial"/>
          <w:sz w:val="24"/>
          <w:szCs w:val="24"/>
          <w:rtl w:val="0"/>
          <w:lang w:val="en-US"/>
        </w:rPr>
        <w:t xml:space="preserve"> (Accessed 20th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Prokhorenko, O. (No Date) </w:t>
      </w:r>
      <w:r>
        <w:rPr>
          <w:rFonts w:ascii="Arial" w:hAnsi="Arial"/>
          <w:i w:val="1"/>
          <w:iCs w:val="1"/>
          <w:sz w:val="24"/>
          <w:szCs w:val="24"/>
          <w:rtl w:val="0"/>
          <w:lang w:val="en-US"/>
        </w:rPr>
        <w:t>What is a performance appraisal and why is it important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"https://peoplelogic.ai/blog/what-is-a-performance-appraisal-and-why-is-it-important"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https://peoplelogic.ai/blog/what-is-a-performance-appraisal-and-why-is-it-important</w:t>
      </w:r>
      <w:r>
        <w:rPr>
          <w:rFonts w:ascii="Arial" w:cs="Arial" w:hAnsi="Arial" w:eastAsia="Arial"/>
          <w:sz w:val="24"/>
          <w:szCs w:val="24"/>
        </w:rPr>
        <w:fldChar w:fldCharType="end" w:fldLock="0"/>
      </w:r>
      <w:r>
        <w:rPr>
          <w:rFonts w:ascii="Arial" w:hAnsi="Arial"/>
          <w:sz w:val="24"/>
          <w:szCs w:val="24"/>
          <w:rtl w:val="0"/>
          <w:lang w:val="en-US"/>
        </w:rPr>
        <w:t xml:space="preserve"> (Accessed 15th April 2025). </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Villegas Threadgould, M. (2023). </w:t>
      </w:r>
      <w:r>
        <w:rPr>
          <w:rFonts w:ascii="Arial" w:hAnsi="Arial"/>
          <w:i w:val="1"/>
          <w:iCs w:val="1"/>
          <w:sz w:val="24"/>
          <w:szCs w:val="24"/>
          <w:rtl w:val="0"/>
          <w:lang w:val="en-US"/>
        </w:rPr>
        <w:t>What Is the GROW Coaching Model?</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"https://lattice.com/articles/everything-you-need-to-know-about-the-grow-coaching-model"</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https://lattice.com/articles/everything-you-need-to-know-about-the-grow-coaching-model</w:t>
      </w:r>
      <w:r>
        <w:rPr>
          <w:rFonts w:ascii="Arial" w:cs="Arial" w:hAnsi="Arial" w:eastAsia="Arial"/>
          <w:sz w:val="24"/>
          <w:szCs w:val="24"/>
        </w:rPr>
        <w:fldChar w:fldCharType="end" w:fldLock="0"/>
      </w:r>
      <w:r>
        <w:rPr>
          <w:rFonts w:ascii="Arial" w:hAnsi="Arial"/>
          <w:sz w:val="24"/>
          <w:szCs w:val="24"/>
          <w:rtl w:val="0"/>
          <w:lang w:val="en-US"/>
        </w:rPr>
        <w:t xml:space="preserve"> (Accessed 22nd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Webber, A. (2023). </w:t>
      </w:r>
      <w:r>
        <w:rPr>
          <w:rFonts w:ascii="Arial" w:hAnsi="Arial"/>
          <w:i w:val="1"/>
          <w:iCs w:val="1"/>
          <w:sz w:val="24"/>
          <w:szCs w:val="24"/>
          <w:rtl w:val="0"/>
          <w:lang w:val="en-US"/>
        </w:rPr>
        <w:t xml:space="preserve">Holes in performance management process see baker receive </w:t>
      </w:r>
      <w:r>
        <w:rPr>
          <w:rFonts w:ascii="Arial" w:hAnsi="Arial" w:hint="default"/>
          <w:i w:val="1"/>
          <w:iCs w:val="1"/>
          <w:sz w:val="24"/>
          <w:szCs w:val="24"/>
          <w:rtl w:val="0"/>
          <w:lang w:val="en-US"/>
        </w:rPr>
        <w:t>£</w:t>
      </w:r>
      <w:r>
        <w:rPr>
          <w:rFonts w:ascii="Arial" w:hAnsi="Arial"/>
          <w:i w:val="1"/>
          <w:iCs w:val="1"/>
          <w:sz w:val="24"/>
          <w:szCs w:val="24"/>
          <w:rtl w:val="0"/>
          <w:lang w:val="en-US"/>
        </w:rPr>
        <w:t>15k</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"https://www.personneltoday.com/hr/peformance-concerns-leakers-bakery-tribunal/"</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https://www.personneltoday.com/hr/peformance-concerns-leakers-bakery-tribunal/</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 xml:space="preserve">Weddle, B. (2025). </w:t>
      </w:r>
      <w:r>
        <w:rPr>
          <w:rFonts w:ascii="Arial" w:hAnsi="Arial"/>
          <w:i w:val="1"/>
          <w:iCs w:val="1"/>
          <w:sz w:val="24"/>
          <w:szCs w:val="24"/>
          <w:rtl w:val="0"/>
          <w:lang w:val="en-US"/>
        </w:rPr>
        <w:t>Four considerations for better goal setting and performance</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"https://www.mckinsey.com/capabilities/people-and-organizational-performance/our-insights/the-organization-blog/four-considerations-for-better-goal-setting-and-performance"</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https://www.mckinsey.com/capabilities/people-and-organizational-performance/our-insights/the-organization-blog/four-considerations-for-better-goal-setting-and-performance</w:t>
      </w:r>
      <w:r>
        <w:rPr>
          <w:rFonts w:ascii="Arial" w:cs="Arial" w:hAnsi="Arial" w:eastAsia="Arial"/>
          <w:sz w:val="24"/>
          <w:szCs w:val="24"/>
        </w:rPr>
        <w:fldChar w:fldCharType="end" w:fldLock="0"/>
      </w:r>
      <w:r>
        <w:rPr>
          <w:rFonts w:ascii="Arial" w:hAnsi="Arial"/>
          <w:sz w:val="24"/>
          <w:szCs w:val="24"/>
          <w:rtl w:val="0"/>
          <w:lang w:val="en-US"/>
        </w:rPr>
        <w:t xml:space="preserve"> (Accessed 22nd April 2025).</w:t>
      </w:r>
    </w:p>
    <w:p>
      <w:pPr>
        <w:pStyle w:val="Body"/>
        <w:rPr>
          <w:rFonts w:ascii="Arial" w:cs="Arial" w:hAnsi="Arial" w:eastAsia="Arial"/>
          <w:sz w:val="24"/>
          <w:szCs w:val="24"/>
        </w:rPr>
      </w:pPr>
    </w:p>
    <w:p>
      <w:pPr>
        <w:pStyle w:val="Body"/>
      </w:pPr>
      <w:r>
        <w:rPr>
          <w:rFonts w:ascii="Arial" w:hAnsi="Arial"/>
          <w:sz w:val="24"/>
          <w:szCs w:val="24"/>
          <w:rtl w:val="0"/>
          <w:lang w:val="en-US"/>
        </w:rPr>
        <w:t xml:space="preserve">Williams, T. (2022). </w:t>
      </w:r>
      <w:r>
        <w:rPr>
          <w:rFonts w:ascii="Arial" w:hAnsi="Arial"/>
          <w:i w:val="1"/>
          <w:iCs w:val="1"/>
          <w:sz w:val="24"/>
          <w:szCs w:val="24"/>
          <w:rtl w:val="0"/>
          <w:lang w:val="en-US"/>
        </w:rPr>
        <w:t>What is CPD and why is it important?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"https://open.uts.edu.au/insights/professional-development/what-is-cpd-and-why-is-it-important/"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https://open.uts.edu.au/insights/professional-development/what-is-cpd-and-why-is-it-important/</w:t>
      </w:r>
      <w:r>
        <w:rPr>
          <w:rFonts w:ascii="Arial" w:cs="Arial" w:hAnsi="Arial" w:eastAsia="Arial"/>
          <w:sz w:val="24"/>
          <w:szCs w:val="24"/>
        </w:rPr>
        <w:fldChar w:fldCharType="end" w:fldLock="0"/>
      </w:r>
      <w:r>
        <w:rPr>
          <w:rFonts w:ascii="Arial" w:hAnsi="Arial"/>
          <w:sz w:val="24"/>
          <w:szCs w:val="24"/>
          <w:rtl w:val="0"/>
          <w:lang w:val="en-US"/>
        </w:rPr>
        <w:t xml:space="preserve"> (Accessed 21st April 2025).</w:t>
      </w:r>
    </w:p>
    <w:sectPr>
      <w:headerReference w:type="default" r:id="rId28"/>
      <w:footerReference w:type="default" r:id="rId29"/>
      <w:pgSz w:w="11906" w:h="16838" w:orient="portrait"/>
      <w:pgMar w:top="1134" w:right="567" w:bottom="1134" w:left="567"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5386"/>
        <w:tab w:val="right" w:pos="10772"/>
        <w:tab w:val="clear" w:pos="9020"/>
      </w:tabs>
      <w:jc w:val="left"/>
    </w:pPr>
    <w:r>
      <w:rPr>
        <w:outline w:val="0"/>
        <w:color w:val="919191"/>
        <w:rtl w:val="0"/>
        <w:lang w:val="en-US"/>
        <w14:textFill>
          <w14:solidFill>
            <w14:srgbClr w14:val="929292"/>
          </w14:solidFill>
        </w14:textFill>
      </w:rPr>
      <w:t>Callum Griffiths-Barlow</w:t>
    </w:r>
    <w:r>
      <w:rPr>
        <w:outline w:val="0"/>
        <w:color w:val="919191"/>
        <w14:textFill>
          <w14:solidFill>
            <w14:srgbClr w14:val="929292"/>
          </w14:solidFill>
        </w14:textFill>
      </w:rPr>
      <w:tab/>
    </w:r>
    <w:r>
      <w:rPr>
        <w:outline w:val="0"/>
        <w:color w:val="919191"/>
        <w:rtl w:val="0"/>
        <w:lang w:val="en-US"/>
        <w14:textFill>
          <w14:solidFill>
            <w14:srgbClr w14:val="929292"/>
          </w14:solidFill>
        </w14:textFill>
      </w:rPr>
      <w:t xml:space="preserve">Page </w:t>
    </w:r>
    <w:r>
      <w:rPr>
        <w:outline w:val="0"/>
        <w:color w:val="919191"/>
        <w14:textFill>
          <w14:solidFill>
            <w14:srgbClr w14:val="929292"/>
          </w14:solidFill>
        </w14:textFill>
      </w:rPr>
      <w:fldChar w:fldCharType="begin" w:fldLock="0"/>
    </w:r>
    <w:r>
      <w:rPr>
        <w:outline w:val="0"/>
        <w:color w:val="919191"/>
        <w14:textFill>
          <w14:solidFill>
            <w14:srgbClr w14:val="929292"/>
          </w14:solidFill>
        </w14:textFill>
      </w:rPr>
      <w:instrText xml:space="preserve"> PAGE </w:instrText>
    </w:r>
    <w:r>
      <w:rPr>
        <w:outline w:val="0"/>
        <w:color w:val="919191"/>
        <w14:textFill>
          <w14:solidFill>
            <w14:srgbClr w14:val="929292"/>
          </w14:solidFill>
        </w14:textFill>
      </w:rPr>
      <w:fldChar w:fldCharType="separate" w:fldLock="0"/>
    </w:r>
    <w:r>
      <w:rPr>
        <w:outline w:val="0"/>
        <w:color w:val="919191"/>
        <w14:textFill>
          <w14:solidFill>
            <w14:srgbClr w14:val="929292"/>
          </w14:solidFill>
        </w14:textFill>
      </w:rPr>
    </w:r>
    <w:r>
      <w:rPr>
        <w:outline w:val="0"/>
        <w:color w:val="919191"/>
        <w14:textFill>
          <w14:solidFill>
            <w14:srgbClr w14:val="929292"/>
          </w14:solidFill>
        </w14:textFill>
      </w:rPr>
      <w:fldChar w:fldCharType="end" w:fldLock="0"/>
    </w:r>
    <w:r>
      <w:rPr>
        <w:outline w:val="0"/>
        <w:color w:val="919191"/>
        <w:rtl w:val="0"/>
        <w:lang w:val="en-US"/>
        <w14:textFill>
          <w14:solidFill>
            <w14:srgbClr w14:val="929292"/>
          </w14:solidFill>
        </w14:textFill>
      </w:rPr>
      <w:t xml:space="preserve"> of </w:t>
    </w:r>
    <w:r>
      <w:rPr>
        <w:outline w:val="0"/>
        <w:color w:val="919191"/>
        <w14:textFill>
          <w14:solidFill>
            <w14:srgbClr w14:val="929292"/>
          </w14:solidFill>
        </w14:textFill>
      </w:rPr>
      <w:fldChar w:fldCharType="begin" w:fldLock="0"/>
    </w:r>
    <w:r>
      <w:rPr>
        <w:outline w:val="0"/>
        <w:color w:val="919191"/>
        <w14:textFill>
          <w14:solidFill>
            <w14:srgbClr w14:val="929292"/>
          </w14:solidFill>
        </w14:textFill>
      </w:rPr>
      <w:instrText xml:space="preserve"> NUMPAGES </w:instrText>
    </w:r>
    <w:r>
      <w:rPr>
        <w:outline w:val="0"/>
        <w:color w:val="919191"/>
        <w14:textFill>
          <w14:solidFill>
            <w14:srgbClr w14:val="929292"/>
          </w14:solidFill>
        </w14:textFill>
      </w:rPr>
      <w:fldChar w:fldCharType="separate" w:fldLock="0"/>
    </w:r>
    <w:r>
      <w:rPr>
        <w:outline w:val="0"/>
        <w:color w:val="919191"/>
        <w14:textFill>
          <w14:solidFill>
            <w14:srgbClr w14:val="929292"/>
          </w14:solidFill>
        </w14:textFill>
      </w:rPr>
    </w:r>
    <w:r>
      <w:rPr>
        <w:outline w:val="0"/>
        <w:color w:val="919191"/>
        <w14:textFill>
          <w14:solidFill>
            <w14:srgbClr w14:val="929292"/>
          </w14:solidFill>
        </w14:textFill>
      </w:rPr>
      <w:fldChar w:fldCharType="end" w:fldLock="0"/>
    </w:r>
    <w:r>
      <w:rPr>
        <w:outline w:val="0"/>
        <w:color w:val="919191"/>
        <w14:textFill>
          <w14:solidFill>
            <w14:srgbClr w14:val="929292"/>
          </w14:solidFill>
        </w14:textFill>
      </w:rPr>
      <w:tab/>
    </w:r>
    <w:r>
      <w:rPr>
        <w:outline w:val="0"/>
        <w:color w:val="919191"/>
        <w:rtl w:val="0"/>
        <w:lang w:val="en-US"/>
        <w14:textFill>
          <w14:solidFill>
            <w14:srgbClr w14:val="929292"/>
          </w14:solidFill>
        </w14:textFill>
      </w:rPr>
      <w:t>2316490</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2880"/>
          <w:tab w:val="left" w:pos="4320"/>
          <w:tab w:val="left" w:pos="5760"/>
          <w:tab w:val="left" w:pos="7200"/>
          <w:tab w:val="left" w:pos="8640"/>
          <w:tab w:val="left" w:pos="1008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671"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2880"/>
          <w:tab w:val="left" w:pos="4320"/>
          <w:tab w:val="left" w:pos="5760"/>
          <w:tab w:val="left" w:pos="7200"/>
          <w:tab w:val="left" w:pos="8640"/>
          <w:tab w:val="left" w:pos="1008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Bullet"/>
  </w:abstractNum>
  <w:abstractNum w:abstractNumId="8">
    <w:multiLevelType w:val="hybridMultilevel"/>
    <w:styleLink w:val="Bullet"/>
    <w:lvl w:ilvl="0">
      <w:start w:val="1"/>
      <w:numFmt w:val="bullet"/>
      <w:suff w:val="tab"/>
      <w:lvlText w:val="•"/>
      <w:lvlJc w:val="left"/>
      <w:pPr>
        <w:tabs>
          <w:tab w:val="left" w:pos="1440"/>
          <w:tab w:val="left" w:pos="2880"/>
          <w:tab w:val="left" w:pos="4320"/>
          <w:tab w:val="left" w:pos="5760"/>
          <w:tab w:val="left" w:pos="7200"/>
          <w:tab w:val="left" w:pos="8640"/>
          <w:tab w:val="left" w:pos="10080"/>
        </w:tabs>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1440"/>
          <w:tab w:val="left" w:pos="2880"/>
          <w:tab w:val="left" w:pos="4320"/>
          <w:tab w:val="left" w:pos="5760"/>
          <w:tab w:val="left" w:pos="7200"/>
          <w:tab w:val="left" w:pos="8640"/>
          <w:tab w:val="left" w:pos="1008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tabs>
          <w:tab w:val="left" w:pos="1440"/>
          <w:tab w:val="left" w:pos="2880"/>
          <w:tab w:val="left" w:pos="4320"/>
          <w:tab w:val="left" w:pos="5760"/>
          <w:tab w:val="left" w:pos="7200"/>
          <w:tab w:val="left" w:pos="8640"/>
          <w:tab w:val="left" w:pos="1008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tabs>
          <w:tab w:val="left" w:pos="1440"/>
          <w:tab w:val="left" w:pos="2880"/>
          <w:tab w:val="left" w:pos="4320"/>
          <w:tab w:val="left" w:pos="5760"/>
          <w:tab w:val="left" w:pos="7200"/>
          <w:tab w:val="left" w:pos="8640"/>
          <w:tab w:val="left" w:pos="10080"/>
        </w:tabs>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tabs>
          <w:tab w:val="left" w:pos="1440"/>
          <w:tab w:val="left" w:pos="2880"/>
          <w:tab w:val="left" w:pos="4320"/>
          <w:tab w:val="left" w:pos="5760"/>
          <w:tab w:val="left" w:pos="7200"/>
          <w:tab w:val="left" w:pos="8640"/>
          <w:tab w:val="left" w:pos="1008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tabs>
          <w:tab w:val="left" w:pos="1440"/>
          <w:tab w:val="left" w:pos="2880"/>
          <w:tab w:val="left" w:pos="4320"/>
          <w:tab w:val="left" w:pos="5760"/>
          <w:tab w:val="left" w:pos="7200"/>
          <w:tab w:val="left" w:pos="8640"/>
          <w:tab w:val="left" w:pos="1008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tabs>
          <w:tab w:val="left" w:pos="1440"/>
          <w:tab w:val="left" w:pos="2880"/>
          <w:tab w:val="left" w:pos="4320"/>
          <w:tab w:val="left" w:pos="5760"/>
          <w:tab w:val="left" w:pos="7200"/>
          <w:tab w:val="left" w:pos="8640"/>
          <w:tab w:val="left" w:pos="1008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tabs>
          <w:tab w:val="left" w:pos="2880"/>
          <w:tab w:val="left" w:pos="4320"/>
          <w:tab w:val="left" w:pos="5760"/>
          <w:tab w:val="left" w:pos="7200"/>
          <w:tab w:val="left" w:pos="8640"/>
          <w:tab w:val="left" w:pos="1008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tabs>
          <w:tab w:val="left" w:pos="1440"/>
          <w:tab w:val="left" w:pos="2880"/>
          <w:tab w:val="left" w:pos="4320"/>
          <w:tab w:val="left" w:pos="5760"/>
          <w:tab w:val="left" w:pos="7200"/>
          <w:tab w:val="left" w:pos="8640"/>
          <w:tab w:val="left" w:pos="1008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0"/>
  </w:num>
  <w:num w:numId="2">
    <w:abstractNumId w:val="1"/>
  </w:num>
  <w:num w:numId="3">
    <w:abstractNumId w:val="2"/>
  </w:num>
  <w:num w:numId="4">
    <w:abstractNumId w:val="1"/>
    <w:lvlOverride w:ilvl="0">
      <w:lvl w:ilvl="0">
        <w:start w:val="1"/>
        <w:numFmt w:val="bullet"/>
        <w:suff w:val="tab"/>
        <w:lvlText w:val="•"/>
        <w:lvlJc w:val="left"/>
        <w:pPr>
          <w:tabs>
            <w:tab w:val="left" w:pos="1440"/>
            <w:tab w:val="left" w:pos="2880"/>
            <w:tab w:val="left" w:pos="4320"/>
            <w:tab w:val="left" w:pos="5760"/>
            <w:tab w:val="left" w:pos="7200"/>
            <w:tab w:val="left" w:pos="8640"/>
            <w:tab w:val="left" w:pos="10080"/>
          </w:tabs>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tabs>
            <w:tab w:val="left" w:pos="1440"/>
            <w:tab w:val="left" w:pos="2880"/>
            <w:tab w:val="left" w:pos="4320"/>
            <w:tab w:val="left" w:pos="5760"/>
            <w:tab w:val="left" w:pos="7200"/>
            <w:tab w:val="left" w:pos="8640"/>
            <w:tab w:val="left" w:pos="10080"/>
          </w:tabs>
          <w:ind w:left="676"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tabs>
            <w:tab w:val="left" w:pos="1440"/>
            <w:tab w:val="left" w:pos="2880"/>
            <w:tab w:val="left" w:pos="4320"/>
            <w:tab w:val="left" w:pos="5760"/>
            <w:tab w:val="left" w:pos="7200"/>
            <w:tab w:val="left" w:pos="8640"/>
            <w:tab w:val="left" w:pos="10080"/>
          </w:tabs>
          <w:ind w:left="676"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tabs>
            <w:tab w:val="left" w:pos="1440"/>
            <w:tab w:val="left" w:pos="2880"/>
            <w:tab w:val="left" w:pos="4320"/>
            <w:tab w:val="left" w:pos="5760"/>
            <w:tab w:val="left" w:pos="7200"/>
            <w:tab w:val="left" w:pos="8640"/>
            <w:tab w:val="left" w:pos="10080"/>
          </w:tabs>
          <w:ind w:left="1233"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tabs>
            <w:tab w:val="left" w:pos="1440"/>
            <w:tab w:val="left" w:pos="2880"/>
            <w:tab w:val="left" w:pos="4320"/>
            <w:tab w:val="left" w:pos="5760"/>
            <w:tab w:val="left" w:pos="7200"/>
            <w:tab w:val="left" w:pos="8640"/>
            <w:tab w:val="left" w:pos="10080"/>
          </w:tabs>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tabs>
            <w:tab w:val="left" w:pos="1440"/>
            <w:tab w:val="left" w:pos="2880"/>
            <w:tab w:val="left" w:pos="4320"/>
            <w:tab w:val="left" w:pos="5760"/>
            <w:tab w:val="left" w:pos="7200"/>
            <w:tab w:val="left" w:pos="8640"/>
            <w:tab w:val="left" w:pos="10080"/>
          </w:tabs>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tabs>
            <w:tab w:val="left" w:pos="1440"/>
            <w:tab w:val="left" w:pos="2880"/>
            <w:tab w:val="left" w:pos="4320"/>
            <w:tab w:val="left" w:pos="5760"/>
            <w:tab w:val="left" w:pos="7200"/>
            <w:tab w:val="left" w:pos="8640"/>
            <w:tab w:val="left" w:pos="10080"/>
          </w:tabs>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tabs>
            <w:tab w:val="left" w:pos="1440"/>
            <w:tab w:val="left" w:pos="2880"/>
            <w:tab w:val="left" w:pos="5760"/>
            <w:tab w:val="left" w:pos="7200"/>
            <w:tab w:val="left" w:pos="8640"/>
            <w:tab w:val="left" w:pos="10080"/>
          </w:tabs>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tabs>
            <w:tab w:val="left" w:pos="1440"/>
            <w:tab w:val="left" w:pos="2880"/>
            <w:tab w:val="left" w:pos="4320"/>
            <w:tab w:val="left" w:pos="5760"/>
            <w:tab w:val="left" w:pos="7200"/>
            <w:tab w:val="left" w:pos="8640"/>
            <w:tab w:val="left" w:pos="10080"/>
          </w:tabs>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5">
    <w:abstractNumId w:val="3"/>
  </w:num>
  <w:num w:numId="6">
    <w:abstractNumId w:val="4"/>
  </w:num>
  <w:num w:numId="7">
    <w:abstractNumId w:val="5"/>
  </w:num>
  <w:num w:numId="8">
    <w:abstractNumId w:val="6"/>
  </w:num>
  <w:num w:numId="9">
    <w:abstractNumId w:val="8"/>
  </w:num>
  <w:num w:numId="10">
    <w:abstractNumId w:val="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numbering" w:styleId="Bullet">
    <w:name w:val="Bullet"/>
    <w:pPr>
      <w:numPr>
        <w:numId w:val="9"/>
      </w:numPr>
    </w:pPr>
  </w:style>
  <w:style w:type="character" w:styleId="Link">
    <w:name w:val="Link"/>
    <w:rPr>
      <w:u w:val="single"/>
    </w:rPr>
  </w:style>
  <w:style w:type="character" w:styleId="Hyperlink.0">
    <w:name w:val="Hyperlink.0"/>
    <w:basedOn w:val="Link"/>
    <w:next w:val="Hyperlink.0"/>
    <w:rPr>
      <w:u w:val="none" w:color="0000ff"/>
    </w:rPr>
  </w:style>
  <w:style w:type="character" w:styleId="Hyperlink.1">
    <w:name w:val="Hyperlink.1"/>
    <w:basedOn w:val="Link"/>
    <w:next w:val="Hyperlink.1"/>
    <w:rPr>
      <w:u w:val="none"/>
    </w:rPr>
  </w:style>
  <w:style w:type="character" w:styleId="Hyperlink.2">
    <w:name w:val="Hyperlink.2"/>
    <w:basedOn w:val="Link"/>
    <w:next w:val="Hyperlink.2"/>
    <w:rPr>
      <w:outline w:val="0"/>
      <w:color w:val="000000"/>
      <w:u w:val="no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image" Target="media/image11.png"/><Relationship Id="rId15" Type="http://schemas.openxmlformats.org/officeDocument/2006/relationships/image" Target="media/image12.png"/><Relationship Id="rId16" Type="http://schemas.openxmlformats.org/officeDocument/2006/relationships/image" Target="media/image13.png"/><Relationship Id="rId17" Type="http://schemas.openxmlformats.org/officeDocument/2006/relationships/image" Target="media/image14.png"/><Relationship Id="rId18" Type="http://schemas.openxmlformats.org/officeDocument/2006/relationships/image" Target="media/image15.png"/><Relationship Id="rId19" Type="http://schemas.openxmlformats.org/officeDocument/2006/relationships/image" Target="media/image16.png"/><Relationship Id="rId20" Type="http://schemas.openxmlformats.org/officeDocument/2006/relationships/image" Target="media/image17.png"/><Relationship Id="rId21" Type="http://schemas.openxmlformats.org/officeDocument/2006/relationships/image" Target="media/image18.png"/><Relationship Id="rId22" Type="http://schemas.openxmlformats.org/officeDocument/2006/relationships/image" Target="media/image19.png"/><Relationship Id="rId23" Type="http://schemas.openxmlformats.org/officeDocument/2006/relationships/image" Target="media/image20.png"/><Relationship Id="rId24" Type="http://schemas.openxmlformats.org/officeDocument/2006/relationships/image" Target="media/image21.png"/><Relationship Id="rId25" Type="http://schemas.openxmlformats.org/officeDocument/2006/relationships/image" Target="media/image22.png"/><Relationship Id="rId26" Type="http://schemas.openxmlformats.org/officeDocument/2006/relationships/image" Target="media/image23.png"/><Relationship Id="rId27" Type="http://schemas.openxmlformats.org/officeDocument/2006/relationships/image" Target="media/image24.png"/><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numbering" Target="numbering.xml"/><Relationship Id="rId3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