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DF6D4E" w14:textId="622E31E2" w:rsidR="00643BCE" w:rsidRPr="00643BCE" w:rsidRDefault="00E01481" w:rsidP="00643BCE">
      <w:pPr>
        <w:rPr>
          <w:rFonts w:cstheme="minorHAnsi"/>
          <w:color w:val="000000" w:themeColor="text1"/>
        </w:rPr>
      </w:pPr>
      <w:r>
        <w:rPr>
          <w:rFonts w:cstheme="minorHAnsi"/>
          <w:color w:val="000000" w:themeColor="text1"/>
        </w:rPr>
        <w:t>Student</w:t>
      </w:r>
      <w:r w:rsidR="00643BCE" w:rsidRPr="00643BCE">
        <w:rPr>
          <w:rFonts w:cstheme="minorHAnsi"/>
          <w:color w:val="000000" w:themeColor="text1"/>
        </w:rPr>
        <w:t>: Adrian-Gigi Ciacareanu (1710292)</w:t>
      </w:r>
    </w:p>
    <w:p w14:paraId="4A713109" w14:textId="77777777" w:rsidR="00643BCE" w:rsidRPr="00643BCE" w:rsidRDefault="00643BCE" w:rsidP="00643BCE">
      <w:pPr>
        <w:rPr>
          <w:rFonts w:cstheme="minorHAnsi"/>
          <w:color w:val="000000" w:themeColor="text1"/>
        </w:rPr>
      </w:pPr>
      <w:r w:rsidRPr="00643BCE">
        <w:rPr>
          <w:rFonts w:cstheme="minorHAnsi"/>
          <w:color w:val="000000" w:themeColor="text1"/>
        </w:rPr>
        <w:t>Lecturer: Andrew Thorn</w:t>
      </w:r>
    </w:p>
    <w:p w14:paraId="1BD13AEF" w14:textId="36F2F964" w:rsidR="00643BCE" w:rsidRPr="00643BCE" w:rsidRDefault="00643BCE" w:rsidP="00643BCE">
      <w:pPr>
        <w:rPr>
          <w:rFonts w:cstheme="minorHAnsi"/>
          <w:color w:val="000000" w:themeColor="text1"/>
        </w:rPr>
      </w:pPr>
      <w:r w:rsidRPr="00643BCE">
        <w:rPr>
          <w:rFonts w:cstheme="minorHAnsi"/>
          <w:color w:val="000000" w:themeColor="text1"/>
        </w:rPr>
        <w:t>Module: Engineering Management Leadership (ACEA 7006)</w:t>
      </w:r>
      <w:r w:rsidR="00037749" w:rsidRPr="00643BCE">
        <w:rPr>
          <w:rFonts w:cstheme="minorHAnsi"/>
          <w:color w:val="000000" w:themeColor="text1"/>
        </w:rPr>
        <w:t xml:space="preserve">                                </w:t>
      </w:r>
    </w:p>
    <w:p w14:paraId="4748B889" w14:textId="77777777" w:rsidR="00643BCE" w:rsidRPr="00643BCE" w:rsidRDefault="00643BCE">
      <w:pPr>
        <w:rPr>
          <w:rFonts w:ascii="Apple Symbols" w:hAnsi="Apple Symbols" w:cs="Apple Symbols"/>
          <w:color w:val="000000" w:themeColor="text1"/>
        </w:rPr>
      </w:pPr>
    </w:p>
    <w:p w14:paraId="5D698703" w14:textId="77777777" w:rsidR="00643BCE" w:rsidRPr="00643BCE" w:rsidRDefault="00643BCE">
      <w:pPr>
        <w:rPr>
          <w:rFonts w:ascii="Apple Symbols" w:hAnsi="Apple Symbols" w:cs="Apple Symbols"/>
          <w:color w:val="000000" w:themeColor="text1"/>
        </w:rPr>
      </w:pPr>
    </w:p>
    <w:p w14:paraId="5FF3CBCE" w14:textId="77777777" w:rsidR="00643BCE" w:rsidRPr="00643BCE" w:rsidRDefault="00643BCE">
      <w:pPr>
        <w:rPr>
          <w:rFonts w:ascii="Apple Symbols" w:hAnsi="Apple Symbols" w:cs="Apple Symbols"/>
          <w:color w:val="000000" w:themeColor="text1"/>
        </w:rPr>
      </w:pPr>
    </w:p>
    <w:p w14:paraId="73503812" w14:textId="404B6D59" w:rsidR="00A56119" w:rsidRDefault="00037749">
      <w:r>
        <w:t xml:space="preserve">  </w:t>
      </w:r>
      <w:r w:rsidR="00643BCE">
        <w:t xml:space="preserve">                                             </w:t>
      </w:r>
      <w:r>
        <w:t xml:space="preserve"> </w:t>
      </w:r>
      <w:r>
        <w:rPr>
          <w:rFonts w:ascii="Apple Chancery" w:hAnsi="Apple Chancery" w:cs="Apple Chancery"/>
          <w:noProof/>
          <w:color w:val="C00000"/>
          <w:sz w:val="36"/>
          <w:szCs w:val="36"/>
        </w:rPr>
        <w:drawing>
          <wp:inline distT="0" distB="0" distL="0" distR="0" wp14:anchorId="7CEB9A9C" wp14:editId="12CE5343">
            <wp:extent cx="2229108" cy="875323"/>
            <wp:effectExtent l="0" t="0" r="0" b="127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 up of a logo&#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56731" cy="925438"/>
                    </a:xfrm>
                    <a:prstGeom prst="rect">
                      <a:avLst/>
                    </a:prstGeom>
                    <a:noFill/>
                    <a:ln>
                      <a:noFill/>
                    </a:ln>
                  </pic:spPr>
                </pic:pic>
              </a:graphicData>
            </a:graphic>
          </wp:inline>
        </w:drawing>
      </w:r>
    </w:p>
    <w:p w14:paraId="574FD142" w14:textId="2C1BC69E" w:rsidR="00037749" w:rsidRDefault="00037749"/>
    <w:p w14:paraId="15C8E5C4" w14:textId="0D192979" w:rsidR="00037749" w:rsidRDefault="00037749">
      <w:pPr>
        <w:rPr>
          <w:rFonts w:asciiTheme="majorHAnsi" w:hAnsiTheme="majorHAnsi" w:cstheme="majorHAnsi"/>
          <w:sz w:val="32"/>
          <w:szCs w:val="32"/>
        </w:rPr>
      </w:pPr>
      <w:r>
        <w:rPr>
          <w:rFonts w:asciiTheme="majorHAnsi" w:hAnsiTheme="majorHAnsi" w:cstheme="majorHAnsi"/>
          <w:b/>
          <w:sz w:val="32"/>
          <w:szCs w:val="32"/>
        </w:rPr>
        <w:t xml:space="preserve">                </w:t>
      </w:r>
      <w:r w:rsidR="00643BCE">
        <w:rPr>
          <w:rFonts w:asciiTheme="majorHAnsi" w:hAnsiTheme="majorHAnsi" w:cstheme="majorHAnsi"/>
          <w:b/>
          <w:sz w:val="32"/>
          <w:szCs w:val="32"/>
        </w:rPr>
        <w:t xml:space="preserve">    </w:t>
      </w:r>
      <w:r w:rsidRPr="00055B84">
        <w:rPr>
          <w:rFonts w:asciiTheme="majorHAnsi" w:hAnsiTheme="majorHAnsi" w:cstheme="majorHAnsi"/>
          <w:b/>
          <w:sz w:val="32"/>
          <w:szCs w:val="32"/>
        </w:rPr>
        <w:t>MSc Lean and Agile Manufacturing Operations</w:t>
      </w:r>
      <w:r w:rsidRPr="00055B84">
        <w:rPr>
          <w:rFonts w:asciiTheme="majorHAnsi" w:hAnsiTheme="majorHAnsi" w:cstheme="majorHAnsi"/>
          <w:sz w:val="32"/>
          <w:szCs w:val="32"/>
        </w:rPr>
        <w:t xml:space="preserve">  </w:t>
      </w:r>
    </w:p>
    <w:p w14:paraId="7EF97B1A" w14:textId="77777777" w:rsidR="00037749" w:rsidRDefault="00037749">
      <w:pPr>
        <w:rPr>
          <w:rFonts w:asciiTheme="majorHAnsi" w:hAnsiTheme="majorHAnsi" w:cstheme="majorHAnsi"/>
          <w:sz w:val="32"/>
          <w:szCs w:val="32"/>
        </w:rPr>
      </w:pPr>
    </w:p>
    <w:p w14:paraId="3D99103D" w14:textId="1958BEA2" w:rsidR="00643BCE" w:rsidRDefault="00037749">
      <w:pPr>
        <w:rPr>
          <w:rFonts w:ascii="ACADEMY ENGRAVED LET PLAIN:1.0" w:hAnsi="ACADEMY ENGRAVED LET PLAIN:1.0" w:cstheme="majorHAnsi"/>
          <w:sz w:val="40"/>
          <w:szCs w:val="40"/>
        </w:rPr>
      </w:pPr>
      <w:r w:rsidRPr="00037749">
        <w:rPr>
          <w:rFonts w:ascii="ACADEMY ENGRAVED LET PLAIN:1.0" w:hAnsi="ACADEMY ENGRAVED LET PLAIN:1.0" w:cstheme="majorHAnsi"/>
          <w:sz w:val="32"/>
          <w:szCs w:val="32"/>
        </w:rPr>
        <w:t xml:space="preserve">          </w:t>
      </w:r>
      <w:r w:rsidR="00643BCE">
        <w:rPr>
          <w:rFonts w:ascii="ACADEMY ENGRAVED LET PLAIN:1.0" w:hAnsi="ACADEMY ENGRAVED LET PLAIN:1.0" w:cstheme="majorHAnsi"/>
          <w:sz w:val="32"/>
          <w:szCs w:val="32"/>
        </w:rPr>
        <w:t xml:space="preserve">  </w:t>
      </w:r>
      <w:r w:rsidRPr="00037749">
        <w:rPr>
          <w:rFonts w:ascii="ACADEMY ENGRAVED LET PLAIN:1.0" w:hAnsi="ACADEMY ENGRAVED LET PLAIN:1.0" w:cstheme="majorHAnsi"/>
          <w:sz w:val="40"/>
          <w:szCs w:val="40"/>
        </w:rPr>
        <w:t xml:space="preserve">Improving Supply Chain Performance  </w:t>
      </w:r>
    </w:p>
    <w:p w14:paraId="338AF4FF" w14:textId="3410C1DD" w:rsidR="00037749" w:rsidRDefault="00037749">
      <w:pPr>
        <w:rPr>
          <w:rFonts w:ascii="ACADEMY ENGRAVED LET PLAIN:1.0" w:hAnsi="ACADEMY ENGRAVED LET PLAIN:1.0" w:cstheme="majorHAnsi"/>
          <w:sz w:val="40"/>
          <w:szCs w:val="40"/>
        </w:rPr>
      </w:pPr>
      <w:r w:rsidRPr="00037749">
        <w:rPr>
          <w:rFonts w:ascii="ACADEMY ENGRAVED LET PLAIN:1.0" w:hAnsi="ACADEMY ENGRAVED LET PLAIN:1.0" w:cstheme="majorHAnsi"/>
          <w:sz w:val="40"/>
          <w:szCs w:val="40"/>
        </w:rPr>
        <w:t xml:space="preserve"> </w:t>
      </w:r>
    </w:p>
    <w:p w14:paraId="409F559E" w14:textId="7BB36F9B" w:rsidR="00037749" w:rsidRDefault="00037749">
      <w:pPr>
        <w:rPr>
          <w:rFonts w:ascii="ACADEMY ENGRAVED LET PLAIN:1.0" w:hAnsi="ACADEMY ENGRAVED LET PLAIN:1.0" w:cstheme="majorHAnsi"/>
          <w:sz w:val="40"/>
          <w:szCs w:val="40"/>
        </w:rPr>
      </w:pPr>
      <w:r w:rsidRPr="00037749">
        <w:rPr>
          <w:rFonts w:ascii="ACADEMY ENGRAVED LET PLAIN:1.0" w:hAnsi="ACADEMY ENGRAVED LET PLAIN:1.0" w:cstheme="majorHAnsi"/>
          <w:sz w:val="40"/>
          <w:szCs w:val="40"/>
        </w:rPr>
        <w:t xml:space="preserve">   </w:t>
      </w:r>
      <w:r w:rsidR="00643BCE">
        <w:rPr>
          <w:rFonts w:ascii="ACADEMY ENGRAVED LET PLAIN:1.0" w:hAnsi="ACADEMY ENGRAVED LET PLAIN:1.0" w:cstheme="majorHAnsi"/>
          <w:noProof/>
          <w:sz w:val="40"/>
          <w:szCs w:val="40"/>
        </w:rPr>
        <w:drawing>
          <wp:inline distT="0" distB="0" distL="0" distR="0" wp14:anchorId="2A023868" wp14:editId="2E5770A0">
            <wp:extent cx="5727700" cy="4095115"/>
            <wp:effectExtent l="0" t="0" r="0" b="0"/>
            <wp:docPr id="2" name="Picture 2" descr="A person using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erson using a computer&#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27700" cy="4095115"/>
                    </a:xfrm>
                    <a:prstGeom prst="rect">
                      <a:avLst/>
                    </a:prstGeom>
                  </pic:spPr>
                </pic:pic>
              </a:graphicData>
            </a:graphic>
          </wp:inline>
        </w:drawing>
      </w:r>
      <w:r w:rsidRPr="00037749">
        <w:rPr>
          <w:rFonts w:ascii="ACADEMY ENGRAVED LET PLAIN:1.0" w:hAnsi="ACADEMY ENGRAVED LET PLAIN:1.0" w:cstheme="majorHAnsi"/>
          <w:sz w:val="40"/>
          <w:szCs w:val="40"/>
        </w:rPr>
        <w:t xml:space="preserve">    </w:t>
      </w:r>
    </w:p>
    <w:p w14:paraId="2DCD778F" w14:textId="3E70724E" w:rsidR="00643BCE" w:rsidRDefault="00643BCE">
      <w:pPr>
        <w:rPr>
          <w:rFonts w:ascii="ACADEMY ENGRAVED LET PLAIN:1.0" w:hAnsi="ACADEMY ENGRAVED LET PLAIN:1.0" w:cstheme="majorHAnsi"/>
          <w:sz w:val="40"/>
          <w:szCs w:val="40"/>
        </w:rPr>
      </w:pPr>
    </w:p>
    <w:p w14:paraId="7ADDED81" w14:textId="2EED5F88" w:rsidR="00643BCE" w:rsidRDefault="00643BCE">
      <w:pPr>
        <w:rPr>
          <w:rFonts w:ascii="ACADEMY ENGRAVED LET PLAIN:1.0" w:hAnsi="ACADEMY ENGRAVED LET PLAIN:1.0" w:cstheme="majorHAnsi"/>
          <w:sz w:val="40"/>
          <w:szCs w:val="40"/>
        </w:rPr>
      </w:pPr>
    </w:p>
    <w:p w14:paraId="28D56548" w14:textId="77777777" w:rsidR="00643BCE" w:rsidRDefault="00643BCE">
      <w:pPr>
        <w:rPr>
          <w:rFonts w:cstheme="minorHAnsi"/>
        </w:rPr>
      </w:pPr>
      <w:r>
        <w:rPr>
          <w:rFonts w:cstheme="minorHAnsi"/>
        </w:rPr>
        <w:t xml:space="preserve">                                        </w:t>
      </w:r>
    </w:p>
    <w:p w14:paraId="6376AD03" w14:textId="4951C9AB" w:rsidR="00643BCE" w:rsidRDefault="00643BCE">
      <w:pPr>
        <w:rPr>
          <w:rFonts w:cstheme="minorHAnsi"/>
        </w:rPr>
      </w:pPr>
      <w:r>
        <w:rPr>
          <w:rFonts w:cstheme="minorHAnsi"/>
        </w:rPr>
        <w:t xml:space="preserve">                                                University of Wales Trinity Saint David</w:t>
      </w:r>
    </w:p>
    <w:p w14:paraId="5F7FFE96" w14:textId="77777777" w:rsidR="00CF58ED" w:rsidRDefault="00643BCE" w:rsidP="00CF58ED">
      <w:pPr>
        <w:rPr>
          <w:rFonts w:cstheme="minorHAnsi"/>
        </w:rPr>
      </w:pPr>
      <w:r>
        <w:rPr>
          <w:rFonts w:cstheme="minorHAnsi"/>
        </w:rPr>
        <w:t xml:space="preserve">                                                                    15/02/2022</w:t>
      </w:r>
    </w:p>
    <w:p w14:paraId="1ED93DBF" w14:textId="0004C365" w:rsidR="00CF58ED" w:rsidRDefault="00CF58ED" w:rsidP="00CF58ED">
      <w:pPr>
        <w:rPr>
          <w:rFonts w:asciiTheme="majorHAnsi" w:hAnsiTheme="majorHAnsi" w:cstheme="majorHAnsi"/>
          <w:sz w:val="36"/>
          <w:szCs w:val="36"/>
        </w:rPr>
      </w:pPr>
      <w:r w:rsidRPr="00D53D1F">
        <w:rPr>
          <w:rFonts w:asciiTheme="majorHAnsi" w:hAnsiTheme="majorHAnsi" w:cstheme="majorHAnsi"/>
          <w:sz w:val="36"/>
          <w:szCs w:val="36"/>
        </w:rPr>
        <w:lastRenderedPageBreak/>
        <w:t>Executive summary</w:t>
      </w:r>
    </w:p>
    <w:p w14:paraId="51C8B110" w14:textId="77777777" w:rsidR="00F23F2E" w:rsidRPr="00CF58ED" w:rsidRDefault="00F23F2E" w:rsidP="00CF58ED">
      <w:pPr>
        <w:rPr>
          <w:rFonts w:cstheme="minorHAnsi"/>
        </w:rPr>
      </w:pPr>
    </w:p>
    <w:p w14:paraId="0F227B8F" w14:textId="7777777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As a result of the COVID-19 epidemic, cultivators, vendors, suppliers, and end users have all been adversely affected. Pandemics can be less damaging to food supply chains if adequate measures are in place to ensure that key supplies, price, and distribution are not disrupted. The goal of this research is to identify the most significant impacts of pandemics on food supply networks, as well as possible mitigation techniques. COVID-19's impact on retail operations and supply chain management is examined in this paper from upstream to downstream and consumer viewpoints. </w:t>
      </w:r>
    </w:p>
    <w:p w14:paraId="38EAC380" w14:textId="7777777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Food systems throughout the world have been put under the microscope as a result of the COVID-19 epidemic, which has also created a fertile ground for new ideas and radical change. Catastrophic climate events will become more often and more severe, notwithstanding the unparalleled severity and extent of this crisis. These events will have equivalent socioeconomic ramifications. Our understanding of food systems must be improved so that they can withstand such changes.</w:t>
      </w:r>
    </w:p>
    <w:p w14:paraId="215ADD95" w14:textId="7777777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Final recommendations include an action plan for future research on current and future issues. </w:t>
      </w:r>
    </w:p>
    <w:p w14:paraId="35EF0C90" w14:textId="77777777" w:rsidR="00CF58ED" w:rsidRDefault="00CF58ED" w:rsidP="00643BCE">
      <w:pPr>
        <w:spacing w:line="360" w:lineRule="auto"/>
        <w:rPr>
          <w:rFonts w:asciiTheme="majorHAnsi" w:hAnsiTheme="majorHAnsi" w:cstheme="majorHAnsi"/>
          <w:sz w:val="36"/>
          <w:szCs w:val="36"/>
        </w:rPr>
      </w:pPr>
    </w:p>
    <w:p w14:paraId="5A5598C5" w14:textId="77777777" w:rsidR="00CF58ED" w:rsidRDefault="00CF58ED" w:rsidP="00643BCE">
      <w:pPr>
        <w:spacing w:line="360" w:lineRule="auto"/>
        <w:rPr>
          <w:rFonts w:asciiTheme="majorHAnsi" w:hAnsiTheme="majorHAnsi" w:cstheme="majorHAnsi"/>
          <w:sz w:val="36"/>
          <w:szCs w:val="36"/>
        </w:rPr>
      </w:pPr>
    </w:p>
    <w:p w14:paraId="4E3A5216" w14:textId="77777777" w:rsidR="00CF58ED" w:rsidRDefault="00CF58ED" w:rsidP="00643BCE">
      <w:pPr>
        <w:spacing w:line="360" w:lineRule="auto"/>
        <w:rPr>
          <w:rFonts w:asciiTheme="majorHAnsi" w:hAnsiTheme="majorHAnsi" w:cstheme="majorHAnsi"/>
          <w:sz w:val="36"/>
          <w:szCs w:val="36"/>
        </w:rPr>
      </w:pPr>
    </w:p>
    <w:p w14:paraId="7CC89C76" w14:textId="77777777" w:rsidR="00CF58ED" w:rsidRDefault="00CF58ED" w:rsidP="00643BCE">
      <w:pPr>
        <w:spacing w:line="360" w:lineRule="auto"/>
        <w:rPr>
          <w:rFonts w:asciiTheme="majorHAnsi" w:hAnsiTheme="majorHAnsi" w:cstheme="majorHAnsi"/>
          <w:sz w:val="36"/>
          <w:szCs w:val="36"/>
        </w:rPr>
      </w:pPr>
    </w:p>
    <w:p w14:paraId="7D983F5E" w14:textId="77777777" w:rsidR="00CF58ED" w:rsidRDefault="00CF58ED" w:rsidP="00643BCE">
      <w:pPr>
        <w:spacing w:line="360" w:lineRule="auto"/>
        <w:rPr>
          <w:rFonts w:asciiTheme="majorHAnsi" w:hAnsiTheme="majorHAnsi" w:cstheme="majorHAnsi"/>
          <w:sz w:val="36"/>
          <w:szCs w:val="36"/>
        </w:rPr>
      </w:pPr>
    </w:p>
    <w:p w14:paraId="236EC4F1" w14:textId="77777777" w:rsidR="00CF58ED" w:rsidRDefault="00CF58ED" w:rsidP="00643BCE">
      <w:pPr>
        <w:spacing w:line="360" w:lineRule="auto"/>
        <w:rPr>
          <w:rFonts w:asciiTheme="majorHAnsi" w:hAnsiTheme="majorHAnsi" w:cstheme="majorHAnsi"/>
          <w:sz w:val="36"/>
          <w:szCs w:val="36"/>
        </w:rPr>
      </w:pPr>
    </w:p>
    <w:p w14:paraId="11759875" w14:textId="77777777" w:rsidR="00CF58ED" w:rsidRDefault="00CF58ED" w:rsidP="00643BCE">
      <w:pPr>
        <w:spacing w:line="360" w:lineRule="auto"/>
        <w:rPr>
          <w:rFonts w:asciiTheme="majorHAnsi" w:hAnsiTheme="majorHAnsi" w:cstheme="majorHAnsi"/>
          <w:sz w:val="36"/>
          <w:szCs w:val="36"/>
        </w:rPr>
      </w:pPr>
    </w:p>
    <w:p w14:paraId="60FAB02A" w14:textId="77777777" w:rsidR="00CF58ED" w:rsidRDefault="00CF58ED" w:rsidP="00643BCE">
      <w:pPr>
        <w:spacing w:line="360" w:lineRule="auto"/>
        <w:rPr>
          <w:rFonts w:asciiTheme="majorHAnsi" w:hAnsiTheme="majorHAnsi" w:cstheme="majorHAnsi"/>
          <w:sz w:val="36"/>
          <w:szCs w:val="36"/>
        </w:rPr>
      </w:pPr>
    </w:p>
    <w:p w14:paraId="52C8606C" w14:textId="77777777" w:rsidR="00CF58ED" w:rsidRDefault="00CF58ED" w:rsidP="00643BCE">
      <w:pPr>
        <w:spacing w:line="360" w:lineRule="auto"/>
        <w:rPr>
          <w:rFonts w:asciiTheme="majorHAnsi" w:hAnsiTheme="majorHAnsi" w:cstheme="majorHAnsi"/>
          <w:sz w:val="36"/>
          <w:szCs w:val="36"/>
        </w:rPr>
      </w:pPr>
    </w:p>
    <w:p w14:paraId="0B70834E" w14:textId="77777777" w:rsidR="00CF58ED" w:rsidRDefault="00CF58ED" w:rsidP="00643BCE">
      <w:pPr>
        <w:spacing w:line="360" w:lineRule="auto"/>
        <w:rPr>
          <w:rFonts w:asciiTheme="majorHAnsi" w:hAnsiTheme="majorHAnsi" w:cstheme="majorHAnsi"/>
          <w:sz w:val="36"/>
          <w:szCs w:val="36"/>
        </w:rPr>
      </w:pPr>
    </w:p>
    <w:p w14:paraId="2F2680C1" w14:textId="2B1CD051" w:rsidR="00643BCE" w:rsidRDefault="00643BCE" w:rsidP="00643BCE">
      <w:pPr>
        <w:spacing w:line="360" w:lineRule="auto"/>
        <w:rPr>
          <w:rFonts w:asciiTheme="majorHAnsi" w:hAnsiTheme="majorHAnsi" w:cstheme="majorHAnsi"/>
          <w:sz w:val="36"/>
          <w:szCs w:val="36"/>
        </w:rPr>
      </w:pPr>
      <w:r w:rsidRPr="00D53D1F">
        <w:rPr>
          <w:rFonts w:asciiTheme="majorHAnsi" w:hAnsiTheme="majorHAnsi" w:cstheme="majorHAnsi"/>
          <w:sz w:val="36"/>
          <w:szCs w:val="36"/>
        </w:rPr>
        <w:lastRenderedPageBreak/>
        <w:t>Table of contents</w:t>
      </w:r>
    </w:p>
    <w:p w14:paraId="58ADFD79" w14:textId="32A8FFF0" w:rsidR="003C54C4" w:rsidRPr="00CF58ED" w:rsidRDefault="003C54C4" w:rsidP="00CF58ED">
      <w:pPr>
        <w:pStyle w:val="ListParagraph"/>
        <w:numPr>
          <w:ilvl w:val="0"/>
          <w:numId w:val="1"/>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Introduction...............................................................................</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..pg.</w:t>
      </w:r>
      <w:r w:rsidR="00CF58ED">
        <w:rPr>
          <w:rFonts w:asciiTheme="minorHAnsi" w:hAnsiTheme="minorHAnsi" w:cstheme="minorHAnsi"/>
          <w:color w:val="000000" w:themeColor="text1"/>
        </w:rPr>
        <w:t>4</w:t>
      </w:r>
    </w:p>
    <w:p w14:paraId="529817C6" w14:textId="077AF9F1" w:rsidR="003C54C4" w:rsidRDefault="003C54C4" w:rsidP="00CF58ED">
      <w:pPr>
        <w:pStyle w:val="ListParagraph"/>
        <w:numPr>
          <w:ilvl w:val="0"/>
          <w:numId w:val="1"/>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Findings..............................................................</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w:t>
      </w:r>
      <w:r w:rsidR="00CF58ED">
        <w:rPr>
          <w:rFonts w:asciiTheme="minorHAnsi" w:hAnsiTheme="minorHAnsi" w:cstheme="minorHAnsi"/>
          <w:color w:val="000000" w:themeColor="text1"/>
        </w:rPr>
        <w:t>..</w:t>
      </w:r>
      <w:r w:rsidRPr="00CF58ED">
        <w:rPr>
          <w:rFonts w:asciiTheme="minorHAnsi" w:hAnsiTheme="minorHAnsi" w:cstheme="minorHAnsi"/>
          <w:color w:val="000000" w:themeColor="text1"/>
        </w:rPr>
        <w:t>....pg.</w:t>
      </w:r>
      <w:r w:rsidR="00CF58ED">
        <w:rPr>
          <w:rFonts w:asciiTheme="minorHAnsi" w:hAnsiTheme="minorHAnsi" w:cstheme="minorHAnsi"/>
          <w:color w:val="000000" w:themeColor="text1"/>
        </w:rPr>
        <w:t>5</w:t>
      </w:r>
    </w:p>
    <w:p w14:paraId="66BEC64A" w14:textId="3E77EF14" w:rsidR="00CF58ED" w:rsidRPr="00CF58ED" w:rsidRDefault="00CF58ED" w:rsidP="00CF58ED">
      <w:pPr>
        <w:pStyle w:val="ListParagraph"/>
        <w:numPr>
          <w:ilvl w:val="1"/>
          <w:numId w:val="1"/>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Critical evaluation of supply chain vulnerability........................</w:t>
      </w:r>
      <w:r>
        <w:rPr>
          <w:rFonts w:asciiTheme="minorHAnsi" w:hAnsiTheme="minorHAnsi" w:cstheme="minorHAnsi"/>
          <w:color w:val="000000" w:themeColor="text1"/>
        </w:rPr>
        <w:t>...</w:t>
      </w:r>
      <w:r w:rsidRPr="00CF58ED">
        <w:rPr>
          <w:rFonts w:asciiTheme="minorHAnsi" w:hAnsiTheme="minorHAnsi" w:cstheme="minorHAnsi"/>
          <w:color w:val="000000" w:themeColor="text1"/>
        </w:rPr>
        <w:t>..pg.5-</w:t>
      </w:r>
      <w:r>
        <w:rPr>
          <w:rFonts w:asciiTheme="minorHAnsi" w:hAnsiTheme="minorHAnsi" w:cstheme="minorHAnsi"/>
          <w:color w:val="000000" w:themeColor="text1"/>
        </w:rPr>
        <w:t>10</w:t>
      </w:r>
    </w:p>
    <w:p w14:paraId="07E85AEF" w14:textId="3FAD8ADB" w:rsidR="00CF58ED" w:rsidRDefault="00CF58ED" w:rsidP="00CF58ED">
      <w:pPr>
        <w:pStyle w:val="ListParagraph"/>
        <w:numPr>
          <w:ilvl w:val="1"/>
          <w:numId w:val="1"/>
        </w:numPr>
        <w:spacing w:line="360" w:lineRule="auto"/>
        <w:rPr>
          <w:rFonts w:asciiTheme="minorHAnsi" w:hAnsiTheme="minorHAnsi" w:cstheme="minorHAnsi"/>
          <w:color w:val="000000" w:themeColor="text1"/>
        </w:rPr>
      </w:pPr>
      <w:r>
        <w:rPr>
          <w:rFonts w:asciiTheme="minorHAnsi" w:hAnsiTheme="minorHAnsi" w:cstheme="minorHAnsi"/>
          <w:color w:val="000000" w:themeColor="text1"/>
        </w:rPr>
        <w:t>Steps to make the supply chain more resilient...............................pg.11-15</w:t>
      </w:r>
    </w:p>
    <w:p w14:paraId="6A73BF1E" w14:textId="4B528775" w:rsidR="00CF58ED" w:rsidRPr="00CF58ED" w:rsidRDefault="00CF58ED" w:rsidP="00CF58ED">
      <w:pPr>
        <w:pStyle w:val="ListParagraph"/>
        <w:numPr>
          <w:ilvl w:val="1"/>
          <w:numId w:val="1"/>
        </w:numPr>
        <w:spacing w:line="360" w:lineRule="auto"/>
        <w:rPr>
          <w:rFonts w:asciiTheme="minorHAnsi" w:hAnsiTheme="minorHAnsi" w:cstheme="minorHAnsi"/>
        </w:rPr>
      </w:pPr>
      <w:r>
        <w:rPr>
          <w:rFonts w:asciiTheme="minorHAnsi" w:hAnsiTheme="minorHAnsi" w:cstheme="minorHAnsi"/>
        </w:rPr>
        <w:t>S</w:t>
      </w:r>
      <w:r w:rsidRPr="00CF58ED">
        <w:rPr>
          <w:rFonts w:asciiTheme="minorHAnsi" w:hAnsiTheme="minorHAnsi" w:cstheme="minorHAnsi"/>
        </w:rPr>
        <w:t>upplier appraisal process in the chosen</w:t>
      </w:r>
      <w:r>
        <w:rPr>
          <w:rFonts w:asciiTheme="minorHAnsi" w:hAnsiTheme="minorHAnsi" w:cstheme="minorHAnsi"/>
        </w:rPr>
        <w:t xml:space="preserve"> supply chain </w:t>
      </w:r>
      <w:r w:rsidRPr="00CF58ED">
        <w:rPr>
          <w:rFonts w:asciiTheme="minorHAnsi" w:hAnsiTheme="minorHAnsi" w:cstheme="minorHAnsi"/>
        </w:rPr>
        <w:t>chain.</w:t>
      </w:r>
      <w:r>
        <w:rPr>
          <w:rFonts w:asciiTheme="minorHAnsi" w:hAnsiTheme="minorHAnsi" w:cstheme="minorHAnsi"/>
        </w:rPr>
        <w:t>.........pg.16-18</w:t>
      </w:r>
    </w:p>
    <w:p w14:paraId="760244B5" w14:textId="4FD870C4" w:rsidR="003C54C4"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3.0</w:t>
      </w:r>
      <w:r w:rsidR="003C54C4" w:rsidRPr="00CF58ED">
        <w:rPr>
          <w:rFonts w:asciiTheme="minorHAnsi" w:hAnsiTheme="minorHAnsi" w:cstheme="minorHAnsi"/>
          <w:color w:val="000000" w:themeColor="text1"/>
        </w:rPr>
        <w:t>Recommendations.....................................................................</w:t>
      </w:r>
      <w:r>
        <w:rPr>
          <w:rFonts w:asciiTheme="minorHAnsi" w:hAnsiTheme="minorHAnsi" w:cstheme="minorHAnsi"/>
          <w:color w:val="000000" w:themeColor="text1"/>
        </w:rPr>
        <w:t>.................</w:t>
      </w:r>
      <w:r w:rsidR="003C54C4" w:rsidRPr="00CF58ED">
        <w:rPr>
          <w:rFonts w:asciiTheme="minorHAnsi" w:hAnsiTheme="minorHAnsi" w:cstheme="minorHAnsi"/>
          <w:color w:val="000000" w:themeColor="text1"/>
        </w:rPr>
        <w:t>.pg.</w:t>
      </w:r>
      <w:r>
        <w:rPr>
          <w:rFonts w:asciiTheme="minorHAnsi" w:hAnsiTheme="minorHAnsi" w:cstheme="minorHAnsi"/>
          <w:color w:val="000000" w:themeColor="text1"/>
        </w:rPr>
        <w:t>19</w:t>
      </w:r>
    </w:p>
    <w:p w14:paraId="067D0C29" w14:textId="166D58EA" w:rsidR="003C54C4"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4.0</w:t>
      </w:r>
      <w:r w:rsidR="003C54C4" w:rsidRPr="00CF58ED">
        <w:rPr>
          <w:rFonts w:asciiTheme="minorHAnsi" w:hAnsiTheme="minorHAnsi" w:cstheme="minorHAnsi"/>
          <w:color w:val="000000" w:themeColor="text1"/>
        </w:rPr>
        <w:t>Reference list.............................................................................</w:t>
      </w:r>
      <w:r>
        <w:rPr>
          <w:rFonts w:asciiTheme="minorHAnsi" w:hAnsiTheme="minorHAnsi" w:cstheme="minorHAnsi"/>
          <w:color w:val="000000" w:themeColor="text1"/>
        </w:rPr>
        <w:t>.................</w:t>
      </w:r>
      <w:r w:rsidR="003C54C4" w:rsidRPr="00CF58ED">
        <w:rPr>
          <w:rFonts w:asciiTheme="minorHAnsi" w:hAnsiTheme="minorHAnsi" w:cstheme="minorHAnsi"/>
          <w:color w:val="000000" w:themeColor="text1"/>
        </w:rPr>
        <w:t>..pg.</w:t>
      </w:r>
      <w:r>
        <w:rPr>
          <w:rFonts w:asciiTheme="minorHAnsi" w:hAnsiTheme="minorHAnsi" w:cstheme="minorHAnsi"/>
          <w:color w:val="000000" w:themeColor="text1"/>
        </w:rPr>
        <w:t>20-2</w:t>
      </w:r>
      <w:r w:rsidR="00501CBA">
        <w:rPr>
          <w:rFonts w:asciiTheme="minorHAnsi" w:hAnsiTheme="minorHAnsi" w:cstheme="minorHAnsi"/>
          <w:color w:val="000000" w:themeColor="text1"/>
        </w:rPr>
        <w:t>7</w:t>
      </w:r>
    </w:p>
    <w:p w14:paraId="01E3D661" w14:textId="77777777" w:rsidR="003C54C4" w:rsidRPr="003C54C4" w:rsidRDefault="003C54C4" w:rsidP="00643BCE">
      <w:pPr>
        <w:spacing w:line="360" w:lineRule="auto"/>
        <w:rPr>
          <w:rFonts w:asciiTheme="minorHAnsi" w:hAnsiTheme="minorHAnsi" w:cstheme="minorHAnsi"/>
        </w:rPr>
      </w:pPr>
    </w:p>
    <w:p w14:paraId="52157AF2" w14:textId="77777777" w:rsidR="00CF58ED" w:rsidRDefault="00CF58ED" w:rsidP="00D53D1F">
      <w:pPr>
        <w:spacing w:line="360" w:lineRule="auto"/>
        <w:rPr>
          <w:rFonts w:cstheme="minorHAnsi"/>
        </w:rPr>
      </w:pPr>
    </w:p>
    <w:p w14:paraId="1C65F7F5" w14:textId="77777777" w:rsidR="00CF58ED" w:rsidRDefault="00CF58ED" w:rsidP="00D53D1F">
      <w:pPr>
        <w:spacing w:line="360" w:lineRule="auto"/>
        <w:rPr>
          <w:rFonts w:cstheme="minorHAnsi"/>
        </w:rPr>
      </w:pPr>
    </w:p>
    <w:p w14:paraId="304F594D" w14:textId="77777777" w:rsidR="00CF58ED" w:rsidRDefault="00CF58ED" w:rsidP="00D53D1F">
      <w:pPr>
        <w:spacing w:line="360" w:lineRule="auto"/>
        <w:rPr>
          <w:rFonts w:cstheme="minorHAnsi"/>
        </w:rPr>
      </w:pPr>
    </w:p>
    <w:p w14:paraId="7BC754B7" w14:textId="77777777" w:rsidR="00CF58ED" w:rsidRDefault="00CF58ED" w:rsidP="00D53D1F">
      <w:pPr>
        <w:spacing w:line="360" w:lineRule="auto"/>
        <w:rPr>
          <w:rFonts w:cstheme="minorHAnsi"/>
        </w:rPr>
      </w:pPr>
    </w:p>
    <w:p w14:paraId="1157A72B" w14:textId="77777777" w:rsidR="003C54C4" w:rsidRPr="003C54C4" w:rsidRDefault="003C54C4" w:rsidP="003C54C4">
      <w:pPr>
        <w:spacing w:line="360" w:lineRule="auto"/>
        <w:rPr>
          <w:rFonts w:asciiTheme="minorHAnsi" w:hAnsiTheme="minorHAnsi" w:cstheme="minorHAnsi"/>
        </w:rPr>
      </w:pPr>
    </w:p>
    <w:p w14:paraId="6B2DDA99" w14:textId="77777777" w:rsidR="00643BCE" w:rsidRPr="00D53D1F" w:rsidRDefault="00643BCE" w:rsidP="00643BCE">
      <w:pPr>
        <w:spacing w:line="360" w:lineRule="auto"/>
        <w:rPr>
          <w:rFonts w:asciiTheme="majorHAnsi" w:hAnsiTheme="majorHAnsi" w:cstheme="majorHAnsi"/>
          <w:sz w:val="36"/>
          <w:szCs w:val="36"/>
        </w:rPr>
      </w:pPr>
    </w:p>
    <w:p w14:paraId="78B59B01" w14:textId="77777777" w:rsidR="003C54C4" w:rsidRDefault="003C54C4" w:rsidP="00643BCE">
      <w:pPr>
        <w:spacing w:line="360" w:lineRule="auto"/>
        <w:rPr>
          <w:rFonts w:asciiTheme="majorHAnsi" w:hAnsiTheme="majorHAnsi" w:cstheme="majorHAnsi"/>
          <w:sz w:val="36"/>
          <w:szCs w:val="36"/>
        </w:rPr>
      </w:pPr>
    </w:p>
    <w:p w14:paraId="6234062E" w14:textId="77777777" w:rsidR="003C54C4" w:rsidRDefault="003C54C4" w:rsidP="00643BCE">
      <w:pPr>
        <w:spacing w:line="360" w:lineRule="auto"/>
        <w:rPr>
          <w:rFonts w:asciiTheme="majorHAnsi" w:hAnsiTheme="majorHAnsi" w:cstheme="majorHAnsi"/>
          <w:sz w:val="36"/>
          <w:szCs w:val="36"/>
        </w:rPr>
      </w:pPr>
    </w:p>
    <w:p w14:paraId="13BB0B79" w14:textId="77777777" w:rsidR="00CF58ED" w:rsidRDefault="00CF58ED" w:rsidP="00643BCE">
      <w:pPr>
        <w:spacing w:line="360" w:lineRule="auto"/>
        <w:rPr>
          <w:rFonts w:asciiTheme="majorHAnsi" w:hAnsiTheme="majorHAnsi" w:cstheme="majorHAnsi"/>
          <w:sz w:val="36"/>
          <w:szCs w:val="36"/>
        </w:rPr>
      </w:pPr>
    </w:p>
    <w:p w14:paraId="56BACC06" w14:textId="77777777" w:rsidR="00CF58ED" w:rsidRDefault="00CF58ED" w:rsidP="00643BCE">
      <w:pPr>
        <w:spacing w:line="360" w:lineRule="auto"/>
        <w:rPr>
          <w:rFonts w:asciiTheme="majorHAnsi" w:hAnsiTheme="majorHAnsi" w:cstheme="majorHAnsi"/>
          <w:sz w:val="36"/>
          <w:szCs w:val="36"/>
        </w:rPr>
      </w:pPr>
    </w:p>
    <w:p w14:paraId="58A5A7CE" w14:textId="77777777" w:rsidR="00CF58ED" w:rsidRDefault="00CF58ED" w:rsidP="00643BCE">
      <w:pPr>
        <w:spacing w:line="360" w:lineRule="auto"/>
        <w:rPr>
          <w:rFonts w:asciiTheme="majorHAnsi" w:hAnsiTheme="majorHAnsi" w:cstheme="majorHAnsi"/>
          <w:sz w:val="36"/>
          <w:szCs w:val="36"/>
        </w:rPr>
      </w:pPr>
    </w:p>
    <w:p w14:paraId="78FE1B22" w14:textId="77777777" w:rsidR="00CF58ED" w:rsidRDefault="00CF58ED" w:rsidP="00643BCE">
      <w:pPr>
        <w:spacing w:line="360" w:lineRule="auto"/>
        <w:rPr>
          <w:rFonts w:asciiTheme="majorHAnsi" w:hAnsiTheme="majorHAnsi" w:cstheme="majorHAnsi"/>
          <w:sz w:val="36"/>
          <w:szCs w:val="36"/>
        </w:rPr>
      </w:pPr>
    </w:p>
    <w:p w14:paraId="5F243F6B" w14:textId="77777777" w:rsidR="00CF58ED" w:rsidRDefault="00CF58ED" w:rsidP="00643BCE">
      <w:pPr>
        <w:spacing w:line="360" w:lineRule="auto"/>
        <w:rPr>
          <w:rFonts w:asciiTheme="majorHAnsi" w:hAnsiTheme="majorHAnsi" w:cstheme="majorHAnsi"/>
          <w:sz w:val="36"/>
          <w:szCs w:val="36"/>
        </w:rPr>
      </w:pPr>
    </w:p>
    <w:p w14:paraId="35AC02F8" w14:textId="77777777" w:rsidR="00CF58ED" w:rsidRDefault="00CF58ED" w:rsidP="00643BCE">
      <w:pPr>
        <w:spacing w:line="360" w:lineRule="auto"/>
        <w:rPr>
          <w:rFonts w:asciiTheme="majorHAnsi" w:hAnsiTheme="majorHAnsi" w:cstheme="majorHAnsi"/>
          <w:sz w:val="36"/>
          <w:szCs w:val="36"/>
        </w:rPr>
      </w:pPr>
    </w:p>
    <w:p w14:paraId="09386148" w14:textId="77777777" w:rsidR="00CF58ED" w:rsidRDefault="00CF58ED" w:rsidP="00643BCE">
      <w:pPr>
        <w:spacing w:line="360" w:lineRule="auto"/>
        <w:rPr>
          <w:rFonts w:asciiTheme="majorHAnsi" w:hAnsiTheme="majorHAnsi" w:cstheme="majorHAnsi"/>
          <w:sz w:val="36"/>
          <w:szCs w:val="36"/>
        </w:rPr>
      </w:pPr>
    </w:p>
    <w:p w14:paraId="3B17795D" w14:textId="77777777" w:rsidR="00CF58ED" w:rsidRDefault="00CF58ED" w:rsidP="00643BCE">
      <w:pPr>
        <w:spacing w:line="360" w:lineRule="auto"/>
        <w:rPr>
          <w:rFonts w:asciiTheme="majorHAnsi" w:hAnsiTheme="majorHAnsi" w:cstheme="majorHAnsi"/>
          <w:sz w:val="36"/>
          <w:szCs w:val="36"/>
        </w:rPr>
      </w:pPr>
    </w:p>
    <w:p w14:paraId="5E870848" w14:textId="0DA62CF5" w:rsidR="00643BCE" w:rsidRPr="00D53D1F" w:rsidRDefault="0069495E" w:rsidP="00643BCE">
      <w:pPr>
        <w:spacing w:line="360" w:lineRule="auto"/>
        <w:rPr>
          <w:rFonts w:asciiTheme="majorHAnsi" w:hAnsiTheme="majorHAnsi" w:cstheme="majorHAnsi"/>
          <w:sz w:val="36"/>
          <w:szCs w:val="36"/>
        </w:rPr>
      </w:pPr>
      <w:r w:rsidRPr="00D53D1F">
        <w:rPr>
          <w:rFonts w:asciiTheme="majorHAnsi" w:hAnsiTheme="majorHAnsi" w:cstheme="majorHAnsi"/>
          <w:sz w:val="36"/>
          <w:szCs w:val="36"/>
        </w:rPr>
        <w:lastRenderedPageBreak/>
        <w:t xml:space="preserve">1.0 </w:t>
      </w:r>
      <w:r w:rsidR="00643BCE" w:rsidRPr="00D53D1F">
        <w:rPr>
          <w:rFonts w:asciiTheme="majorHAnsi" w:hAnsiTheme="majorHAnsi" w:cstheme="majorHAnsi"/>
          <w:sz w:val="36"/>
          <w:szCs w:val="36"/>
        </w:rPr>
        <w:t>Introduction</w:t>
      </w:r>
    </w:p>
    <w:p w14:paraId="1BD7B537" w14:textId="6E6B206A" w:rsidR="003C54C4" w:rsidRPr="003C54C4" w:rsidRDefault="003C54C4" w:rsidP="003C54C4">
      <w:pPr>
        <w:spacing w:line="360" w:lineRule="auto"/>
        <w:rPr>
          <w:rFonts w:asciiTheme="minorHAnsi" w:hAnsiTheme="minorHAnsi" w:cstheme="minorHAnsi"/>
          <w:color w:val="000000" w:themeColor="text1"/>
        </w:rPr>
      </w:pPr>
      <w:r w:rsidRPr="003C54C4">
        <w:rPr>
          <w:rFonts w:asciiTheme="minorHAnsi" w:hAnsiTheme="minorHAnsi" w:cstheme="minorHAnsi"/>
          <w:color w:val="000000" w:themeColor="text1"/>
          <w:shd w:val="clear" w:color="auto" w:fill="FCFCFC"/>
        </w:rPr>
        <w:t>Prior to the COVID-19 pandemic, global food systems were plagued by interlinked crises of obesity malnutrition, poverty, change ecosystem degradation, and biodiversity loss.</w:t>
      </w:r>
    </w:p>
    <w:p w14:paraId="42F03F69" w14:textId="3BA03B4B" w:rsidR="003C54C4" w:rsidRPr="00CF58ED" w:rsidRDefault="003C54C4" w:rsidP="003C54C4">
      <w:pPr>
        <w:spacing w:line="360" w:lineRule="auto"/>
        <w:rPr>
          <w:rFonts w:asciiTheme="minorHAnsi" w:hAnsiTheme="minorHAnsi" w:cstheme="minorHAnsi"/>
          <w:color w:val="0070C0"/>
          <w:shd w:val="clear" w:color="auto" w:fill="FCFCFC"/>
        </w:rPr>
      </w:pPr>
      <w:r w:rsidRPr="003C54C4">
        <w:rPr>
          <w:rFonts w:asciiTheme="minorHAnsi" w:hAnsiTheme="minorHAnsi" w:cstheme="minorHAnsi"/>
          <w:color w:val="000000" w:themeColor="text1"/>
          <w:shd w:val="clear" w:color="auto" w:fill="FCFCFC"/>
        </w:rPr>
        <w:t>Long-term stressors have eroded food systems’ resilience globally, making them vulnerable to shorter-term shocks like COVID-19. The pandemic highlights multiple vulnerabilities in food systems, including dominance of a small pool of retailers and producers, reliance on just-in-time supply chains, and dependence on imported food and labour</w:t>
      </w:r>
      <w:r w:rsidRPr="003C54C4">
        <w:rPr>
          <w:rFonts w:cstheme="minorHAnsi"/>
          <w:color w:val="000000" w:themeColor="text1"/>
          <w:shd w:val="clear" w:color="auto" w:fill="FCFCFC"/>
        </w:rPr>
        <w:t xml:space="preserve">. </w:t>
      </w:r>
      <w:r w:rsidRPr="00CF58ED">
        <w:rPr>
          <w:rFonts w:asciiTheme="minorHAnsi" w:hAnsiTheme="minorHAnsi" w:cstheme="minorHAnsi"/>
          <w:color w:val="0070C0"/>
          <w:shd w:val="clear" w:color="auto" w:fill="FCFCFC"/>
        </w:rPr>
        <w:t>(Sanderson Bellamy et al.,2021)</w:t>
      </w:r>
    </w:p>
    <w:p w14:paraId="455E860E" w14:textId="5D8EF45C" w:rsidR="003C54C4" w:rsidRPr="003C54C4" w:rsidRDefault="003C54C4" w:rsidP="003C54C4">
      <w:pPr>
        <w:spacing w:line="360" w:lineRule="auto"/>
        <w:rPr>
          <w:rFonts w:cstheme="minorHAnsi"/>
          <w:color w:val="000000" w:themeColor="text1"/>
          <w:shd w:val="clear" w:color="auto" w:fill="FFFFFF"/>
        </w:rPr>
      </w:pPr>
      <w:r w:rsidRPr="003C54C4">
        <w:rPr>
          <w:rFonts w:asciiTheme="minorHAnsi" w:hAnsiTheme="minorHAnsi" w:cstheme="minorHAnsi"/>
          <w:color w:val="000000" w:themeColor="text1"/>
          <w:shd w:val="clear" w:color="auto" w:fill="FFFFFF"/>
        </w:rPr>
        <w:t>Trade helps build stability in international relationships and creates employment and opportunity to improve standards of food safety, but it is also a source of risks to local food security if disruption occurs</w:t>
      </w:r>
      <w:r w:rsidRPr="00CF58ED">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70C0"/>
          <w:shd w:val="clear" w:color="auto" w:fill="FFFFFF"/>
        </w:rPr>
        <w:t>(GFSP, 2015)</w:t>
      </w:r>
    </w:p>
    <w:p w14:paraId="10E231DB" w14:textId="304BF151" w:rsidR="003C54C4" w:rsidRPr="003C54C4" w:rsidRDefault="00F23F2E" w:rsidP="00F23F2E">
      <w:pPr>
        <w:spacing w:line="360" w:lineRule="auto"/>
        <w:rPr>
          <w:rFonts w:cstheme="minorHAnsi"/>
          <w:color w:val="000000" w:themeColor="text1"/>
          <w:shd w:val="clear" w:color="auto" w:fill="FFFFFF"/>
        </w:rPr>
      </w:pPr>
      <w:r w:rsidRPr="00F23F2E">
        <w:rPr>
          <w:rFonts w:asciiTheme="minorHAnsi" w:hAnsiTheme="minorHAnsi" w:cstheme="minorHAnsi"/>
          <w:color w:val="000000" w:themeColor="text1"/>
          <w:shd w:val="clear" w:color="auto" w:fill="FFFFFF"/>
        </w:rPr>
        <w:t>Fruit account</w:t>
      </w:r>
      <w:r>
        <w:rPr>
          <w:rFonts w:asciiTheme="minorHAnsi" w:hAnsiTheme="minorHAnsi" w:cstheme="minorHAnsi"/>
          <w:color w:val="0070C0"/>
          <w:shd w:val="clear" w:color="auto" w:fill="FFFFFF"/>
        </w:rPr>
        <w:t xml:space="preserve"> </w:t>
      </w:r>
      <w:r>
        <w:rPr>
          <w:rFonts w:asciiTheme="minorHAnsi" w:hAnsiTheme="minorHAnsi" w:cstheme="minorHAnsi"/>
          <w:color w:val="000000" w:themeColor="text1"/>
          <w:shd w:val="clear" w:color="auto" w:fill="FFFFFF"/>
        </w:rPr>
        <w:t>for 84% of the food imported in the United Kingdom. In terms of ambient items such as tinned tomatoes and pasta, it is mainly dependent on EU countries like Spain. Supply chains have become increasingly vulnerable to disruptions despite developments in supply chain technology and logistics. Moderns supply chains are challenging to control and manage because of their length and complexity. Lean sourcing, just-in-time deliveries, standard components and reductions in the supplier base are all examples of methods that tend to overlook the systemic risks that might arise when supply chains are subjected to external shocks and interruptions.</w:t>
      </w:r>
      <w:r w:rsidRPr="00F23F2E">
        <w:rPr>
          <w:rFonts w:asciiTheme="minorHAnsi" w:hAnsiTheme="minorHAnsi" w:cstheme="minorHAnsi"/>
          <w:color w:val="0070C0"/>
          <w:shd w:val="clear" w:color="auto" w:fill="FFFFFF"/>
        </w:rPr>
        <w:t xml:space="preserve"> </w:t>
      </w:r>
      <w:r>
        <w:rPr>
          <w:rFonts w:asciiTheme="minorHAnsi" w:hAnsiTheme="minorHAnsi" w:cstheme="minorHAnsi"/>
          <w:color w:val="0070C0"/>
          <w:shd w:val="clear" w:color="auto" w:fill="FFFFFF"/>
        </w:rPr>
        <w:t>(</w:t>
      </w:r>
      <w:r w:rsidR="003C54C4" w:rsidRPr="00CF58ED">
        <w:rPr>
          <w:rFonts w:asciiTheme="minorHAnsi" w:hAnsiTheme="minorHAnsi" w:cstheme="minorHAnsi"/>
          <w:color w:val="0070C0"/>
          <w:shd w:val="clear" w:color="auto" w:fill="FFFFFF"/>
        </w:rPr>
        <w:t>Garnett, Doherty and Heron, 2020)</w:t>
      </w:r>
      <w:r w:rsidR="003C54C4" w:rsidRPr="00CF58ED">
        <w:rPr>
          <w:rFonts w:cstheme="minorHAnsi"/>
          <w:color w:val="0070C0"/>
          <w:shd w:val="clear" w:color="auto" w:fill="FFFFFF"/>
        </w:rPr>
        <w:t xml:space="preserve"> </w:t>
      </w:r>
    </w:p>
    <w:p w14:paraId="007A44A9" w14:textId="4BA9F845" w:rsidR="003C54C4" w:rsidRDefault="003C54C4" w:rsidP="003C54C4">
      <w:pPr>
        <w:spacing w:line="360" w:lineRule="auto"/>
        <w:rPr>
          <w:rFonts w:cstheme="minorHAnsi"/>
          <w:color w:val="000000" w:themeColor="text1"/>
          <w:shd w:val="clear" w:color="auto" w:fill="FFFFFF"/>
        </w:rPr>
      </w:pPr>
      <w:r w:rsidRPr="003C54C4">
        <w:rPr>
          <w:rFonts w:asciiTheme="minorHAnsi" w:hAnsiTheme="minorHAnsi" w:cstheme="minorHAnsi"/>
          <w:color w:val="000000" w:themeColor="text1"/>
          <w:shd w:val="clear" w:color="auto" w:fill="FFFFFF"/>
        </w:rPr>
        <w:t>The COVID-19 pandemic has exposed a number of vulnerabilities in the UK food system and affords the opportunity to study how food supply chains function in crisis conditions, to identify key vulnerabilities and choke points, and to explore options for strengthening the overall resilience of the system</w:t>
      </w:r>
      <w:r w:rsidRPr="00CF58ED">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70C0"/>
          <w:shd w:val="clear" w:color="auto" w:fill="FFFFFF"/>
        </w:rPr>
        <w:t>(</w:t>
      </w:r>
      <w:r w:rsidR="00CF58ED" w:rsidRPr="00CF58ED">
        <w:rPr>
          <w:rFonts w:asciiTheme="minorHAnsi" w:hAnsiTheme="minorHAnsi" w:cstheme="minorHAnsi"/>
          <w:color w:val="0070C0"/>
          <w:shd w:val="clear" w:color="auto" w:fill="FFFFFF"/>
        </w:rPr>
        <w:t>Wieland and Durach, 2021</w:t>
      </w:r>
      <w:r w:rsidRPr="00CF58ED">
        <w:rPr>
          <w:rFonts w:asciiTheme="minorHAnsi" w:hAnsiTheme="minorHAnsi" w:cstheme="minorHAnsi"/>
          <w:color w:val="0070C0"/>
          <w:shd w:val="clear" w:color="auto" w:fill="FFFFFF"/>
        </w:rPr>
        <w:t>)</w:t>
      </w:r>
      <w:r w:rsidRPr="00CF58ED">
        <w:rPr>
          <w:rFonts w:cstheme="minorHAnsi"/>
          <w:color w:val="0070C0"/>
          <w:shd w:val="clear" w:color="auto" w:fill="FFFFFF"/>
        </w:rPr>
        <w:t xml:space="preserve"> </w:t>
      </w:r>
    </w:p>
    <w:p w14:paraId="0DA72EA5" w14:textId="50FED634" w:rsidR="003C54C4" w:rsidRDefault="003C54C4" w:rsidP="003C54C4">
      <w:pPr>
        <w:spacing w:line="360" w:lineRule="auto"/>
        <w:rPr>
          <w:rFonts w:cstheme="minorHAnsi"/>
          <w:color w:val="000000" w:themeColor="text1"/>
        </w:rPr>
      </w:pPr>
      <w:r>
        <w:rPr>
          <w:rFonts w:cstheme="minorHAnsi"/>
          <w:color w:val="000000" w:themeColor="text1"/>
          <w:shd w:val="clear" w:color="auto" w:fill="FFFFFF"/>
        </w:rPr>
        <w:t>T</w:t>
      </w:r>
      <w:r w:rsidRPr="003C54C4">
        <w:rPr>
          <w:rFonts w:asciiTheme="minorHAnsi" w:hAnsiTheme="minorHAnsi" w:cstheme="minorHAnsi"/>
          <w:color w:val="000000" w:themeColor="text1"/>
          <w:shd w:val="clear" w:color="auto" w:fill="FFFFFF"/>
        </w:rPr>
        <w:t xml:space="preserve">he retailing sector has been hit in particular through lockdown restrictions, with currently more than hundreds of thousands of retail jobs at risk in the UK alone and estimated £2bn losses per week of pre-Christmas sales for non-essential retailers due to the second lockdown </w:t>
      </w:r>
      <w:r w:rsidRPr="003C54C4">
        <w:rPr>
          <w:rFonts w:asciiTheme="minorHAnsi" w:hAnsiTheme="minorHAnsi" w:cstheme="minorHAnsi"/>
          <w:color w:val="0070C0"/>
          <w:shd w:val="clear" w:color="auto" w:fill="FFFFFF"/>
        </w:rPr>
        <w:t>(</w:t>
      </w:r>
      <w:r w:rsidRPr="00CF58ED">
        <w:rPr>
          <w:rFonts w:asciiTheme="minorHAnsi" w:hAnsiTheme="minorHAnsi" w:cstheme="minorHAnsi"/>
          <w:color w:val="0070C0"/>
        </w:rPr>
        <w:t>Schleper et al., 2021)</w:t>
      </w:r>
    </w:p>
    <w:p w14:paraId="17505C06" w14:textId="76349917" w:rsidR="00CF58ED" w:rsidRDefault="00CF58ED" w:rsidP="00CF58ED">
      <w:pPr>
        <w:spacing w:line="360" w:lineRule="auto"/>
        <w:rPr>
          <w:rFonts w:cstheme="minorHAnsi"/>
          <w:color w:val="000000" w:themeColor="text1"/>
        </w:rPr>
      </w:pPr>
    </w:p>
    <w:p w14:paraId="71B3ED7D" w14:textId="77777777" w:rsidR="00F23F2E" w:rsidRDefault="00F23F2E" w:rsidP="00643BCE">
      <w:pPr>
        <w:spacing w:line="360" w:lineRule="auto"/>
        <w:rPr>
          <w:rFonts w:asciiTheme="majorHAnsi" w:hAnsiTheme="majorHAnsi" w:cstheme="majorHAnsi"/>
          <w:color w:val="000000" w:themeColor="text1"/>
          <w:sz w:val="36"/>
          <w:szCs w:val="36"/>
        </w:rPr>
      </w:pPr>
    </w:p>
    <w:p w14:paraId="1A831E98" w14:textId="77777777" w:rsidR="00F23F2E" w:rsidRDefault="00F23F2E" w:rsidP="00643BCE">
      <w:pPr>
        <w:spacing w:line="360" w:lineRule="auto"/>
        <w:rPr>
          <w:rFonts w:asciiTheme="majorHAnsi" w:hAnsiTheme="majorHAnsi" w:cstheme="majorHAnsi"/>
          <w:color w:val="000000" w:themeColor="text1"/>
          <w:sz w:val="36"/>
          <w:szCs w:val="36"/>
        </w:rPr>
      </w:pPr>
    </w:p>
    <w:p w14:paraId="7B4AFEE5" w14:textId="1EAAD391" w:rsidR="00643BCE" w:rsidRPr="00CF58ED" w:rsidRDefault="0069495E" w:rsidP="00643BCE">
      <w:pPr>
        <w:spacing w:line="360" w:lineRule="auto"/>
        <w:rPr>
          <w:rFonts w:asciiTheme="majorHAnsi" w:hAnsiTheme="majorHAnsi" w:cstheme="majorHAnsi"/>
          <w:color w:val="000000" w:themeColor="text1"/>
          <w:sz w:val="36"/>
          <w:szCs w:val="36"/>
          <w:u w:val="single"/>
        </w:rPr>
      </w:pPr>
      <w:r w:rsidRPr="00CF58ED">
        <w:rPr>
          <w:rFonts w:asciiTheme="majorHAnsi" w:hAnsiTheme="majorHAnsi" w:cstheme="majorHAnsi"/>
          <w:color w:val="000000" w:themeColor="text1"/>
          <w:sz w:val="36"/>
          <w:szCs w:val="36"/>
          <w:u w:val="single"/>
        </w:rPr>
        <w:lastRenderedPageBreak/>
        <w:t xml:space="preserve">2.0 </w:t>
      </w:r>
      <w:r w:rsidR="00643BCE" w:rsidRPr="00CF58ED">
        <w:rPr>
          <w:rFonts w:asciiTheme="majorHAnsi" w:hAnsiTheme="majorHAnsi" w:cstheme="majorHAnsi"/>
          <w:color w:val="000000" w:themeColor="text1"/>
          <w:sz w:val="36"/>
          <w:szCs w:val="36"/>
          <w:u w:val="single"/>
        </w:rPr>
        <w:t>Findings</w:t>
      </w:r>
    </w:p>
    <w:p w14:paraId="02577C5C" w14:textId="77777777" w:rsidR="00CF58ED" w:rsidRDefault="0069495E" w:rsidP="00CF58ED">
      <w:pPr>
        <w:spacing w:line="360" w:lineRule="auto"/>
        <w:rPr>
          <w:rFonts w:asciiTheme="minorHAnsi" w:hAnsiTheme="minorHAnsi" w:cstheme="minorHAnsi"/>
          <w:color w:val="000000" w:themeColor="text1"/>
          <w:u w:val="single"/>
        </w:rPr>
      </w:pPr>
      <w:r w:rsidRPr="00CF58ED">
        <w:rPr>
          <w:rFonts w:asciiTheme="minorHAnsi" w:hAnsiTheme="minorHAnsi" w:cstheme="minorHAnsi"/>
          <w:color w:val="000000" w:themeColor="text1"/>
          <w:u w:val="single"/>
        </w:rPr>
        <w:t>2.1 Critical</w:t>
      </w:r>
      <w:r w:rsidR="00643BCE" w:rsidRPr="00CF58ED">
        <w:rPr>
          <w:rFonts w:asciiTheme="minorHAnsi" w:hAnsiTheme="minorHAnsi" w:cstheme="minorHAnsi"/>
          <w:color w:val="000000" w:themeColor="text1"/>
          <w:u w:val="single"/>
        </w:rPr>
        <w:t xml:space="preserve"> evaluation of supply chain vulnerability</w:t>
      </w:r>
      <w:r w:rsidR="00CF58ED" w:rsidRPr="00CF58ED">
        <w:rPr>
          <w:rFonts w:asciiTheme="minorHAnsi" w:hAnsiTheme="minorHAnsi" w:cstheme="minorHAnsi"/>
          <w:color w:val="000000" w:themeColor="text1"/>
          <w:u w:val="single"/>
        </w:rPr>
        <w:t>.</w:t>
      </w:r>
    </w:p>
    <w:p w14:paraId="191B611F" w14:textId="77777777"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 xml:space="preserve">It was discovered that just-intime (JIT) delivery networks were a significant factor to the nutrition system's failures during the pandemic, which highlighted the country's dependency on imported goods at cheap costs as a result of the outbreak. Despite advancements in logistics and supply chain solutions, the increasing efficiency of sourcing has increased the susceptibility of supply systems to interruptions. </w:t>
      </w:r>
      <w:r w:rsidRPr="00CF58ED">
        <w:rPr>
          <w:rFonts w:asciiTheme="minorHAnsi" w:hAnsiTheme="minorHAnsi" w:cstheme="minorHAnsi"/>
          <w:color w:val="0070C0"/>
        </w:rPr>
        <w:t xml:space="preserve">(Fine, 2021) </w:t>
      </w:r>
    </w:p>
    <w:p w14:paraId="2985F315" w14:textId="53EF2997"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As lockdowns were deployed in several locations, superstores across the United Kingdom, including Tesco, were about to experience the first significant effect of Covid-19: panic purchasing. Panic purchasing is a frequent consumer response to calamities and frequently occurs when customers prepare for a calamity. Islam et al</w:t>
      </w:r>
      <w:r w:rsidRPr="00CF58ED">
        <w:rPr>
          <w:rFonts w:cstheme="minorHAnsi"/>
          <w:color w:val="000000" w:themeColor="text1"/>
        </w:rPr>
        <w:t xml:space="preserve">. </w:t>
      </w:r>
      <w:r w:rsidRPr="00CF58ED">
        <w:rPr>
          <w:rFonts w:asciiTheme="minorHAnsi" w:hAnsiTheme="minorHAnsi" w:cstheme="minorHAnsi"/>
          <w:color w:val="0070C0"/>
        </w:rPr>
        <w:t>(2021)</w:t>
      </w:r>
      <w:r w:rsidRPr="00CF58ED">
        <w:rPr>
          <w:rFonts w:cstheme="minorHAnsi"/>
          <w:color w:val="0070C0"/>
        </w:rPr>
        <w:t xml:space="preserve"> </w:t>
      </w:r>
      <w:r w:rsidRPr="00CF58ED">
        <w:rPr>
          <w:rFonts w:asciiTheme="minorHAnsi" w:hAnsiTheme="minorHAnsi" w:cstheme="minorHAnsi"/>
          <w:color w:val="000000" w:themeColor="text1"/>
        </w:rPr>
        <w:t>define panic buying as " “the action of buying large quantities of a particular product or commodity due to sudden fears of a forthcoming shortage or price increase”. </w:t>
      </w:r>
    </w:p>
    <w:p w14:paraId="12CB37C9" w14:textId="6DF7157D"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 xml:space="preserve">Numerous unexpected incidents have occurred during the initial phases of the COVID-19 epidemic, including store shelves being stripped of critical food and non-food products, such as pasta, rice, canned goods, wheat, frozen foods, soft drinks, hygiene products, hand sanitizers, and toilet roll. This was an entirely new consumer behaviour motivated by the fear of running out of critical commodities, and as a result, customers began storing and increasing their purchases in anticipation of movement restrictions and probable interruptions to food supply chains. </w:t>
      </w:r>
      <w:r w:rsidRPr="00CF58ED">
        <w:rPr>
          <w:rFonts w:asciiTheme="minorHAnsi" w:hAnsiTheme="minorHAnsi" w:cstheme="minorHAnsi"/>
          <w:color w:val="0070C0"/>
        </w:rPr>
        <w:t>(Hobbs, 2020)</w:t>
      </w:r>
      <w:r w:rsidRPr="00CF58ED">
        <w:rPr>
          <w:rFonts w:cstheme="minorHAnsi"/>
          <w:color w:val="0070C0"/>
        </w:rPr>
        <w:t xml:space="preserve"> </w:t>
      </w:r>
    </w:p>
    <w:p w14:paraId="1927D49E" w14:textId="3ECDA7BB"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Several new risks were brought into the environment by the </w:t>
      </w:r>
      <w:r>
        <w:rPr>
          <w:rFonts w:asciiTheme="minorHAnsi" w:hAnsiTheme="minorHAnsi" w:cstheme="minorHAnsi"/>
          <w:color w:val="000000" w:themeColor="text1"/>
        </w:rPr>
        <w:t>pandemic,</w:t>
      </w:r>
      <w:r w:rsidRPr="00CF58ED">
        <w:rPr>
          <w:rFonts w:asciiTheme="minorHAnsi" w:hAnsiTheme="minorHAnsi" w:cstheme="minorHAnsi"/>
          <w:color w:val="000000" w:themeColor="text1"/>
        </w:rPr>
        <w:t> prompting a more</w:t>
      </w:r>
      <w:r>
        <w:rPr>
          <w:rFonts w:asciiTheme="minorHAnsi" w:hAnsiTheme="minorHAnsi" w:cstheme="minorHAnsi"/>
          <w:color w:val="000000" w:themeColor="text1"/>
        </w:rPr>
        <w:t xml:space="preserve"> t</w:t>
      </w:r>
      <w:r w:rsidRPr="00CF58ED">
        <w:rPr>
          <w:rFonts w:asciiTheme="minorHAnsi" w:hAnsiTheme="minorHAnsi" w:cstheme="minorHAnsi"/>
          <w:color w:val="000000" w:themeColor="text1"/>
        </w:rPr>
        <w:t>horough review of risk management procedures for store operations and supply chain</w:t>
      </w:r>
      <w:r>
        <w:rPr>
          <w:rFonts w:asciiTheme="minorHAnsi" w:hAnsiTheme="minorHAnsi" w:cstheme="minorHAnsi"/>
          <w:color w:val="000000" w:themeColor="text1"/>
        </w:rPr>
        <w:t xml:space="preserve"> activities</w:t>
      </w:r>
      <w:r w:rsidRPr="00CF58ED">
        <w:rPr>
          <w:rFonts w:asciiTheme="minorHAnsi" w:hAnsiTheme="minorHAnsi" w:cstheme="minorHAnsi"/>
          <w:color w:val="000000" w:themeColor="text1"/>
        </w:rPr>
        <w:t xml:space="preserve"> in the aftermath. Aside from the pandemic, Brexit ha</w:t>
      </w:r>
      <w:r>
        <w:rPr>
          <w:rFonts w:asciiTheme="minorHAnsi" w:hAnsiTheme="minorHAnsi" w:cstheme="minorHAnsi"/>
          <w:color w:val="000000" w:themeColor="text1"/>
        </w:rPr>
        <w:t>s had a negative impact on cooperation</w:t>
      </w:r>
      <w:r w:rsidRPr="00CF58ED">
        <w:rPr>
          <w:rFonts w:asciiTheme="minorHAnsi" w:hAnsiTheme="minorHAnsi" w:cstheme="minorHAnsi"/>
          <w:color w:val="000000" w:themeColor="text1"/>
        </w:rPr>
        <w:t> with local food producers, making it more difficult to</w:t>
      </w:r>
      <w:r>
        <w:rPr>
          <w:rFonts w:asciiTheme="minorHAnsi" w:hAnsiTheme="minorHAnsi" w:cstheme="minorHAnsi"/>
          <w:color w:val="000000" w:themeColor="text1"/>
        </w:rPr>
        <w:t xml:space="preserve"> hire migrant labour </w:t>
      </w:r>
      <w:r w:rsidRPr="00CF58ED">
        <w:rPr>
          <w:rFonts w:asciiTheme="minorHAnsi" w:hAnsiTheme="minorHAnsi" w:cstheme="minorHAnsi"/>
          <w:color w:val="000000" w:themeColor="text1"/>
        </w:rPr>
        <w:t>for jobs such as strawberry or asparagus harvesting. Diversification and dual or multiple sourcing procedures, which limit reliance on a single supplier, are the most effective methods</w:t>
      </w:r>
      <w:r>
        <w:rPr>
          <w:rFonts w:asciiTheme="minorHAnsi" w:hAnsiTheme="minorHAnsi" w:cstheme="minorHAnsi"/>
          <w:color w:val="000000" w:themeColor="text1"/>
        </w:rPr>
        <w:t xml:space="preserve"> of reducing risks in procurement. </w:t>
      </w:r>
      <w:r w:rsidRPr="00CF58ED">
        <w:rPr>
          <w:rFonts w:asciiTheme="minorHAnsi" w:hAnsiTheme="minorHAnsi" w:cstheme="minorHAnsi"/>
          <w:color w:val="0070C0"/>
        </w:rPr>
        <w:t>(Martinez-de-Albéniz and Wang, 2019)</w:t>
      </w:r>
    </w:p>
    <w:p w14:paraId="15F1AAEF" w14:textId="77777777" w:rsid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 xml:space="preserve">The fruit and vegetable markets in the United Kingdom are heavily reliant on imported vegetables (47.5 percent of supply) and fruits (84 percent). To gauge the impact of Brexit, </w:t>
      </w:r>
      <w:r w:rsidRPr="00CF58ED">
        <w:rPr>
          <w:rFonts w:asciiTheme="minorHAnsi" w:hAnsiTheme="minorHAnsi" w:cstheme="minorHAnsi"/>
          <w:color w:val="000000" w:themeColor="text1"/>
        </w:rPr>
        <w:lastRenderedPageBreak/>
        <w:t>one may examine the proportion of these items that originate in the EU. Domestic consumption of the most popular fruits and vegetables in the United Kingdom in 2018 indicates a reliance on imported products. The UK imports more than half of its vegetables, including tomatoes, onions, cucumbers, mushrooms, peppers, and lettuce. In 2019, between 75% and 100% of these items were imported from the EU. Thus, changes to the UK's trade policy are expected to have an effect on F&amp;V pricing via boosting trade costs</w:t>
      </w:r>
      <w:r w:rsidRPr="00CF58ED">
        <w:rPr>
          <w:rFonts w:cstheme="minorHAnsi"/>
          <w:color w:val="000000" w:themeColor="text1"/>
        </w:rPr>
        <w:t xml:space="preserve">. </w:t>
      </w:r>
      <w:r w:rsidRPr="00CF58ED">
        <w:rPr>
          <w:rFonts w:asciiTheme="minorHAnsi" w:hAnsiTheme="minorHAnsi" w:cstheme="minorHAnsi"/>
          <w:color w:val="0070C0"/>
        </w:rPr>
        <w:t>(Seferidi et al., 2019)</w:t>
      </w:r>
      <w:r w:rsidRPr="00CF58ED">
        <w:rPr>
          <w:rFonts w:cstheme="minorHAnsi"/>
          <w:color w:val="0070C0"/>
        </w:rPr>
        <w:t xml:space="preserve"> </w:t>
      </w:r>
    </w:p>
    <w:p w14:paraId="4E14C7CF" w14:textId="0B173FA7"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 xml:space="preserve">It is often necessary to make a large investment in packaging, shipping, product design, contract negotiation, and even plant varieties in order to transition between the food service and retail channels in the fresh fruit sector. Once this is done, the investment cannot be recovered. For several years prior to COVID-19, farmers accepted the unqualified premise that the chance of losing a whole distribution network was extremely low, or even non-existent. As a result of interfering with farmers' migratory work, COVID-19 has decreased their pay revenue. Employees in urban areas who work from home during the quarantine may be eligible for continuation of their benefits, depending on their job classification. However, the vast majority of rural employees are blue-collar and unable to work from home, which implies they are not eligible for compensation in this circumstance. </w:t>
      </w:r>
      <w:r w:rsidRPr="00CF58ED">
        <w:rPr>
          <w:rFonts w:asciiTheme="minorHAnsi" w:hAnsiTheme="minorHAnsi" w:cstheme="minorHAnsi"/>
          <w:color w:val="0070C0"/>
        </w:rPr>
        <w:t>(Pan et al., 2020)</w:t>
      </w:r>
    </w:p>
    <w:p w14:paraId="7A91186F" w14:textId="74CCBF5F"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According to Siche</w:t>
      </w:r>
      <w:r w:rsidRPr="00CF58ED">
        <w:rPr>
          <w:rFonts w:cstheme="minorHAnsi"/>
          <w:color w:val="000000" w:themeColor="text1"/>
        </w:rPr>
        <w:t xml:space="preserve">, </w:t>
      </w:r>
      <w:r w:rsidRPr="00CF58ED">
        <w:rPr>
          <w:rFonts w:asciiTheme="minorHAnsi" w:hAnsiTheme="minorHAnsi" w:cstheme="minorHAnsi"/>
          <w:color w:val="0070C0"/>
        </w:rPr>
        <w:t>(2020)</w:t>
      </w:r>
      <w:r w:rsidRPr="00CF58ED">
        <w:rPr>
          <w:rFonts w:cstheme="minorHAnsi"/>
          <w:color w:val="0070C0"/>
        </w:rPr>
        <w:t xml:space="preserve"> </w:t>
      </w:r>
      <w:r w:rsidRPr="00CF58ED">
        <w:rPr>
          <w:rFonts w:asciiTheme="minorHAnsi" w:hAnsiTheme="minorHAnsi" w:cstheme="minorHAnsi"/>
          <w:color w:val="000000" w:themeColor="text1"/>
        </w:rPr>
        <w:t xml:space="preserve">COVID-2019 has a substantial impact on agriculture in two key areas: food supply and demand. Consequently, food security is jeopardised as a result of these two elements being intricately tied to one another. There are several actions that take place along the food supply chain, from the farm to the consumer's plate, including production, packing and distribution as well as storage. Worldwide, lockdowns have repercussions for agriculture, food production and processing as well as for transportation and logistics in general. Employees who are self-isolating or sick are becoming increasingly common. Workplaces and public spaces are being redesigned to comply with social distance norms and tougher handling procedures, which are being implemented. </w:t>
      </w:r>
      <w:r w:rsidRPr="00CF58ED">
        <w:rPr>
          <w:rFonts w:asciiTheme="minorHAnsi" w:hAnsiTheme="minorHAnsi" w:cstheme="minorHAnsi"/>
          <w:color w:val="0070C0"/>
        </w:rPr>
        <w:t xml:space="preserve">(Petetin, 2019) </w:t>
      </w:r>
    </w:p>
    <w:p w14:paraId="2B634BD8" w14:textId="76D3328D"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In the United Kingdom, the horticulture industry employs around 80,000 seasonal employees each year, according to official figures. Typically, this labour is sourced from other EU member countries, mainly from Eastern European countries. In response to these </w:t>
      </w:r>
      <w:r w:rsidRPr="00CF58ED">
        <w:rPr>
          <w:rFonts w:asciiTheme="minorHAnsi" w:hAnsiTheme="minorHAnsi" w:cstheme="minorHAnsi"/>
          <w:color w:val="000000" w:themeColor="text1"/>
        </w:rPr>
        <w:lastRenderedPageBreak/>
        <w:t>concerns, Romania has reduced temporary border restrictions to allow agricultural labourers to work in other countries while in Romani</w:t>
      </w:r>
      <w:r w:rsidRPr="00CF58ED">
        <w:rPr>
          <w:rFonts w:asciiTheme="minorHAnsi" w:hAnsiTheme="minorHAnsi" w:cstheme="minorHAnsi"/>
          <w:color w:val="0070C0"/>
        </w:rPr>
        <w:t>a. (Mantu, 2020)</w:t>
      </w:r>
    </w:p>
    <w:p w14:paraId="5C5C351E" w14:textId="4A092130" w:rsidR="00CF58ED" w:rsidRDefault="00CF58ED" w:rsidP="00CF58ED">
      <w:pPr>
        <w:shd w:val="clear" w:color="auto" w:fill="FFFFFF"/>
        <w:spacing w:before="100" w:beforeAutospacing="1" w:after="100" w:afterAutospacing="1" w:line="360" w:lineRule="auto"/>
        <w:rPr>
          <w:rFonts w:asciiTheme="minorHAnsi" w:hAnsiTheme="minorHAnsi" w:cstheme="minorHAnsi"/>
          <w:color w:val="0070C0"/>
        </w:rPr>
      </w:pPr>
      <w:r w:rsidRPr="00CF58ED">
        <w:rPr>
          <w:rFonts w:asciiTheme="minorHAnsi" w:hAnsiTheme="minorHAnsi" w:cstheme="minorHAnsi"/>
          <w:color w:val="000000" w:themeColor="text1"/>
        </w:rPr>
        <w:t xml:space="preserve">There will be major ramifications from Covid-19-related interruptions, as such crises will have long-lasting ripple effects and will affect operations at several levels at the same time, including as sourcing, production and distribution. A large number of businesses recognised that the outbreak </w:t>
      </w:r>
      <w:r>
        <w:rPr>
          <w:rFonts w:asciiTheme="minorHAnsi" w:hAnsiTheme="minorHAnsi" w:cstheme="minorHAnsi"/>
          <w:color w:val="000000" w:themeColor="text1"/>
        </w:rPr>
        <w:t xml:space="preserve">would </w:t>
      </w:r>
      <w:r w:rsidRPr="00CF58ED">
        <w:rPr>
          <w:rFonts w:asciiTheme="minorHAnsi" w:hAnsiTheme="minorHAnsi" w:cstheme="minorHAnsi"/>
          <w:color w:val="000000" w:themeColor="text1"/>
        </w:rPr>
        <w:t>have long</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 xml:space="preserve">and short-term consequences. Expiration dates are a key source of anxiety in the short term. At various points throughout the epidemic, governments around the world declared lockdowns, which included the closure of restaurants, hotels, and pubs, posing a difficulty. </w:t>
      </w:r>
      <w:r w:rsidRPr="00CF58ED">
        <w:rPr>
          <w:rFonts w:asciiTheme="minorHAnsi" w:hAnsiTheme="minorHAnsi" w:cstheme="minorHAnsi"/>
          <w:color w:val="0070C0"/>
        </w:rPr>
        <w:t>(Chowdhury et al., 202</w:t>
      </w:r>
      <w:r>
        <w:rPr>
          <w:rFonts w:asciiTheme="minorHAnsi" w:hAnsiTheme="minorHAnsi" w:cstheme="minorHAnsi"/>
          <w:color w:val="0070C0"/>
        </w:rPr>
        <w:t>0)</w:t>
      </w:r>
    </w:p>
    <w:p w14:paraId="1B615824" w14:textId="68611F46" w:rsid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As a result of COVID-19, customers' preferences have shifted significantly away from restaurants and food service in favour of meals consumed at home, demanding considerable changes in the way food supply chains operate. Consumption of meals in hotels, diners, and other hospitality establishments plummeted as the COVID-19 outbreak expanded. The number of reservations for restaurants decreased drastically in early March, nearly ending abruptly when lockdowns were implemented.</w:t>
      </w:r>
      <w:r>
        <w:rPr>
          <w:rFonts w:asciiTheme="minorHAnsi" w:hAnsiTheme="minorHAnsi" w:cstheme="minorHAnsi"/>
          <w:color w:val="000000" w:themeColor="text1"/>
        </w:rPr>
        <w:t xml:space="preserve"> </w:t>
      </w:r>
      <w:r w:rsidRPr="00CF58ED">
        <w:rPr>
          <w:rFonts w:asciiTheme="minorHAnsi" w:hAnsiTheme="minorHAnsi" w:cstheme="minorHAnsi"/>
          <w:color w:val="0070C0"/>
        </w:rPr>
        <w:t xml:space="preserve">(OECD, 2020) </w:t>
      </w:r>
    </w:p>
    <w:p w14:paraId="66F463B8" w14:textId="408BA97F"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14:anchorId="48F25297" wp14:editId="78513CFE">
            <wp:extent cx="5727700" cy="3527425"/>
            <wp:effectExtent l="0" t="0" r="0" b="3175"/>
            <wp:docPr id="4" name="Picture 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27700" cy="3527425"/>
                    </a:xfrm>
                    <a:prstGeom prst="rect">
                      <a:avLst/>
                    </a:prstGeom>
                  </pic:spPr>
                </pic:pic>
              </a:graphicData>
            </a:graphic>
          </wp:inline>
        </w:drawing>
      </w:r>
    </w:p>
    <w:p w14:paraId="006B7BDA"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color w:val="0070C0"/>
        </w:rPr>
      </w:pPr>
      <w:r>
        <w:rPr>
          <w:rFonts w:asciiTheme="minorHAnsi" w:hAnsiTheme="minorHAnsi" w:cstheme="minorHAnsi"/>
          <w:color w:val="0070C0"/>
        </w:rPr>
        <w:t>(Richter, 2020)</w:t>
      </w:r>
    </w:p>
    <w:p w14:paraId="007F192D" w14:textId="48BFDE93"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70C0"/>
        </w:rPr>
      </w:pPr>
      <w:r w:rsidRPr="00CF58ED">
        <w:rPr>
          <w:rFonts w:asciiTheme="minorHAnsi" w:hAnsiTheme="minorHAnsi" w:cstheme="minorHAnsi"/>
          <w:color w:val="000000" w:themeColor="text1"/>
        </w:rPr>
        <w:lastRenderedPageBreak/>
        <w:t xml:space="preserve">Travel restrictions have been established in a number of European countries in order to prevent the spread of Covid-19. Due to these restrictions, corporate operations were significantly impacted, which obviously resulted in a decrease in income for businesses in the food industry. </w:t>
      </w:r>
      <w:r w:rsidRPr="00CF58ED">
        <w:rPr>
          <w:rFonts w:asciiTheme="minorHAnsi" w:hAnsiTheme="minorHAnsi" w:cstheme="minorHAnsi"/>
          <w:color w:val="0070C0"/>
        </w:rPr>
        <w:t xml:space="preserve">(Siju, 2021) </w:t>
      </w:r>
    </w:p>
    <w:p w14:paraId="26F57A63" w14:textId="0F5A1C97"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Scholars also emphasise the impact on logistics and transportation. Interruption in transportation may be succinctly defined as a lack of labour, since workers are required to stay at home and are therefore unavailable to do their jobs owing to social distancing rules. Piecyk and Allen's investigations </w:t>
      </w:r>
      <w:r w:rsidRPr="00CF58ED">
        <w:rPr>
          <w:rFonts w:asciiTheme="minorHAnsi" w:hAnsiTheme="minorHAnsi" w:cstheme="minorHAnsi"/>
          <w:color w:val="0070C0"/>
        </w:rPr>
        <w:t xml:space="preserve">(2021) </w:t>
      </w:r>
      <w:r w:rsidRPr="00CF58ED">
        <w:rPr>
          <w:rFonts w:asciiTheme="minorHAnsi" w:hAnsiTheme="minorHAnsi" w:cstheme="minorHAnsi"/>
          <w:color w:val="000000" w:themeColor="text1"/>
        </w:rPr>
        <w:t xml:space="preserve">claim that Brexit exacerbated transportation chaos owing to a driver shortage, causing significant issues across the supply chain, particularly in the United Kingdom. According to estimates from the Department for Transport, there were 47,000 non-UK heavy goods truck drivers on the road in the year 2019. The next year, this figure dropped substantially, with just 27,000 non-UK drivers being recorded in the statistics. It is estimated that around 45,000 drivers will be lost between 2019 and 2021 as a result of the fall in non-UK drivers and the reduction in driving test numbers throughout this period. Others have left the industry as a result of the government's change to the IR35 legislation, which classed them as employees rather than self-employed, raising their tax liability as a result of the classification. According to the government, temporary readmission of EU-based drivers will not be granted until more British drivers can be recruited or trained. </w:t>
      </w:r>
      <w:r w:rsidRPr="00CF58ED">
        <w:rPr>
          <w:rFonts w:asciiTheme="minorHAnsi" w:hAnsiTheme="minorHAnsi" w:cstheme="minorHAnsi"/>
          <w:color w:val="0070C0"/>
        </w:rPr>
        <w:t xml:space="preserve">(Bounds and Eley, 2021) </w:t>
      </w:r>
    </w:p>
    <w:p w14:paraId="78A58C10" w14:textId="56368140"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During the pandemic, procurement decisions were first driven by liquidity considerations, which resulted in a categorization of suppliers based on their cash availability to the case company: cash-limited vs. cash-safe suppliers. To address possible cash flow issues, the store rethought payment terms and changed to help suppliers that experienced negative cash flow throughout the crisis, all while keeping a close eye on its own liquidity position. </w:t>
      </w:r>
      <w:r w:rsidRPr="00CF58ED">
        <w:rPr>
          <w:rFonts w:asciiTheme="minorHAnsi" w:hAnsiTheme="minorHAnsi" w:cstheme="minorHAnsi"/>
          <w:color w:val="0070C0"/>
        </w:rPr>
        <w:t xml:space="preserve">(Sarkis, 2021) </w:t>
      </w:r>
      <w:r w:rsidRPr="00CF58ED">
        <w:rPr>
          <w:rFonts w:asciiTheme="minorHAnsi" w:hAnsiTheme="minorHAnsi" w:cstheme="minorHAnsi"/>
          <w:color w:val="000000" w:themeColor="text1"/>
        </w:rPr>
        <w:t xml:space="preserve">While retailers have provided little help to front-line shopfloor staff dealing with the repercussions of COVID-19, this research reveals that supermarkets have provided minimal assistance to their global food supply chain partners, according to our findings. While the pandemic has been ongoing, merchants have failed to show sustained, long-term dedication to tackling this critical issue. These companies have not shifted their purchasing practises away from cost-cutting practises and heavy reliance on social audits in favour of </w:t>
      </w:r>
      <w:r w:rsidRPr="00CF58ED">
        <w:rPr>
          <w:rFonts w:asciiTheme="minorHAnsi" w:hAnsiTheme="minorHAnsi" w:cstheme="minorHAnsi"/>
          <w:color w:val="000000" w:themeColor="text1"/>
        </w:rPr>
        <w:lastRenderedPageBreak/>
        <w:t>suppliers who improve labour conditions in their supply chains, nor have they adopted a robust human rights due diligence approach for reporting, mitigating, and remediating human rights violations in high-risk food supply chains.</w:t>
      </w:r>
    </w:p>
    <w:p w14:paraId="65E99131" w14:textId="008E92E2"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According to Sandle </w:t>
      </w:r>
      <w:r w:rsidRPr="00CF58ED">
        <w:rPr>
          <w:rFonts w:asciiTheme="minorHAnsi" w:hAnsiTheme="minorHAnsi" w:cstheme="minorHAnsi"/>
          <w:color w:val="0070C0"/>
        </w:rPr>
        <w:t xml:space="preserve">(2020) </w:t>
      </w:r>
      <w:r>
        <w:rPr>
          <w:rFonts w:asciiTheme="minorHAnsi" w:hAnsiTheme="minorHAnsi" w:cstheme="minorHAnsi"/>
          <w:color w:val="000000" w:themeColor="text1"/>
        </w:rPr>
        <w:t>o</w:t>
      </w:r>
      <w:r w:rsidRPr="00CF58ED">
        <w:rPr>
          <w:rFonts w:asciiTheme="minorHAnsi" w:hAnsiTheme="minorHAnsi" w:cstheme="minorHAnsi"/>
          <w:color w:val="000000" w:themeColor="text1"/>
        </w:rPr>
        <w:t xml:space="preserve">nly Sainsbury's stimulated the UK market, promising to pay small suppliers quickly, assisting approximately 1,500 small firms with less than £100,000 in yearly revenue. Afterwards, Morrisons </w:t>
      </w:r>
      <w:r w:rsidRPr="00CF58ED">
        <w:rPr>
          <w:rFonts w:asciiTheme="minorHAnsi" w:hAnsiTheme="minorHAnsi" w:cstheme="minorHAnsi"/>
          <w:color w:val="0070C0"/>
        </w:rPr>
        <w:t>(Hart, 2021)</w:t>
      </w:r>
      <w:r w:rsidRPr="00CF58ED">
        <w:rPr>
          <w:rFonts w:asciiTheme="minorHAnsi" w:hAnsiTheme="minorHAnsi" w:cstheme="minorHAnsi"/>
          <w:color w:val="000000" w:themeColor="text1"/>
        </w:rPr>
        <w:t xml:space="preserve"> and Aldi </w:t>
      </w:r>
      <w:r w:rsidRPr="00CF58ED">
        <w:rPr>
          <w:rFonts w:asciiTheme="minorHAnsi" w:hAnsiTheme="minorHAnsi" w:cstheme="minorHAnsi"/>
          <w:color w:val="0070C0"/>
        </w:rPr>
        <w:t xml:space="preserve">(Sandlin, 2021) </w:t>
      </w:r>
      <w:r w:rsidRPr="00CF58ED">
        <w:rPr>
          <w:rFonts w:asciiTheme="minorHAnsi" w:hAnsiTheme="minorHAnsi" w:cstheme="minorHAnsi"/>
          <w:color w:val="000000" w:themeColor="text1"/>
        </w:rPr>
        <w:t xml:space="preserve">indicated that they will make prompt payments to their smaller suppliers to assist them throughout the epidemic. </w:t>
      </w:r>
    </w:p>
    <w:p w14:paraId="4C73F036" w14:textId="4CAB6D8D"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Human resource restrictions are one of the most severe impacts of the pandemic on the food supply chain. Staffing shortages have been a serious issue in various nations during the COVID-19 epidemic. Restriction of mobility has resulted in labour shortages, affecting food supply chain operations such as harvesting, processing, and distribution. As a result, as human resources become scarcer, disruptions in the regular flow of food supply chain activities rise. </w:t>
      </w:r>
      <w:r w:rsidRPr="00CF58ED">
        <w:rPr>
          <w:rFonts w:asciiTheme="minorHAnsi" w:hAnsiTheme="minorHAnsi" w:cstheme="minorHAnsi"/>
          <w:color w:val="0070C0"/>
        </w:rPr>
        <w:t xml:space="preserve">(Espiner, 2021) </w:t>
      </w:r>
    </w:p>
    <w:p w14:paraId="77BEDEB9" w14:textId="34005E27" w:rsidR="00CF58ED" w:rsidRPr="00CF58ED" w:rsidRDefault="00CF58ED"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color w:val="000000" w:themeColor="text1"/>
        </w:rPr>
        <w:t xml:space="preserve">Absenteeism is the most significant contributor to the scarcity of staff during the pandemic. During the pandemic, COVID-19 outbreaks have been attributed to a high number of workplace infections. Tesco PLC, the largest retailer in the United Kingdom, reported that absence rates were more than 10% countrywide and as high as 13 percent in some locations, according to the company. As a result of the personnel deficit, the corporation employed 35,000 temporary employees to ensure that regular operations could be maintained. </w:t>
      </w:r>
      <w:r w:rsidRPr="00CF58ED">
        <w:rPr>
          <w:rFonts w:asciiTheme="minorHAnsi" w:hAnsiTheme="minorHAnsi" w:cstheme="minorHAnsi"/>
          <w:color w:val="0070C0"/>
        </w:rPr>
        <w:t xml:space="preserve">(Quinn, 2021) </w:t>
      </w:r>
      <w:r w:rsidRPr="00CF58ED">
        <w:rPr>
          <w:rFonts w:asciiTheme="minorHAnsi" w:hAnsiTheme="minorHAnsi" w:cstheme="minorHAnsi"/>
          <w:color w:val="000000" w:themeColor="text1"/>
        </w:rPr>
        <w:t>Despite the difficulties and hazards associated with the Covid-19 outbreak, critical employees throughout the food supply chain, including producers, suppliers, and retailers, have continued to strive to meet consumer demands.</w:t>
      </w:r>
      <w:r>
        <w:rPr>
          <w:rFonts w:asciiTheme="minorHAnsi" w:hAnsiTheme="minorHAnsi" w:cstheme="minorHAnsi"/>
          <w:color w:val="000000" w:themeColor="text1"/>
        </w:rPr>
        <w:t xml:space="preserve"> </w:t>
      </w:r>
      <w:r w:rsidRPr="00CF58ED">
        <w:rPr>
          <w:rFonts w:asciiTheme="minorHAnsi" w:hAnsiTheme="minorHAnsi" w:cstheme="minorHAnsi"/>
          <w:color w:val="00B0F0"/>
        </w:rPr>
        <w:t>(Moore et al., 2021)</w:t>
      </w:r>
    </w:p>
    <w:p w14:paraId="0E7B07D9" w14:textId="70A37DD9" w:rsidR="00CF58ED" w:rsidRPr="00CF58ED" w:rsidRDefault="00CF58ED" w:rsidP="00CF58ED">
      <w:pPr>
        <w:shd w:val="clear" w:color="auto" w:fill="FFFFFF"/>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i/>
          <w:iCs/>
          <w:color w:val="000000" w:themeColor="text1"/>
          <w:u w:val="single"/>
        </w:rPr>
        <w:t>Impact of Covid-19 on work during March/April 2020: Worker Survey</w:t>
      </w:r>
    </w:p>
    <w:p w14:paraId="7D1862DE" w14:textId="77777777" w:rsidR="00CF58ED" w:rsidRDefault="00CF58ED" w:rsidP="00CF58ED">
      <w:pPr>
        <w:shd w:val="clear" w:color="auto" w:fill="FFFFFF"/>
        <w:spacing w:before="100" w:beforeAutospacing="1" w:after="100" w:afterAutospacing="1" w:line="360" w:lineRule="auto"/>
        <w:rPr>
          <w:rFonts w:cstheme="minorHAnsi"/>
          <w:color w:val="000000" w:themeColor="text1"/>
        </w:rPr>
      </w:pPr>
      <w:r>
        <w:rPr>
          <w:rFonts w:cstheme="minorHAnsi"/>
          <w:noProof/>
          <w:color w:val="000000" w:themeColor="text1"/>
        </w:rPr>
        <w:lastRenderedPageBreak/>
        <w:drawing>
          <wp:inline distT="0" distB="0" distL="0" distR="0" wp14:anchorId="22559AED" wp14:editId="1E215E13">
            <wp:extent cx="5142000" cy="2477477"/>
            <wp:effectExtent l="0" t="0" r="1905"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71070" cy="2539665"/>
                    </a:xfrm>
                    <a:prstGeom prst="rect">
                      <a:avLst/>
                    </a:prstGeom>
                  </pic:spPr>
                </pic:pic>
              </a:graphicData>
            </a:graphic>
          </wp:inline>
        </w:drawing>
      </w:r>
    </w:p>
    <w:p w14:paraId="780509D6"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2EC3379"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1C393636"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383607A2"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3659D53C"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1A7F8E9D"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4488BBC3"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6BF20EE5"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63DE771A"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EB4212E"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76F34D5"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2C16B1D6"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0F288818" w14:textId="77777777" w:rsidR="00CF58ED" w:rsidRDefault="00CF58ED" w:rsidP="00CF58ED">
      <w:pPr>
        <w:shd w:val="clear" w:color="auto" w:fill="FFFFFF"/>
        <w:spacing w:before="100" w:beforeAutospacing="1" w:after="100" w:afterAutospacing="1" w:line="360" w:lineRule="auto"/>
        <w:rPr>
          <w:rFonts w:asciiTheme="minorHAnsi" w:hAnsiTheme="minorHAnsi" w:cstheme="minorHAnsi"/>
          <w:u w:val="single"/>
        </w:rPr>
      </w:pPr>
    </w:p>
    <w:p w14:paraId="5B987B59" w14:textId="7DB12014" w:rsidR="00643BCE" w:rsidRPr="00CF58ED" w:rsidRDefault="00643BCE" w:rsidP="00CF58ED">
      <w:pPr>
        <w:shd w:val="clear" w:color="auto" w:fill="FFFFFF"/>
        <w:spacing w:before="100" w:beforeAutospacing="1" w:after="100" w:afterAutospacing="1" w:line="360" w:lineRule="auto"/>
        <w:rPr>
          <w:rFonts w:cstheme="minorHAnsi"/>
          <w:color w:val="000000" w:themeColor="text1"/>
        </w:rPr>
      </w:pPr>
      <w:r w:rsidRPr="00CF58ED">
        <w:rPr>
          <w:rFonts w:asciiTheme="minorHAnsi" w:hAnsiTheme="minorHAnsi" w:cstheme="minorHAnsi"/>
          <w:u w:val="single"/>
        </w:rPr>
        <w:lastRenderedPageBreak/>
        <w:t>2</w:t>
      </w:r>
      <w:r w:rsidR="0069495E" w:rsidRPr="00CF58ED">
        <w:rPr>
          <w:rFonts w:asciiTheme="minorHAnsi" w:hAnsiTheme="minorHAnsi" w:cstheme="minorHAnsi"/>
          <w:u w:val="single"/>
        </w:rPr>
        <w:t xml:space="preserve">.2 </w:t>
      </w:r>
      <w:r w:rsidRPr="00CF58ED">
        <w:rPr>
          <w:rFonts w:asciiTheme="minorHAnsi" w:hAnsiTheme="minorHAnsi" w:cstheme="minorHAnsi"/>
          <w:u w:val="single"/>
        </w:rPr>
        <w:t>Steps to make the supply chain more resilient</w:t>
      </w:r>
      <w:r w:rsidR="0069495E" w:rsidRPr="00CF58ED">
        <w:rPr>
          <w:rFonts w:asciiTheme="minorHAnsi" w:hAnsiTheme="minorHAnsi" w:cstheme="minorHAnsi"/>
          <w:u w:val="single"/>
        </w:rPr>
        <w:t>.</w:t>
      </w:r>
    </w:p>
    <w:p w14:paraId="41BDBEEB" w14:textId="77777777" w:rsidR="00CF58ED" w:rsidRP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 xml:space="preserve">The COVID-19 revealed that organisations with a flexible or resilient distribution network are able to adapt quickly and preserve their competitive edge in a rapidly changing environment. In response to the ongoing consequences of COVID-19, businesses have been driven to include resilience and adaptation into their supply chain operations. </w:t>
      </w:r>
      <w:r w:rsidRPr="00CF58ED">
        <w:rPr>
          <w:rFonts w:asciiTheme="minorHAnsi" w:hAnsiTheme="minorHAnsi" w:cstheme="minorHAnsi"/>
          <w:color w:val="0070C0"/>
        </w:rPr>
        <w:t xml:space="preserve">(Do et al., 2021) </w:t>
      </w:r>
    </w:p>
    <w:p w14:paraId="159BA9E9" w14:textId="28373FBA"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In the words of Behzadi et al. </w:t>
      </w:r>
      <w:r w:rsidRPr="00CF58ED">
        <w:rPr>
          <w:rFonts w:asciiTheme="minorHAnsi" w:hAnsiTheme="minorHAnsi" w:cstheme="minorHAnsi"/>
          <w:color w:val="0070C0"/>
        </w:rPr>
        <w:t>(2020)</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 xml:space="preserve">resilience refers to the ability to recover quickly and efficiently from an event, whereas Tendall et al. (2015) claim that resilience refers to the ability of a food supply chain and its many components to deliver sufficient, suitable, and accessible food to everyone throughout time, despite a wide range of problems, some of which are unexpected. The United Kingdom's food supply has been struggling, and tight shortages are part of a broader trend of concern over the country's food system. There is also reason to be concerned about Brexit, in addition to the challenges posed by the epidemic. Retailers have begun to concentrate their efforts on stockpiling in order to avoid increasing shortages of food and other necessary commodities. </w:t>
      </w:r>
      <w:r w:rsidRPr="00CF58ED">
        <w:rPr>
          <w:rFonts w:asciiTheme="minorHAnsi" w:hAnsiTheme="minorHAnsi" w:cstheme="minorHAnsi"/>
          <w:color w:val="0070C0"/>
        </w:rPr>
        <w:t>(Benker, 2021)</w:t>
      </w:r>
    </w:p>
    <w:p w14:paraId="15F2C579" w14:textId="6A947D76" w:rsidR="00CF58ED" w:rsidRDefault="00CF58ED" w:rsidP="00CF58ED">
      <w:pPr>
        <w:spacing w:line="360" w:lineRule="auto"/>
        <w:rPr>
          <w:rFonts w:asciiTheme="minorHAnsi" w:hAnsiTheme="minorHAnsi" w:cstheme="minorHAnsi"/>
          <w:i/>
          <w:iCs/>
          <w:color w:val="000000" w:themeColor="text1"/>
        </w:rPr>
      </w:pPr>
      <w:r w:rsidRPr="00CF58ED">
        <w:rPr>
          <w:rFonts w:asciiTheme="minorHAnsi" w:hAnsiTheme="minorHAnsi" w:cstheme="minorHAnsi"/>
          <w:color w:val="000000" w:themeColor="text1"/>
        </w:rPr>
        <w:t xml:space="preserve">Concurring to Garbe, Rau and Toppe </w:t>
      </w:r>
      <w:r w:rsidRPr="00CF58ED">
        <w:rPr>
          <w:rFonts w:asciiTheme="minorHAnsi" w:hAnsiTheme="minorHAnsi" w:cstheme="minorHAnsi"/>
          <w:color w:val="0070C0"/>
        </w:rPr>
        <w:t xml:space="preserve">(2020) </w:t>
      </w:r>
      <w:r w:rsidRPr="00CF58ED">
        <w:rPr>
          <w:rFonts w:asciiTheme="minorHAnsi" w:hAnsiTheme="minorHAnsi" w:cstheme="minorHAnsi"/>
          <w:color w:val="000000" w:themeColor="text1"/>
        </w:rPr>
        <w:t xml:space="preserve">stockpiling is regarded as an emotional and individualistic response to an uncertain future, while Power et al. </w:t>
      </w:r>
      <w:r w:rsidRPr="00CF58ED">
        <w:rPr>
          <w:rFonts w:asciiTheme="minorHAnsi" w:hAnsiTheme="minorHAnsi" w:cstheme="minorHAnsi"/>
          <w:color w:val="0070C0"/>
        </w:rPr>
        <w:t>(2020)</w:t>
      </w:r>
      <w:r w:rsidRPr="00CF58ED">
        <w:rPr>
          <w:rFonts w:asciiTheme="minorHAnsi" w:hAnsiTheme="minorHAnsi" w:cstheme="minorHAnsi"/>
          <w:color w:val="000000" w:themeColor="text1"/>
        </w:rPr>
        <w:t xml:space="preserve"> defines it as </w:t>
      </w:r>
      <w:r w:rsidRPr="00CF58ED">
        <w:rPr>
          <w:rFonts w:asciiTheme="minorHAnsi" w:hAnsiTheme="minorHAnsi" w:cstheme="minorHAnsi"/>
          <w:i/>
          <w:iCs/>
          <w:color w:val="000000" w:themeColor="text1"/>
        </w:rPr>
        <w:t>“an accumulation of goods predominantly motivated by a desire to minimise the loss of, or the risk of losing access to, certain products, and may arise due to a belief that a product is in short supply, will soon no longer be available.’’</w:t>
      </w:r>
    </w:p>
    <w:p w14:paraId="7935E207" w14:textId="0E57D385"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In an attempt to avoid further food disruptions caused by Brexit and Covid-19, Tesco’s Chairman John Allan admits the retailer </w:t>
      </w:r>
      <w:r w:rsidRPr="00CF58ED">
        <w:rPr>
          <w:rFonts w:asciiTheme="minorHAnsi" w:hAnsiTheme="minorHAnsi" w:cstheme="minorHAnsi"/>
          <w:color w:val="000000" w:themeColor="text1"/>
        </w:rPr>
        <w:t>started to secure goods</w:t>
      </w:r>
      <w:r>
        <w:rPr>
          <w:rFonts w:asciiTheme="minorHAnsi" w:hAnsiTheme="minorHAnsi" w:cstheme="minorHAnsi"/>
          <w:color w:val="000000" w:themeColor="text1"/>
        </w:rPr>
        <w:t xml:space="preserve"> also stating: “we are trying to ensure that we have stockpiled as much as we can of long-life products either in our own warehouses or with our suppliers.”</w:t>
      </w:r>
      <w:r w:rsidRPr="00CF58ED">
        <w:rPr>
          <w:rFonts w:asciiTheme="minorHAnsi" w:hAnsiTheme="minorHAnsi" w:cstheme="minorHAnsi"/>
          <w:color w:val="0070C0"/>
        </w:rPr>
        <w:t xml:space="preserve"> (Sillars, 2020)</w:t>
      </w:r>
    </w:p>
    <w:p w14:paraId="0D9D5881" w14:textId="77777777" w:rsidR="00CF58ED" w:rsidRDefault="00CF58ED" w:rsidP="00CF58ED">
      <w:pPr>
        <w:spacing w:line="360" w:lineRule="auto"/>
        <w:rPr>
          <w:rFonts w:asciiTheme="minorHAnsi" w:hAnsiTheme="minorHAnsi" w:cstheme="minorHAnsi"/>
          <w:color w:val="0070C0"/>
        </w:rPr>
      </w:pPr>
    </w:p>
    <w:p w14:paraId="31459FFE" w14:textId="0E592998"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In order to mitigate the effects of panic-buying, </w:t>
      </w:r>
      <w:r w:rsidRPr="00CF58ED">
        <w:rPr>
          <w:rFonts w:asciiTheme="minorHAnsi" w:hAnsiTheme="minorHAnsi" w:cstheme="minorHAnsi"/>
          <w:color w:val="000000" w:themeColor="text1"/>
        </w:rPr>
        <w:t>supermarkets have restricted consumers to buying no more than two or three comparable goods each shopping trip, decreased their hours of operation, and requested that people continue to shop as usual.</w:t>
      </w:r>
      <w:r>
        <w:rPr>
          <w:rFonts w:asciiTheme="minorHAnsi" w:hAnsiTheme="minorHAnsi" w:cstheme="minorHAnsi"/>
          <w:color w:val="000000" w:themeColor="text1"/>
        </w:rPr>
        <w:t xml:space="preserve"> </w:t>
      </w:r>
      <w:r w:rsidRPr="00CF58ED">
        <w:rPr>
          <w:rFonts w:asciiTheme="minorHAnsi" w:hAnsiTheme="minorHAnsi" w:cstheme="minorHAnsi"/>
          <w:color w:val="0070C0"/>
        </w:rPr>
        <w:t>(Martin-Neuninger and Ruby, 2020)</w:t>
      </w:r>
    </w:p>
    <w:p w14:paraId="4A582489" w14:textId="081B169D"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For the increased protection of staff and customers, Government guidelines were strict and precise, ranging from the presence of hand sanitisers in key areas inside the shop floor, to </w:t>
      </w:r>
      <w:r>
        <w:rPr>
          <w:rFonts w:asciiTheme="minorHAnsi" w:hAnsiTheme="minorHAnsi" w:cstheme="minorHAnsi"/>
          <w:color w:val="000000" w:themeColor="text1"/>
        </w:rPr>
        <w:lastRenderedPageBreak/>
        <w:t xml:space="preserve">one-way systems or card payments only, and contact free check-out points. </w:t>
      </w:r>
      <w:r w:rsidRPr="00CF58ED">
        <w:rPr>
          <w:rFonts w:asciiTheme="minorHAnsi" w:hAnsiTheme="minorHAnsi" w:cstheme="minorHAnsi"/>
          <w:color w:val="0070C0"/>
        </w:rPr>
        <w:t>(HM Government, 2020)</w:t>
      </w:r>
    </w:p>
    <w:p w14:paraId="27833669" w14:textId="77777777" w:rsidR="00CF58ED" w:rsidRDefault="00CF58ED" w:rsidP="00CF58ED">
      <w:pPr>
        <w:spacing w:line="360" w:lineRule="auto"/>
        <w:rPr>
          <w:rFonts w:asciiTheme="minorHAnsi" w:hAnsiTheme="minorHAnsi" w:cstheme="minorHAnsi"/>
          <w:color w:val="0070C0"/>
        </w:rPr>
      </w:pPr>
    </w:p>
    <w:p w14:paraId="18BDBBA9" w14:textId="04BED1CC"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Professionals in the field of supply chain management have underlined the critical necessity of properly identifying and addressing severe supply chain challenges such as seaport strike action, supplier insolvency, and driver shortages</w:t>
      </w:r>
      <w:r w:rsidRPr="00CF58ED">
        <w:rPr>
          <w:rFonts w:asciiTheme="minorHAnsi" w:hAnsiTheme="minorHAnsi" w:cstheme="minorHAnsi"/>
          <w:color w:val="0070C0"/>
        </w:rPr>
        <w:t>.</w:t>
      </w:r>
      <w:r>
        <w:rPr>
          <w:rFonts w:asciiTheme="minorHAnsi" w:hAnsiTheme="minorHAnsi" w:cstheme="minorHAnsi"/>
          <w:color w:val="0070C0"/>
        </w:rPr>
        <w:t xml:space="preserve"> </w:t>
      </w:r>
      <w:r w:rsidRPr="00CF58ED">
        <w:rPr>
          <w:rFonts w:asciiTheme="minorHAnsi" w:hAnsiTheme="minorHAnsi" w:cstheme="minorHAnsi"/>
          <w:color w:val="0070C0"/>
        </w:rPr>
        <w:t>(Craighead, Ketchen and Darby, 2020)</w:t>
      </w:r>
    </w:p>
    <w:p w14:paraId="61D055DE" w14:textId="0CF604A8"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Companies must come up with several solutions to tackle the lack of lorry drivers. </w:t>
      </w:r>
      <w:r w:rsidRPr="00CF58ED">
        <w:rPr>
          <w:rFonts w:asciiTheme="minorHAnsi" w:hAnsiTheme="minorHAnsi" w:cstheme="minorHAnsi"/>
          <w:color w:val="000000" w:themeColor="text1"/>
        </w:rPr>
        <w:t xml:space="preserve">Firms should immediately begin training drivers themselves, depending to the availability of skilled instructors. </w:t>
      </w:r>
      <w:r>
        <w:rPr>
          <w:rFonts w:asciiTheme="minorHAnsi" w:hAnsiTheme="minorHAnsi" w:cstheme="minorHAnsi"/>
          <w:color w:val="000000" w:themeColor="text1"/>
        </w:rPr>
        <w:t xml:space="preserve">Iles </w:t>
      </w:r>
      <w:r w:rsidRPr="00CF58ED">
        <w:rPr>
          <w:rFonts w:asciiTheme="minorHAnsi" w:hAnsiTheme="minorHAnsi" w:cstheme="minorHAnsi"/>
          <w:color w:val="0070C0"/>
        </w:rPr>
        <w:t xml:space="preserve">(2021) </w:t>
      </w:r>
      <w:r>
        <w:rPr>
          <w:rFonts w:asciiTheme="minorHAnsi" w:hAnsiTheme="minorHAnsi" w:cstheme="minorHAnsi"/>
          <w:color w:val="000000" w:themeColor="text1"/>
        </w:rPr>
        <w:t>agrees that this will</w:t>
      </w:r>
      <w:r w:rsidRPr="00CF58ED">
        <w:rPr>
          <w:rFonts w:asciiTheme="minorHAnsi" w:hAnsiTheme="minorHAnsi" w:cstheme="minorHAnsi"/>
          <w:color w:val="000000" w:themeColor="text1"/>
        </w:rPr>
        <w:t xml:space="preserve"> also motivate enterprises to provide proper training facilities, such as reversing spaces, which are sometimes lacking in training companies, and the prospect of regulators touring enterprises to test drivers.</w:t>
      </w:r>
      <w:r>
        <w:rPr>
          <w:rFonts w:asciiTheme="minorHAnsi" w:hAnsiTheme="minorHAnsi" w:cstheme="minorHAnsi"/>
          <w:color w:val="000000" w:themeColor="text1"/>
        </w:rPr>
        <w:t xml:space="preserve"> </w:t>
      </w:r>
    </w:p>
    <w:p w14:paraId="5B3B37B0" w14:textId="0A30B6CB"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Wallace </w:t>
      </w:r>
      <w:r w:rsidRPr="00CF58ED">
        <w:rPr>
          <w:rFonts w:asciiTheme="minorHAnsi" w:hAnsiTheme="minorHAnsi" w:cstheme="minorHAnsi"/>
          <w:color w:val="0070C0"/>
        </w:rPr>
        <w:t>(2019)</w:t>
      </w:r>
      <w:r>
        <w:rPr>
          <w:rFonts w:asciiTheme="minorHAnsi" w:hAnsiTheme="minorHAnsi" w:cstheme="minorHAnsi"/>
          <w:color w:val="0070C0"/>
        </w:rPr>
        <w:t xml:space="preserve"> </w:t>
      </w:r>
      <w:r>
        <w:rPr>
          <w:rFonts w:asciiTheme="minorHAnsi" w:hAnsiTheme="minorHAnsi" w:cstheme="minorHAnsi"/>
          <w:color w:val="000000" w:themeColor="text1"/>
        </w:rPr>
        <w:t xml:space="preserve">published an article in the Motor Transport journal in which Sally Gibson, Freight Transport Association Head of Skills, </w:t>
      </w:r>
      <w:r w:rsidRPr="00CF58ED">
        <w:rPr>
          <w:rFonts w:asciiTheme="minorHAnsi" w:hAnsiTheme="minorHAnsi" w:cstheme="minorHAnsi"/>
          <w:color w:val="000000" w:themeColor="text1"/>
        </w:rPr>
        <w:t>confirmed that the driver shortage is growing,</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and immediate action is needed to address the issue.</w:t>
      </w:r>
      <w:r>
        <w:rPr>
          <w:rFonts w:asciiTheme="minorHAnsi" w:hAnsiTheme="minorHAnsi" w:cstheme="minorHAnsi"/>
          <w:color w:val="000000" w:themeColor="text1"/>
        </w:rPr>
        <w:t xml:space="preserve"> The FTA member also identified a series of solutions that could compensate, attract and retain the much-needed workforce in the haulage industry. Given the fact that the Polish drivers fled the country as a Brexit consequence, and the Bulgarians and the Romanians lorry drivers are not enough to satisfy demand, the British companies should address the lack of diversity in the sector. According to available data, 89% of drivers are white and 87% are men, and only 1% of heavy goods vehicle drivers are female. </w:t>
      </w:r>
    </w:p>
    <w:p w14:paraId="09E131B0" w14:textId="560A8612"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Other experts in the field of supply chain, strongly believe that the government should initiate schemes for HGV drivers, similar to the student loan arrangements. Tindall </w:t>
      </w:r>
      <w:r w:rsidRPr="00CF58ED">
        <w:rPr>
          <w:rFonts w:asciiTheme="minorHAnsi" w:hAnsiTheme="minorHAnsi" w:cstheme="minorHAnsi"/>
          <w:color w:val="0070C0"/>
        </w:rPr>
        <w:t xml:space="preserve">(2019) </w:t>
      </w:r>
      <w:r>
        <w:rPr>
          <w:rFonts w:asciiTheme="minorHAnsi" w:hAnsiTheme="minorHAnsi" w:cstheme="minorHAnsi"/>
          <w:color w:val="000000" w:themeColor="text1"/>
        </w:rPr>
        <w:t xml:space="preserve">quoting Wilcox, a Chilcompton- established company owner, declares: </w:t>
      </w:r>
    </w:p>
    <w:p w14:paraId="340161CD" w14:textId="0DF46989" w:rsidR="00CF58ED" w:rsidRDefault="00CF58ED" w:rsidP="00CF58ED">
      <w:pPr>
        <w:spacing w:line="360" w:lineRule="auto"/>
        <w:rPr>
          <w:rFonts w:asciiTheme="minorHAnsi" w:hAnsiTheme="minorHAnsi" w:cstheme="minorHAnsi"/>
          <w:i/>
          <w:iCs/>
          <w:color w:val="000000" w:themeColor="text1"/>
          <w:shd w:val="clear" w:color="auto" w:fill="FFFFFF"/>
        </w:rPr>
      </w:pPr>
      <w:r w:rsidRPr="00CF58ED">
        <w:rPr>
          <w:rFonts w:asciiTheme="minorHAnsi" w:hAnsiTheme="minorHAnsi" w:cstheme="minorHAnsi"/>
          <w:i/>
          <w:iCs/>
          <w:color w:val="000000" w:themeColor="text1"/>
          <w:shd w:val="clear" w:color="auto" w:fill="FFFFFF"/>
        </w:rPr>
        <w:t>"We don't need apprentices; we need drivers and we need them now. The government is happy to hand out £9,000 a year to university students and yet it would only take one loan of £3,000 to enable a young person to become an HGV driver in a matter of months, turning them into frilly employed drivers earning £650 a week and paying national insurance and tax, which also benefits the country."</w:t>
      </w:r>
    </w:p>
    <w:p w14:paraId="52BD0072" w14:textId="77777777" w:rsidR="00CF58ED" w:rsidRDefault="00CF58ED" w:rsidP="00CF58ED">
      <w:pPr>
        <w:spacing w:line="360" w:lineRule="auto"/>
        <w:rPr>
          <w:rFonts w:asciiTheme="minorHAnsi" w:hAnsiTheme="minorHAnsi" w:cstheme="minorHAnsi"/>
          <w:color w:val="000000" w:themeColor="text1"/>
        </w:rPr>
      </w:pPr>
    </w:p>
    <w:p w14:paraId="06630909" w14:textId="53E9FDDE"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the United States, the truck driver’ crisis took similar approaches in regard of expanding the population pool among lorry drivers. The research of Duggan and Murtrey </w:t>
      </w:r>
      <w:r w:rsidRPr="00CF58ED">
        <w:rPr>
          <w:rFonts w:asciiTheme="minorHAnsi" w:hAnsiTheme="minorHAnsi" w:cstheme="minorHAnsi"/>
          <w:color w:val="0070C0"/>
        </w:rPr>
        <w:t>(2021)</w:t>
      </w:r>
      <w:r>
        <w:rPr>
          <w:rFonts w:asciiTheme="minorHAnsi" w:hAnsiTheme="minorHAnsi" w:cstheme="minorHAnsi"/>
          <w:color w:val="0070C0"/>
        </w:rPr>
        <w:t xml:space="preserve"> </w:t>
      </w:r>
      <w:r>
        <w:rPr>
          <w:rFonts w:asciiTheme="minorHAnsi" w:hAnsiTheme="minorHAnsi" w:cstheme="minorHAnsi"/>
          <w:color w:val="000000" w:themeColor="text1"/>
        </w:rPr>
        <w:t xml:space="preserve">reveals the plans of the American Trucking Association of lowering the age of qualified </w:t>
      </w:r>
      <w:r>
        <w:rPr>
          <w:rFonts w:asciiTheme="minorHAnsi" w:hAnsiTheme="minorHAnsi" w:cstheme="minorHAnsi"/>
          <w:color w:val="000000" w:themeColor="text1"/>
        </w:rPr>
        <w:lastRenderedPageBreak/>
        <w:t xml:space="preserve">drivers from 21 to 18. </w:t>
      </w:r>
      <w:r w:rsidRPr="00CF58ED">
        <w:rPr>
          <w:rFonts w:asciiTheme="minorHAnsi" w:hAnsiTheme="minorHAnsi" w:cstheme="minorHAnsi"/>
          <w:color w:val="000000" w:themeColor="text1"/>
        </w:rPr>
        <w:t>The sector may benefit greatly if the age limit was lowered to allow high school graduates to enter the workforce.</w:t>
      </w:r>
    </w:p>
    <w:p w14:paraId="31BBA210" w14:textId="77777777" w:rsidR="00CF58ED" w:rsidRDefault="00CF58ED" w:rsidP="00CF58ED">
      <w:pPr>
        <w:spacing w:line="360" w:lineRule="auto"/>
        <w:rPr>
          <w:rFonts w:asciiTheme="minorHAnsi" w:hAnsiTheme="minorHAnsi" w:cstheme="minorHAnsi"/>
          <w:color w:val="000000" w:themeColor="text1"/>
        </w:rPr>
      </w:pPr>
    </w:p>
    <w:p w14:paraId="356E17C0" w14:textId="1992B582"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Because of shifting societal and political conditions, crises may both generate and accelerate the transmission of new ideas and technologies. Since the outbreak, there has been a surge in online food purchases.</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Stay-at-home measures and the overall restriction in movements have created a protected space for online food commerce. While the need for food continues to rise, there is less competition from other businesses in this period of time.</w:t>
      </w:r>
      <w:r>
        <w:rPr>
          <w:rFonts w:asciiTheme="minorHAnsi" w:hAnsiTheme="minorHAnsi" w:cstheme="minorHAnsi"/>
          <w:color w:val="000000" w:themeColor="text1"/>
        </w:rPr>
        <w:t xml:space="preserve"> </w:t>
      </w:r>
      <w:r w:rsidRPr="00CF58ED">
        <w:rPr>
          <w:rFonts w:asciiTheme="minorHAnsi" w:hAnsiTheme="minorHAnsi" w:cstheme="minorHAnsi"/>
          <w:color w:val="0070C0"/>
        </w:rPr>
        <w:t>(Dannenberg et al., 2020)</w:t>
      </w:r>
    </w:p>
    <w:p w14:paraId="2C49F3D3" w14:textId="2A44F987" w:rsid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The epidemic has been successfully managed in the UK thanks to the efforts of the country's supermarkets. Retail workers put their lives on the line to keep the nation nourished as </w:t>
      </w:r>
      <w:r>
        <w:rPr>
          <w:rFonts w:asciiTheme="minorHAnsi" w:hAnsiTheme="minorHAnsi" w:cstheme="minorHAnsi"/>
          <w:color w:val="000000" w:themeColor="text1"/>
        </w:rPr>
        <w:t xml:space="preserve">demand in online shopping soared. At the beginning of the pandemic, online sales amplified from less than 20% to roughly 33%. </w:t>
      </w:r>
      <w:r w:rsidRPr="00CF58ED">
        <w:rPr>
          <w:rFonts w:asciiTheme="minorHAnsi" w:hAnsiTheme="minorHAnsi" w:cstheme="minorHAnsi"/>
          <w:color w:val="0070C0"/>
        </w:rPr>
        <w:t xml:space="preserve">(East, 2021) </w:t>
      </w:r>
      <w:r>
        <w:rPr>
          <w:rFonts w:asciiTheme="minorHAnsi" w:hAnsiTheme="minorHAnsi" w:cstheme="minorHAnsi"/>
          <w:color w:val="000000" w:themeColor="text1"/>
        </w:rPr>
        <w:t>This increase can be observed in the figure below.</w:t>
      </w:r>
    </w:p>
    <w:p w14:paraId="332577FA" w14:textId="52A89C8D" w:rsidR="00CF58ED"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noProof/>
          <w:color w:val="000000" w:themeColor="text1"/>
        </w:rPr>
        <w:drawing>
          <wp:inline distT="0" distB="0" distL="0" distR="0" wp14:anchorId="298ABD04" wp14:editId="2BA33237">
            <wp:extent cx="6399823" cy="2842316"/>
            <wp:effectExtent l="0" t="0" r="1270" b="2540"/>
            <wp:docPr id="5" name="Picture 5" descr="A picture containing tex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docu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45198" cy="2862468"/>
                    </a:xfrm>
                    <a:prstGeom prst="rect">
                      <a:avLst/>
                    </a:prstGeom>
                  </pic:spPr>
                </pic:pic>
              </a:graphicData>
            </a:graphic>
          </wp:inline>
        </w:drawing>
      </w:r>
    </w:p>
    <w:p w14:paraId="0440E682" w14:textId="3DB12E77"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Tesco increased its delivery capacity to 1.5 million slots a week during the first half of the year, including 674,000 vulnerable consumers, as more people purchase online.</w:t>
      </w:r>
      <w:r>
        <w:rPr>
          <w:rFonts w:asciiTheme="minorHAnsi" w:hAnsiTheme="minorHAnsi" w:cstheme="minorHAnsi"/>
          <w:color w:val="000000" w:themeColor="text1"/>
        </w:rPr>
        <w:t xml:space="preserve"> According to the giant retailer its sales boosted by 8.6% in the United Kingdom and Ireland markets to £24.3 billion. However, the profits were affected by the £533 million expenses related to the coronavirus. Ken Murphy, Tesco’s CEO, told journalists that the pandemic </w:t>
      </w:r>
      <w:r w:rsidRPr="00CF58ED">
        <w:rPr>
          <w:rFonts w:asciiTheme="minorHAnsi" w:hAnsiTheme="minorHAnsi" w:cstheme="minorHAnsi"/>
          <w:i/>
          <w:iCs/>
          <w:color w:val="000000" w:themeColor="text1"/>
        </w:rPr>
        <w:t xml:space="preserve">“tested our business in ways we had never imagined” </w:t>
      </w:r>
      <w:r>
        <w:rPr>
          <w:rFonts w:asciiTheme="minorHAnsi" w:hAnsiTheme="minorHAnsi" w:cstheme="minorHAnsi"/>
          <w:color w:val="000000" w:themeColor="text1"/>
        </w:rPr>
        <w:t xml:space="preserve">and also reassured them that employees </w:t>
      </w:r>
      <w:r w:rsidRPr="00CF58ED">
        <w:rPr>
          <w:rFonts w:asciiTheme="minorHAnsi" w:hAnsiTheme="minorHAnsi" w:cstheme="minorHAnsi"/>
          <w:i/>
          <w:iCs/>
          <w:color w:val="000000" w:themeColor="text1"/>
        </w:rPr>
        <w:t>“had risen brilliantly to every challenge”</w:t>
      </w:r>
      <w:r>
        <w:rPr>
          <w:rFonts w:asciiTheme="minorHAnsi" w:hAnsiTheme="minorHAnsi" w:cstheme="minorHAnsi"/>
          <w:color w:val="000000" w:themeColor="text1"/>
        </w:rPr>
        <w:t xml:space="preserve"> </w:t>
      </w:r>
      <w:r w:rsidRPr="00CF58ED">
        <w:rPr>
          <w:rFonts w:asciiTheme="minorHAnsi" w:hAnsiTheme="minorHAnsi" w:cstheme="minorHAnsi"/>
          <w:color w:val="0070C0"/>
        </w:rPr>
        <w:t xml:space="preserve">(Simpson, 2020) </w:t>
      </w:r>
    </w:p>
    <w:p w14:paraId="515054F6" w14:textId="33D65C25"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lastRenderedPageBreak/>
        <w:t xml:space="preserve">The rise in online sales contributed to reducing unemployment rate in the U.K., as Tesco urgently recruited 16,000 people, in roles including pickers to assemble customer orders, delivery drivers and several key roles in the food supply chain. </w:t>
      </w:r>
      <w:r w:rsidRPr="00CF58ED">
        <w:rPr>
          <w:rFonts w:asciiTheme="minorHAnsi" w:hAnsiTheme="minorHAnsi" w:cstheme="minorHAnsi"/>
          <w:color w:val="000000" w:themeColor="text1"/>
        </w:rPr>
        <w:t xml:space="preserve">This year, </w:t>
      </w:r>
      <w:r>
        <w:rPr>
          <w:rFonts w:asciiTheme="minorHAnsi" w:hAnsiTheme="minorHAnsi" w:cstheme="minorHAnsi"/>
          <w:color w:val="000000" w:themeColor="text1"/>
        </w:rPr>
        <w:t xml:space="preserve">in the U.K. alone, </w:t>
      </w:r>
      <w:r w:rsidRPr="00CF58ED">
        <w:rPr>
          <w:rFonts w:asciiTheme="minorHAnsi" w:hAnsiTheme="minorHAnsi" w:cstheme="minorHAnsi"/>
          <w:color w:val="000000" w:themeColor="text1"/>
        </w:rPr>
        <w:t>internet sales are expected to increase by two-thirds, to around £5.5 billion ($7.2 billion).</w:t>
      </w:r>
      <w:r>
        <w:rPr>
          <w:rFonts w:asciiTheme="minorHAnsi" w:hAnsiTheme="minorHAnsi" w:cstheme="minorHAnsi"/>
          <w:color w:val="000000" w:themeColor="text1"/>
        </w:rPr>
        <w:t xml:space="preserve"> </w:t>
      </w:r>
      <w:r w:rsidRPr="00CF58ED">
        <w:rPr>
          <w:rFonts w:asciiTheme="minorHAnsi" w:hAnsiTheme="minorHAnsi" w:cstheme="minorHAnsi"/>
          <w:color w:val="0070C0"/>
        </w:rPr>
        <w:t>(Ziady,2020)</w:t>
      </w:r>
    </w:p>
    <w:p w14:paraId="4199D82D" w14:textId="1A23A00E" w:rsidR="00CF58ED" w:rsidRDefault="00CF58ED" w:rsidP="00CF58ED">
      <w:pPr>
        <w:spacing w:line="360" w:lineRule="auto"/>
        <w:rPr>
          <w:rFonts w:asciiTheme="minorHAnsi" w:hAnsiTheme="minorHAnsi" w:cstheme="minorHAnsi"/>
          <w:color w:val="000000" w:themeColor="text1"/>
        </w:rPr>
      </w:pPr>
    </w:p>
    <w:p w14:paraId="63C0067C" w14:textId="02F1C814"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In times of uncertainty caused by unforeseen events, such as the Covid-19 pandemic, large companies or small businesses are looking for outsourcing strategies within the food supply chain, in order to build resilience and continue normal operations. Zhong, Xu and Wang </w:t>
      </w:r>
      <w:r w:rsidRPr="00CF58ED">
        <w:rPr>
          <w:rFonts w:asciiTheme="minorHAnsi" w:hAnsiTheme="minorHAnsi" w:cstheme="minorHAnsi"/>
          <w:color w:val="0070C0"/>
        </w:rPr>
        <w:t xml:space="preserve">(2017) </w:t>
      </w:r>
      <w:r w:rsidRPr="00CF58ED">
        <w:rPr>
          <w:rFonts w:asciiTheme="minorHAnsi" w:hAnsiTheme="minorHAnsi" w:cstheme="minorHAnsi"/>
          <w:color w:val="000000" w:themeColor="text1"/>
        </w:rPr>
        <w:t xml:space="preserve">assent that </w:t>
      </w:r>
      <w:r>
        <w:rPr>
          <w:rFonts w:asciiTheme="minorHAnsi" w:hAnsiTheme="minorHAnsi" w:cstheme="minorHAnsi"/>
          <w:color w:val="000000" w:themeColor="text1"/>
        </w:rPr>
        <w:t>w</w:t>
      </w:r>
      <w:r w:rsidRPr="00CF58ED">
        <w:rPr>
          <w:rFonts w:asciiTheme="minorHAnsi" w:hAnsiTheme="minorHAnsi" w:cstheme="minorHAnsi"/>
          <w:color w:val="000000" w:themeColor="text1"/>
        </w:rPr>
        <w:t>hen it comes to supply chain outsourcing, specialists know how to measure performance, identify which areas to focus on, and make improvements most efficiently while preparing for the future growth of the organisation. Controls that are easy to understand will boost productivity and help firms avoid costly surprises.</w:t>
      </w:r>
      <w:r>
        <w:rPr>
          <w:rFonts w:asciiTheme="minorHAnsi" w:hAnsiTheme="minorHAnsi" w:cstheme="minorHAnsi"/>
          <w:color w:val="000000" w:themeColor="text1"/>
        </w:rPr>
        <w:t xml:space="preserve"> </w:t>
      </w:r>
    </w:p>
    <w:p w14:paraId="109567C8" w14:textId="4F5A7CB2"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When it comes to transferring finished goods, supply chain partners' linkages are critical. Participation in a supply chain supplier may save both time and money when combined with a well-planned route to market strategy.</w:t>
      </w:r>
      <w:r>
        <w:rPr>
          <w:rFonts w:asciiTheme="minorHAnsi" w:hAnsiTheme="minorHAnsi" w:cstheme="minorHAnsi"/>
          <w:color w:val="000000" w:themeColor="text1"/>
        </w:rPr>
        <w:t xml:space="preserve"> </w:t>
      </w:r>
      <w:r w:rsidRPr="00CF58ED">
        <w:rPr>
          <w:rFonts w:asciiTheme="minorHAnsi" w:hAnsiTheme="minorHAnsi" w:cstheme="minorHAnsi"/>
          <w:color w:val="0070C0"/>
        </w:rPr>
        <w:t xml:space="preserve">(Odei Som, Cobblah and Anyigba, 2019) </w:t>
      </w:r>
    </w:p>
    <w:p w14:paraId="6EC622DB" w14:textId="0651AE0E"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color w:val="000000" w:themeColor="text1"/>
        </w:rPr>
        <w:t>Operators in the food industry are being compelled to reconsider how they choose, identify, procure, and handle their commodities in this difficult climate. Best-in-class firms address this problem systematically to uncover latent potential in the raw material supply network and explore new methods to lower total costs. Direct materials costs can be reduced by up to 6% and conversion costs by up to 22% by using this method. Direct material costs are one of the most powerful levers that food firms may use to boost their net margins by 200 to 300 basis points for every 1% improvement.</w:t>
      </w:r>
      <w:r>
        <w:rPr>
          <w:rFonts w:asciiTheme="minorHAnsi" w:hAnsiTheme="minorHAnsi" w:cstheme="minorHAnsi"/>
          <w:color w:val="000000" w:themeColor="text1"/>
        </w:rPr>
        <w:t xml:space="preserve"> </w:t>
      </w:r>
      <w:r w:rsidRPr="00CF58ED">
        <w:rPr>
          <w:rFonts w:asciiTheme="minorHAnsi" w:hAnsiTheme="minorHAnsi" w:cstheme="minorHAnsi"/>
          <w:color w:val="0070C0"/>
        </w:rPr>
        <w:t>(Doheny et al., 2017)</w:t>
      </w:r>
    </w:p>
    <w:p w14:paraId="068F111A" w14:textId="77777777" w:rsidR="00CF58ED" w:rsidRPr="00CF58ED" w:rsidRDefault="00CF58ED" w:rsidP="00CF58ED">
      <w:pPr>
        <w:spacing w:line="360" w:lineRule="auto"/>
        <w:rPr>
          <w:rFonts w:asciiTheme="minorHAnsi" w:hAnsiTheme="minorHAnsi" w:cstheme="minorHAnsi"/>
          <w:color w:val="000000" w:themeColor="text1"/>
        </w:rPr>
      </w:pPr>
    </w:p>
    <w:p w14:paraId="273618B8" w14:textId="2B1FE3AF" w:rsidR="00CF58ED" w:rsidRDefault="00CF58ED" w:rsidP="00CF58ED">
      <w:pPr>
        <w:spacing w:line="360" w:lineRule="auto"/>
        <w:rPr>
          <w:rFonts w:asciiTheme="minorHAnsi" w:hAnsiTheme="minorHAnsi" w:cstheme="minorHAnsi"/>
          <w:color w:val="00B0F0"/>
          <w:shd w:val="clear" w:color="auto" w:fill="FFFFFF"/>
        </w:rPr>
      </w:pPr>
      <w:r w:rsidRPr="00CF58ED">
        <w:rPr>
          <w:rFonts w:asciiTheme="minorHAnsi" w:hAnsiTheme="minorHAnsi" w:cstheme="minorHAnsi"/>
          <w:color w:val="000000" w:themeColor="text1"/>
        </w:rPr>
        <w:t>In recent times, shoppers have become more environmentally aware and demand firms to do the same, and sustainable procurement has taken off. Sustainability is becoming crucially influential to corporations as they compete with a rising customer base, which has a direct influence on the environment.</w:t>
      </w:r>
      <w:r>
        <w:rPr>
          <w:rFonts w:asciiTheme="minorHAnsi" w:hAnsiTheme="minorHAnsi" w:cstheme="minorHAnsi"/>
          <w:color w:val="000000" w:themeColor="text1"/>
        </w:rPr>
        <w:t xml:space="preserve"> </w:t>
      </w:r>
      <w:r w:rsidRPr="00CF58ED">
        <w:rPr>
          <w:rFonts w:asciiTheme="minorHAnsi" w:hAnsiTheme="minorHAnsi" w:cstheme="minorHAnsi"/>
          <w:color w:val="000000" w:themeColor="text1"/>
        </w:rPr>
        <w:t xml:space="preserve">Consequently, the World Commission on Environment and Development converted this understanding into a visionary idea known as sustainable development, </w:t>
      </w:r>
      <w:r>
        <w:rPr>
          <w:rFonts w:asciiTheme="minorHAnsi" w:hAnsiTheme="minorHAnsi" w:cstheme="minorHAnsi"/>
          <w:color w:val="000000" w:themeColor="text1"/>
        </w:rPr>
        <w:t>further defined as</w:t>
      </w:r>
      <w:r w:rsidRPr="00CF58ED">
        <w:rPr>
          <w:rFonts w:ascii="Arial" w:hAnsi="Arial" w:cs="Arial"/>
          <w:color w:val="222222"/>
          <w:sz w:val="20"/>
          <w:szCs w:val="20"/>
          <w:shd w:val="clear" w:color="auto" w:fill="FFFFFF"/>
        </w:rPr>
        <w:t xml:space="preserve"> </w:t>
      </w:r>
      <w:r w:rsidRPr="00CF58ED">
        <w:rPr>
          <w:rFonts w:asciiTheme="minorHAnsi" w:hAnsiTheme="minorHAnsi" w:cstheme="minorHAnsi"/>
          <w:i/>
          <w:iCs/>
          <w:color w:val="000000" w:themeColor="text1"/>
          <w:shd w:val="clear" w:color="auto" w:fill="FFFFFF"/>
        </w:rPr>
        <w:t>“the development that meets the needs of the present without compromising the ability of future generations to meet their own needs.”</w:t>
      </w:r>
      <w:r>
        <w:rPr>
          <w:rFonts w:asciiTheme="minorHAnsi" w:hAnsiTheme="minorHAnsi" w:cstheme="minorHAnsi"/>
          <w:i/>
          <w:iCs/>
          <w:color w:val="000000" w:themeColor="text1"/>
          <w:shd w:val="clear" w:color="auto" w:fill="FFFFFF"/>
        </w:rPr>
        <w:t xml:space="preserve"> </w:t>
      </w:r>
      <w:r w:rsidRPr="00CF58ED">
        <w:rPr>
          <w:rFonts w:asciiTheme="minorHAnsi" w:hAnsiTheme="minorHAnsi" w:cstheme="minorHAnsi"/>
          <w:color w:val="00B0F0"/>
          <w:shd w:val="clear" w:color="auto" w:fill="FFFFFF"/>
        </w:rPr>
        <w:t xml:space="preserve">(Brun, Karaosman and Barresi, 2020) </w:t>
      </w:r>
    </w:p>
    <w:p w14:paraId="016E7583" w14:textId="6092B809" w:rsidR="00CF58ED" w:rsidRDefault="00CF58ED" w:rsidP="00CF58ED">
      <w:pPr>
        <w:spacing w:line="360" w:lineRule="auto"/>
        <w:rPr>
          <w:rFonts w:asciiTheme="minorHAnsi" w:hAnsiTheme="minorHAnsi" w:cstheme="minorHAnsi"/>
          <w:color w:val="000000" w:themeColor="text1"/>
          <w:shd w:val="clear" w:color="auto" w:fill="FFFFFF"/>
        </w:rPr>
      </w:pPr>
      <w:r w:rsidRPr="00CF58ED">
        <w:rPr>
          <w:rFonts w:asciiTheme="minorHAnsi" w:hAnsiTheme="minorHAnsi" w:cstheme="minorHAnsi"/>
          <w:color w:val="000000" w:themeColor="text1"/>
          <w:shd w:val="clear" w:color="auto" w:fill="FFFFFF"/>
        </w:rPr>
        <w:lastRenderedPageBreak/>
        <w:t>Several environmental sustainability advocates believe that the major objective of environmental sustainability in supply chains should be to enhance the environmental performance of organisations while maintaining or improving productivity levels.</w:t>
      </w:r>
      <w:r>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0000" w:themeColor="text1"/>
          <w:shd w:val="clear" w:color="auto" w:fill="FFFFFF"/>
        </w:rPr>
        <w:t>Business leaders and scholars recognise that sustainability is a critical instrument for decreasing long-term vulnerability, shortage and misuse of resources, contamination, and product liability.</w:t>
      </w:r>
      <w:r>
        <w:rPr>
          <w:rFonts w:asciiTheme="minorHAnsi" w:hAnsiTheme="minorHAnsi" w:cstheme="minorHAnsi"/>
          <w:color w:val="000000" w:themeColor="text1"/>
          <w:shd w:val="clear" w:color="auto" w:fill="FFFFFF"/>
        </w:rPr>
        <w:t xml:space="preserve"> </w:t>
      </w:r>
      <w:r w:rsidRPr="00CF58ED">
        <w:rPr>
          <w:rFonts w:asciiTheme="minorHAnsi" w:hAnsiTheme="minorHAnsi" w:cstheme="minorHAnsi"/>
          <w:color w:val="0070C0"/>
          <w:shd w:val="clear" w:color="auto" w:fill="FFFFFF"/>
        </w:rPr>
        <w:t>(Sudi et al., 2019)</w:t>
      </w:r>
    </w:p>
    <w:p w14:paraId="26B5E506" w14:textId="6B3830D0" w:rsidR="00CF58ED" w:rsidRP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Additionally, a sustainable supply chain is created to recover the commercial and environmental performance of strength of a company, </w:t>
      </w:r>
      <w:r w:rsidRPr="00CF58ED">
        <w:rPr>
          <w:rFonts w:asciiTheme="minorHAnsi" w:hAnsiTheme="minorHAnsi" w:cstheme="minorHAnsi"/>
          <w:color w:val="000000" w:themeColor="text1"/>
        </w:rPr>
        <w:t>as well as to aid managers in designing effective strategies for deploying technologies that are profitable.</w:t>
      </w:r>
      <w:r>
        <w:rPr>
          <w:rFonts w:asciiTheme="minorHAnsi" w:hAnsiTheme="minorHAnsi" w:cstheme="minorHAnsi"/>
          <w:color w:val="000000" w:themeColor="text1"/>
        </w:rPr>
        <w:t xml:space="preserve"> Lim et al. </w:t>
      </w:r>
      <w:r w:rsidRPr="00CF58ED">
        <w:rPr>
          <w:rFonts w:asciiTheme="minorHAnsi" w:hAnsiTheme="minorHAnsi" w:cstheme="minorHAnsi"/>
          <w:color w:val="0070C0"/>
        </w:rPr>
        <w:t xml:space="preserve">(2017) </w:t>
      </w:r>
      <w:r>
        <w:rPr>
          <w:rFonts w:asciiTheme="minorHAnsi" w:hAnsiTheme="minorHAnsi" w:cstheme="minorHAnsi"/>
          <w:color w:val="000000" w:themeColor="text1"/>
        </w:rPr>
        <w:t>proved t</w:t>
      </w:r>
      <w:r w:rsidRPr="00CF58ED">
        <w:rPr>
          <w:rFonts w:asciiTheme="minorHAnsi" w:hAnsiTheme="minorHAnsi" w:cstheme="minorHAnsi"/>
          <w:color w:val="000000" w:themeColor="text1"/>
        </w:rPr>
        <w:t>hat, at the level of flat supplier-supplier connections, right supplier groups can only be established if there is a direction for horizontal collaboration on sustainability that allows suppliers to measure their level of performance against one another.</w:t>
      </w:r>
      <w:r>
        <w:rPr>
          <w:rFonts w:asciiTheme="minorHAnsi" w:hAnsiTheme="minorHAnsi" w:cstheme="minorHAnsi"/>
          <w:color w:val="000000" w:themeColor="text1"/>
        </w:rPr>
        <w:t xml:space="preserve"> </w:t>
      </w:r>
    </w:p>
    <w:p w14:paraId="491B075A" w14:textId="6EDC80A6"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S</w:t>
      </w:r>
      <w:r w:rsidRPr="00CF58ED">
        <w:rPr>
          <w:rFonts w:asciiTheme="minorHAnsi" w:hAnsiTheme="minorHAnsi" w:cstheme="minorHAnsi"/>
          <w:color w:val="000000" w:themeColor="text1"/>
        </w:rPr>
        <w:t>ince both pandemic and Brexit have increased uncertainty, organisations are looking at ways to modify or develop more strategic contracts that incorporate flexibility to better support all parties in dealing with large disruptions</w:t>
      </w:r>
      <w:r>
        <w:rPr>
          <w:rFonts w:asciiTheme="minorHAnsi" w:hAnsiTheme="minorHAnsi" w:cstheme="minorHAnsi"/>
          <w:color w:val="000000" w:themeColor="text1"/>
        </w:rPr>
        <w:t xml:space="preserve">. Prior to the pandemic a large percentage of goods traded worldwide are being manufactured in China, mainly due to low production cost. </w:t>
      </w:r>
      <w:r w:rsidRPr="00CF58ED">
        <w:rPr>
          <w:rFonts w:asciiTheme="minorHAnsi" w:hAnsiTheme="minorHAnsi" w:cstheme="minorHAnsi"/>
          <w:color w:val="000000" w:themeColor="text1"/>
        </w:rPr>
        <w:t>During the first wave of Covid-19, China's firms sent their workers back home, causing global supply networks to be shaken. If you want a product that will last the test of time, it's worth a little bit more money up front, but you shouldn't put all your eggs in one basket.</w:t>
      </w:r>
      <w:r>
        <w:rPr>
          <w:rFonts w:asciiTheme="minorHAnsi" w:hAnsiTheme="minorHAnsi" w:cstheme="minorHAnsi"/>
          <w:color w:val="000000" w:themeColor="text1"/>
        </w:rPr>
        <w:t xml:space="preserve"> </w:t>
      </w:r>
      <w:r w:rsidRPr="00CF58ED">
        <w:rPr>
          <w:rFonts w:asciiTheme="minorHAnsi" w:hAnsiTheme="minorHAnsi" w:cstheme="minorHAnsi"/>
          <w:color w:val="0070C0"/>
        </w:rPr>
        <w:t>(Sadler, 2021)</w:t>
      </w:r>
    </w:p>
    <w:p w14:paraId="1C405712" w14:textId="77777777" w:rsidR="00CF58ED" w:rsidRPr="00CF58ED" w:rsidRDefault="00CF58ED" w:rsidP="00CF58ED">
      <w:pPr>
        <w:spacing w:line="360" w:lineRule="auto"/>
        <w:rPr>
          <w:rFonts w:asciiTheme="minorHAnsi" w:hAnsiTheme="minorHAnsi" w:cstheme="minorHAnsi"/>
          <w:color w:val="000000" w:themeColor="text1"/>
        </w:rPr>
      </w:pPr>
    </w:p>
    <w:p w14:paraId="50C63843" w14:textId="77777777" w:rsidR="00CF58ED" w:rsidRPr="00CF58ED" w:rsidRDefault="00CF58ED" w:rsidP="00CF58ED">
      <w:pPr>
        <w:spacing w:line="360" w:lineRule="auto"/>
        <w:rPr>
          <w:rFonts w:asciiTheme="minorHAnsi" w:hAnsiTheme="minorHAnsi" w:cstheme="minorHAnsi"/>
          <w:color w:val="000000" w:themeColor="text1"/>
        </w:rPr>
      </w:pPr>
    </w:p>
    <w:p w14:paraId="71836985" w14:textId="1D8E793E" w:rsidR="00CF58ED" w:rsidRPr="00CF58ED" w:rsidRDefault="00CF58ED" w:rsidP="00CF58ED">
      <w:pPr>
        <w:spacing w:line="360" w:lineRule="auto"/>
        <w:rPr>
          <w:rFonts w:asciiTheme="minorHAnsi" w:hAnsiTheme="minorHAnsi" w:cstheme="minorHAnsi"/>
          <w:color w:val="000000" w:themeColor="text1"/>
        </w:rPr>
      </w:pPr>
    </w:p>
    <w:p w14:paraId="73AE3993" w14:textId="77777777" w:rsidR="00CF58ED" w:rsidRPr="00CF58ED" w:rsidRDefault="00CF58ED" w:rsidP="00CF58ED">
      <w:pPr>
        <w:spacing w:line="360" w:lineRule="auto"/>
        <w:rPr>
          <w:rFonts w:asciiTheme="minorHAnsi" w:hAnsiTheme="minorHAnsi" w:cstheme="minorHAnsi"/>
          <w:color w:val="000000" w:themeColor="text1"/>
          <w:u w:val="single"/>
        </w:rPr>
      </w:pPr>
    </w:p>
    <w:p w14:paraId="4B06A67F" w14:textId="592E3B83" w:rsidR="00CF58ED" w:rsidRDefault="00CF58ED" w:rsidP="00643BCE">
      <w:pPr>
        <w:spacing w:line="360" w:lineRule="auto"/>
        <w:rPr>
          <w:rFonts w:cstheme="minorHAnsi"/>
        </w:rPr>
      </w:pPr>
    </w:p>
    <w:p w14:paraId="5DAE0793" w14:textId="78657D52" w:rsidR="00CF58ED" w:rsidRDefault="00CF58ED" w:rsidP="00643BCE">
      <w:pPr>
        <w:spacing w:line="360" w:lineRule="auto"/>
        <w:rPr>
          <w:rFonts w:cstheme="minorHAnsi"/>
        </w:rPr>
      </w:pPr>
    </w:p>
    <w:p w14:paraId="01C6CFBB" w14:textId="77777777" w:rsidR="00CF58ED" w:rsidRDefault="00CF58ED" w:rsidP="00CF58ED">
      <w:pPr>
        <w:spacing w:line="360" w:lineRule="auto"/>
        <w:rPr>
          <w:rFonts w:cstheme="minorHAnsi"/>
        </w:rPr>
      </w:pPr>
    </w:p>
    <w:p w14:paraId="22DE9796" w14:textId="77777777" w:rsidR="00CF58ED" w:rsidRDefault="00CF58ED" w:rsidP="00CF58ED">
      <w:pPr>
        <w:spacing w:line="360" w:lineRule="auto"/>
        <w:rPr>
          <w:rFonts w:cstheme="minorHAnsi"/>
        </w:rPr>
      </w:pPr>
    </w:p>
    <w:p w14:paraId="1170868B" w14:textId="77777777" w:rsidR="00CF58ED" w:rsidRDefault="00CF58ED" w:rsidP="00CF58ED">
      <w:pPr>
        <w:spacing w:line="360" w:lineRule="auto"/>
        <w:rPr>
          <w:rFonts w:cstheme="minorHAnsi"/>
        </w:rPr>
      </w:pPr>
    </w:p>
    <w:p w14:paraId="2D07F645" w14:textId="77777777" w:rsidR="00CF58ED" w:rsidRDefault="00CF58ED" w:rsidP="00CF58ED">
      <w:pPr>
        <w:spacing w:line="360" w:lineRule="auto"/>
        <w:rPr>
          <w:rFonts w:cstheme="minorHAnsi"/>
        </w:rPr>
      </w:pPr>
    </w:p>
    <w:p w14:paraId="383ED330" w14:textId="77777777" w:rsidR="00CF58ED" w:rsidRDefault="00CF58ED" w:rsidP="00CF58ED">
      <w:pPr>
        <w:spacing w:line="360" w:lineRule="auto"/>
        <w:rPr>
          <w:rFonts w:cstheme="minorHAnsi"/>
        </w:rPr>
      </w:pPr>
    </w:p>
    <w:p w14:paraId="01E53028" w14:textId="402A77B3" w:rsidR="00643BCE" w:rsidRPr="00CF58ED" w:rsidRDefault="0069495E" w:rsidP="00CF58ED">
      <w:pPr>
        <w:spacing w:line="360" w:lineRule="auto"/>
        <w:rPr>
          <w:rFonts w:asciiTheme="minorHAnsi" w:hAnsiTheme="minorHAnsi" w:cstheme="minorHAnsi"/>
          <w:u w:val="single"/>
        </w:rPr>
      </w:pPr>
      <w:r w:rsidRPr="00CF58ED">
        <w:rPr>
          <w:rFonts w:asciiTheme="minorHAnsi" w:hAnsiTheme="minorHAnsi" w:cstheme="minorHAnsi"/>
          <w:u w:val="single"/>
        </w:rPr>
        <w:lastRenderedPageBreak/>
        <w:t>2.3 Evaluate the necessary changes to the supplier appraisal process in the chosen supply chain.</w:t>
      </w:r>
    </w:p>
    <w:p w14:paraId="7027251D" w14:textId="7754BAC6" w:rsidR="00CF58ED" w:rsidRDefault="00CF58ED" w:rsidP="00CF58ED">
      <w:pPr>
        <w:spacing w:line="360" w:lineRule="auto"/>
        <w:rPr>
          <w:rFonts w:asciiTheme="minorHAnsi" w:hAnsiTheme="minorHAnsi" w:cstheme="minorHAnsi"/>
          <w:color w:val="0070C0"/>
        </w:rPr>
      </w:pPr>
      <w:r w:rsidRPr="00CF58ED">
        <w:rPr>
          <w:rFonts w:asciiTheme="minorHAnsi" w:hAnsiTheme="minorHAnsi" w:cstheme="minorHAnsi"/>
        </w:rPr>
        <w:t>Although certain procurement approaches necessitate that businesses be adaptable and sensitive to changes, others necessitate that businesses be efficient in order to function. A well-organized supply chain enables a firm to not only compare costs to key performance indicators, but also to make regular modifications as necessary, based on the specific scenario.</w:t>
      </w:r>
      <w:r>
        <w:rPr>
          <w:rFonts w:asciiTheme="minorHAnsi" w:hAnsiTheme="minorHAnsi" w:cstheme="minorHAnsi"/>
        </w:rPr>
        <w:t xml:space="preserve"> </w:t>
      </w:r>
      <w:r w:rsidRPr="00CF58ED">
        <w:rPr>
          <w:rFonts w:asciiTheme="minorHAnsi" w:hAnsiTheme="minorHAnsi" w:cstheme="minorHAnsi"/>
          <w:color w:val="0070C0"/>
        </w:rPr>
        <w:t>(</w:t>
      </w:r>
      <w:r>
        <w:rPr>
          <w:rFonts w:asciiTheme="minorHAnsi" w:hAnsiTheme="minorHAnsi" w:cstheme="minorHAnsi"/>
          <w:color w:val="0070C0"/>
        </w:rPr>
        <w:t xml:space="preserve">Chen and Kitsis, </w:t>
      </w:r>
      <w:r w:rsidRPr="00CF58ED">
        <w:rPr>
          <w:rFonts w:asciiTheme="minorHAnsi" w:hAnsiTheme="minorHAnsi" w:cstheme="minorHAnsi"/>
          <w:color w:val="0070C0"/>
        </w:rPr>
        <w:t>201</w:t>
      </w:r>
      <w:r>
        <w:rPr>
          <w:rFonts w:asciiTheme="minorHAnsi" w:hAnsiTheme="minorHAnsi" w:cstheme="minorHAnsi"/>
          <w:color w:val="0070C0"/>
        </w:rPr>
        <w:t>7</w:t>
      </w:r>
      <w:r w:rsidRPr="00CF58ED">
        <w:rPr>
          <w:rFonts w:asciiTheme="minorHAnsi" w:hAnsiTheme="minorHAnsi" w:cstheme="minorHAnsi"/>
          <w:color w:val="0070C0"/>
        </w:rPr>
        <w:t>)</w:t>
      </w:r>
    </w:p>
    <w:p w14:paraId="1EBE10F2" w14:textId="0C5E1402" w:rsidR="00CF58ED" w:rsidRDefault="00CF58ED" w:rsidP="00CF58ED">
      <w:pPr>
        <w:spacing w:line="360" w:lineRule="auto"/>
        <w:rPr>
          <w:rFonts w:asciiTheme="minorHAnsi" w:hAnsiTheme="minorHAnsi" w:cstheme="minorHAnsi"/>
          <w:color w:val="0070C0"/>
        </w:rPr>
      </w:pPr>
      <w:r>
        <w:rPr>
          <w:rFonts w:asciiTheme="minorHAnsi" w:hAnsiTheme="minorHAnsi" w:cstheme="minorHAnsi"/>
        </w:rPr>
        <w:t xml:space="preserve">Successful organisations perform site inspections to determine supplier capacity and financial health. These two factors combined make the key consideration for the supplier selection process. To be considered for the supply, companies must demonstrate their technical capabilities. Procurement performance it is strongly linked to the capacity assessment appraisal. </w:t>
      </w:r>
      <w:r w:rsidRPr="00CF58ED">
        <w:rPr>
          <w:rFonts w:asciiTheme="minorHAnsi" w:hAnsiTheme="minorHAnsi" w:cstheme="minorHAnsi"/>
        </w:rPr>
        <w:t>The survey revealed that value for money is the most important aspect in supplier evaluation, and the organisation settles with the supplier after negotiating a reasonable price.</w:t>
      </w:r>
      <w:r>
        <w:rPr>
          <w:rFonts w:asciiTheme="minorHAnsi" w:hAnsiTheme="minorHAnsi" w:cstheme="minorHAnsi"/>
        </w:rPr>
        <w:t xml:space="preserve"> </w:t>
      </w:r>
      <w:r w:rsidRPr="00CF58ED">
        <w:rPr>
          <w:rFonts w:asciiTheme="minorHAnsi" w:hAnsiTheme="minorHAnsi" w:cstheme="minorHAnsi"/>
          <w:color w:val="0070C0"/>
        </w:rPr>
        <w:t>(</w:t>
      </w:r>
      <w:r>
        <w:rPr>
          <w:rFonts w:asciiTheme="minorHAnsi" w:hAnsiTheme="minorHAnsi" w:cstheme="minorHAnsi"/>
          <w:color w:val="0070C0"/>
        </w:rPr>
        <w:t>Rose</w:t>
      </w:r>
      <w:r w:rsidRPr="00CF58ED">
        <w:rPr>
          <w:rFonts w:asciiTheme="minorHAnsi" w:hAnsiTheme="minorHAnsi" w:cstheme="minorHAnsi"/>
          <w:color w:val="0070C0"/>
        </w:rPr>
        <w:t xml:space="preserve"> and </w:t>
      </w:r>
      <w:r>
        <w:rPr>
          <w:rFonts w:asciiTheme="minorHAnsi" w:hAnsiTheme="minorHAnsi" w:cstheme="minorHAnsi"/>
          <w:color w:val="0070C0"/>
        </w:rPr>
        <w:t xml:space="preserve">Kiprotich </w:t>
      </w:r>
      <w:r w:rsidRPr="00CF58ED">
        <w:rPr>
          <w:rFonts w:asciiTheme="minorHAnsi" w:hAnsiTheme="minorHAnsi" w:cstheme="minorHAnsi"/>
          <w:color w:val="0070C0"/>
        </w:rPr>
        <w:t>Bii, 2017)</w:t>
      </w:r>
    </w:p>
    <w:p w14:paraId="1032537E" w14:textId="6120882A"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Mutethia </w:t>
      </w:r>
      <w:r w:rsidRPr="00CF58ED">
        <w:rPr>
          <w:rFonts w:asciiTheme="minorHAnsi" w:hAnsiTheme="minorHAnsi" w:cstheme="minorHAnsi"/>
          <w:color w:val="0070C0"/>
        </w:rPr>
        <w:t>(2018)</w:t>
      </w:r>
      <w:r>
        <w:rPr>
          <w:rFonts w:asciiTheme="minorHAnsi" w:hAnsiTheme="minorHAnsi" w:cstheme="minorHAnsi"/>
          <w:color w:val="0070C0"/>
        </w:rPr>
        <w:t xml:space="preserve"> </w:t>
      </w:r>
      <w:r>
        <w:rPr>
          <w:rFonts w:asciiTheme="minorHAnsi" w:hAnsiTheme="minorHAnsi" w:cstheme="minorHAnsi"/>
          <w:color w:val="000000" w:themeColor="text1"/>
        </w:rPr>
        <w:t>utters that s</w:t>
      </w:r>
      <w:r w:rsidRPr="00CF58ED">
        <w:rPr>
          <w:rFonts w:asciiTheme="minorHAnsi" w:hAnsiTheme="minorHAnsi" w:cstheme="minorHAnsi"/>
          <w:color w:val="000000" w:themeColor="text1"/>
        </w:rPr>
        <w:t>upply chain performance typically rests on selecting the right partners and suppliers</w:t>
      </w:r>
      <w:r>
        <w:rPr>
          <w:rFonts w:asciiTheme="minorHAnsi" w:hAnsiTheme="minorHAnsi" w:cstheme="minorHAnsi"/>
          <w:color w:val="000000" w:themeColor="text1"/>
        </w:rPr>
        <w:t>.</w:t>
      </w:r>
      <w:r w:rsidRPr="00CF58ED">
        <w:rPr>
          <w:rFonts w:asciiTheme="minorHAnsi" w:hAnsiTheme="minorHAnsi" w:cstheme="minorHAnsi"/>
          <w:color w:val="000000" w:themeColor="text1"/>
        </w:rPr>
        <w:t xml:space="preserve"> Supplier assessment is seen as a technique that helps the buying business better understand which suppliers are operating effectively and which suppliers are not.</w:t>
      </w:r>
      <w:r>
        <w:rPr>
          <w:rFonts w:asciiTheme="minorHAnsi" w:hAnsiTheme="minorHAnsi" w:cstheme="minorHAnsi"/>
          <w:color w:val="000000" w:themeColor="text1"/>
        </w:rPr>
        <w:t xml:space="preserve"> </w:t>
      </w:r>
    </w:p>
    <w:p w14:paraId="198177BD" w14:textId="462EA708"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A key factor in the supplier appraisal process is represented by the evaluation of the quality of service and the quality of products. Obura, Shale and Mukanzi </w:t>
      </w:r>
      <w:r w:rsidRPr="00CF58ED">
        <w:rPr>
          <w:rFonts w:asciiTheme="minorHAnsi" w:hAnsiTheme="minorHAnsi" w:cstheme="minorHAnsi"/>
          <w:color w:val="0070C0"/>
        </w:rPr>
        <w:t>(2021)</w:t>
      </w:r>
      <w:r>
        <w:rPr>
          <w:rFonts w:asciiTheme="minorHAnsi" w:hAnsiTheme="minorHAnsi" w:cstheme="minorHAnsi"/>
          <w:color w:val="0070C0"/>
        </w:rPr>
        <w:t xml:space="preserve"> </w:t>
      </w:r>
      <w:r w:rsidRPr="00CF58ED">
        <w:rPr>
          <w:rFonts w:asciiTheme="minorHAnsi" w:hAnsiTheme="minorHAnsi" w:cstheme="minorHAnsi"/>
          <w:color w:val="000000" w:themeColor="text1"/>
        </w:rPr>
        <w:t xml:space="preserve">claim that </w:t>
      </w:r>
      <w:r>
        <w:rPr>
          <w:rFonts w:asciiTheme="minorHAnsi" w:hAnsiTheme="minorHAnsi" w:cstheme="minorHAnsi"/>
          <w:color w:val="000000" w:themeColor="text1"/>
        </w:rPr>
        <w:t>t</w:t>
      </w:r>
      <w:r w:rsidRPr="00CF58ED">
        <w:rPr>
          <w:rFonts w:asciiTheme="minorHAnsi" w:hAnsiTheme="minorHAnsi" w:cstheme="minorHAnsi"/>
          <w:color w:val="000000" w:themeColor="text1"/>
        </w:rPr>
        <w:t>he strategic relationship between a firm and its strategic partner, regardless of the size of the organisation, is strengthened when both partners conduct supplier evaluations to help plan and manage operations.</w:t>
      </w:r>
      <w:r>
        <w:rPr>
          <w:rFonts w:asciiTheme="minorHAnsi" w:hAnsiTheme="minorHAnsi" w:cstheme="minorHAnsi"/>
          <w:color w:val="000000" w:themeColor="text1"/>
        </w:rPr>
        <w:t xml:space="preserve"> </w:t>
      </w:r>
    </w:p>
    <w:p w14:paraId="06CAC71C" w14:textId="1D271595" w:rsidR="00CF58ED" w:rsidRPr="00CF58ED" w:rsidRDefault="00CF58ED" w:rsidP="00CF58ED">
      <w:pPr>
        <w:spacing w:line="360" w:lineRule="auto"/>
        <w:rPr>
          <w:rFonts w:asciiTheme="minorHAnsi" w:hAnsiTheme="minorHAnsi" w:cstheme="minorHAnsi"/>
          <w:b/>
          <w:bCs/>
        </w:rPr>
      </w:pPr>
      <w:r>
        <w:rPr>
          <w:rFonts w:asciiTheme="minorHAnsi" w:hAnsiTheme="minorHAnsi" w:cstheme="minorHAnsi"/>
          <w:color w:val="000000" w:themeColor="text1"/>
        </w:rPr>
        <w:t xml:space="preserve">Another critical component of supplier appraisal is due diligence. It is usually performed by an experienced authority </w:t>
      </w:r>
      <w:r w:rsidRPr="00CF58ED">
        <w:rPr>
          <w:rFonts w:asciiTheme="minorHAnsi" w:hAnsiTheme="minorHAnsi" w:cstheme="minorHAnsi"/>
          <w:color w:val="000000" w:themeColor="text1"/>
        </w:rPr>
        <w:t>to determine whether a supplier is authentic, capable, financially sustainable, possesses the necessary authority, and possesses a good reputation and integrity.</w:t>
      </w:r>
      <w:r>
        <w:rPr>
          <w:rFonts w:asciiTheme="minorHAnsi" w:hAnsiTheme="minorHAnsi" w:cstheme="minorHAnsi"/>
          <w:color w:val="000000" w:themeColor="text1"/>
        </w:rPr>
        <w:t xml:space="preserve"> This is typically undertaken to a</w:t>
      </w:r>
      <w:r w:rsidRPr="00CF58ED">
        <w:rPr>
          <w:rFonts w:asciiTheme="minorHAnsi" w:hAnsiTheme="minorHAnsi" w:cstheme="minorHAnsi"/>
          <w:color w:val="000000" w:themeColor="text1"/>
        </w:rPr>
        <w:t>scertain that the supplier's information is current.</w:t>
      </w:r>
      <w:r>
        <w:rPr>
          <w:rFonts w:asciiTheme="minorHAnsi" w:hAnsiTheme="minorHAnsi" w:cstheme="minorHAnsi"/>
          <w:color w:val="000000" w:themeColor="text1"/>
        </w:rPr>
        <w:t xml:space="preserve"> </w:t>
      </w:r>
      <w:r w:rsidRPr="00CF58ED">
        <w:rPr>
          <w:rFonts w:asciiTheme="minorHAnsi" w:hAnsiTheme="minorHAnsi" w:cstheme="minorHAnsi"/>
          <w:color w:val="0070C0"/>
        </w:rPr>
        <w:t>(Mutiso and Ochiri, 2019)</w:t>
      </w:r>
    </w:p>
    <w:p w14:paraId="115FC2C2" w14:textId="20B19E7C" w:rsid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rPr>
        <w:t>Auditing is still one of the most popular ways to learn about a company's supply chain. However, while audits aren't always ideal for monitoring suppliers, they may still serve as a useful tool for building stronger relationships with them.</w:t>
      </w:r>
      <w:r>
        <w:rPr>
          <w:rFonts w:asciiTheme="minorHAnsi" w:hAnsiTheme="minorHAnsi" w:cstheme="minorHAnsi"/>
        </w:rPr>
        <w:t xml:space="preserve"> Hart </w:t>
      </w:r>
      <w:r w:rsidRPr="00CF58ED">
        <w:rPr>
          <w:rFonts w:asciiTheme="minorHAnsi" w:hAnsiTheme="minorHAnsi" w:cstheme="minorHAnsi"/>
          <w:color w:val="0070C0"/>
        </w:rPr>
        <w:t xml:space="preserve">(2021) </w:t>
      </w:r>
      <w:r>
        <w:rPr>
          <w:rFonts w:asciiTheme="minorHAnsi" w:hAnsiTheme="minorHAnsi" w:cstheme="minorHAnsi"/>
          <w:color w:val="000000" w:themeColor="text1"/>
        </w:rPr>
        <w:t xml:space="preserve">sustains the idea that the company you use to conduct the audits and the style of audits are the ones that will </w:t>
      </w:r>
      <w:r>
        <w:rPr>
          <w:rFonts w:asciiTheme="minorHAnsi" w:hAnsiTheme="minorHAnsi" w:cstheme="minorHAnsi"/>
          <w:color w:val="000000" w:themeColor="text1"/>
        </w:rPr>
        <w:lastRenderedPageBreak/>
        <w:t xml:space="preserve">really matter the most and will be the ones who will generate the most straightforward results. </w:t>
      </w:r>
    </w:p>
    <w:p w14:paraId="2FC33532" w14:textId="061AB900" w:rsidR="00CF58ED" w:rsidRDefault="00CF58ED" w:rsidP="00CF58ED">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The researcher considers that a fundamental factor that contributes to the overall supplier appraisal is access to leadersh</w:t>
      </w:r>
      <w:r w:rsidRPr="00CF58ED">
        <w:rPr>
          <w:rFonts w:asciiTheme="minorHAnsi" w:hAnsiTheme="minorHAnsi" w:cstheme="minorHAnsi"/>
          <w:color w:val="000000" w:themeColor="text1"/>
        </w:rPr>
        <w:t xml:space="preserve">ip. This must be an ongoing process and applicable across all departments. Patchett </w:t>
      </w:r>
      <w:r w:rsidRPr="00CF58ED">
        <w:rPr>
          <w:rFonts w:asciiTheme="minorHAnsi" w:hAnsiTheme="minorHAnsi" w:cstheme="minorHAnsi"/>
          <w:color w:val="0070C0"/>
        </w:rPr>
        <w:t xml:space="preserve">(2020) </w:t>
      </w:r>
      <w:r>
        <w:rPr>
          <w:rFonts w:asciiTheme="minorHAnsi" w:hAnsiTheme="minorHAnsi" w:cstheme="minorHAnsi"/>
          <w:color w:val="000000" w:themeColor="text1"/>
        </w:rPr>
        <w:t xml:space="preserve">understands the importance of performance reports and management meetings, but once in a while these consultations must include high-ranking leaders in order to discuss matters of the utmost importance. </w:t>
      </w:r>
    </w:p>
    <w:p w14:paraId="4A37EB19" w14:textId="5B441194"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In the supplier appraisal process an interesting element is embodied by communication. </w:t>
      </w:r>
      <w:r w:rsidRPr="00CF58ED">
        <w:rPr>
          <w:rFonts w:asciiTheme="minorHAnsi" w:hAnsiTheme="minorHAnsi" w:cstheme="minorHAnsi"/>
          <w:color w:val="000000" w:themeColor="text1"/>
        </w:rPr>
        <w:t xml:space="preserve">First and foremost, communication must be concise and precise, eliminating superfluous information and using units of measure that are compatible with industry standards. procuring organisations are now obligated to analyse why the buyer and supplier select a certain communication mode in the procurement process. Increased supplier confidence and trust levels will lead to improved performance, generating a more positive working atmosphere. </w:t>
      </w:r>
      <w:r w:rsidRPr="00CF58ED">
        <w:rPr>
          <w:rFonts w:asciiTheme="minorHAnsi" w:hAnsiTheme="minorHAnsi" w:cstheme="minorHAnsi"/>
          <w:color w:val="0070C0"/>
        </w:rPr>
        <w:t>(Mutai, 2016)</w:t>
      </w:r>
    </w:p>
    <w:p w14:paraId="5D635187" w14:textId="0E08F7AA"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Due to the great importance of sustainability within the supply chain, a key element in the supplier appraisal process is strategic sourcing. In other words, it is important to know where your business partners are procuring their raw materials from, if they protect the environment and if they commit to reduce waste that could harm the environment, or if they support local communities to grow by paying them fair wages to sustain continuous development. </w:t>
      </w:r>
      <w:r w:rsidRPr="00CF58ED">
        <w:rPr>
          <w:rFonts w:asciiTheme="minorHAnsi" w:hAnsiTheme="minorHAnsi" w:cstheme="minorHAnsi"/>
          <w:color w:val="0070C0"/>
        </w:rPr>
        <w:t xml:space="preserve">(Buist, 2019) </w:t>
      </w:r>
    </w:p>
    <w:p w14:paraId="5C25CAF1" w14:textId="05D5FBC1" w:rsidR="00CF58ED" w:rsidRDefault="00CF58ED" w:rsidP="00CF58ED">
      <w:pPr>
        <w:spacing w:line="360" w:lineRule="auto"/>
        <w:rPr>
          <w:rFonts w:asciiTheme="minorHAnsi" w:hAnsiTheme="minorHAnsi" w:cstheme="minorHAnsi"/>
          <w:color w:val="0070C0"/>
        </w:rPr>
      </w:pPr>
      <w:r>
        <w:rPr>
          <w:rFonts w:asciiTheme="minorHAnsi" w:hAnsiTheme="minorHAnsi" w:cstheme="minorHAnsi"/>
          <w:color w:val="000000" w:themeColor="text1"/>
        </w:rPr>
        <w:t xml:space="preserve">Human rights and is an area where large companies should do more to tackle slavery, poverty and poor working conditions. This area must be taken into consideration when conducting the supplier appraisal process. </w:t>
      </w:r>
      <w:r w:rsidRPr="00CF58ED">
        <w:rPr>
          <w:rFonts w:asciiTheme="minorHAnsi" w:hAnsiTheme="minorHAnsi" w:cstheme="minorHAnsi"/>
          <w:color w:val="000000" w:themeColor="text1"/>
        </w:rPr>
        <w:t>Three hundred and thirty-four companies from all around Europe were polled on the legal framework that governs human rights enterprises. The survey found that more than a third of the companies polled had implemented due diligence methods that took human rights and the environment into account. Only a majority of those conducting due diligence acknowledged to doing so only with top-tier suppliers. Others performed due diligence in certain areas.</w:t>
      </w:r>
      <w:r>
        <w:rPr>
          <w:rFonts w:asciiTheme="minorHAnsi" w:hAnsiTheme="minorHAnsi" w:cstheme="minorHAnsi"/>
          <w:color w:val="000000" w:themeColor="text1"/>
        </w:rPr>
        <w:t xml:space="preserve"> </w:t>
      </w:r>
      <w:r w:rsidRPr="00CF58ED">
        <w:rPr>
          <w:rFonts w:asciiTheme="minorHAnsi" w:hAnsiTheme="minorHAnsi" w:cstheme="minorHAnsi"/>
          <w:color w:val="0070C0"/>
        </w:rPr>
        <w:t>(Crush, 2020)</w:t>
      </w:r>
    </w:p>
    <w:p w14:paraId="7D27DC4C" w14:textId="71D4BD58" w:rsidR="00CF58ED" w:rsidRPr="00CF58ED" w:rsidRDefault="00CF58ED" w:rsidP="00CF58ED">
      <w:p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Knowing who and where your suppliers are is always a smart idea. Mission crucial in the present economic situation necessitates a thorough mapping of your activities down to the lowest level. Customer-supplier collaboration is a hot topic in procurement. Now is the time </w:t>
      </w:r>
      <w:r w:rsidRPr="00CF58ED">
        <w:rPr>
          <w:rFonts w:asciiTheme="minorHAnsi" w:hAnsiTheme="minorHAnsi" w:cstheme="minorHAnsi"/>
          <w:color w:val="000000" w:themeColor="text1"/>
        </w:rPr>
        <w:lastRenderedPageBreak/>
        <w:t>to show off what you've got. Identify potential contract bottlenecks, new tariffs, and the resulting impact on profit margins.</w:t>
      </w:r>
      <w:r>
        <w:rPr>
          <w:rFonts w:asciiTheme="minorHAnsi" w:hAnsiTheme="minorHAnsi" w:cstheme="minorHAnsi"/>
          <w:color w:val="000000" w:themeColor="text1"/>
        </w:rPr>
        <w:t xml:space="preserve"> </w:t>
      </w:r>
      <w:r w:rsidRPr="00CF58ED">
        <w:rPr>
          <w:rFonts w:asciiTheme="minorHAnsi" w:hAnsiTheme="minorHAnsi" w:cstheme="minorHAnsi"/>
          <w:color w:val="0070C0"/>
        </w:rPr>
        <w:t>(Tyler, 2020)</w:t>
      </w:r>
    </w:p>
    <w:p w14:paraId="20C02EB6" w14:textId="77777777" w:rsidR="00CF58ED" w:rsidRPr="00CF58ED" w:rsidRDefault="00CF58ED" w:rsidP="00CF58ED">
      <w:pPr>
        <w:spacing w:line="360" w:lineRule="auto"/>
        <w:rPr>
          <w:rFonts w:asciiTheme="minorHAnsi" w:hAnsiTheme="minorHAnsi" w:cstheme="minorHAnsi"/>
          <w:color w:val="000000" w:themeColor="text1"/>
        </w:rPr>
      </w:pPr>
    </w:p>
    <w:p w14:paraId="424FD671" w14:textId="0BE278E2" w:rsidR="00CF58ED" w:rsidRDefault="00CF58ED" w:rsidP="00CF58ED">
      <w:pPr>
        <w:spacing w:line="360" w:lineRule="auto"/>
        <w:rPr>
          <w:rFonts w:asciiTheme="minorHAnsi" w:hAnsiTheme="minorHAnsi" w:cstheme="minorHAnsi"/>
        </w:rPr>
      </w:pPr>
    </w:p>
    <w:p w14:paraId="0A4422B0" w14:textId="72F37055" w:rsidR="00CF58ED" w:rsidRDefault="00CF58ED" w:rsidP="00CF58ED">
      <w:pPr>
        <w:spacing w:line="360" w:lineRule="auto"/>
        <w:rPr>
          <w:rFonts w:asciiTheme="minorHAnsi" w:hAnsiTheme="minorHAnsi" w:cstheme="minorHAnsi"/>
        </w:rPr>
      </w:pPr>
    </w:p>
    <w:p w14:paraId="00296824" w14:textId="4F8CD8E9" w:rsidR="00CF58ED" w:rsidRDefault="00CF58ED" w:rsidP="00CF58ED">
      <w:pPr>
        <w:spacing w:line="360" w:lineRule="auto"/>
        <w:rPr>
          <w:rFonts w:asciiTheme="minorHAnsi" w:hAnsiTheme="minorHAnsi" w:cstheme="minorHAnsi"/>
        </w:rPr>
      </w:pPr>
    </w:p>
    <w:p w14:paraId="696A4673" w14:textId="2D1D8FE8" w:rsidR="00CF58ED" w:rsidRDefault="00CF58ED" w:rsidP="00CF58ED">
      <w:pPr>
        <w:spacing w:line="360" w:lineRule="auto"/>
        <w:rPr>
          <w:rFonts w:asciiTheme="minorHAnsi" w:hAnsiTheme="minorHAnsi" w:cstheme="minorHAnsi"/>
        </w:rPr>
      </w:pPr>
    </w:p>
    <w:p w14:paraId="622680DC" w14:textId="7A2A5FFE" w:rsidR="00CF58ED" w:rsidRDefault="00CF58ED" w:rsidP="00CF58ED">
      <w:pPr>
        <w:spacing w:line="360" w:lineRule="auto"/>
        <w:rPr>
          <w:rFonts w:asciiTheme="minorHAnsi" w:hAnsiTheme="minorHAnsi" w:cstheme="minorHAnsi"/>
        </w:rPr>
      </w:pPr>
    </w:p>
    <w:p w14:paraId="46B19EF1" w14:textId="272B4D35" w:rsidR="00CF58ED" w:rsidRDefault="00CF58ED" w:rsidP="00CF58ED">
      <w:pPr>
        <w:spacing w:line="360" w:lineRule="auto"/>
        <w:rPr>
          <w:rFonts w:asciiTheme="minorHAnsi" w:hAnsiTheme="minorHAnsi" w:cstheme="minorHAnsi"/>
        </w:rPr>
      </w:pPr>
    </w:p>
    <w:p w14:paraId="433DB2EF" w14:textId="31065C02" w:rsidR="00CF58ED" w:rsidRDefault="00CF58ED" w:rsidP="00CF58ED">
      <w:pPr>
        <w:spacing w:line="360" w:lineRule="auto"/>
        <w:rPr>
          <w:rFonts w:asciiTheme="minorHAnsi" w:hAnsiTheme="minorHAnsi" w:cstheme="minorHAnsi"/>
        </w:rPr>
      </w:pPr>
    </w:p>
    <w:p w14:paraId="5C0482C1" w14:textId="341911A3" w:rsidR="00CF58ED" w:rsidRDefault="00CF58ED" w:rsidP="00CF58ED">
      <w:pPr>
        <w:spacing w:line="360" w:lineRule="auto"/>
        <w:rPr>
          <w:rFonts w:asciiTheme="minorHAnsi" w:hAnsiTheme="minorHAnsi" w:cstheme="minorHAnsi"/>
        </w:rPr>
      </w:pPr>
    </w:p>
    <w:p w14:paraId="40C666CB" w14:textId="166245A7" w:rsidR="00CF58ED" w:rsidRDefault="00CF58ED" w:rsidP="00CF58ED">
      <w:pPr>
        <w:spacing w:line="360" w:lineRule="auto"/>
        <w:rPr>
          <w:rFonts w:asciiTheme="minorHAnsi" w:hAnsiTheme="minorHAnsi" w:cstheme="minorHAnsi"/>
        </w:rPr>
      </w:pPr>
    </w:p>
    <w:p w14:paraId="5316CB38" w14:textId="2C7EFBFC" w:rsidR="00CF58ED" w:rsidRDefault="00CF58ED" w:rsidP="00CF58ED">
      <w:pPr>
        <w:spacing w:line="360" w:lineRule="auto"/>
        <w:rPr>
          <w:rFonts w:asciiTheme="minorHAnsi" w:hAnsiTheme="minorHAnsi" w:cstheme="minorHAnsi"/>
        </w:rPr>
      </w:pPr>
    </w:p>
    <w:p w14:paraId="1E95C7D1" w14:textId="731F6B86" w:rsidR="00CF58ED" w:rsidRDefault="00CF58ED" w:rsidP="00CF58ED">
      <w:pPr>
        <w:spacing w:line="360" w:lineRule="auto"/>
        <w:rPr>
          <w:rFonts w:asciiTheme="minorHAnsi" w:hAnsiTheme="minorHAnsi" w:cstheme="minorHAnsi"/>
        </w:rPr>
      </w:pPr>
    </w:p>
    <w:p w14:paraId="176CE247" w14:textId="4731752A" w:rsidR="00CF58ED" w:rsidRDefault="00CF58ED" w:rsidP="00CF58ED">
      <w:pPr>
        <w:spacing w:line="360" w:lineRule="auto"/>
        <w:rPr>
          <w:rFonts w:asciiTheme="minorHAnsi" w:hAnsiTheme="minorHAnsi" w:cstheme="minorHAnsi"/>
        </w:rPr>
      </w:pPr>
    </w:p>
    <w:p w14:paraId="4F68AF03" w14:textId="7E0EEF5C" w:rsidR="00CF58ED" w:rsidRDefault="00CF58ED" w:rsidP="00CF58ED">
      <w:pPr>
        <w:spacing w:line="360" w:lineRule="auto"/>
        <w:rPr>
          <w:rFonts w:asciiTheme="minorHAnsi" w:hAnsiTheme="minorHAnsi" w:cstheme="minorHAnsi"/>
        </w:rPr>
      </w:pPr>
    </w:p>
    <w:p w14:paraId="1E01A47E" w14:textId="40104A38" w:rsidR="00CF58ED" w:rsidRDefault="00CF58ED" w:rsidP="00CF58ED">
      <w:pPr>
        <w:spacing w:line="360" w:lineRule="auto"/>
        <w:rPr>
          <w:rFonts w:asciiTheme="minorHAnsi" w:hAnsiTheme="minorHAnsi" w:cstheme="minorHAnsi"/>
        </w:rPr>
      </w:pPr>
    </w:p>
    <w:p w14:paraId="4BFC1505" w14:textId="20BF3005" w:rsidR="00CF58ED" w:rsidRDefault="00CF58ED" w:rsidP="00CF58ED">
      <w:pPr>
        <w:spacing w:line="360" w:lineRule="auto"/>
        <w:rPr>
          <w:rFonts w:asciiTheme="minorHAnsi" w:hAnsiTheme="minorHAnsi" w:cstheme="minorHAnsi"/>
        </w:rPr>
      </w:pPr>
    </w:p>
    <w:p w14:paraId="61A1E311" w14:textId="1A90E64F" w:rsidR="00CF58ED" w:rsidRDefault="00CF58ED" w:rsidP="00CF58ED">
      <w:pPr>
        <w:spacing w:line="360" w:lineRule="auto"/>
        <w:rPr>
          <w:rFonts w:asciiTheme="minorHAnsi" w:hAnsiTheme="minorHAnsi" w:cstheme="minorHAnsi"/>
        </w:rPr>
      </w:pPr>
    </w:p>
    <w:p w14:paraId="43E02417" w14:textId="08D55376" w:rsidR="00CF58ED" w:rsidRDefault="00CF58ED" w:rsidP="00CF58ED">
      <w:pPr>
        <w:spacing w:line="360" w:lineRule="auto"/>
        <w:rPr>
          <w:rFonts w:asciiTheme="minorHAnsi" w:hAnsiTheme="minorHAnsi" w:cstheme="minorHAnsi"/>
        </w:rPr>
      </w:pPr>
    </w:p>
    <w:p w14:paraId="7AEF85D1" w14:textId="51EDACB8" w:rsidR="00CF58ED" w:rsidRDefault="00CF58ED" w:rsidP="00CF58ED">
      <w:pPr>
        <w:spacing w:line="360" w:lineRule="auto"/>
        <w:rPr>
          <w:rFonts w:asciiTheme="minorHAnsi" w:hAnsiTheme="minorHAnsi" w:cstheme="minorHAnsi"/>
        </w:rPr>
      </w:pPr>
    </w:p>
    <w:p w14:paraId="2607EA2F" w14:textId="18AFD0AA" w:rsidR="00CF58ED" w:rsidRDefault="00CF58ED" w:rsidP="00CF58ED">
      <w:pPr>
        <w:spacing w:line="360" w:lineRule="auto"/>
        <w:rPr>
          <w:rFonts w:asciiTheme="minorHAnsi" w:hAnsiTheme="minorHAnsi" w:cstheme="minorHAnsi"/>
        </w:rPr>
      </w:pPr>
    </w:p>
    <w:p w14:paraId="414C5296" w14:textId="28090A07" w:rsidR="00CF58ED" w:rsidRDefault="00CF58ED" w:rsidP="00CF58ED">
      <w:pPr>
        <w:spacing w:line="360" w:lineRule="auto"/>
        <w:rPr>
          <w:rFonts w:asciiTheme="minorHAnsi" w:hAnsiTheme="minorHAnsi" w:cstheme="minorHAnsi"/>
        </w:rPr>
      </w:pPr>
    </w:p>
    <w:p w14:paraId="7DD27798" w14:textId="0E43063F" w:rsidR="00CF58ED" w:rsidRDefault="00CF58ED" w:rsidP="00CF58ED">
      <w:pPr>
        <w:spacing w:line="360" w:lineRule="auto"/>
        <w:rPr>
          <w:rFonts w:asciiTheme="minorHAnsi" w:hAnsiTheme="minorHAnsi" w:cstheme="minorHAnsi"/>
        </w:rPr>
      </w:pPr>
    </w:p>
    <w:p w14:paraId="3C535476" w14:textId="63DC07D6" w:rsidR="00CF58ED" w:rsidRDefault="00CF58ED" w:rsidP="00CF58ED">
      <w:pPr>
        <w:spacing w:line="360" w:lineRule="auto"/>
        <w:rPr>
          <w:rFonts w:asciiTheme="minorHAnsi" w:hAnsiTheme="minorHAnsi" w:cstheme="minorHAnsi"/>
        </w:rPr>
      </w:pPr>
    </w:p>
    <w:p w14:paraId="0B2575D6" w14:textId="77777777" w:rsidR="00CF58ED" w:rsidRPr="00CF58ED" w:rsidRDefault="00CF58ED" w:rsidP="00CF58ED">
      <w:pPr>
        <w:spacing w:line="360" w:lineRule="auto"/>
        <w:rPr>
          <w:rFonts w:asciiTheme="minorHAnsi" w:hAnsiTheme="minorHAnsi" w:cstheme="minorHAnsi"/>
        </w:rPr>
      </w:pPr>
    </w:p>
    <w:p w14:paraId="38DA76AB" w14:textId="6B1E3660" w:rsidR="00360C3A" w:rsidRDefault="00360C3A" w:rsidP="00CF58ED">
      <w:pPr>
        <w:spacing w:line="360" w:lineRule="auto"/>
        <w:rPr>
          <w:rFonts w:asciiTheme="minorHAnsi" w:hAnsiTheme="minorHAnsi" w:cstheme="minorHAnsi"/>
        </w:rPr>
      </w:pPr>
    </w:p>
    <w:p w14:paraId="0118E9DB" w14:textId="33D0161B" w:rsidR="00CF58ED" w:rsidRDefault="00CF58ED" w:rsidP="00CF58ED">
      <w:pPr>
        <w:spacing w:line="360" w:lineRule="auto"/>
        <w:rPr>
          <w:rFonts w:asciiTheme="minorHAnsi" w:hAnsiTheme="minorHAnsi" w:cstheme="minorHAnsi"/>
        </w:rPr>
      </w:pPr>
    </w:p>
    <w:p w14:paraId="50ECCF58" w14:textId="27DB3787" w:rsidR="00CF58ED" w:rsidRDefault="00CF58ED" w:rsidP="00CF58ED">
      <w:pPr>
        <w:spacing w:line="360" w:lineRule="auto"/>
        <w:rPr>
          <w:rFonts w:asciiTheme="minorHAnsi" w:hAnsiTheme="minorHAnsi" w:cstheme="minorHAnsi"/>
        </w:rPr>
      </w:pPr>
    </w:p>
    <w:p w14:paraId="1FEDFC07" w14:textId="07EA650C" w:rsidR="00CF58ED" w:rsidRDefault="00CF58ED" w:rsidP="00CF58ED">
      <w:pPr>
        <w:spacing w:line="360" w:lineRule="auto"/>
        <w:rPr>
          <w:rFonts w:asciiTheme="minorHAnsi" w:hAnsiTheme="minorHAnsi" w:cstheme="minorHAnsi"/>
        </w:rPr>
      </w:pPr>
    </w:p>
    <w:p w14:paraId="4633424B" w14:textId="77777777" w:rsidR="00CF58ED" w:rsidRPr="00CF58ED" w:rsidRDefault="00CF58ED" w:rsidP="00CF58ED">
      <w:pPr>
        <w:spacing w:line="360" w:lineRule="auto"/>
        <w:rPr>
          <w:rFonts w:asciiTheme="minorHAnsi" w:hAnsiTheme="minorHAnsi" w:cstheme="minorHAnsi"/>
        </w:rPr>
      </w:pPr>
    </w:p>
    <w:p w14:paraId="3CDF6628" w14:textId="0B6377A9" w:rsidR="0069495E" w:rsidRPr="003C54C4" w:rsidRDefault="0069495E" w:rsidP="003C54C4">
      <w:pPr>
        <w:pStyle w:val="ListParagraph"/>
        <w:numPr>
          <w:ilvl w:val="0"/>
          <w:numId w:val="6"/>
        </w:numPr>
        <w:spacing w:line="360" w:lineRule="auto"/>
        <w:rPr>
          <w:rFonts w:asciiTheme="majorHAnsi" w:hAnsiTheme="majorHAnsi" w:cstheme="majorHAnsi"/>
          <w:sz w:val="36"/>
          <w:szCs w:val="36"/>
        </w:rPr>
      </w:pPr>
      <w:r w:rsidRPr="003C54C4">
        <w:rPr>
          <w:rFonts w:asciiTheme="majorHAnsi" w:hAnsiTheme="majorHAnsi" w:cstheme="majorHAnsi"/>
          <w:sz w:val="36"/>
          <w:szCs w:val="36"/>
        </w:rPr>
        <w:lastRenderedPageBreak/>
        <w:t>Recommendations</w:t>
      </w:r>
    </w:p>
    <w:p w14:paraId="26221A64" w14:textId="4C011DC3" w:rsidR="00360C3A" w:rsidRDefault="00CF58ED" w:rsidP="00CF58ED">
      <w:pPr>
        <w:spacing w:line="360" w:lineRule="auto"/>
        <w:rPr>
          <w:rFonts w:asciiTheme="minorHAnsi" w:hAnsiTheme="minorHAnsi" w:cstheme="minorHAnsi"/>
        </w:rPr>
      </w:pPr>
      <w:r>
        <w:rPr>
          <w:rFonts w:asciiTheme="minorHAnsi" w:hAnsiTheme="minorHAnsi" w:cstheme="minorHAnsi"/>
        </w:rPr>
        <w:t xml:space="preserve">This study compared the risks and vulnerabilities of the food supply chain in the retail industry, mainly based on the trade of food and essential goods. The Covid-19 pandemic and Brexit have had a devastating impact on business operations, and some companies have been also closed due to these unforeseen events. In order to tackle the occurring vulnerabilities, the author compiled a series of recommendations that would ensure the survival of the business. </w:t>
      </w:r>
    </w:p>
    <w:p w14:paraId="5A2D7C13" w14:textId="013C6598" w:rsidR="00CF58ED" w:rsidRDefault="00CF58ED" w:rsidP="00CF58ED">
      <w:pPr>
        <w:spacing w:line="360" w:lineRule="auto"/>
        <w:rPr>
          <w:rFonts w:asciiTheme="minorHAnsi" w:hAnsiTheme="minorHAnsi" w:cstheme="minorHAnsi"/>
        </w:rPr>
      </w:pPr>
      <w:r>
        <w:rPr>
          <w:rFonts w:asciiTheme="minorHAnsi" w:hAnsiTheme="minorHAnsi" w:cstheme="minorHAnsi"/>
        </w:rPr>
        <w:t>To overcome the drivers’ shortage companies, government and local authorities must implement new strategies to retain the existing workforce, as well as changing legal base to attract and encourage high-school students to embrace careers as HGV drivers. For the United Kingdom, authorities have relaxed immigration conditions to ease the access to the national labour market for foreign drivers, mainly for Bulgarians and Romanians.</w:t>
      </w:r>
    </w:p>
    <w:p w14:paraId="68A0E5A8" w14:textId="77777777" w:rsidR="00CF58ED" w:rsidRDefault="00CF58ED" w:rsidP="00CF58ED">
      <w:pPr>
        <w:spacing w:line="360" w:lineRule="auto"/>
        <w:rPr>
          <w:rFonts w:asciiTheme="minorHAnsi" w:hAnsiTheme="minorHAnsi" w:cstheme="minorHAnsi"/>
        </w:rPr>
      </w:pPr>
      <w:r>
        <w:rPr>
          <w:rFonts w:asciiTheme="minorHAnsi" w:hAnsiTheme="minorHAnsi" w:cstheme="minorHAnsi"/>
        </w:rPr>
        <w:t xml:space="preserve">Regarding the risks generated by the lockdowns imposed by the pandemic, British retailers have doubled their fleet capacity due to the soaring demands in the online shopping. These measures have been implemented as a result of the changes in customer preferences, who considered online shopping as a safer option to in-store shopping. </w:t>
      </w:r>
    </w:p>
    <w:p w14:paraId="05123451" w14:textId="2931FC03" w:rsidR="00CF58ED" w:rsidRPr="00CF58ED" w:rsidRDefault="00CF58ED" w:rsidP="00CF58ED">
      <w:pPr>
        <w:spacing w:line="360" w:lineRule="auto"/>
        <w:rPr>
          <w:rFonts w:asciiTheme="minorHAnsi" w:hAnsiTheme="minorHAnsi" w:cstheme="minorHAnsi"/>
        </w:rPr>
      </w:pPr>
      <w:r>
        <w:rPr>
          <w:rFonts w:asciiTheme="minorHAnsi" w:hAnsiTheme="minorHAnsi" w:cstheme="minorHAnsi"/>
        </w:rPr>
        <w:t xml:space="preserve"> </w:t>
      </w:r>
      <w:r w:rsidRPr="00CF58ED">
        <w:rPr>
          <w:rFonts w:asciiTheme="minorHAnsi" w:hAnsiTheme="minorHAnsi" w:cstheme="minorHAnsi"/>
        </w:rPr>
        <w:t xml:space="preserve">In addition, the study found that supply networks need to be restructured in the post-COVID-19 environment. European businesses, according to some, must reconsider, improve, and adjust their dealings with China. Persistence and good communication, as well as evidence-based procedures, are essential to achieving the best possible outcomes. European firms have the chance to strengthen their supply chains by adhering to best practises in the industry, highlighting the need of guaranteeing flexibility, agility and transparency. </w:t>
      </w:r>
    </w:p>
    <w:p w14:paraId="14DC8670" w14:textId="77777777" w:rsidR="00CF58ED" w:rsidRDefault="00CF58ED" w:rsidP="003C54C4">
      <w:pPr>
        <w:spacing w:line="360" w:lineRule="auto"/>
        <w:rPr>
          <w:rFonts w:asciiTheme="majorHAnsi" w:hAnsiTheme="majorHAnsi" w:cstheme="majorHAnsi"/>
          <w:sz w:val="36"/>
          <w:szCs w:val="36"/>
        </w:rPr>
      </w:pPr>
    </w:p>
    <w:p w14:paraId="3AD4436C" w14:textId="77777777" w:rsidR="00CF58ED" w:rsidRDefault="00CF58ED" w:rsidP="003C54C4">
      <w:pPr>
        <w:spacing w:line="360" w:lineRule="auto"/>
        <w:rPr>
          <w:rFonts w:asciiTheme="majorHAnsi" w:hAnsiTheme="majorHAnsi" w:cstheme="majorHAnsi"/>
          <w:sz w:val="36"/>
          <w:szCs w:val="36"/>
        </w:rPr>
      </w:pPr>
    </w:p>
    <w:p w14:paraId="26E94C63" w14:textId="77777777" w:rsidR="00CF58ED" w:rsidRDefault="00CF58ED" w:rsidP="003C54C4">
      <w:pPr>
        <w:spacing w:line="360" w:lineRule="auto"/>
        <w:rPr>
          <w:rFonts w:asciiTheme="majorHAnsi" w:hAnsiTheme="majorHAnsi" w:cstheme="majorHAnsi"/>
          <w:sz w:val="36"/>
          <w:szCs w:val="36"/>
        </w:rPr>
      </w:pPr>
    </w:p>
    <w:p w14:paraId="0B919123" w14:textId="77777777" w:rsidR="00CF58ED" w:rsidRDefault="00CF58ED" w:rsidP="003C54C4">
      <w:pPr>
        <w:spacing w:line="360" w:lineRule="auto"/>
        <w:rPr>
          <w:rFonts w:asciiTheme="majorHAnsi" w:hAnsiTheme="majorHAnsi" w:cstheme="majorHAnsi"/>
          <w:sz w:val="36"/>
          <w:szCs w:val="36"/>
        </w:rPr>
      </w:pPr>
    </w:p>
    <w:p w14:paraId="611F565B" w14:textId="77777777" w:rsidR="00CF58ED" w:rsidRDefault="00CF58ED" w:rsidP="003C54C4">
      <w:pPr>
        <w:spacing w:line="360" w:lineRule="auto"/>
        <w:rPr>
          <w:rFonts w:asciiTheme="majorHAnsi" w:hAnsiTheme="majorHAnsi" w:cstheme="majorHAnsi"/>
          <w:sz w:val="36"/>
          <w:szCs w:val="36"/>
        </w:rPr>
      </w:pPr>
    </w:p>
    <w:p w14:paraId="0DB3A98C" w14:textId="5D38A503" w:rsidR="00643BCE" w:rsidRPr="003C54C4" w:rsidRDefault="003C54C4" w:rsidP="003C54C4">
      <w:pPr>
        <w:spacing w:line="360" w:lineRule="auto"/>
        <w:rPr>
          <w:rFonts w:asciiTheme="majorHAnsi" w:hAnsiTheme="majorHAnsi" w:cstheme="majorHAnsi"/>
          <w:sz w:val="36"/>
          <w:szCs w:val="36"/>
        </w:rPr>
      </w:pPr>
      <w:r>
        <w:rPr>
          <w:rFonts w:asciiTheme="majorHAnsi" w:hAnsiTheme="majorHAnsi" w:cstheme="majorHAnsi"/>
          <w:sz w:val="36"/>
          <w:szCs w:val="36"/>
        </w:rPr>
        <w:lastRenderedPageBreak/>
        <w:t xml:space="preserve">4.0 </w:t>
      </w:r>
      <w:r w:rsidR="0069495E" w:rsidRPr="003C54C4">
        <w:rPr>
          <w:rFonts w:asciiTheme="majorHAnsi" w:hAnsiTheme="majorHAnsi" w:cstheme="majorHAnsi"/>
          <w:sz w:val="36"/>
          <w:szCs w:val="36"/>
        </w:rPr>
        <w:t>Reference list</w:t>
      </w:r>
    </w:p>
    <w:p w14:paraId="0B46A0A3" w14:textId="77777777" w:rsidR="00CF58ED" w:rsidRPr="00CF58ED" w:rsidRDefault="00CF58ED" w:rsidP="00CF58ED">
      <w:pPr>
        <w:pStyle w:val="ListParagraph"/>
        <w:spacing w:line="360" w:lineRule="auto"/>
        <w:rPr>
          <w:rFonts w:asciiTheme="minorHAnsi" w:hAnsiTheme="minorHAnsi" w:cstheme="minorHAnsi"/>
          <w:color w:val="000000" w:themeColor="text1"/>
        </w:rPr>
      </w:pPr>
    </w:p>
    <w:p w14:paraId="2F8D4A6F"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Behzadi, G., O’Sullivan, M.J. and Olsen, T.L. (2020). On metrics for supply chain resilience. </w:t>
      </w:r>
      <w:r w:rsidRPr="00CF58ED">
        <w:rPr>
          <w:rFonts w:asciiTheme="minorHAnsi" w:eastAsiaTheme="minorHAnsi" w:hAnsiTheme="minorHAnsi" w:cstheme="minorHAnsi"/>
          <w:i/>
          <w:iCs/>
          <w:color w:val="000000" w:themeColor="text1"/>
          <w:lang w:eastAsia="en-US"/>
        </w:rPr>
        <w:t>European Journal of Operational Research</w:t>
      </w:r>
      <w:r w:rsidRPr="00CF58ED">
        <w:rPr>
          <w:rFonts w:asciiTheme="minorHAnsi" w:eastAsiaTheme="minorHAnsi" w:hAnsiTheme="minorHAnsi" w:cstheme="minorHAnsi"/>
          <w:color w:val="000000" w:themeColor="text1"/>
          <w:lang w:eastAsia="en-US"/>
        </w:rPr>
        <w:t>, [online] 287(1), pp.145–158. Available at: https://www.sciencedirect.com/science/article/pii/S0377221720303933 [Accessed 5 Feb. 2022].</w:t>
      </w:r>
    </w:p>
    <w:p w14:paraId="5A6D472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Benker, B. (2020). Stockpiling as resilience: Defending and contextualising extra food procurement during lockdown. </w:t>
      </w:r>
      <w:r w:rsidRPr="00CF58ED">
        <w:rPr>
          <w:rFonts w:asciiTheme="minorHAnsi" w:hAnsiTheme="minorHAnsi" w:cstheme="minorHAnsi"/>
          <w:i/>
          <w:iCs/>
          <w:color w:val="000000" w:themeColor="text1"/>
        </w:rPr>
        <w:t>Appetite</w:t>
      </w:r>
      <w:r w:rsidRPr="00CF58ED">
        <w:rPr>
          <w:rFonts w:asciiTheme="minorHAnsi" w:hAnsiTheme="minorHAnsi" w:cstheme="minorHAnsi"/>
          <w:color w:val="000000" w:themeColor="text1"/>
        </w:rPr>
        <w:t>, [online] 156, p.104981. Available at: https://www.sciencedirect.com/science/article/pii/S0195666320316032?casa_token=btxCSPTf5_cAAAAA:QqUzDsZHz7reXFsenc59lCg4LcOPke8BZd_pzhnnJw1_EBlhNJXLaN_sPU7g14FuUQPqBFLQ7JKH [Accessed 5 Feb. 2022].</w:t>
      </w:r>
    </w:p>
    <w:p w14:paraId="2BFAB42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Bounds, A. and Elley, J. (2021). Shop owners take the wheel after UK driver shortage hits supplies. </w:t>
      </w:r>
      <w:r w:rsidRPr="00CF58ED">
        <w:rPr>
          <w:rFonts w:asciiTheme="minorHAnsi" w:eastAsiaTheme="minorHAnsi" w:hAnsiTheme="minorHAnsi" w:cstheme="minorHAnsi"/>
          <w:i/>
          <w:iCs/>
          <w:color w:val="000000" w:themeColor="text1"/>
          <w:lang w:eastAsia="en-US"/>
        </w:rPr>
        <w:t>Trade Journal</w:t>
      </w:r>
      <w:r w:rsidRPr="00CF58ED">
        <w:rPr>
          <w:rFonts w:asciiTheme="minorHAnsi" w:eastAsiaTheme="minorHAnsi" w:hAnsiTheme="minorHAnsi" w:cstheme="minorHAnsi"/>
          <w:color w:val="000000" w:themeColor="text1"/>
          <w:lang w:eastAsia="en-US"/>
        </w:rPr>
        <w:t>. [online] Available at: https://www.proquest.com/docview/2564164590/citation/3EC3400F21464755PQ/1?accountid=130472 [Accessed 5 Feb. 2022].</w:t>
      </w:r>
    </w:p>
    <w:p w14:paraId="4BDECEB4"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Brun, A., Karaosman, H. and Barresi, T. (2020). Supply Chain Collaboration for Transparency. </w:t>
      </w:r>
      <w:r w:rsidRPr="00CF58ED">
        <w:rPr>
          <w:rFonts w:asciiTheme="minorHAnsi" w:eastAsiaTheme="minorHAnsi" w:hAnsiTheme="minorHAnsi" w:cstheme="minorHAnsi"/>
          <w:i/>
          <w:iCs/>
          <w:color w:val="000000" w:themeColor="text1"/>
          <w:lang w:eastAsia="en-US"/>
        </w:rPr>
        <w:t>Sustainability</w:t>
      </w:r>
      <w:r w:rsidRPr="00CF58ED">
        <w:rPr>
          <w:rFonts w:asciiTheme="minorHAnsi" w:eastAsiaTheme="minorHAnsi" w:hAnsiTheme="minorHAnsi" w:cstheme="minorHAnsi"/>
          <w:color w:val="000000" w:themeColor="text1"/>
          <w:lang w:eastAsia="en-US"/>
        </w:rPr>
        <w:t>, [online] 12(11), p.4429. Available at: https://www.mdpi.com/2071-1050/12/11/4429 [Accessed 7 Feb. 2022].</w:t>
      </w:r>
    </w:p>
    <w:p w14:paraId="3DACBD9C"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Buist, J. (2019). Do these companies have the best procurement processes? Supply Management. 24(1), pp.34</w:t>
      </w:r>
    </w:p>
    <w:p w14:paraId="26F2EAEE"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Chen, I.J. and Kitsis, A.M. (2017). A research framework of sustainable supply chain - ProQuest. </w:t>
      </w:r>
      <w:r w:rsidRPr="00CF58ED">
        <w:rPr>
          <w:rFonts w:asciiTheme="minorHAnsi" w:eastAsiaTheme="minorHAnsi" w:hAnsiTheme="minorHAnsi" w:cstheme="minorHAnsi"/>
          <w:i/>
          <w:iCs/>
          <w:color w:val="000000" w:themeColor="text1"/>
          <w:lang w:eastAsia="en-US"/>
        </w:rPr>
        <w:t>www.proquest.com</w:t>
      </w:r>
      <w:r w:rsidRPr="00CF58ED">
        <w:rPr>
          <w:rFonts w:asciiTheme="minorHAnsi" w:eastAsiaTheme="minorHAnsi" w:hAnsiTheme="minorHAnsi" w:cstheme="minorHAnsi"/>
          <w:color w:val="000000" w:themeColor="text1"/>
          <w:lang w:eastAsia="en-US"/>
        </w:rPr>
        <w:t>, [online] pp.1454–1478. Available at: https://www.proquest.com/docview/1958170920?accountid=130472&amp;parentSessionId=nLlWRmPz4xGLQUsGjOxL%2BcQmM1M%2BCVIAWnp2nS7sXVE%3D&amp;pq-origsite=primo [Accessed 6 Feb. 2022].</w:t>
      </w:r>
    </w:p>
    <w:p w14:paraId="502B7D75"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Chowdhury, Md.T., Sarkar, A., Paul, S.K. and Moktadir, Md.A. (2020). A case study on strategies to deal with the impacts of COVID-19 pandemic in the food and beverage industry. </w:t>
      </w:r>
      <w:r w:rsidRPr="00CF58ED">
        <w:rPr>
          <w:rFonts w:asciiTheme="minorHAnsi" w:hAnsiTheme="minorHAnsi" w:cstheme="minorHAnsi"/>
          <w:i/>
          <w:iCs/>
          <w:color w:val="000000" w:themeColor="text1"/>
        </w:rPr>
        <w:t>Operations Management Research</w:t>
      </w:r>
      <w:r w:rsidRPr="00CF58ED">
        <w:rPr>
          <w:rFonts w:asciiTheme="minorHAnsi" w:hAnsiTheme="minorHAnsi" w:cstheme="minorHAnsi"/>
          <w:color w:val="000000" w:themeColor="text1"/>
        </w:rPr>
        <w:t>. [online] Available at: https://link.springer.com/article/10.1007/s12063-020-00166-9 [Accessed 4 Feb. 2022].</w:t>
      </w:r>
    </w:p>
    <w:p w14:paraId="4A26093B"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lastRenderedPageBreak/>
        <w:t>Crush, P. (2020). Firms confused over supply chain responsibilities. Supply Management. 25(3), pp.9</w:t>
      </w:r>
    </w:p>
    <w:p w14:paraId="303D0B2E"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Dannenberg, P., Fuchs, M., Riedler, T. and Wiedemann, C. (2020). Digital Transition by COVID‐19 Pandemic? The German Food Online Retail. </w:t>
      </w:r>
      <w:r w:rsidRPr="00CF58ED">
        <w:rPr>
          <w:rFonts w:asciiTheme="minorHAnsi" w:eastAsiaTheme="minorHAnsi" w:hAnsiTheme="minorHAnsi" w:cstheme="minorHAnsi"/>
          <w:i/>
          <w:iCs/>
          <w:color w:val="000000" w:themeColor="text1"/>
          <w:lang w:eastAsia="en-US"/>
        </w:rPr>
        <w:t>Tijdschrift voor economische en sociale geografie</w:t>
      </w:r>
      <w:r w:rsidRPr="00CF58ED">
        <w:rPr>
          <w:rFonts w:asciiTheme="minorHAnsi" w:eastAsiaTheme="minorHAnsi" w:hAnsiTheme="minorHAnsi" w:cstheme="minorHAnsi"/>
          <w:color w:val="000000" w:themeColor="text1"/>
          <w:lang w:eastAsia="en-US"/>
        </w:rPr>
        <w:t>, [online] 111(3), pp.543–560. Available at: https://onlinelibrary.wiley.com/doi/full/10.1111/tesg.12453 [Accessed 5 Feb. 2022].</w:t>
      </w:r>
    </w:p>
    <w:p w14:paraId="30E2A905" w14:textId="77777777" w:rsidR="00CF58ED" w:rsidRPr="00CF58ED" w:rsidRDefault="00CF58ED" w:rsidP="00CF58ED">
      <w:pPr>
        <w:pStyle w:val="ListParagraph"/>
        <w:numPr>
          <w:ilvl w:val="0"/>
          <w:numId w:val="3"/>
        </w:numPr>
        <w:spacing w:before="100" w:beforeAutospacing="1" w:after="100" w:afterAutospacing="1" w:line="360" w:lineRule="auto"/>
        <w:rPr>
          <w:rFonts w:asciiTheme="minorHAnsi" w:hAnsiTheme="minorHAnsi" w:cstheme="minorHAnsi"/>
          <w:color w:val="000000" w:themeColor="text1"/>
        </w:rPr>
      </w:pPr>
      <w:r w:rsidRPr="00CF58ED">
        <w:rPr>
          <w:rFonts w:asciiTheme="minorHAnsi" w:hAnsiTheme="minorHAnsi" w:cstheme="minorHAnsi"/>
          <w:color w:val="000000" w:themeColor="text1"/>
          <w:shd w:val="clear" w:color="auto" w:fill="FFFFFF"/>
        </w:rPr>
        <w:t xml:space="preserve">Do, Q., Mishra, N., Wulandhari, N. B. I., Ramudhin, A., Sivarajah, U., &amp; Milligan, G. (2021). </w:t>
      </w:r>
      <w:r w:rsidRPr="00CF58ED">
        <w:rPr>
          <w:rFonts w:asciiTheme="minorHAnsi" w:hAnsiTheme="minorHAnsi" w:cstheme="minorHAnsi"/>
          <w:i/>
          <w:iCs/>
          <w:color w:val="000000" w:themeColor="text1"/>
          <w:shd w:val="clear" w:color="auto" w:fill="FFFFFF"/>
        </w:rPr>
        <w:t xml:space="preserve">Supply chain agility for coping with unprecedented changes: Empirical evidence from the UK food supply chain during COVID-19 crisis. </w:t>
      </w:r>
      <w:r w:rsidRPr="00CF58ED">
        <w:rPr>
          <w:rFonts w:asciiTheme="minorHAnsi" w:hAnsiTheme="minorHAnsi" w:cstheme="minorHAnsi"/>
          <w:color w:val="000000" w:themeColor="text1"/>
          <w:shd w:val="clear" w:color="auto" w:fill="FFFFFF"/>
        </w:rPr>
        <w:t xml:space="preserve">University of Bradford, 1-27. </w:t>
      </w:r>
    </w:p>
    <w:p w14:paraId="027AFF55"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Doheny, M., Gutierrez, A., Henrich, J., Meilhac, L. and Uchoa de Paula, R. (2017). </w:t>
      </w:r>
      <w:r w:rsidRPr="00CF58ED">
        <w:rPr>
          <w:rFonts w:asciiTheme="minorHAnsi" w:eastAsiaTheme="minorHAnsi" w:hAnsiTheme="minorHAnsi" w:cstheme="minorHAnsi"/>
          <w:i/>
          <w:iCs/>
          <w:color w:val="000000" w:themeColor="text1"/>
          <w:lang w:eastAsia="en-US"/>
        </w:rPr>
        <w:t>Recipe for success for sourcing in the food industry</w:t>
      </w:r>
      <w:r w:rsidRPr="00CF58ED">
        <w:rPr>
          <w:rFonts w:asciiTheme="minorHAnsi" w:eastAsiaTheme="minorHAnsi" w:hAnsiTheme="minorHAnsi" w:cstheme="minorHAnsi"/>
          <w:color w:val="000000" w:themeColor="text1"/>
          <w:lang w:eastAsia="en-US"/>
        </w:rPr>
        <w:t>. [online] www.mckinsey.com. Available at: https://www.mckinsey.com/industries/consumer-packaged-goods/our-insights/recipe-for-success-for-sourcing-in-the-food-industry [Accessed 6 Feb. 2022].</w:t>
      </w:r>
    </w:p>
    <w:p w14:paraId="43A2238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Duggan, S. and Murtrey, M. (2021). Distribution in the Food Industry: Impact of the 2020 Truck Driver Shortage. </w:t>
      </w:r>
      <w:r w:rsidRPr="00CF58ED">
        <w:rPr>
          <w:rFonts w:asciiTheme="minorHAnsi" w:eastAsiaTheme="minorHAnsi" w:hAnsiTheme="minorHAnsi" w:cstheme="minorHAnsi"/>
          <w:i/>
          <w:iCs/>
          <w:color w:val="000000" w:themeColor="text1"/>
          <w:lang w:eastAsia="en-US"/>
        </w:rPr>
        <w:t>Journal of Marketing Development and Competitiveness</w:t>
      </w:r>
      <w:r w:rsidRPr="00CF58ED">
        <w:rPr>
          <w:rFonts w:asciiTheme="minorHAnsi" w:eastAsiaTheme="minorHAnsi" w:hAnsiTheme="minorHAnsi" w:cstheme="minorHAnsi"/>
          <w:color w:val="000000" w:themeColor="text1"/>
          <w:lang w:eastAsia="en-US"/>
        </w:rPr>
        <w:t>, [online] 15(2), pp.42–49. Available at: https://www.proquest.com/docview/2621568277?accountid=130472&amp;parentSessionId=ttYaguHR3F2dmqbPr9ko39wuB7StS32n4cfb68DV1i4%3D&amp;pq-origsite=primo [Accessed 6 Feb. 2022].</w:t>
      </w:r>
    </w:p>
    <w:p w14:paraId="3E3A3FC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East, R. (2022). Online Grocery Sales after the Pandemic. </w:t>
      </w:r>
      <w:r w:rsidRPr="00CF58ED">
        <w:rPr>
          <w:rFonts w:asciiTheme="minorHAnsi" w:eastAsiaTheme="minorHAnsi" w:hAnsiTheme="minorHAnsi" w:cstheme="minorHAnsi"/>
          <w:i/>
          <w:iCs/>
          <w:color w:val="000000" w:themeColor="text1"/>
          <w:lang w:eastAsia="en-US"/>
        </w:rPr>
        <w:t>International Journal of Market Research</w:t>
      </w:r>
      <w:r w:rsidRPr="00CF58ED">
        <w:rPr>
          <w:rFonts w:asciiTheme="minorHAnsi" w:eastAsiaTheme="minorHAnsi" w:hAnsiTheme="minorHAnsi" w:cstheme="minorHAnsi"/>
          <w:color w:val="000000" w:themeColor="text1"/>
          <w:lang w:eastAsia="en-US"/>
        </w:rPr>
        <w:t>, [online] 64(1), pp.13–18. Available at: https://journals.sagepub.com/doi/full/10.1177/14707853211055047 [Accessed 6 Feb. 2022].</w:t>
      </w:r>
    </w:p>
    <w:p w14:paraId="4B4DD87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Espiner, T. (2021). Meat factories warn Covid absences could hit supplies. </w:t>
      </w:r>
      <w:r w:rsidRPr="00CF58ED">
        <w:rPr>
          <w:rFonts w:asciiTheme="minorHAnsi" w:eastAsiaTheme="minorHAnsi" w:hAnsiTheme="minorHAnsi" w:cstheme="minorHAnsi"/>
          <w:i/>
          <w:iCs/>
          <w:color w:val="000000" w:themeColor="text1"/>
          <w:lang w:eastAsia="en-US"/>
        </w:rPr>
        <w:t>BBC News</w:t>
      </w:r>
      <w:r w:rsidRPr="00CF58ED">
        <w:rPr>
          <w:rFonts w:asciiTheme="minorHAnsi" w:eastAsiaTheme="minorHAnsi" w:hAnsiTheme="minorHAnsi" w:cstheme="minorHAnsi"/>
          <w:color w:val="000000" w:themeColor="text1"/>
          <w:lang w:eastAsia="en-US"/>
        </w:rPr>
        <w:t>. [online] Available at: https://www.bbc.com/news/business-55578974 [Accessed 5 Feb. 2022].</w:t>
      </w:r>
    </w:p>
    <w:p w14:paraId="04766D2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Fine, B. (2021). Tim Lang. Feeding Britain: Our food problems and how to fix them. London: Pelican. 2020. 608 pp. £25 (hardback). ISBN 9780241442227. </w:t>
      </w:r>
      <w:r w:rsidRPr="00CF58ED">
        <w:rPr>
          <w:rFonts w:asciiTheme="minorHAnsi" w:hAnsiTheme="minorHAnsi" w:cstheme="minorHAnsi"/>
          <w:i/>
          <w:iCs/>
          <w:color w:val="000000" w:themeColor="text1"/>
        </w:rPr>
        <w:t xml:space="preserve">Journal of </w:t>
      </w:r>
      <w:r w:rsidRPr="00CF58ED">
        <w:rPr>
          <w:rFonts w:asciiTheme="minorHAnsi" w:hAnsiTheme="minorHAnsi" w:cstheme="minorHAnsi"/>
          <w:i/>
          <w:iCs/>
          <w:color w:val="000000" w:themeColor="text1"/>
        </w:rPr>
        <w:lastRenderedPageBreak/>
        <w:t>Agrarian Change</w:t>
      </w:r>
      <w:r w:rsidRPr="00CF58ED">
        <w:rPr>
          <w:rFonts w:asciiTheme="minorHAnsi" w:hAnsiTheme="minorHAnsi" w:cstheme="minorHAnsi"/>
          <w:color w:val="000000" w:themeColor="text1"/>
        </w:rPr>
        <w:t>, [online] 21(4). Available at: https://doi-org.ezproxy.uwtsd.ac.uk/10.1111/joac.12403 [Accessed 4 Feb. 2022].</w:t>
      </w:r>
    </w:p>
    <w:p w14:paraId="5290FC8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Garbe, L., Rau, R. and Toppe, T. (2020). Influence of perceived threat of Covid-19 and HEXACO personality traits on toilet paper stockpiling. </w:t>
      </w:r>
      <w:r w:rsidRPr="00CF58ED">
        <w:rPr>
          <w:rFonts w:asciiTheme="minorHAnsi" w:eastAsiaTheme="minorHAnsi" w:hAnsiTheme="minorHAnsi" w:cstheme="minorHAnsi"/>
          <w:i/>
          <w:iCs/>
          <w:color w:val="000000" w:themeColor="text1"/>
          <w:lang w:eastAsia="en-US"/>
        </w:rPr>
        <w:t>PLOS ONE</w:t>
      </w:r>
      <w:r w:rsidRPr="00CF58ED">
        <w:rPr>
          <w:rFonts w:asciiTheme="minorHAnsi" w:eastAsiaTheme="minorHAnsi" w:hAnsiTheme="minorHAnsi" w:cstheme="minorHAnsi"/>
          <w:color w:val="000000" w:themeColor="text1"/>
          <w:lang w:eastAsia="en-US"/>
        </w:rPr>
        <w:t>, [online] 15(6), p.e0234232. Available at: https://journals.plos.org/plosone/article?id=10.1371/journal.pone.0234232 [Accessed 5 Feb. 2022].</w:t>
      </w:r>
    </w:p>
    <w:p w14:paraId="1F350C68"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Garnett, P., Doherty, B. and Heron, T. (2020). Vulnerability of the United Kingdom’s food supply chains exposed by COVID-19. </w:t>
      </w:r>
      <w:r w:rsidRPr="00CF58ED">
        <w:rPr>
          <w:rFonts w:asciiTheme="minorHAnsi" w:hAnsiTheme="minorHAnsi" w:cstheme="minorHAnsi"/>
          <w:i/>
          <w:iCs/>
          <w:color w:val="000000" w:themeColor="text1"/>
        </w:rPr>
        <w:t>Nature Food</w:t>
      </w:r>
      <w:r w:rsidRPr="00CF58ED">
        <w:rPr>
          <w:rFonts w:asciiTheme="minorHAnsi" w:hAnsiTheme="minorHAnsi" w:cstheme="minorHAnsi"/>
          <w:color w:val="000000" w:themeColor="text1"/>
        </w:rPr>
        <w:t>, [online] 1, pp.315–318. Available at: https://www.nature.com/articles/s43016-020-0097-7#citeas [Accessed 4 Feb. 2022].</w:t>
      </w:r>
    </w:p>
    <w:p w14:paraId="483F496C" w14:textId="77777777" w:rsidR="00CF58ED" w:rsidRPr="00CF58ED" w:rsidRDefault="00CF58ED" w:rsidP="00CF58ED">
      <w:pPr>
        <w:pStyle w:val="ListParagraph"/>
        <w:numPr>
          <w:ilvl w:val="0"/>
          <w:numId w:val="3"/>
        </w:numPr>
        <w:spacing w:line="360" w:lineRule="auto"/>
        <w:rPr>
          <w:rFonts w:asciiTheme="minorHAnsi" w:hAnsiTheme="minorHAnsi" w:cstheme="minorHAnsi"/>
        </w:rPr>
      </w:pPr>
      <w:r w:rsidRPr="00CF58ED">
        <w:rPr>
          <w:rFonts w:asciiTheme="minorHAnsi" w:hAnsiTheme="minorHAnsi" w:cstheme="minorHAnsi"/>
          <w:color w:val="000000" w:themeColor="text1"/>
        </w:rPr>
        <w:t>GFSP</w:t>
      </w:r>
      <w:r w:rsidRPr="00CF58ED">
        <w:rPr>
          <w:rFonts w:asciiTheme="minorHAnsi" w:hAnsiTheme="minorHAnsi" w:cstheme="minorHAnsi"/>
          <w:color w:val="000000" w:themeColor="text1"/>
          <w:shd w:val="clear" w:color="auto" w:fill="FFFFFF"/>
        </w:rPr>
        <w:t>. (</w:t>
      </w:r>
      <w:r w:rsidRPr="00CF58ED">
        <w:rPr>
          <w:rFonts w:asciiTheme="minorHAnsi" w:hAnsiTheme="minorHAnsi" w:cstheme="minorHAnsi"/>
          <w:color w:val="000000" w:themeColor="text1"/>
        </w:rPr>
        <w:t>2015</w:t>
      </w:r>
      <w:r w:rsidRPr="00CF58ED">
        <w:rPr>
          <w:rFonts w:asciiTheme="minorHAnsi" w:hAnsiTheme="minorHAnsi" w:cstheme="minorHAnsi"/>
          <w:color w:val="000000" w:themeColor="text1"/>
          <w:shd w:val="clear" w:color="auto" w:fill="FFFFFF"/>
        </w:rPr>
        <w:t xml:space="preserve">) </w:t>
      </w:r>
      <w:r w:rsidRPr="00CF58ED">
        <w:rPr>
          <w:rFonts w:asciiTheme="minorHAnsi" w:hAnsiTheme="minorHAnsi" w:cstheme="minorHAnsi"/>
          <w:i/>
          <w:iCs/>
          <w:color w:val="000000" w:themeColor="text1"/>
          <w:shd w:val="clear" w:color="auto" w:fill="FFFFFF"/>
        </w:rPr>
        <w:t>Extreme</w:t>
      </w:r>
      <w:r w:rsidRPr="00CF58ED">
        <w:rPr>
          <w:rFonts w:asciiTheme="minorHAnsi" w:hAnsiTheme="minorHAnsi" w:cstheme="minorHAnsi"/>
          <w:i/>
          <w:iCs/>
          <w:color w:val="000000" w:themeColor="text1"/>
        </w:rPr>
        <w:t xml:space="preserve"> weather and resilience of the global food system. Final Project Report from the UK-US Taskforce on Extreme Weather and Global Food System Resilience, </w:t>
      </w:r>
      <w:r w:rsidRPr="00CF58ED">
        <w:rPr>
          <w:rFonts w:asciiTheme="minorHAnsi" w:hAnsiTheme="minorHAnsi" w:cstheme="minorHAnsi"/>
          <w:color w:val="000000" w:themeColor="text1"/>
        </w:rPr>
        <w:t>The Global Food Security programme, UK</w:t>
      </w:r>
      <w:r w:rsidRPr="00CF58ED">
        <w:rPr>
          <w:rFonts w:asciiTheme="minorHAnsi" w:hAnsiTheme="minorHAnsi" w:cstheme="minorHAnsi"/>
          <w:color w:val="000000" w:themeColor="text1"/>
          <w:shd w:val="clear" w:color="auto" w:fill="FFFFFF"/>
        </w:rPr>
        <w:t>. Available at: </w:t>
      </w:r>
      <w:hyperlink r:id="rId13" w:history="1">
        <w:r w:rsidRPr="00CF58ED">
          <w:rPr>
            <w:rFonts w:asciiTheme="minorHAnsi" w:hAnsiTheme="minorHAnsi" w:cstheme="minorHAnsi"/>
            <w:color w:val="000000" w:themeColor="text1"/>
          </w:rPr>
          <w:t>https://www.foodsecurity.ac.uk/publications/extreme-weather-resilience-global-food-system.pdf</w:t>
        </w:r>
      </w:hyperlink>
      <w:r w:rsidRPr="00CF58ED">
        <w:rPr>
          <w:rFonts w:asciiTheme="minorHAnsi" w:hAnsiTheme="minorHAnsi" w:cstheme="minorHAnsi"/>
        </w:rPr>
        <w:t xml:space="preserve"> </w:t>
      </w:r>
      <w:r w:rsidRPr="00CF58ED">
        <w:rPr>
          <w:rFonts w:asciiTheme="minorHAnsi" w:hAnsiTheme="minorHAnsi" w:cstheme="minorHAnsi"/>
          <w:color w:val="1C1D1E"/>
          <w:shd w:val="clear" w:color="auto" w:fill="FFFFFF"/>
        </w:rPr>
        <w:t>[Accessed 04 February 2022).</w:t>
      </w:r>
    </w:p>
    <w:p w14:paraId="3EF082FC" w14:textId="4627E3F1"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Hart, C. (2021</w:t>
      </w:r>
      <w:r>
        <w:rPr>
          <w:rFonts w:asciiTheme="minorHAnsi" w:hAnsiTheme="minorHAnsi" w:cstheme="minorHAnsi"/>
          <w:color w:val="000000" w:themeColor="text1"/>
        </w:rPr>
        <w:t>b</w:t>
      </w:r>
      <w:r w:rsidRPr="00CF58ED">
        <w:rPr>
          <w:rFonts w:asciiTheme="minorHAnsi" w:hAnsiTheme="minorHAnsi" w:cstheme="minorHAnsi"/>
          <w:color w:val="000000" w:themeColor="text1"/>
        </w:rPr>
        <w:t>). Conduct meaningful supplier audits. Supply Management. 26(2), pp. 18-19.</w:t>
      </w:r>
    </w:p>
    <w:p w14:paraId="2BDDD3B7" w14:textId="5C2658C2"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Hart, C. (2021</w:t>
      </w:r>
      <w:r>
        <w:rPr>
          <w:rFonts w:asciiTheme="minorHAnsi" w:hAnsiTheme="minorHAnsi" w:cstheme="minorHAnsi"/>
          <w:color w:val="000000" w:themeColor="text1"/>
        </w:rPr>
        <w:t>a</w:t>
      </w:r>
      <w:r w:rsidRPr="00CF58ED">
        <w:rPr>
          <w:rFonts w:asciiTheme="minorHAnsi" w:hAnsiTheme="minorHAnsi" w:cstheme="minorHAnsi"/>
          <w:color w:val="000000" w:themeColor="text1"/>
        </w:rPr>
        <w:t xml:space="preserve">). </w:t>
      </w:r>
      <w:r w:rsidRPr="00CF58ED">
        <w:rPr>
          <w:rFonts w:asciiTheme="minorHAnsi" w:hAnsiTheme="minorHAnsi" w:cstheme="minorHAnsi"/>
          <w:i/>
          <w:iCs/>
          <w:color w:val="000000" w:themeColor="text1"/>
        </w:rPr>
        <w:t>Morrisons’ Covid payment terms for small suppliers “cost” £60m</w:t>
      </w:r>
      <w:r w:rsidRPr="00CF58ED">
        <w:rPr>
          <w:rFonts w:asciiTheme="minorHAnsi" w:hAnsiTheme="minorHAnsi" w:cstheme="minorHAnsi"/>
          <w:color w:val="000000" w:themeColor="text1"/>
        </w:rPr>
        <w:t>. CIPS. Available at: https://www.cips.org/supply-management/news/2021/january/morrisons-covid-payment-terms-for-small-suppliers-cost-60m-/ [Accessed 5 Feb. 2022].</w:t>
      </w:r>
    </w:p>
    <w:p w14:paraId="0AC56E9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HM Government (2020). </w:t>
      </w:r>
      <w:r w:rsidRPr="00CF58ED">
        <w:rPr>
          <w:rFonts w:asciiTheme="minorHAnsi" w:eastAsiaTheme="minorHAnsi" w:hAnsiTheme="minorHAnsi" w:cstheme="minorHAnsi"/>
          <w:i/>
          <w:iCs/>
          <w:color w:val="000000" w:themeColor="text1"/>
          <w:lang w:eastAsia="en-US"/>
        </w:rPr>
        <w:t>Keeping workers and customers safe during COVID-19 in shops and branches</w:t>
      </w:r>
      <w:r w:rsidRPr="00CF58ED">
        <w:rPr>
          <w:rFonts w:asciiTheme="minorHAnsi" w:eastAsiaTheme="minorHAnsi" w:hAnsiTheme="minorHAnsi" w:cstheme="minorHAnsi"/>
          <w:color w:val="000000" w:themeColor="text1"/>
          <w:lang w:eastAsia="en-US"/>
        </w:rPr>
        <w:t>. [online] www.gov.uk. Available at: https://www.gov.uk/guidance/working-safely-during-covid-19 [Accessed 5 Feb. 2022].</w:t>
      </w:r>
    </w:p>
    <w:p w14:paraId="5330C271"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Hobbs, J.E. (2020). Food supply chains during the COVID‐19 pandemic. </w:t>
      </w:r>
      <w:r w:rsidRPr="00CF58ED">
        <w:rPr>
          <w:rFonts w:asciiTheme="minorHAnsi" w:hAnsiTheme="minorHAnsi" w:cstheme="minorHAnsi"/>
          <w:i/>
          <w:iCs/>
          <w:color w:val="000000" w:themeColor="text1"/>
        </w:rPr>
        <w:t>Canadian Journal of Agricultural Economics/Revue canadienne d’agroeconomie</w:t>
      </w:r>
      <w:r w:rsidRPr="00CF58ED">
        <w:rPr>
          <w:rFonts w:asciiTheme="minorHAnsi" w:hAnsiTheme="minorHAnsi" w:cstheme="minorHAnsi"/>
          <w:color w:val="000000" w:themeColor="text1"/>
        </w:rPr>
        <w:t>, 68(2). Available at: https://onlinelibrary.wiley.com/doi/full/10.1111/cjag.12237 [Accessed 5 Feb. 2022].</w:t>
      </w:r>
    </w:p>
    <w:p w14:paraId="6EF3B958"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shd w:val="clear" w:color="auto" w:fill="FFFFFF"/>
        </w:rPr>
        <w:t xml:space="preserve">Iles, R. (2021). </w:t>
      </w:r>
      <w:r w:rsidRPr="00CF58ED">
        <w:rPr>
          <w:rFonts w:asciiTheme="minorHAnsi" w:hAnsiTheme="minorHAnsi" w:cstheme="minorHAnsi"/>
          <w:i/>
          <w:iCs/>
          <w:color w:val="000000" w:themeColor="text1"/>
          <w:shd w:val="clear" w:color="auto" w:fill="FFFFFF"/>
        </w:rPr>
        <w:t>Future of UK rail/Driver shortage</w:t>
      </w:r>
      <w:r w:rsidRPr="00CF58ED">
        <w:rPr>
          <w:rFonts w:asciiTheme="minorHAnsi" w:hAnsiTheme="minorHAnsi" w:cstheme="minorHAnsi"/>
          <w:color w:val="000000" w:themeColor="text1"/>
          <w:shd w:val="clear" w:color="auto" w:fill="FFFFFF"/>
        </w:rPr>
        <w:t>, Logistics and Transport Focus, 23(8), p. 10</w:t>
      </w:r>
    </w:p>
    <w:p w14:paraId="171A4C4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lastRenderedPageBreak/>
        <w:t xml:space="preserve">Islam, T., Pitafi, H., Wang, Y., Aryaa, V., Mubarik, S., Akhater, N. and Xiaobei, L. (2021). Panic Buying in the COVID-19 Pandemic: A Multi-Country Examination. </w:t>
      </w:r>
      <w:r w:rsidRPr="00CF58ED">
        <w:rPr>
          <w:rFonts w:asciiTheme="minorHAnsi" w:hAnsiTheme="minorHAnsi" w:cstheme="minorHAnsi"/>
          <w:i/>
          <w:iCs/>
          <w:color w:val="000000" w:themeColor="text1"/>
        </w:rPr>
        <w:t>Journal of Retailing and Consumer Services</w:t>
      </w:r>
      <w:r w:rsidRPr="00CF58ED">
        <w:rPr>
          <w:rFonts w:asciiTheme="minorHAnsi" w:hAnsiTheme="minorHAnsi" w:cstheme="minorHAnsi"/>
          <w:color w:val="000000" w:themeColor="text1"/>
        </w:rPr>
        <w:t>, [online] 59. Available at: https://doi.org/10.1016/j.jretconser.2020.102357 [Accessed 4 2022].</w:t>
      </w:r>
    </w:p>
    <w:p w14:paraId="4AC50497"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Kiprotich Mutai, J. (2016). Effects of Supplier Evaluation on Procurement Performance of Public Universities in Kenya. </w:t>
      </w:r>
      <w:r w:rsidRPr="00CF58ED">
        <w:rPr>
          <w:rFonts w:asciiTheme="minorHAnsi" w:eastAsiaTheme="minorHAnsi" w:hAnsiTheme="minorHAnsi" w:cstheme="minorHAnsi"/>
          <w:i/>
          <w:iCs/>
          <w:color w:val="000000" w:themeColor="text1"/>
          <w:lang w:eastAsia="en-US"/>
        </w:rPr>
        <w:t>International Journal of Economics, Finance and Management Sciences</w:t>
      </w:r>
      <w:r w:rsidRPr="00CF58ED">
        <w:rPr>
          <w:rFonts w:asciiTheme="minorHAnsi" w:eastAsiaTheme="minorHAnsi" w:hAnsiTheme="minorHAnsi" w:cstheme="minorHAnsi"/>
          <w:color w:val="000000" w:themeColor="text1"/>
          <w:lang w:eastAsia="en-US"/>
        </w:rPr>
        <w:t>, 4(3), p.98.</w:t>
      </w:r>
    </w:p>
    <w:p w14:paraId="61CA9D50"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Mantu, S. (2020). EU Citizenship, Free Movement, and Covid-19 in Romania. </w:t>
      </w:r>
      <w:r w:rsidRPr="00CF58ED">
        <w:rPr>
          <w:rFonts w:asciiTheme="minorHAnsi" w:eastAsiaTheme="minorHAnsi" w:hAnsiTheme="minorHAnsi" w:cstheme="minorHAnsi"/>
          <w:i/>
          <w:iCs/>
          <w:color w:val="000000" w:themeColor="text1"/>
          <w:lang w:eastAsia="en-US"/>
        </w:rPr>
        <w:t>Frontiers in Human Dynamics</w:t>
      </w:r>
      <w:r w:rsidRPr="00CF58ED">
        <w:rPr>
          <w:rFonts w:asciiTheme="minorHAnsi" w:eastAsiaTheme="minorHAnsi" w:hAnsiTheme="minorHAnsi" w:cstheme="minorHAnsi"/>
          <w:color w:val="000000" w:themeColor="text1"/>
          <w:lang w:eastAsia="en-US"/>
        </w:rPr>
        <w:t>, [online] 2. Available at: https://www.frontiersin.org/articles/10.3389/fhumd.2020.594987/full [Accessed 4 Feb. 2022].</w:t>
      </w:r>
    </w:p>
    <w:p w14:paraId="3502012C"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shd w:val="clear" w:color="auto" w:fill="FFFFFF"/>
        </w:rPr>
        <w:t>Martin-Neuninger R and Ruby MB (2020) What Does Food Retail Research Tell Us About the Implications of Coronavirus (COVID-19) for Grocery Purchasing Habits? Frontiers In Psychology. 11:1448. Available at: https://www.ncbi.nlm.nih.gov/pmc/articles/PMC7292029/ [Accessed 5 Feb. 2022]</w:t>
      </w:r>
    </w:p>
    <w:p w14:paraId="2C542993"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Martínez-de-Albéniz, V. and Wang, J. (2019). Supply Base Design for the Procurement of Multiple Items. </w:t>
      </w:r>
      <w:r w:rsidRPr="00CF58ED">
        <w:rPr>
          <w:rFonts w:asciiTheme="minorHAnsi" w:eastAsiaTheme="minorHAnsi" w:hAnsiTheme="minorHAnsi" w:cstheme="minorHAnsi"/>
          <w:i/>
          <w:iCs/>
          <w:color w:val="000000" w:themeColor="text1"/>
          <w:lang w:eastAsia="en-US"/>
        </w:rPr>
        <w:t>Production &amp; Operation Management</w:t>
      </w:r>
      <w:r w:rsidRPr="00CF58ED">
        <w:rPr>
          <w:rFonts w:asciiTheme="minorHAnsi" w:eastAsiaTheme="minorHAnsi" w:hAnsiTheme="minorHAnsi" w:cstheme="minorHAnsi"/>
          <w:color w:val="000000" w:themeColor="text1"/>
          <w:lang w:eastAsia="en-US"/>
        </w:rPr>
        <w:t>, [online] 28(8), pp.2087–2199. Available at: https://web-s-ebscohost-com.ezproxy.uwtsd.ac.uk/ehost/detail/detail?vid=0&amp;sid=22f671cf-fa62-49df-94ae-0d7d7b1bdabc%40redis&amp;bdata=JnNpdGU9ZWhvc3QtbGl2ZQ%3d%3d#AN=137924851&amp;db=bth [Accessed 4 Feb. 2022].</w:t>
      </w:r>
    </w:p>
    <w:p w14:paraId="2AC6329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Moore, S., Ball, C., Cai, M., Flynn, M. and Mulkearn, K. (2021). </w:t>
      </w:r>
      <w:r w:rsidRPr="00CF58ED">
        <w:rPr>
          <w:rFonts w:asciiTheme="minorHAnsi" w:eastAsiaTheme="minorHAnsi" w:hAnsiTheme="minorHAnsi" w:cstheme="minorHAnsi"/>
          <w:i/>
          <w:iCs/>
          <w:color w:val="000000" w:themeColor="text1"/>
          <w:lang w:eastAsia="en-US"/>
        </w:rPr>
        <w:t>Research into Covid-19 workplace safety outcomes Research into Covid-19 workplace safety outcomes</w:t>
      </w:r>
      <w:r w:rsidRPr="00CF58ED">
        <w:rPr>
          <w:rFonts w:asciiTheme="minorHAnsi" w:eastAsiaTheme="minorHAnsi" w:hAnsiTheme="minorHAnsi" w:cstheme="minorHAnsi"/>
          <w:color w:val="000000" w:themeColor="text1"/>
          <w:lang w:eastAsia="en-US"/>
        </w:rPr>
        <w:t xml:space="preserve">. [online] </w:t>
      </w:r>
      <w:r w:rsidRPr="00CF58ED">
        <w:rPr>
          <w:rFonts w:asciiTheme="minorHAnsi" w:eastAsiaTheme="minorHAnsi" w:hAnsiTheme="minorHAnsi" w:cstheme="minorHAnsi"/>
          <w:i/>
          <w:iCs/>
          <w:color w:val="000000" w:themeColor="text1"/>
          <w:lang w:eastAsia="en-US"/>
        </w:rPr>
        <w:t>www.tuc.org.uk</w:t>
      </w:r>
      <w:r w:rsidRPr="00CF58ED">
        <w:rPr>
          <w:rFonts w:asciiTheme="minorHAnsi" w:eastAsiaTheme="minorHAnsi" w:hAnsiTheme="minorHAnsi" w:cstheme="minorHAnsi"/>
          <w:color w:val="000000" w:themeColor="text1"/>
          <w:lang w:eastAsia="en-US"/>
        </w:rPr>
        <w:t>, University of Greenwich, pp.10–13. Available at: https://www.tuc.org.uk/sites/default/files/TUCHSreport.pdf [Accessed 5 Feb. 2022].</w:t>
      </w:r>
    </w:p>
    <w:p w14:paraId="109016A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Mutethia, W.G. (2018). EFFECT OF SUPPLIER APPRAISAL ON PERFORMANCE OF MANUFACTURING FIRMS IN NAIROBI COUNTY, KENYA. </w:t>
      </w:r>
      <w:r w:rsidRPr="00CF58ED">
        <w:rPr>
          <w:rFonts w:asciiTheme="minorHAnsi" w:eastAsiaTheme="minorHAnsi" w:hAnsiTheme="minorHAnsi" w:cstheme="minorHAnsi"/>
          <w:i/>
          <w:iCs/>
          <w:color w:val="000000" w:themeColor="text1"/>
          <w:lang w:eastAsia="en-US"/>
        </w:rPr>
        <w:t>Journal of International Business, Innovation and Strategic Management</w:t>
      </w:r>
      <w:r w:rsidRPr="00CF58ED">
        <w:rPr>
          <w:rFonts w:asciiTheme="minorHAnsi" w:eastAsiaTheme="minorHAnsi" w:hAnsiTheme="minorHAnsi" w:cstheme="minorHAnsi"/>
          <w:color w:val="000000" w:themeColor="text1"/>
          <w:lang w:eastAsia="en-US"/>
        </w:rPr>
        <w:t>, [online] 1(4), pp.126–145. Available at: http://www.jibism.org/core_files/index.php/JIBISM/article/view/46/44 [Accessed 7 Feb. 2022].</w:t>
      </w:r>
    </w:p>
    <w:p w14:paraId="02C22DA3" w14:textId="1D3E16FC"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MUTISO, U.K. and OCHIRI, Dr.</w:t>
      </w:r>
      <w:r>
        <w:rPr>
          <w:rFonts w:asciiTheme="minorHAnsi" w:eastAsiaTheme="minorHAnsi" w:hAnsiTheme="minorHAnsi" w:cstheme="minorHAnsi"/>
          <w:color w:val="000000" w:themeColor="text1"/>
          <w:lang w:eastAsia="en-US"/>
        </w:rPr>
        <w:t xml:space="preserve"> G</w:t>
      </w:r>
      <w:r w:rsidRPr="00CF58ED">
        <w:rPr>
          <w:rFonts w:asciiTheme="minorHAnsi" w:eastAsiaTheme="minorHAnsi" w:hAnsiTheme="minorHAnsi" w:cstheme="minorHAnsi"/>
          <w:color w:val="000000" w:themeColor="text1"/>
          <w:lang w:eastAsia="en-US"/>
        </w:rPr>
        <w:t xml:space="preserve"> (2019). INFLUENCE OF SUPPLIER EVALUATION CRITERIA ON PROCUREMENT PERFORMANCE OF NON-GOVERNMENTAL </w:t>
      </w:r>
      <w:r w:rsidRPr="00CF58ED">
        <w:rPr>
          <w:rFonts w:asciiTheme="minorHAnsi" w:eastAsiaTheme="minorHAnsi" w:hAnsiTheme="minorHAnsi" w:cstheme="minorHAnsi"/>
          <w:color w:val="000000" w:themeColor="text1"/>
          <w:lang w:eastAsia="en-US"/>
        </w:rPr>
        <w:lastRenderedPageBreak/>
        <w:t xml:space="preserve">ORGANIZATIONS IN KENYA. </w:t>
      </w:r>
      <w:r w:rsidRPr="00CF58ED">
        <w:rPr>
          <w:rFonts w:asciiTheme="minorHAnsi" w:eastAsiaTheme="minorHAnsi" w:hAnsiTheme="minorHAnsi" w:cstheme="minorHAnsi"/>
          <w:i/>
          <w:iCs/>
          <w:color w:val="000000" w:themeColor="text1"/>
          <w:lang w:eastAsia="en-US"/>
        </w:rPr>
        <w:t>International Journal of Supply Chain and Logistics</w:t>
      </w:r>
      <w:r w:rsidRPr="00CF58ED">
        <w:rPr>
          <w:rFonts w:asciiTheme="minorHAnsi" w:eastAsiaTheme="minorHAnsi" w:hAnsiTheme="minorHAnsi" w:cstheme="minorHAnsi"/>
          <w:color w:val="000000" w:themeColor="text1"/>
          <w:lang w:eastAsia="en-US"/>
        </w:rPr>
        <w:t>, [online] 3(3), p.77. Available at: https://www.researchgate.net/publication/346365755_INFLUENCE_OF_SUPPLIER_EVALUATION_CRITERIA_ON_PROCUREMENT_PERFORMANCE_OF_NON-GOVERNMENTAL_ORGANIZATIONS_IN_KENYA [Accessed 7 Feb. 2022].</w:t>
      </w:r>
    </w:p>
    <w:p w14:paraId="6E5D6A54"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Obura, C., Ismail Shale, Dr.N. and Mukanzi, Dr.C. (2021). ASSESSMENT OF SUPPLIER APPRAISAL INFLUENCE ON PERFORMANCE OF PROCUREMENT FUNCTION. </w:t>
      </w:r>
      <w:r w:rsidRPr="00CF58ED">
        <w:rPr>
          <w:rFonts w:asciiTheme="minorHAnsi" w:eastAsiaTheme="minorHAnsi" w:hAnsiTheme="minorHAnsi" w:cstheme="minorHAnsi"/>
          <w:i/>
          <w:iCs/>
          <w:color w:val="000000" w:themeColor="text1"/>
          <w:lang w:eastAsia="en-US"/>
        </w:rPr>
        <w:t>International Journal of Business Management and Economic Review</w:t>
      </w:r>
      <w:r w:rsidRPr="00CF58ED">
        <w:rPr>
          <w:rFonts w:asciiTheme="minorHAnsi" w:eastAsiaTheme="minorHAnsi" w:hAnsiTheme="minorHAnsi" w:cstheme="minorHAnsi"/>
          <w:color w:val="000000" w:themeColor="text1"/>
          <w:lang w:eastAsia="en-US"/>
        </w:rPr>
        <w:t>, [online] 04(06), pp.112–123. Available at: https://ijbmer.org/uploads2021/BMER_4_326. [Accessed 7 Feb. 2022].</w:t>
      </w:r>
    </w:p>
    <w:p w14:paraId="10C5077D" w14:textId="24F06923"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Odei Som, J., Cobblah, C. and Anyigba, H. (2019). The Effect of Supply Chain Integration on Supply Chain Performance. </w:t>
      </w:r>
      <w:r w:rsidRPr="00CF58ED">
        <w:rPr>
          <w:rFonts w:asciiTheme="minorHAnsi" w:eastAsiaTheme="minorHAnsi" w:hAnsiTheme="minorHAnsi" w:cstheme="minorHAnsi"/>
          <w:i/>
          <w:iCs/>
          <w:color w:val="000000" w:themeColor="text1"/>
          <w:lang w:eastAsia="en-US"/>
        </w:rPr>
        <w:t>IUP Journal of Supply Chain Management</w:t>
      </w:r>
      <w:r w:rsidRPr="00CF58ED">
        <w:rPr>
          <w:rFonts w:asciiTheme="minorHAnsi" w:eastAsiaTheme="minorHAnsi" w:hAnsiTheme="minorHAnsi" w:cstheme="minorHAnsi"/>
          <w:color w:val="000000" w:themeColor="text1"/>
          <w:lang w:eastAsia="en-US"/>
        </w:rPr>
        <w:t>, [online] 16(4), pp.7–38. Available at: https://www.proquest.com/docview/2330961027?accountid=130472&amp;parentSessionId=JvHksk8R7oK5BATW0o1mSWtWexzruWaICcSVpkd60yE%3D&amp;pq-origsite=primo [Accessed 6 Feb. 2022].</w:t>
      </w:r>
    </w:p>
    <w:p w14:paraId="71BD1143"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OECD (2020). </w:t>
      </w:r>
      <w:r w:rsidRPr="00CF58ED">
        <w:rPr>
          <w:rFonts w:asciiTheme="minorHAnsi" w:eastAsiaTheme="minorHAnsi" w:hAnsiTheme="minorHAnsi" w:cstheme="minorHAnsi"/>
          <w:i/>
          <w:iCs/>
          <w:color w:val="000000" w:themeColor="text1"/>
          <w:lang w:eastAsia="en-US"/>
        </w:rPr>
        <w:t>Food supply chains and COVID-19: Impacts and policy lessons</w:t>
      </w:r>
      <w:r w:rsidRPr="00CF58ED">
        <w:rPr>
          <w:rFonts w:asciiTheme="minorHAnsi" w:eastAsiaTheme="minorHAnsi" w:hAnsiTheme="minorHAnsi" w:cstheme="minorHAnsi"/>
          <w:color w:val="000000" w:themeColor="text1"/>
          <w:lang w:eastAsia="en-US"/>
        </w:rPr>
        <w:t>. [online] OECD. Available at: https://www.oecd.org/coronavirus/policy-responses/food-supply-chains-and-covid-19-impacts-and-policy-lessons-71b57aea/ [Accessed 5 Feb. 2022].</w:t>
      </w:r>
    </w:p>
    <w:p w14:paraId="6CDF6523"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Pan, D., Yang, J., Zhou, G. and Kong, F. (2020). The influence of COVID-19 on agricultural economy and emergency mitigation measures in China: A text mining analysis. </w:t>
      </w:r>
      <w:r w:rsidRPr="00CF58ED">
        <w:rPr>
          <w:rFonts w:asciiTheme="minorHAnsi" w:eastAsiaTheme="minorHAnsi" w:hAnsiTheme="minorHAnsi" w:cstheme="minorHAnsi"/>
          <w:i/>
          <w:iCs/>
          <w:color w:val="000000" w:themeColor="text1"/>
          <w:lang w:eastAsia="en-US"/>
        </w:rPr>
        <w:t>PLOS ONE</w:t>
      </w:r>
      <w:r w:rsidRPr="00CF58ED">
        <w:rPr>
          <w:rFonts w:asciiTheme="minorHAnsi" w:eastAsiaTheme="minorHAnsi" w:hAnsiTheme="minorHAnsi" w:cstheme="minorHAnsi"/>
          <w:color w:val="000000" w:themeColor="text1"/>
          <w:lang w:eastAsia="en-US"/>
        </w:rPr>
        <w:t>, [online] 15(10), p.e0241167. Available at: https://journals.plos.org/plosone/article?id=10.1371/journal.pone.0241167 [Accessed 4 Feb. 2022].</w:t>
      </w:r>
    </w:p>
    <w:p w14:paraId="5137F41D"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Patchett, L. (2020). </w:t>
      </w:r>
      <w:r w:rsidRPr="00CF58ED">
        <w:rPr>
          <w:rFonts w:asciiTheme="minorHAnsi" w:eastAsiaTheme="minorHAnsi" w:hAnsiTheme="minorHAnsi" w:cstheme="minorHAnsi"/>
          <w:i/>
          <w:iCs/>
          <w:color w:val="000000" w:themeColor="text1"/>
          <w:lang w:eastAsia="en-US"/>
        </w:rPr>
        <w:t>The four keys to better supplier collaboration</w:t>
      </w:r>
      <w:r w:rsidRPr="00CF58ED">
        <w:rPr>
          <w:rFonts w:asciiTheme="minorHAnsi" w:eastAsiaTheme="minorHAnsi" w:hAnsiTheme="minorHAnsi" w:cstheme="minorHAnsi"/>
          <w:color w:val="000000" w:themeColor="text1"/>
          <w:lang w:eastAsia="en-US"/>
        </w:rPr>
        <w:t>. [online] Supply Management. Available at: https://www.cips.org/supply-management/news/2020/october/what-must-change-for-better-strategic-supplier-collaboration/ [Accessed 8 Feb. 2022].</w:t>
      </w:r>
    </w:p>
    <w:p w14:paraId="6A9CD4E0"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Petetin, L. (2019). </w:t>
      </w:r>
      <w:r w:rsidRPr="00CF58ED">
        <w:rPr>
          <w:rFonts w:asciiTheme="minorHAnsi" w:hAnsiTheme="minorHAnsi" w:cstheme="minorHAnsi"/>
          <w:i/>
          <w:iCs/>
          <w:color w:val="000000" w:themeColor="text1"/>
        </w:rPr>
        <w:t>Cloud nine or down to earth? the implications of a no deal Brexit on agriculture</w:t>
      </w:r>
      <w:r w:rsidRPr="00CF58ED">
        <w:rPr>
          <w:rFonts w:asciiTheme="minorHAnsi" w:hAnsiTheme="minorHAnsi" w:cstheme="minorHAnsi"/>
          <w:color w:val="000000" w:themeColor="text1"/>
        </w:rPr>
        <w:t xml:space="preserve">. [online] UK in a changing Europe. Available at: </w:t>
      </w:r>
      <w:r w:rsidRPr="00CF58ED">
        <w:rPr>
          <w:rFonts w:asciiTheme="minorHAnsi" w:hAnsiTheme="minorHAnsi" w:cstheme="minorHAnsi"/>
          <w:color w:val="000000" w:themeColor="text1"/>
        </w:rPr>
        <w:lastRenderedPageBreak/>
        <w:t>https://ukandeu.ac.uk/cloud-nine-or-down-to-earth-the-implications-of-a-no-deal-brexit-on-agriculture [Accessed 4 Feb. 2022].</w:t>
      </w:r>
    </w:p>
    <w:p w14:paraId="095D7870"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Piecyk, M. and Allen, J. (2021). </w:t>
      </w:r>
      <w:r w:rsidRPr="00CF58ED">
        <w:rPr>
          <w:rFonts w:asciiTheme="minorHAnsi" w:hAnsiTheme="minorHAnsi" w:cstheme="minorHAnsi"/>
          <w:i/>
          <w:iCs/>
          <w:color w:val="000000" w:themeColor="text1"/>
        </w:rPr>
        <w:t>UNDERSTANDING AND ADDRESSING HGV DRIVER SHORTAGES IN THE UK</w:t>
      </w:r>
      <w:r w:rsidRPr="00CF58ED">
        <w:rPr>
          <w:rFonts w:asciiTheme="minorHAnsi" w:hAnsiTheme="minorHAnsi" w:cstheme="minorHAnsi"/>
          <w:color w:val="000000" w:themeColor="text1"/>
        </w:rPr>
        <w:t>. Cambridge: Centre for Sustainable Road Freight. Available at: https://www.csrf.ac.uk/wp-content/uploads/2021/10/SRF-HGV-Driver-Shortage-Draft-Report-30-09-2021.pdf [Accessed 3 Jan. 2022].</w:t>
      </w:r>
    </w:p>
    <w:p w14:paraId="3C0F1FB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Power, M., Doherty, B., Pybus, K. and Pickett, K. (2020). How COVID-19 has exposed inequalities in the UK food system: The case of UK food and poverty. </w:t>
      </w:r>
      <w:r w:rsidRPr="00CF58ED">
        <w:rPr>
          <w:rFonts w:asciiTheme="minorHAnsi" w:eastAsiaTheme="minorHAnsi" w:hAnsiTheme="minorHAnsi" w:cstheme="minorHAnsi"/>
          <w:i/>
          <w:iCs/>
          <w:color w:val="000000" w:themeColor="text1"/>
          <w:lang w:eastAsia="en-US"/>
        </w:rPr>
        <w:t>Emerald Open Research</w:t>
      </w:r>
      <w:r w:rsidRPr="00CF58ED">
        <w:rPr>
          <w:rFonts w:asciiTheme="minorHAnsi" w:eastAsiaTheme="minorHAnsi" w:hAnsiTheme="minorHAnsi" w:cstheme="minorHAnsi"/>
          <w:color w:val="000000" w:themeColor="text1"/>
          <w:lang w:eastAsia="en-US"/>
        </w:rPr>
        <w:t>, [online] 2(2), p.11. Available at: https://emeraldopenresearch.com/articles/2-11/v2 [Accessed 4 Feb. 2022].</w:t>
      </w:r>
    </w:p>
    <w:p w14:paraId="4592F488"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Quinn, I. (2021). </w:t>
      </w:r>
      <w:r w:rsidRPr="00CF58ED">
        <w:rPr>
          <w:rFonts w:asciiTheme="minorHAnsi" w:eastAsiaTheme="minorHAnsi" w:hAnsiTheme="minorHAnsi" w:cstheme="minorHAnsi"/>
          <w:i/>
          <w:iCs/>
          <w:color w:val="000000" w:themeColor="text1"/>
          <w:lang w:eastAsia="en-US"/>
        </w:rPr>
        <w:t>Tesco to employ “tens of thousands” part-time to cope with impact of Covid on workforce</w:t>
      </w:r>
      <w:r w:rsidRPr="00CF58ED">
        <w:rPr>
          <w:rFonts w:asciiTheme="minorHAnsi" w:eastAsiaTheme="minorHAnsi" w:hAnsiTheme="minorHAnsi" w:cstheme="minorHAnsi"/>
          <w:color w:val="000000" w:themeColor="text1"/>
          <w:lang w:eastAsia="en-US"/>
        </w:rPr>
        <w:t>. [online] The Grocer. Available at: https://www.thegrocer.co.uk/hiring-and-firing/tesco-to-employ-tens-of-thousands-part-time-to-cope-with-impact-of-covid-on-workforce/652085.article [Accessed 5 Feb. 2022].</w:t>
      </w:r>
    </w:p>
    <w:p w14:paraId="31BBE0D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Richter, F. (2020). </w:t>
      </w:r>
      <w:r w:rsidRPr="00CF58ED">
        <w:rPr>
          <w:rFonts w:asciiTheme="minorHAnsi" w:eastAsiaTheme="minorHAnsi" w:hAnsiTheme="minorHAnsi" w:cstheme="minorHAnsi"/>
          <w:i/>
          <w:iCs/>
          <w:color w:val="000000" w:themeColor="text1"/>
          <w:lang w:eastAsia="en-US"/>
        </w:rPr>
        <w:t>Infographic: Restaurant Industry Collapses Due to Widespread Shutdowns</w:t>
      </w:r>
      <w:r w:rsidRPr="00CF58ED">
        <w:rPr>
          <w:rFonts w:asciiTheme="minorHAnsi" w:eastAsiaTheme="minorHAnsi" w:hAnsiTheme="minorHAnsi" w:cstheme="minorHAnsi"/>
          <w:color w:val="000000" w:themeColor="text1"/>
          <w:lang w:eastAsia="en-US"/>
        </w:rPr>
        <w:t>. [online] Statista.com. Available at: https://www.statista.com/chart/21203/decline-in-restaurant-traffic-due-to-coronavirus/ [Accessed 6 Feb. 2022].</w:t>
      </w:r>
    </w:p>
    <w:p w14:paraId="0FACA2D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Rose, M. and Kiprotich Bii, P. (2017). EFFECT OF SUPPLIER APPRAISAL PROCEDURES AND CAPACITY ASSESSMENT APPRAISAL ON ORGANIZATIONAL PERFORMANCE. </w:t>
      </w:r>
      <w:r w:rsidRPr="00CF58ED">
        <w:rPr>
          <w:rFonts w:asciiTheme="minorHAnsi" w:eastAsiaTheme="minorHAnsi" w:hAnsiTheme="minorHAnsi" w:cstheme="minorHAnsi"/>
          <w:i/>
          <w:iCs/>
          <w:color w:val="000000" w:themeColor="text1"/>
          <w:lang w:eastAsia="en-US"/>
        </w:rPr>
        <w:t>European Journal of Research and Reflection in Management Sciences</w:t>
      </w:r>
      <w:r w:rsidRPr="00CF58ED">
        <w:rPr>
          <w:rFonts w:asciiTheme="minorHAnsi" w:eastAsiaTheme="minorHAnsi" w:hAnsiTheme="minorHAnsi" w:cstheme="minorHAnsi"/>
          <w:color w:val="000000" w:themeColor="text1"/>
          <w:lang w:eastAsia="en-US"/>
        </w:rPr>
        <w:t>, [online] 5(4). Available at: https://www.idpublications.org/wp-content/uploads/2017/09/Full-Paper-EFFECT-OF-SUPPLIER-APPRAISAL-PROCEDURES-AND-CAPACITY-ASSESSMENT-APPRAISAL.pdf [Accessed 7 Feb. 2022].</w:t>
      </w:r>
    </w:p>
    <w:p w14:paraId="6CF0080A"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Sadler, E. (2021). Switch to more strategic sourcing. Supply Management. 26(2), pp.22.</w:t>
      </w:r>
    </w:p>
    <w:p w14:paraId="4C1994F4"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Sanderson Bellamy, A., Furness, E., Nicol, P., Pitt, H. and Taherzadeh, A. (2021). Shaping more resilient and just food systems: Lessons from the COVID-19 Pandemic. </w:t>
      </w:r>
      <w:r w:rsidRPr="00CF58ED">
        <w:rPr>
          <w:rFonts w:asciiTheme="minorHAnsi" w:eastAsiaTheme="minorHAnsi" w:hAnsiTheme="minorHAnsi" w:cstheme="minorHAnsi"/>
          <w:i/>
          <w:iCs/>
          <w:color w:val="000000" w:themeColor="text1"/>
          <w:lang w:eastAsia="en-US"/>
        </w:rPr>
        <w:t>Ambio</w:t>
      </w:r>
      <w:r w:rsidRPr="00CF58ED">
        <w:rPr>
          <w:rFonts w:asciiTheme="minorHAnsi" w:eastAsiaTheme="minorHAnsi" w:hAnsiTheme="minorHAnsi" w:cstheme="minorHAnsi"/>
          <w:color w:val="000000" w:themeColor="text1"/>
          <w:lang w:eastAsia="en-US"/>
        </w:rPr>
        <w:t>, [online] 50, pp.782–793. Available at: https://link.springer.com/article/10.1007/s13280-021-01532-y#citeas [Accessed 4 Feb. 2022].</w:t>
      </w:r>
    </w:p>
    <w:p w14:paraId="0C74433D"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lastRenderedPageBreak/>
        <w:t xml:space="preserve">Sandle, P. (2020). UK’s Sainsbury’s to assist smaller suppliers during coronavirus pandemic. </w:t>
      </w:r>
      <w:r w:rsidRPr="00CF58ED">
        <w:rPr>
          <w:rFonts w:asciiTheme="minorHAnsi" w:hAnsiTheme="minorHAnsi" w:cstheme="minorHAnsi"/>
          <w:i/>
          <w:iCs/>
          <w:color w:val="000000" w:themeColor="text1"/>
        </w:rPr>
        <w:t>Reuters</w:t>
      </w:r>
      <w:r w:rsidRPr="00CF58ED">
        <w:rPr>
          <w:rFonts w:asciiTheme="minorHAnsi" w:hAnsiTheme="minorHAnsi" w:cstheme="minorHAnsi"/>
          <w:color w:val="000000" w:themeColor="text1"/>
        </w:rPr>
        <w:t>. [online] Available at: https://www.reuters.com/article/us-health-coronavirus-sainsbury-s-idUSKBN21C1G0 [Accessed 5 Feb. 2022].</w:t>
      </w:r>
    </w:p>
    <w:p w14:paraId="4A536E2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Sandlin, H. (2021). </w:t>
      </w:r>
      <w:r w:rsidRPr="00CF58ED">
        <w:rPr>
          <w:rFonts w:asciiTheme="minorHAnsi" w:hAnsiTheme="minorHAnsi" w:cstheme="minorHAnsi"/>
          <w:i/>
          <w:iCs/>
          <w:color w:val="000000" w:themeColor="text1"/>
        </w:rPr>
        <w:t>Aldi pledges £3.5bn towards UK suppliers</w:t>
      </w:r>
      <w:r w:rsidRPr="00CF58ED">
        <w:rPr>
          <w:rFonts w:asciiTheme="minorHAnsi" w:hAnsiTheme="minorHAnsi" w:cstheme="minorHAnsi"/>
          <w:color w:val="000000" w:themeColor="text1"/>
        </w:rPr>
        <w:t>. [online] Retail Sector. Available at: https://www.retailsector.co.uk/613776-aldi-pledges-3-5bn-towards-uk-suppliers/ [Accessed 5 Feb. 2022].</w:t>
      </w:r>
    </w:p>
    <w:p w14:paraId="604DB5F5"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Sarkis, J. (2020). Supply chain sustainability: learning from the COVID-19 pandemic. </w:t>
      </w:r>
      <w:r w:rsidRPr="00CF58ED">
        <w:rPr>
          <w:rFonts w:asciiTheme="minorHAnsi" w:eastAsiaTheme="minorHAnsi" w:hAnsiTheme="minorHAnsi" w:cstheme="minorHAnsi"/>
          <w:i/>
          <w:iCs/>
          <w:color w:val="000000" w:themeColor="text1"/>
          <w:lang w:eastAsia="en-US"/>
        </w:rPr>
        <w:t>International Journal of Operations &amp; Production Management</w:t>
      </w:r>
      <w:r w:rsidRPr="00CF58ED">
        <w:rPr>
          <w:rFonts w:asciiTheme="minorHAnsi" w:eastAsiaTheme="minorHAnsi" w:hAnsiTheme="minorHAnsi" w:cstheme="minorHAnsi"/>
          <w:color w:val="000000" w:themeColor="text1"/>
          <w:lang w:eastAsia="en-US"/>
        </w:rPr>
        <w:t>, [online] 41(1), pp.63–73. Available at: https://www-proquest-com.ezproxy.uwtsd.ac.uk/docview/2472250654?pq-origsite=primo&amp;accountid=130472 [Accessed 5 Feb. 2022].</w:t>
      </w:r>
    </w:p>
    <w:p w14:paraId="204A6D0B"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Schleper, M.C., Gold, S., Trautrims, A. and Baldock, D. (2021). Pandemic-induced knowledge gaps in operations and supply chain management: COVID-19’s impacts on retailing. </w:t>
      </w:r>
      <w:r w:rsidRPr="00CF58ED">
        <w:rPr>
          <w:rFonts w:asciiTheme="minorHAnsi" w:hAnsiTheme="minorHAnsi" w:cstheme="minorHAnsi"/>
          <w:i/>
          <w:iCs/>
          <w:color w:val="000000" w:themeColor="text1"/>
        </w:rPr>
        <w:t>International Journal of Operations &amp; Production Management</w:t>
      </w:r>
      <w:r w:rsidRPr="00CF58ED">
        <w:rPr>
          <w:rFonts w:asciiTheme="minorHAnsi" w:hAnsiTheme="minorHAnsi" w:cstheme="minorHAnsi"/>
          <w:color w:val="000000" w:themeColor="text1"/>
        </w:rPr>
        <w:t>, [online] 41(3), pp.193–205. Available at: https://www.emerald.com/insight/content/doi/10.1108/IJOPM-12-2020-0837/full/html?utm_source=rss&amp;utm_medium=feed&amp;utm_campaign=rss_journalLatest [Accessed 4 Feb. 2022].</w:t>
      </w:r>
    </w:p>
    <w:p w14:paraId="49CF4E6C"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Seferidi, P., Laverty, A.A., Pearson-Stuttard, J., Bandosz, P., Collins, B., Guzman-Castillo, M., Capewell, S., O’Flaherty, M. and Millett, C. (2019). Impacts of Brexit on fruit and vegetable intake and cardiovascular disease in England: a modelling study. </w:t>
      </w:r>
      <w:r w:rsidRPr="00CF58ED">
        <w:rPr>
          <w:rFonts w:asciiTheme="minorHAnsi" w:eastAsiaTheme="minorHAnsi" w:hAnsiTheme="minorHAnsi" w:cstheme="minorHAnsi"/>
          <w:i/>
          <w:iCs/>
          <w:color w:val="000000" w:themeColor="text1"/>
          <w:lang w:eastAsia="en-US"/>
        </w:rPr>
        <w:t>BMJ Open</w:t>
      </w:r>
      <w:r w:rsidRPr="00CF58ED">
        <w:rPr>
          <w:rFonts w:asciiTheme="minorHAnsi" w:eastAsiaTheme="minorHAnsi" w:hAnsiTheme="minorHAnsi" w:cstheme="minorHAnsi"/>
          <w:color w:val="000000" w:themeColor="text1"/>
          <w:lang w:eastAsia="en-US"/>
        </w:rPr>
        <w:t>, [online] 9(1). Available at: https://bmjopen.bmj.com/content/9/1/e026966 [Accessed 5 Feb. 2022].</w:t>
      </w:r>
    </w:p>
    <w:p w14:paraId="7815390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Siche, R. (2020). What is the impact of COVID-19 disease on agriculture? </w:t>
      </w:r>
      <w:r w:rsidRPr="00CF58ED">
        <w:rPr>
          <w:rFonts w:asciiTheme="minorHAnsi" w:eastAsiaTheme="minorHAnsi" w:hAnsiTheme="minorHAnsi" w:cstheme="minorHAnsi"/>
          <w:i/>
          <w:iCs/>
          <w:color w:val="000000" w:themeColor="text1"/>
          <w:lang w:eastAsia="en-US"/>
        </w:rPr>
        <w:t>Scientia Agropecuaria</w:t>
      </w:r>
      <w:r w:rsidRPr="00CF58ED">
        <w:rPr>
          <w:rFonts w:asciiTheme="minorHAnsi" w:eastAsiaTheme="minorHAnsi" w:hAnsiTheme="minorHAnsi" w:cstheme="minorHAnsi"/>
          <w:color w:val="000000" w:themeColor="text1"/>
          <w:lang w:eastAsia="en-US"/>
        </w:rPr>
        <w:t>, [online] 11(1), pp.3–6. Available at: http://www.scielo.org.pe/scielo.php?pid=S2077-99172020000100003&amp;script=sci_arttext&amp;tlng=en [Accessed 5 Feb. 2022].</w:t>
      </w:r>
    </w:p>
    <w:p w14:paraId="6138FE68"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Siju, N.M. (2021). Adaption of Supply Chain Strategies Amid Covid-19. </w:t>
      </w:r>
      <w:r w:rsidRPr="00CF58ED">
        <w:rPr>
          <w:rFonts w:asciiTheme="minorHAnsi" w:hAnsiTheme="minorHAnsi" w:cstheme="minorHAnsi"/>
          <w:i/>
          <w:iCs/>
          <w:color w:val="000000" w:themeColor="text1"/>
        </w:rPr>
        <w:t>International Journal of Innovative Science and Research Technology</w:t>
      </w:r>
      <w:r w:rsidRPr="00CF58ED">
        <w:rPr>
          <w:rFonts w:asciiTheme="minorHAnsi" w:hAnsiTheme="minorHAnsi" w:cstheme="minorHAnsi"/>
          <w:color w:val="000000" w:themeColor="text1"/>
        </w:rPr>
        <w:t>, [online] 6(3), pp.878–880. Available at: https://ijisrt.com/assets/upload/files/IJISRT21MAR537.pdf [Accessed 5 Feb. 2022].</w:t>
      </w:r>
    </w:p>
    <w:p w14:paraId="19A855E2"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lastRenderedPageBreak/>
        <w:t xml:space="preserve">Sillars, J. (2020). </w:t>
      </w:r>
      <w:r w:rsidRPr="00CF58ED">
        <w:rPr>
          <w:rFonts w:asciiTheme="minorHAnsi" w:eastAsiaTheme="minorHAnsi" w:hAnsiTheme="minorHAnsi" w:cstheme="minorHAnsi"/>
          <w:i/>
          <w:iCs/>
          <w:color w:val="000000" w:themeColor="text1"/>
          <w:lang w:eastAsia="en-US"/>
        </w:rPr>
        <w:t>Brexit: Tesco stockpiling “long-life” products in case of disruption</w:t>
      </w:r>
      <w:r w:rsidRPr="00CF58ED">
        <w:rPr>
          <w:rFonts w:asciiTheme="minorHAnsi" w:eastAsiaTheme="minorHAnsi" w:hAnsiTheme="minorHAnsi" w:cstheme="minorHAnsi"/>
          <w:color w:val="000000" w:themeColor="text1"/>
          <w:lang w:eastAsia="en-US"/>
        </w:rPr>
        <w:t>. [online] Sky News. Available at: https://news.sky.com/story/brexit-tesco-stockpiling-long-life-products-in-case-of-disruption-12156246 [Accessed 5 Feb. 2022].</w:t>
      </w:r>
    </w:p>
    <w:p w14:paraId="69F37BB7"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Simpson, E. (2020). Tesco profits surge as online orders double. </w:t>
      </w:r>
      <w:r w:rsidRPr="00CF58ED">
        <w:rPr>
          <w:rFonts w:asciiTheme="minorHAnsi" w:eastAsiaTheme="minorHAnsi" w:hAnsiTheme="minorHAnsi" w:cstheme="minorHAnsi"/>
          <w:i/>
          <w:iCs/>
          <w:color w:val="000000" w:themeColor="text1"/>
          <w:lang w:eastAsia="en-US"/>
        </w:rPr>
        <w:t>BBC News</w:t>
      </w:r>
      <w:r w:rsidRPr="00CF58ED">
        <w:rPr>
          <w:rFonts w:asciiTheme="minorHAnsi" w:eastAsiaTheme="minorHAnsi" w:hAnsiTheme="minorHAnsi" w:cstheme="minorHAnsi"/>
          <w:color w:val="000000" w:themeColor="text1"/>
          <w:lang w:eastAsia="en-US"/>
        </w:rPr>
        <w:t>. [online] 7 Oct. Available at: https://www.bbc.co.uk/news/business-54445399 [Accessed 6 Feb. 2022].</w:t>
      </w:r>
    </w:p>
    <w:p w14:paraId="3CDE19A9"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Suhi, S.A., Enayet, R., Haque, T., Ali, S.M., Moktadir, Md.A. and Paul, S.K. (2019). Environmental sustainability assessment in supply chain: An emerging economy context. </w:t>
      </w:r>
      <w:r w:rsidRPr="00CF58ED">
        <w:rPr>
          <w:rFonts w:asciiTheme="minorHAnsi" w:eastAsiaTheme="minorHAnsi" w:hAnsiTheme="minorHAnsi" w:cstheme="minorHAnsi"/>
          <w:i/>
          <w:iCs/>
          <w:color w:val="000000" w:themeColor="text1"/>
          <w:lang w:eastAsia="en-US"/>
        </w:rPr>
        <w:t>Environmental Impact Assessment Review</w:t>
      </w:r>
      <w:r w:rsidRPr="00CF58ED">
        <w:rPr>
          <w:rFonts w:asciiTheme="minorHAnsi" w:eastAsiaTheme="minorHAnsi" w:hAnsiTheme="minorHAnsi" w:cstheme="minorHAnsi"/>
          <w:color w:val="000000" w:themeColor="text1"/>
          <w:lang w:eastAsia="en-US"/>
        </w:rPr>
        <w:t>, [online] 79, p.106306. Available at: https://www.sciencedirect.com/science/article/pii/S0195925519301611 [Accessed 22 Jul. 2020].</w:t>
      </w:r>
    </w:p>
    <w:p w14:paraId="2F8B3DBD"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Tendall, D.M., Joerin, J., Kopainsky, B., Edwards, P., Shreck, A., Le, Q.B., Kruetli, P., Grant, M. and Six, J. (2015). Food system resilience: Defining the concept. </w:t>
      </w:r>
      <w:r w:rsidRPr="00CF58ED">
        <w:rPr>
          <w:rFonts w:asciiTheme="minorHAnsi" w:eastAsiaTheme="minorHAnsi" w:hAnsiTheme="minorHAnsi" w:cstheme="minorHAnsi"/>
          <w:i/>
          <w:iCs/>
          <w:color w:val="000000" w:themeColor="text1"/>
          <w:lang w:eastAsia="en-US"/>
        </w:rPr>
        <w:t>Global Food Security</w:t>
      </w:r>
      <w:r w:rsidRPr="00CF58ED">
        <w:rPr>
          <w:rFonts w:asciiTheme="minorHAnsi" w:eastAsiaTheme="minorHAnsi" w:hAnsiTheme="minorHAnsi" w:cstheme="minorHAnsi"/>
          <w:color w:val="000000" w:themeColor="text1"/>
          <w:lang w:eastAsia="en-US"/>
        </w:rPr>
        <w:t>, [online] 6(1), pp.17–23. Available at: https://www.sciencedirect.com/science/article/pii/S2211912415300031 [Accessed 5 Feb. 2022].</w:t>
      </w:r>
    </w:p>
    <w:p w14:paraId="0BCC513B"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Tindall, C. (2019). Call for loan to tackle driver shortage. </w:t>
      </w:r>
      <w:r w:rsidRPr="00CF58ED">
        <w:rPr>
          <w:rFonts w:asciiTheme="minorHAnsi" w:eastAsiaTheme="minorHAnsi" w:hAnsiTheme="minorHAnsi" w:cstheme="minorHAnsi"/>
          <w:i/>
          <w:iCs/>
          <w:color w:val="000000" w:themeColor="text1"/>
          <w:lang w:eastAsia="en-US"/>
        </w:rPr>
        <w:t>Motor Transport</w:t>
      </w:r>
      <w:r w:rsidRPr="00CF58ED">
        <w:rPr>
          <w:rFonts w:asciiTheme="minorHAnsi" w:eastAsiaTheme="minorHAnsi" w:hAnsiTheme="minorHAnsi" w:cstheme="minorHAnsi"/>
          <w:color w:val="000000" w:themeColor="text1"/>
          <w:lang w:eastAsia="en-US"/>
        </w:rPr>
        <w:t>, [online] p.4. Available at: https://www-proquest-com.ezproxy.uwtsd.ac.uk/docview/2221744616?OpenUrlRefId=info:xri/sid:primo&amp;accountid=130472 [Accessed 5 Feb. 2022].</w:t>
      </w:r>
    </w:p>
    <w:p w14:paraId="3855088B" w14:textId="77777777" w:rsidR="00CF58ED" w:rsidRPr="00CF58ED" w:rsidRDefault="00CF58ED" w:rsidP="00CF58ED">
      <w:pPr>
        <w:pStyle w:val="ListParagraph"/>
        <w:numPr>
          <w:ilvl w:val="0"/>
          <w:numId w:val="3"/>
        </w:numPr>
        <w:spacing w:line="360" w:lineRule="auto"/>
        <w:rPr>
          <w:rFonts w:asciiTheme="minorHAnsi" w:hAnsiTheme="minorHAnsi" w:cstheme="minorHAnsi"/>
          <w:color w:val="000000" w:themeColor="text1"/>
        </w:rPr>
      </w:pPr>
      <w:r w:rsidRPr="00CF58ED">
        <w:rPr>
          <w:rFonts w:asciiTheme="minorHAnsi" w:hAnsiTheme="minorHAnsi" w:cstheme="minorHAnsi"/>
          <w:color w:val="000000" w:themeColor="text1"/>
        </w:rPr>
        <w:t xml:space="preserve">Tyler, R. E. (2020). Your supply chain survival guide for Brexit. </w:t>
      </w:r>
      <w:r w:rsidRPr="00CF58ED">
        <w:rPr>
          <w:rFonts w:asciiTheme="minorHAnsi" w:hAnsiTheme="minorHAnsi" w:cstheme="minorHAnsi"/>
          <w:i/>
          <w:iCs/>
          <w:color w:val="000000" w:themeColor="text1"/>
        </w:rPr>
        <w:t>Supply Management.</w:t>
      </w:r>
      <w:r w:rsidRPr="00CF58ED">
        <w:rPr>
          <w:rFonts w:asciiTheme="minorHAnsi" w:hAnsiTheme="minorHAnsi" w:cstheme="minorHAnsi"/>
          <w:color w:val="000000" w:themeColor="text1"/>
        </w:rPr>
        <w:t>25(3), pp18-22</w:t>
      </w:r>
    </w:p>
    <w:p w14:paraId="70790B8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Wieland, A. and Durach, C.F. (2021). Two perspectives on supply chain resilience. </w:t>
      </w:r>
      <w:r w:rsidRPr="00CF58ED">
        <w:rPr>
          <w:rFonts w:asciiTheme="minorHAnsi" w:eastAsiaTheme="minorHAnsi" w:hAnsiTheme="minorHAnsi" w:cstheme="minorHAnsi"/>
          <w:i/>
          <w:iCs/>
          <w:color w:val="000000" w:themeColor="text1"/>
          <w:lang w:eastAsia="en-US"/>
        </w:rPr>
        <w:t>Journal of Business Logistics</w:t>
      </w:r>
      <w:r w:rsidRPr="00CF58ED">
        <w:rPr>
          <w:rFonts w:asciiTheme="minorHAnsi" w:eastAsiaTheme="minorHAnsi" w:hAnsiTheme="minorHAnsi" w:cstheme="minorHAnsi"/>
          <w:color w:val="000000" w:themeColor="text1"/>
          <w:lang w:eastAsia="en-US"/>
        </w:rPr>
        <w:t>, [online] 42(3), pp.315–322. Available at: https://onlinelibrary.wiley.com/doi/full/10.1111/jbl.12271 [Accessed 6 Feb. 2022].</w:t>
      </w:r>
    </w:p>
    <w:p w14:paraId="6EBCA82A" w14:textId="77777777" w:rsidR="00CF58ED" w:rsidRPr="00CF58ED" w:rsidRDefault="00CF58ED" w:rsidP="00CF58ED">
      <w:pPr>
        <w:pStyle w:val="ListParagraph"/>
        <w:numPr>
          <w:ilvl w:val="0"/>
          <w:numId w:val="3"/>
        </w:numPr>
        <w:autoSpaceDE w:val="0"/>
        <w:autoSpaceDN w:val="0"/>
        <w:adjustRightInd w:val="0"/>
        <w:spacing w:after="240" w:line="360" w:lineRule="auto"/>
        <w:rPr>
          <w:rFonts w:asciiTheme="minorHAnsi" w:eastAsiaTheme="minorHAnsi" w:hAnsiTheme="minorHAnsi" w:cstheme="minorHAnsi"/>
          <w:color w:val="000000" w:themeColor="text1"/>
          <w:lang w:eastAsia="en-US"/>
        </w:rPr>
      </w:pPr>
      <w:r w:rsidRPr="00CF58ED">
        <w:rPr>
          <w:rFonts w:asciiTheme="minorHAnsi" w:eastAsiaTheme="minorHAnsi" w:hAnsiTheme="minorHAnsi" w:cstheme="minorHAnsi"/>
          <w:color w:val="000000" w:themeColor="text1"/>
          <w:lang w:eastAsia="en-US"/>
        </w:rPr>
        <w:t xml:space="preserve">Ziady, H. (2020). </w:t>
      </w:r>
      <w:r w:rsidRPr="00CF58ED">
        <w:rPr>
          <w:rFonts w:asciiTheme="minorHAnsi" w:eastAsiaTheme="minorHAnsi" w:hAnsiTheme="minorHAnsi" w:cstheme="minorHAnsi"/>
          <w:i/>
          <w:iCs/>
          <w:color w:val="000000" w:themeColor="text1"/>
          <w:lang w:eastAsia="en-US"/>
        </w:rPr>
        <w:t>UK’s biggest supermarket adds 16,000 jobs to cope with online shopping boom</w:t>
      </w:r>
      <w:r w:rsidRPr="00CF58ED">
        <w:rPr>
          <w:rFonts w:asciiTheme="minorHAnsi" w:eastAsiaTheme="minorHAnsi" w:hAnsiTheme="minorHAnsi" w:cstheme="minorHAnsi"/>
          <w:color w:val="000000" w:themeColor="text1"/>
          <w:lang w:eastAsia="en-US"/>
        </w:rPr>
        <w:t>. [online] CNN. Available at: https://edition.cnn.com/2020/08/24/business/tesco-creating-16000-jobs/index.html [Accessed 6 Feb. 2022].</w:t>
      </w:r>
    </w:p>
    <w:p w14:paraId="683AEB71" w14:textId="77777777" w:rsidR="003C54C4" w:rsidRPr="00CF58ED" w:rsidRDefault="003C54C4" w:rsidP="00CF58ED">
      <w:pPr>
        <w:spacing w:line="360" w:lineRule="auto"/>
        <w:rPr>
          <w:rFonts w:asciiTheme="minorHAnsi" w:hAnsiTheme="minorHAnsi" w:cstheme="minorHAnsi"/>
          <w:color w:val="000000" w:themeColor="text1"/>
        </w:rPr>
      </w:pPr>
    </w:p>
    <w:p w14:paraId="0D31E529" w14:textId="77777777" w:rsidR="00CF58ED" w:rsidRPr="00CF58ED" w:rsidRDefault="00CF58ED">
      <w:pPr>
        <w:spacing w:line="360" w:lineRule="auto"/>
        <w:rPr>
          <w:rFonts w:asciiTheme="minorHAnsi" w:hAnsiTheme="minorHAnsi" w:cstheme="minorHAnsi"/>
          <w:color w:val="000000" w:themeColor="text1"/>
        </w:rPr>
      </w:pPr>
    </w:p>
    <w:sectPr w:rsidR="00CF58ED" w:rsidRPr="00CF58ED" w:rsidSect="00CF58ED">
      <w:footerReference w:type="even" r:id="rId14"/>
      <w:footerReference w:type="default" r:id="rId15"/>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F19BA6" w14:textId="77777777" w:rsidR="008B0552" w:rsidRDefault="008B0552" w:rsidP="00643BCE">
      <w:r>
        <w:separator/>
      </w:r>
    </w:p>
  </w:endnote>
  <w:endnote w:type="continuationSeparator" w:id="0">
    <w:p w14:paraId="48C0A861" w14:textId="77777777" w:rsidR="008B0552" w:rsidRDefault="008B0552" w:rsidP="00643B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ple Symbols">
    <w:altName w:val="﷽﷽﷽﷽﷽﷽﷽﷽mbols"/>
    <w:panose1 w:val="02000000000000000000"/>
    <w:charset w:val="B1"/>
    <w:family w:val="auto"/>
    <w:pitch w:val="variable"/>
    <w:sig w:usb0="800008A3" w:usb1="08007BEB" w:usb2="01840034" w:usb3="00000000" w:csb0="000001FB" w:csb1="00000000"/>
  </w:font>
  <w:font w:name="Apple Chancery">
    <w:altName w:val="﷽﷽﷽﷽﷽﷽﷽﷽ancery"/>
    <w:panose1 w:val="03020702040506060504"/>
    <w:charset w:val="B1"/>
    <w:family w:val="script"/>
    <w:pitch w:val="variable"/>
    <w:sig w:usb0="80000867" w:usb1="00000003" w:usb2="00000000" w:usb3="00000000" w:csb0="000001F3" w:csb1="00000000"/>
  </w:font>
  <w:font w:name="Calibri Light">
    <w:panose1 w:val="020F0302020204030204"/>
    <w:charset w:val="00"/>
    <w:family w:val="swiss"/>
    <w:pitch w:val="variable"/>
    <w:sig w:usb0="E4002EFF" w:usb1="C000247B"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00270655"/>
      <w:docPartObj>
        <w:docPartGallery w:val="Page Numbers (Bottom of Page)"/>
        <w:docPartUnique/>
      </w:docPartObj>
    </w:sdtPr>
    <w:sdtEndPr>
      <w:rPr>
        <w:rStyle w:val="PageNumber"/>
      </w:rPr>
    </w:sdtEndPr>
    <w:sdtContent>
      <w:p w14:paraId="5651E05E" w14:textId="4DADFC9B" w:rsidR="00CF58ED" w:rsidRDefault="00CF58ED" w:rsidP="009A23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FA31B5" w14:textId="77777777" w:rsidR="00CF58ED" w:rsidRDefault="00CF58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72225046"/>
      <w:docPartObj>
        <w:docPartGallery w:val="Page Numbers (Bottom of Page)"/>
        <w:docPartUnique/>
      </w:docPartObj>
    </w:sdtPr>
    <w:sdtEndPr>
      <w:rPr>
        <w:rStyle w:val="PageNumber"/>
      </w:rPr>
    </w:sdtEndPr>
    <w:sdtContent>
      <w:p w14:paraId="2BFEBD6C" w14:textId="4B0A219A" w:rsidR="00CF58ED" w:rsidRDefault="00CF58ED" w:rsidP="009A23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C052239" w14:textId="77777777" w:rsidR="00CF58ED" w:rsidRDefault="00CF5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101A67" w14:textId="77777777" w:rsidR="008B0552" w:rsidRDefault="008B0552" w:rsidP="00643BCE">
      <w:r>
        <w:separator/>
      </w:r>
    </w:p>
  </w:footnote>
  <w:footnote w:type="continuationSeparator" w:id="0">
    <w:p w14:paraId="51202115" w14:textId="77777777" w:rsidR="008B0552" w:rsidRDefault="008B0552" w:rsidP="00643B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243E6"/>
    <w:multiLevelType w:val="multilevel"/>
    <w:tmpl w:val="417A55CA"/>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3DC401C"/>
    <w:multiLevelType w:val="hybridMultilevel"/>
    <w:tmpl w:val="4DECC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B6D3C"/>
    <w:multiLevelType w:val="hybridMultilevel"/>
    <w:tmpl w:val="DDACAE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6B01F7A"/>
    <w:multiLevelType w:val="multilevel"/>
    <w:tmpl w:val="9BC082C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D840BA2"/>
    <w:multiLevelType w:val="hybridMultilevel"/>
    <w:tmpl w:val="14E286FC"/>
    <w:lvl w:ilvl="0" w:tplc="0409000F">
      <w:start w:val="1"/>
      <w:numFmt w:val="decimal"/>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E1797B"/>
    <w:multiLevelType w:val="hybridMultilevel"/>
    <w:tmpl w:val="00A06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D3C02"/>
    <w:multiLevelType w:val="multilevel"/>
    <w:tmpl w:val="96D26924"/>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7" w15:restartNumberingAfterBreak="0">
    <w:nsid w:val="76805217"/>
    <w:multiLevelType w:val="multilevel"/>
    <w:tmpl w:val="EA287EAE"/>
    <w:lvl w:ilvl="0">
      <w:start w:val="3"/>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num w:numId="1">
    <w:abstractNumId w:val="3"/>
  </w:num>
  <w:num w:numId="2">
    <w:abstractNumId w:val="2"/>
  </w:num>
  <w:num w:numId="3">
    <w:abstractNumId w:val="4"/>
  </w:num>
  <w:num w:numId="4">
    <w:abstractNumId w:val="7"/>
  </w:num>
  <w:num w:numId="5">
    <w:abstractNumId w:val="6"/>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749"/>
    <w:rsid w:val="00037749"/>
    <w:rsid w:val="00156948"/>
    <w:rsid w:val="00205067"/>
    <w:rsid w:val="00360C3A"/>
    <w:rsid w:val="003C30D3"/>
    <w:rsid w:val="003C54C4"/>
    <w:rsid w:val="004D1DAF"/>
    <w:rsid w:val="00501CBA"/>
    <w:rsid w:val="00562B95"/>
    <w:rsid w:val="005A53B5"/>
    <w:rsid w:val="00643BCE"/>
    <w:rsid w:val="0069495E"/>
    <w:rsid w:val="008B0552"/>
    <w:rsid w:val="00A56119"/>
    <w:rsid w:val="00CF58ED"/>
    <w:rsid w:val="00D53D1F"/>
    <w:rsid w:val="00E01481"/>
    <w:rsid w:val="00E6713F"/>
    <w:rsid w:val="00F23F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80DC1A"/>
  <w15:chartTrackingRefBased/>
  <w15:docId w15:val="{C23E285F-8A72-7341-B70B-DA7EB9CAD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58E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3BCE"/>
    <w:pPr>
      <w:tabs>
        <w:tab w:val="center" w:pos="4513"/>
        <w:tab w:val="right" w:pos="9026"/>
      </w:tabs>
    </w:pPr>
  </w:style>
  <w:style w:type="character" w:customStyle="1" w:styleId="HeaderChar">
    <w:name w:val="Header Char"/>
    <w:basedOn w:val="DefaultParagraphFont"/>
    <w:link w:val="Header"/>
    <w:uiPriority w:val="99"/>
    <w:rsid w:val="00643BCE"/>
  </w:style>
  <w:style w:type="paragraph" w:styleId="Footer">
    <w:name w:val="footer"/>
    <w:basedOn w:val="Normal"/>
    <w:link w:val="FooterChar"/>
    <w:uiPriority w:val="99"/>
    <w:unhideWhenUsed/>
    <w:rsid w:val="00643BCE"/>
    <w:pPr>
      <w:tabs>
        <w:tab w:val="center" w:pos="4513"/>
        <w:tab w:val="right" w:pos="9026"/>
      </w:tabs>
    </w:pPr>
  </w:style>
  <w:style w:type="character" w:customStyle="1" w:styleId="FooterChar">
    <w:name w:val="Footer Char"/>
    <w:basedOn w:val="DefaultParagraphFont"/>
    <w:link w:val="Footer"/>
    <w:uiPriority w:val="99"/>
    <w:rsid w:val="00643BCE"/>
  </w:style>
  <w:style w:type="paragraph" w:styleId="ListParagraph">
    <w:name w:val="List Paragraph"/>
    <w:basedOn w:val="Normal"/>
    <w:uiPriority w:val="34"/>
    <w:qFormat/>
    <w:rsid w:val="003C54C4"/>
    <w:pPr>
      <w:ind w:left="720"/>
      <w:contextualSpacing/>
    </w:pPr>
  </w:style>
  <w:style w:type="character" w:customStyle="1" w:styleId="apple-converted-space">
    <w:name w:val="apple-converted-space"/>
    <w:basedOn w:val="DefaultParagraphFont"/>
    <w:rsid w:val="003C54C4"/>
  </w:style>
  <w:style w:type="character" w:styleId="Hyperlink">
    <w:name w:val="Hyperlink"/>
    <w:basedOn w:val="DefaultParagraphFont"/>
    <w:uiPriority w:val="99"/>
    <w:semiHidden/>
    <w:unhideWhenUsed/>
    <w:rsid w:val="003C54C4"/>
    <w:rPr>
      <w:color w:val="0000FF"/>
      <w:u w:val="single"/>
    </w:rPr>
  </w:style>
  <w:style w:type="character" w:customStyle="1" w:styleId="groupname">
    <w:name w:val="groupname"/>
    <w:basedOn w:val="DefaultParagraphFont"/>
    <w:rsid w:val="003C54C4"/>
  </w:style>
  <w:style w:type="character" w:customStyle="1" w:styleId="pubyear">
    <w:name w:val="pubyear"/>
    <w:basedOn w:val="DefaultParagraphFont"/>
    <w:rsid w:val="003C54C4"/>
  </w:style>
  <w:style w:type="character" w:customStyle="1" w:styleId="othertitle">
    <w:name w:val="othertitle"/>
    <w:basedOn w:val="DefaultParagraphFont"/>
    <w:rsid w:val="003C54C4"/>
  </w:style>
  <w:style w:type="character" w:styleId="Emphasis">
    <w:name w:val="Emphasis"/>
    <w:basedOn w:val="DefaultParagraphFont"/>
    <w:uiPriority w:val="20"/>
    <w:qFormat/>
    <w:rsid w:val="003C54C4"/>
    <w:rPr>
      <w:i/>
      <w:iCs/>
    </w:rPr>
  </w:style>
  <w:style w:type="character" w:customStyle="1" w:styleId="show-for-sr">
    <w:name w:val="show-for-sr"/>
    <w:basedOn w:val="DefaultParagraphFont"/>
    <w:rsid w:val="003C54C4"/>
  </w:style>
  <w:style w:type="paragraph" w:styleId="NormalWeb">
    <w:name w:val="Normal (Web)"/>
    <w:basedOn w:val="Normal"/>
    <w:uiPriority w:val="99"/>
    <w:unhideWhenUsed/>
    <w:rsid w:val="003C54C4"/>
    <w:pPr>
      <w:spacing w:before="100" w:beforeAutospacing="1" w:after="100" w:afterAutospacing="1"/>
    </w:pPr>
  </w:style>
  <w:style w:type="character" w:customStyle="1" w:styleId="jss4228">
    <w:name w:val="jss4228"/>
    <w:basedOn w:val="DefaultParagraphFont"/>
    <w:rsid w:val="003C54C4"/>
  </w:style>
  <w:style w:type="character" w:customStyle="1" w:styleId="jss6690">
    <w:name w:val="jss6690"/>
    <w:basedOn w:val="DefaultParagraphFont"/>
    <w:rsid w:val="003C54C4"/>
  </w:style>
  <w:style w:type="character" w:customStyle="1" w:styleId="jss5607">
    <w:name w:val="jss5607"/>
    <w:basedOn w:val="DefaultParagraphFont"/>
    <w:rsid w:val="00CF58ED"/>
  </w:style>
  <w:style w:type="character" w:customStyle="1" w:styleId="jss1447">
    <w:name w:val="jss1447"/>
    <w:basedOn w:val="DefaultParagraphFont"/>
    <w:rsid w:val="00CF58ED"/>
  </w:style>
  <w:style w:type="character" w:styleId="PageNumber">
    <w:name w:val="page number"/>
    <w:basedOn w:val="DefaultParagraphFont"/>
    <w:uiPriority w:val="99"/>
    <w:semiHidden/>
    <w:unhideWhenUsed/>
    <w:rsid w:val="00CF58ED"/>
  </w:style>
  <w:style w:type="character" w:customStyle="1" w:styleId="jss1800">
    <w:name w:val="jss1800"/>
    <w:basedOn w:val="DefaultParagraphFont"/>
    <w:rsid w:val="00F23F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53627">
      <w:bodyDiv w:val="1"/>
      <w:marLeft w:val="0"/>
      <w:marRight w:val="0"/>
      <w:marTop w:val="0"/>
      <w:marBottom w:val="0"/>
      <w:divBdr>
        <w:top w:val="none" w:sz="0" w:space="0" w:color="auto"/>
        <w:left w:val="none" w:sz="0" w:space="0" w:color="auto"/>
        <w:bottom w:val="none" w:sz="0" w:space="0" w:color="auto"/>
        <w:right w:val="none" w:sz="0" w:space="0" w:color="auto"/>
      </w:divBdr>
    </w:div>
    <w:div w:id="23216490">
      <w:bodyDiv w:val="1"/>
      <w:marLeft w:val="0"/>
      <w:marRight w:val="0"/>
      <w:marTop w:val="0"/>
      <w:marBottom w:val="0"/>
      <w:divBdr>
        <w:top w:val="none" w:sz="0" w:space="0" w:color="auto"/>
        <w:left w:val="none" w:sz="0" w:space="0" w:color="auto"/>
        <w:bottom w:val="none" w:sz="0" w:space="0" w:color="auto"/>
        <w:right w:val="none" w:sz="0" w:space="0" w:color="auto"/>
      </w:divBdr>
    </w:div>
    <w:div w:id="37513222">
      <w:bodyDiv w:val="1"/>
      <w:marLeft w:val="0"/>
      <w:marRight w:val="0"/>
      <w:marTop w:val="0"/>
      <w:marBottom w:val="0"/>
      <w:divBdr>
        <w:top w:val="none" w:sz="0" w:space="0" w:color="auto"/>
        <w:left w:val="none" w:sz="0" w:space="0" w:color="auto"/>
        <w:bottom w:val="none" w:sz="0" w:space="0" w:color="auto"/>
        <w:right w:val="none" w:sz="0" w:space="0" w:color="auto"/>
      </w:divBdr>
    </w:div>
    <w:div w:id="41055411">
      <w:bodyDiv w:val="1"/>
      <w:marLeft w:val="0"/>
      <w:marRight w:val="0"/>
      <w:marTop w:val="0"/>
      <w:marBottom w:val="0"/>
      <w:divBdr>
        <w:top w:val="none" w:sz="0" w:space="0" w:color="auto"/>
        <w:left w:val="none" w:sz="0" w:space="0" w:color="auto"/>
        <w:bottom w:val="none" w:sz="0" w:space="0" w:color="auto"/>
        <w:right w:val="none" w:sz="0" w:space="0" w:color="auto"/>
      </w:divBdr>
    </w:div>
    <w:div w:id="103038604">
      <w:bodyDiv w:val="1"/>
      <w:marLeft w:val="0"/>
      <w:marRight w:val="0"/>
      <w:marTop w:val="0"/>
      <w:marBottom w:val="0"/>
      <w:divBdr>
        <w:top w:val="none" w:sz="0" w:space="0" w:color="auto"/>
        <w:left w:val="none" w:sz="0" w:space="0" w:color="auto"/>
        <w:bottom w:val="none" w:sz="0" w:space="0" w:color="auto"/>
        <w:right w:val="none" w:sz="0" w:space="0" w:color="auto"/>
      </w:divBdr>
    </w:div>
    <w:div w:id="230313450">
      <w:bodyDiv w:val="1"/>
      <w:marLeft w:val="0"/>
      <w:marRight w:val="0"/>
      <w:marTop w:val="0"/>
      <w:marBottom w:val="0"/>
      <w:divBdr>
        <w:top w:val="none" w:sz="0" w:space="0" w:color="auto"/>
        <w:left w:val="none" w:sz="0" w:space="0" w:color="auto"/>
        <w:bottom w:val="none" w:sz="0" w:space="0" w:color="auto"/>
        <w:right w:val="none" w:sz="0" w:space="0" w:color="auto"/>
      </w:divBdr>
    </w:div>
    <w:div w:id="238372921">
      <w:bodyDiv w:val="1"/>
      <w:marLeft w:val="0"/>
      <w:marRight w:val="0"/>
      <w:marTop w:val="0"/>
      <w:marBottom w:val="0"/>
      <w:divBdr>
        <w:top w:val="none" w:sz="0" w:space="0" w:color="auto"/>
        <w:left w:val="none" w:sz="0" w:space="0" w:color="auto"/>
        <w:bottom w:val="none" w:sz="0" w:space="0" w:color="auto"/>
        <w:right w:val="none" w:sz="0" w:space="0" w:color="auto"/>
      </w:divBdr>
    </w:div>
    <w:div w:id="261959376">
      <w:bodyDiv w:val="1"/>
      <w:marLeft w:val="0"/>
      <w:marRight w:val="0"/>
      <w:marTop w:val="0"/>
      <w:marBottom w:val="0"/>
      <w:divBdr>
        <w:top w:val="none" w:sz="0" w:space="0" w:color="auto"/>
        <w:left w:val="none" w:sz="0" w:space="0" w:color="auto"/>
        <w:bottom w:val="none" w:sz="0" w:space="0" w:color="auto"/>
        <w:right w:val="none" w:sz="0" w:space="0" w:color="auto"/>
      </w:divBdr>
    </w:div>
    <w:div w:id="383287049">
      <w:bodyDiv w:val="1"/>
      <w:marLeft w:val="0"/>
      <w:marRight w:val="0"/>
      <w:marTop w:val="0"/>
      <w:marBottom w:val="0"/>
      <w:divBdr>
        <w:top w:val="none" w:sz="0" w:space="0" w:color="auto"/>
        <w:left w:val="none" w:sz="0" w:space="0" w:color="auto"/>
        <w:bottom w:val="none" w:sz="0" w:space="0" w:color="auto"/>
        <w:right w:val="none" w:sz="0" w:space="0" w:color="auto"/>
      </w:divBdr>
    </w:div>
    <w:div w:id="523786926">
      <w:bodyDiv w:val="1"/>
      <w:marLeft w:val="0"/>
      <w:marRight w:val="0"/>
      <w:marTop w:val="0"/>
      <w:marBottom w:val="0"/>
      <w:divBdr>
        <w:top w:val="none" w:sz="0" w:space="0" w:color="auto"/>
        <w:left w:val="none" w:sz="0" w:space="0" w:color="auto"/>
        <w:bottom w:val="none" w:sz="0" w:space="0" w:color="auto"/>
        <w:right w:val="none" w:sz="0" w:space="0" w:color="auto"/>
      </w:divBdr>
    </w:div>
    <w:div w:id="587428493">
      <w:bodyDiv w:val="1"/>
      <w:marLeft w:val="0"/>
      <w:marRight w:val="0"/>
      <w:marTop w:val="0"/>
      <w:marBottom w:val="0"/>
      <w:divBdr>
        <w:top w:val="none" w:sz="0" w:space="0" w:color="auto"/>
        <w:left w:val="none" w:sz="0" w:space="0" w:color="auto"/>
        <w:bottom w:val="none" w:sz="0" w:space="0" w:color="auto"/>
        <w:right w:val="none" w:sz="0" w:space="0" w:color="auto"/>
      </w:divBdr>
    </w:div>
    <w:div w:id="594049703">
      <w:bodyDiv w:val="1"/>
      <w:marLeft w:val="0"/>
      <w:marRight w:val="0"/>
      <w:marTop w:val="0"/>
      <w:marBottom w:val="0"/>
      <w:divBdr>
        <w:top w:val="none" w:sz="0" w:space="0" w:color="auto"/>
        <w:left w:val="none" w:sz="0" w:space="0" w:color="auto"/>
        <w:bottom w:val="none" w:sz="0" w:space="0" w:color="auto"/>
        <w:right w:val="none" w:sz="0" w:space="0" w:color="auto"/>
      </w:divBdr>
    </w:div>
    <w:div w:id="605506564">
      <w:bodyDiv w:val="1"/>
      <w:marLeft w:val="0"/>
      <w:marRight w:val="0"/>
      <w:marTop w:val="0"/>
      <w:marBottom w:val="0"/>
      <w:divBdr>
        <w:top w:val="none" w:sz="0" w:space="0" w:color="auto"/>
        <w:left w:val="none" w:sz="0" w:space="0" w:color="auto"/>
        <w:bottom w:val="none" w:sz="0" w:space="0" w:color="auto"/>
        <w:right w:val="none" w:sz="0" w:space="0" w:color="auto"/>
      </w:divBdr>
    </w:div>
    <w:div w:id="652107255">
      <w:bodyDiv w:val="1"/>
      <w:marLeft w:val="0"/>
      <w:marRight w:val="0"/>
      <w:marTop w:val="0"/>
      <w:marBottom w:val="0"/>
      <w:divBdr>
        <w:top w:val="none" w:sz="0" w:space="0" w:color="auto"/>
        <w:left w:val="none" w:sz="0" w:space="0" w:color="auto"/>
        <w:bottom w:val="none" w:sz="0" w:space="0" w:color="auto"/>
        <w:right w:val="none" w:sz="0" w:space="0" w:color="auto"/>
      </w:divBdr>
    </w:div>
    <w:div w:id="712193548">
      <w:bodyDiv w:val="1"/>
      <w:marLeft w:val="0"/>
      <w:marRight w:val="0"/>
      <w:marTop w:val="0"/>
      <w:marBottom w:val="0"/>
      <w:divBdr>
        <w:top w:val="none" w:sz="0" w:space="0" w:color="auto"/>
        <w:left w:val="none" w:sz="0" w:space="0" w:color="auto"/>
        <w:bottom w:val="none" w:sz="0" w:space="0" w:color="auto"/>
        <w:right w:val="none" w:sz="0" w:space="0" w:color="auto"/>
      </w:divBdr>
    </w:div>
    <w:div w:id="769395628">
      <w:bodyDiv w:val="1"/>
      <w:marLeft w:val="0"/>
      <w:marRight w:val="0"/>
      <w:marTop w:val="0"/>
      <w:marBottom w:val="0"/>
      <w:divBdr>
        <w:top w:val="none" w:sz="0" w:space="0" w:color="auto"/>
        <w:left w:val="none" w:sz="0" w:space="0" w:color="auto"/>
        <w:bottom w:val="none" w:sz="0" w:space="0" w:color="auto"/>
        <w:right w:val="none" w:sz="0" w:space="0" w:color="auto"/>
      </w:divBdr>
    </w:div>
    <w:div w:id="787162711">
      <w:bodyDiv w:val="1"/>
      <w:marLeft w:val="0"/>
      <w:marRight w:val="0"/>
      <w:marTop w:val="0"/>
      <w:marBottom w:val="0"/>
      <w:divBdr>
        <w:top w:val="none" w:sz="0" w:space="0" w:color="auto"/>
        <w:left w:val="none" w:sz="0" w:space="0" w:color="auto"/>
        <w:bottom w:val="none" w:sz="0" w:space="0" w:color="auto"/>
        <w:right w:val="none" w:sz="0" w:space="0" w:color="auto"/>
      </w:divBdr>
      <w:divsChild>
        <w:div w:id="1100612299">
          <w:marLeft w:val="0"/>
          <w:marRight w:val="0"/>
          <w:marTop w:val="0"/>
          <w:marBottom w:val="0"/>
          <w:divBdr>
            <w:top w:val="none" w:sz="0" w:space="0" w:color="auto"/>
            <w:left w:val="none" w:sz="0" w:space="0" w:color="auto"/>
            <w:bottom w:val="none" w:sz="0" w:space="0" w:color="auto"/>
            <w:right w:val="none" w:sz="0" w:space="0" w:color="auto"/>
          </w:divBdr>
          <w:divsChild>
            <w:div w:id="1755590908">
              <w:marLeft w:val="0"/>
              <w:marRight w:val="0"/>
              <w:marTop w:val="0"/>
              <w:marBottom w:val="0"/>
              <w:divBdr>
                <w:top w:val="none" w:sz="0" w:space="0" w:color="auto"/>
                <w:left w:val="none" w:sz="0" w:space="0" w:color="auto"/>
                <w:bottom w:val="none" w:sz="0" w:space="0" w:color="auto"/>
                <w:right w:val="none" w:sz="0" w:space="0" w:color="auto"/>
              </w:divBdr>
              <w:divsChild>
                <w:div w:id="214519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3426235">
      <w:bodyDiv w:val="1"/>
      <w:marLeft w:val="0"/>
      <w:marRight w:val="0"/>
      <w:marTop w:val="0"/>
      <w:marBottom w:val="0"/>
      <w:divBdr>
        <w:top w:val="none" w:sz="0" w:space="0" w:color="auto"/>
        <w:left w:val="none" w:sz="0" w:space="0" w:color="auto"/>
        <w:bottom w:val="none" w:sz="0" w:space="0" w:color="auto"/>
        <w:right w:val="none" w:sz="0" w:space="0" w:color="auto"/>
      </w:divBdr>
      <w:divsChild>
        <w:div w:id="136185400">
          <w:marLeft w:val="0"/>
          <w:marRight w:val="0"/>
          <w:marTop w:val="0"/>
          <w:marBottom w:val="0"/>
          <w:divBdr>
            <w:top w:val="none" w:sz="0" w:space="0" w:color="auto"/>
            <w:left w:val="none" w:sz="0" w:space="0" w:color="auto"/>
            <w:bottom w:val="none" w:sz="0" w:space="0" w:color="auto"/>
            <w:right w:val="none" w:sz="0" w:space="0" w:color="auto"/>
          </w:divBdr>
        </w:div>
        <w:div w:id="452360931">
          <w:marLeft w:val="0"/>
          <w:marRight w:val="0"/>
          <w:marTop w:val="0"/>
          <w:marBottom w:val="0"/>
          <w:divBdr>
            <w:top w:val="none" w:sz="0" w:space="0" w:color="auto"/>
            <w:left w:val="none" w:sz="0" w:space="0" w:color="auto"/>
            <w:bottom w:val="none" w:sz="0" w:space="0" w:color="auto"/>
            <w:right w:val="none" w:sz="0" w:space="0" w:color="auto"/>
          </w:divBdr>
        </w:div>
        <w:div w:id="1884363126">
          <w:marLeft w:val="0"/>
          <w:marRight w:val="0"/>
          <w:marTop w:val="0"/>
          <w:marBottom w:val="0"/>
          <w:divBdr>
            <w:top w:val="none" w:sz="0" w:space="0" w:color="auto"/>
            <w:left w:val="none" w:sz="0" w:space="0" w:color="auto"/>
            <w:bottom w:val="none" w:sz="0" w:space="0" w:color="auto"/>
            <w:right w:val="none" w:sz="0" w:space="0" w:color="auto"/>
          </w:divBdr>
        </w:div>
        <w:div w:id="1228565856">
          <w:marLeft w:val="0"/>
          <w:marRight w:val="0"/>
          <w:marTop w:val="0"/>
          <w:marBottom w:val="0"/>
          <w:divBdr>
            <w:top w:val="none" w:sz="0" w:space="0" w:color="auto"/>
            <w:left w:val="none" w:sz="0" w:space="0" w:color="auto"/>
            <w:bottom w:val="none" w:sz="0" w:space="0" w:color="auto"/>
            <w:right w:val="none" w:sz="0" w:space="0" w:color="auto"/>
          </w:divBdr>
        </w:div>
        <w:div w:id="573591796">
          <w:marLeft w:val="0"/>
          <w:marRight w:val="0"/>
          <w:marTop w:val="0"/>
          <w:marBottom w:val="0"/>
          <w:divBdr>
            <w:top w:val="none" w:sz="0" w:space="0" w:color="auto"/>
            <w:left w:val="none" w:sz="0" w:space="0" w:color="auto"/>
            <w:bottom w:val="none" w:sz="0" w:space="0" w:color="auto"/>
            <w:right w:val="none" w:sz="0" w:space="0" w:color="auto"/>
          </w:divBdr>
        </w:div>
        <w:div w:id="942304602">
          <w:marLeft w:val="0"/>
          <w:marRight w:val="0"/>
          <w:marTop w:val="0"/>
          <w:marBottom w:val="0"/>
          <w:divBdr>
            <w:top w:val="none" w:sz="0" w:space="0" w:color="auto"/>
            <w:left w:val="none" w:sz="0" w:space="0" w:color="auto"/>
            <w:bottom w:val="none" w:sz="0" w:space="0" w:color="auto"/>
            <w:right w:val="none" w:sz="0" w:space="0" w:color="auto"/>
          </w:divBdr>
        </w:div>
        <w:div w:id="1104230237">
          <w:marLeft w:val="0"/>
          <w:marRight w:val="0"/>
          <w:marTop w:val="0"/>
          <w:marBottom w:val="0"/>
          <w:divBdr>
            <w:top w:val="none" w:sz="0" w:space="0" w:color="auto"/>
            <w:left w:val="none" w:sz="0" w:space="0" w:color="auto"/>
            <w:bottom w:val="none" w:sz="0" w:space="0" w:color="auto"/>
            <w:right w:val="none" w:sz="0" w:space="0" w:color="auto"/>
          </w:divBdr>
        </w:div>
        <w:div w:id="160312244">
          <w:marLeft w:val="0"/>
          <w:marRight w:val="0"/>
          <w:marTop w:val="0"/>
          <w:marBottom w:val="0"/>
          <w:divBdr>
            <w:top w:val="none" w:sz="0" w:space="0" w:color="auto"/>
            <w:left w:val="none" w:sz="0" w:space="0" w:color="auto"/>
            <w:bottom w:val="none" w:sz="0" w:space="0" w:color="auto"/>
            <w:right w:val="none" w:sz="0" w:space="0" w:color="auto"/>
          </w:divBdr>
        </w:div>
      </w:divsChild>
    </w:div>
    <w:div w:id="847519995">
      <w:bodyDiv w:val="1"/>
      <w:marLeft w:val="0"/>
      <w:marRight w:val="0"/>
      <w:marTop w:val="0"/>
      <w:marBottom w:val="0"/>
      <w:divBdr>
        <w:top w:val="none" w:sz="0" w:space="0" w:color="auto"/>
        <w:left w:val="none" w:sz="0" w:space="0" w:color="auto"/>
        <w:bottom w:val="none" w:sz="0" w:space="0" w:color="auto"/>
        <w:right w:val="none" w:sz="0" w:space="0" w:color="auto"/>
      </w:divBdr>
    </w:div>
    <w:div w:id="853420587">
      <w:bodyDiv w:val="1"/>
      <w:marLeft w:val="0"/>
      <w:marRight w:val="0"/>
      <w:marTop w:val="0"/>
      <w:marBottom w:val="0"/>
      <w:divBdr>
        <w:top w:val="none" w:sz="0" w:space="0" w:color="auto"/>
        <w:left w:val="none" w:sz="0" w:space="0" w:color="auto"/>
        <w:bottom w:val="none" w:sz="0" w:space="0" w:color="auto"/>
        <w:right w:val="none" w:sz="0" w:space="0" w:color="auto"/>
      </w:divBdr>
    </w:div>
    <w:div w:id="856164270">
      <w:bodyDiv w:val="1"/>
      <w:marLeft w:val="0"/>
      <w:marRight w:val="0"/>
      <w:marTop w:val="0"/>
      <w:marBottom w:val="0"/>
      <w:divBdr>
        <w:top w:val="none" w:sz="0" w:space="0" w:color="auto"/>
        <w:left w:val="none" w:sz="0" w:space="0" w:color="auto"/>
        <w:bottom w:val="none" w:sz="0" w:space="0" w:color="auto"/>
        <w:right w:val="none" w:sz="0" w:space="0" w:color="auto"/>
      </w:divBdr>
    </w:div>
    <w:div w:id="929266877">
      <w:bodyDiv w:val="1"/>
      <w:marLeft w:val="0"/>
      <w:marRight w:val="0"/>
      <w:marTop w:val="0"/>
      <w:marBottom w:val="0"/>
      <w:divBdr>
        <w:top w:val="none" w:sz="0" w:space="0" w:color="auto"/>
        <w:left w:val="none" w:sz="0" w:space="0" w:color="auto"/>
        <w:bottom w:val="none" w:sz="0" w:space="0" w:color="auto"/>
        <w:right w:val="none" w:sz="0" w:space="0" w:color="auto"/>
      </w:divBdr>
      <w:divsChild>
        <w:div w:id="1864242482">
          <w:marLeft w:val="0"/>
          <w:marRight w:val="0"/>
          <w:marTop w:val="0"/>
          <w:marBottom w:val="0"/>
          <w:divBdr>
            <w:top w:val="none" w:sz="0" w:space="0" w:color="auto"/>
            <w:left w:val="none" w:sz="0" w:space="0" w:color="auto"/>
            <w:bottom w:val="none" w:sz="0" w:space="0" w:color="auto"/>
            <w:right w:val="none" w:sz="0" w:space="0" w:color="auto"/>
          </w:divBdr>
          <w:divsChild>
            <w:div w:id="732780843">
              <w:marLeft w:val="0"/>
              <w:marRight w:val="0"/>
              <w:marTop w:val="0"/>
              <w:marBottom w:val="0"/>
              <w:divBdr>
                <w:top w:val="none" w:sz="0" w:space="0" w:color="auto"/>
                <w:left w:val="none" w:sz="0" w:space="0" w:color="auto"/>
                <w:bottom w:val="none" w:sz="0" w:space="0" w:color="auto"/>
                <w:right w:val="none" w:sz="0" w:space="0" w:color="auto"/>
              </w:divBdr>
              <w:divsChild>
                <w:div w:id="68382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678918">
      <w:bodyDiv w:val="1"/>
      <w:marLeft w:val="0"/>
      <w:marRight w:val="0"/>
      <w:marTop w:val="0"/>
      <w:marBottom w:val="0"/>
      <w:divBdr>
        <w:top w:val="none" w:sz="0" w:space="0" w:color="auto"/>
        <w:left w:val="none" w:sz="0" w:space="0" w:color="auto"/>
        <w:bottom w:val="none" w:sz="0" w:space="0" w:color="auto"/>
        <w:right w:val="none" w:sz="0" w:space="0" w:color="auto"/>
      </w:divBdr>
      <w:divsChild>
        <w:div w:id="1542280163">
          <w:marLeft w:val="0"/>
          <w:marRight w:val="0"/>
          <w:marTop w:val="0"/>
          <w:marBottom w:val="0"/>
          <w:divBdr>
            <w:top w:val="none" w:sz="0" w:space="0" w:color="auto"/>
            <w:left w:val="none" w:sz="0" w:space="0" w:color="auto"/>
            <w:bottom w:val="none" w:sz="0" w:space="0" w:color="auto"/>
            <w:right w:val="none" w:sz="0" w:space="0" w:color="auto"/>
          </w:divBdr>
          <w:divsChild>
            <w:div w:id="1057437298">
              <w:marLeft w:val="0"/>
              <w:marRight w:val="0"/>
              <w:marTop w:val="0"/>
              <w:marBottom w:val="0"/>
              <w:divBdr>
                <w:top w:val="none" w:sz="0" w:space="0" w:color="auto"/>
                <w:left w:val="none" w:sz="0" w:space="0" w:color="auto"/>
                <w:bottom w:val="none" w:sz="0" w:space="0" w:color="auto"/>
                <w:right w:val="none" w:sz="0" w:space="0" w:color="auto"/>
              </w:divBdr>
              <w:divsChild>
                <w:div w:id="103155354">
                  <w:marLeft w:val="0"/>
                  <w:marRight w:val="0"/>
                  <w:marTop w:val="0"/>
                  <w:marBottom w:val="0"/>
                  <w:divBdr>
                    <w:top w:val="none" w:sz="0" w:space="0" w:color="auto"/>
                    <w:left w:val="none" w:sz="0" w:space="0" w:color="auto"/>
                    <w:bottom w:val="none" w:sz="0" w:space="0" w:color="auto"/>
                    <w:right w:val="none" w:sz="0" w:space="0" w:color="auto"/>
                  </w:divBdr>
                  <w:divsChild>
                    <w:div w:id="150582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878730">
      <w:bodyDiv w:val="1"/>
      <w:marLeft w:val="0"/>
      <w:marRight w:val="0"/>
      <w:marTop w:val="0"/>
      <w:marBottom w:val="0"/>
      <w:divBdr>
        <w:top w:val="none" w:sz="0" w:space="0" w:color="auto"/>
        <w:left w:val="none" w:sz="0" w:space="0" w:color="auto"/>
        <w:bottom w:val="none" w:sz="0" w:space="0" w:color="auto"/>
        <w:right w:val="none" w:sz="0" w:space="0" w:color="auto"/>
      </w:divBdr>
    </w:div>
    <w:div w:id="1035815674">
      <w:bodyDiv w:val="1"/>
      <w:marLeft w:val="0"/>
      <w:marRight w:val="0"/>
      <w:marTop w:val="0"/>
      <w:marBottom w:val="0"/>
      <w:divBdr>
        <w:top w:val="none" w:sz="0" w:space="0" w:color="auto"/>
        <w:left w:val="none" w:sz="0" w:space="0" w:color="auto"/>
        <w:bottom w:val="none" w:sz="0" w:space="0" w:color="auto"/>
        <w:right w:val="none" w:sz="0" w:space="0" w:color="auto"/>
      </w:divBdr>
    </w:div>
    <w:div w:id="1054893870">
      <w:bodyDiv w:val="1"/>
      <w:marLeft w:val="0"/>
      <w:marRight w:val="0"/>
      <w:marTop w:val="0"/>
      <w:marBottom w:val="0"/>
      <w:divBdr>
        <w:top w:val="none" w:sz="0" w:space="0" w:color="auto"/>
        <w:left w:val="none" w:sz="0" w:space="0" w:color="auto"/>
        <w:bottom w:val="none" w:sz="0" w:space="0" w:color="auto"/>
        <w:right w:val="none" w:sz="0" w:space="0" w:color="auto"/>
      </w:divBdr>
    </w:div>
    <w:div w:id="1062601372">
      <w:bodyDiv w:val="1"/>
      <w:marLeft w:val="0"/>
      <w:marRight w:val="0"/>
      <w:marTop w:val="0"/>
      <w:marBottom w:val="0"/>
      <w:divBdr>
        <w:top w:val="none" w:sz="0" w:space="0" w:color="auto"/>
        <w:left w:val="none" w:sz="0" w:space="0" w:color="auto"/>
        <w:bottom w:val="none" w:sz="0" w:space="0" w:color="auto"/>
        <w:right w:val="none" w:sz="0" w:space="0" w:color="auto"/>
      </w:divBdr>
    </w:div>
    <w:div w:id="1076317958">
      <w:bodyDiv w:val="1"/>
      <w:marLeft w:val="0"/>
      <w:marRight w:val="0"/>
      <w:marTop w:val="0"/>
      <w:marBottom w:val="0"/>
      <w:divBdr>
        <w:top w:val="none" w:sz="0" w:space="0" w:color="auto"/>
        <w:left w:val="none" w:sz="0" w:space="0" w:color="auto"/>
        <w:bottom w:val="none" w:sz="0" w:space="0" w:color="auto"/>
        <w:right w:val="none" w:sz="0" w:space="0" w:color="auto"/>
      </w:divBdr>
    </w:div>
    <w:div w:id="1115514239">
      <w:bodyDiv w:val="1"/>
      <w:marLeft w:val="0"/>
      <w:marRight w:val="0"/>
      <w:marTop w:val="0"/>
      <w:marBottom w:val="0"/>
      <w:divBdr>
        <w:top w:val="none" w:sz="0" w:space="0" w:color="auto"/>
        <w:left w:val="none" w:sz="0" w:space="0" w:color="auto"/>
        <w:bottom w:val="none" w:sz="0" w:space="0" w:color="auto"/>
        <w:right w:val="none" w:sz="0" w:space="0" w:color="auto"/>
      </w:divBdr>
      <w:divsChild>
        <w:div w:id="107899763">
          <w:marLeft w:val="0"/>
          <w:marRight w:val="0"/>
          <w:marTop w:val="0"/>
          <w:marBottom w:val="0"/>
          <w:divBdr>
            <w:top w:val="none" w:sz="0" w:space="0" w:color="auto"/>
            <w:left w:val="none" w:sz="0" w:space="0" w:color="auto"/>
            <w:bottom w:val="none" w:sz="0" w:space="0" w:color="auto"/>
            <w:right w:val="none" w:sz="0" w:space="0" w:color="auto"/>
          </w:divBdr>
        </w:div>
        <w:div w:id="843713292">
          <w:marLeft w:val="0"/>
          <w:marRight w:val="0"/>
          <w:marTop w:val="0"/>
          <w:marBottom w:val="0"/>
          <w:divBdr>
            <w:top w:val="none" w:sz="0" w:space="0" w:color="auto"/>
            <w:left w:val="none" w:sz="0" w:space="0" w:color="auto"/>
            <w:bottom w:val="none" w:sz="0" w:space="0" w:color="auto"/>
            <w:right w:val="none" w:sz="0" w:space="0" w:color="auto"/>
          </w:divBdr>
        </w:div>
        <w:div w:id="1151826002">
          <w:marLeft w:val="0"/>
          <w:marRight w:val="0"/>
          <w:marTop w:val="0"/>
          <w:marBottom w:val="0"/>
          <w:divBdr>
            <w:top w:val="none" w:sz="0" w:space="0" w:color="auto"/>
            <w:left w:val="none" w:sz="0" w:space="0" w:color="auto"/>
            <w:bottom w:val="none" w:sz="0" w:space="0" w:color="auto"/>
            <w:right w:val="none" w:sz="0" w:space="0" w:color="auto"/>
          </w:divBdr>
        </w:div>
        <w:div w:id="418478464">
          <w:marLeft w:val="0"/>
          <w:marRight w:val="0"/>
          <w:marTop w:val="0"/>
          <w:marBottom w:val="0"/>
          <w:divBdr>
            <w:top w:val="none" w:sz="0" w:space="0" w:color="auto"/>
            <w:left w:val="none" w:sz="0" w:space="0" w:color="auto"/>
            <w:bottom w:val="none" w:sz="0" w:space="0" w:color="auto"/>
            <w:right w:val="none" w:sz="0" w:space="0" w:color="auto"/>
          </w:divBdr>
        </w:div>
        <w:div w:id="1549563157">
          <w:marLeft w:val="0"/>
          <w:marRight w:val="0"/>
          <w:marTop w:val="0"/>
          <w:marBottom w:val="0"/>
          <w:divBdr>
            <w:top w:val="none" w:sz="0" w:space="0" w:color="auto"/>
            <w:left w:val="none" w:sz="0" w:space="0" w:color="auto"/>
            <w:bottom w:val="none" w:sz="0" w:space="0" w:color="auto"/>
            <w:right w:val="none" w:sz="0" w:space="0" w:color="auto"/>
          </w:divBdr>
        </w:div>
      </w:divsChild>
    </w:div>
    <w:div w:id="1142624384">
      <w:bodyDiv w:val="1"/>
      <w:marLeft w:val="0"/>
      <w:marRight w:val="0"/>
      <w:marTop w:val="0"/>
      <w:marBottom w:val="0"/>
      <w:divBdr>
        <w:top w:val="none" w:sz="0" w:space="0" w:color="auto"/>
        <w:left w:val="none" w:sz="0" w:space="0" w:color="auto"/>
        <w:bottom w:val="none" w:sz="0" w:space="0" w:color="auto"/>
        <w:right w:val="none" w:sz="0" w:space="0" w:color="auto"/>
      </w:divBdr>
      <w:divsChild>
        <w:div w:id="856583958">
          <w:marLeft w:val="0"/>
          <w:marRight w:val="0"/>
          <w:marTop w:val="0"/>
          <w:marBottom w:val="0"/>
          <w:divBdr>
            <w:top w:val="none" w:sz="0" w:space="0" w:color="auto"/>
            <w:left w:val="none" w:sz="0" w:space="0" w:color="auto"/>
            <w:bottom w:val="none" w:sz="0" w:space="0" w:color="auto"/>
            <w:right w:val="none" w:sz="0" w:space="0" w:color="auto"/>
          </w:divBdr>
          <w:divsChild>
            <w:div w:id="1190340502">
              <w:marLeft w:val="0"/>
              <w:marRight w:val="0"/>
              <w:marTop w:val="0"/>
              <w:marBottom w:val="0"/>
              <w:divBdr>
                <w:top w:val="none" w:sz="0" w:space="0" w:color="auto"/>
                <w:left w:val="none" w:sz="0" w:space="0" w:color="auto"/>
                <w:bottom w:val="none" w:sz="0" w:space="0" w:color="auto"/>
                <w:right w:val="none" w:sz="0" w:space="0" w:color="auto"/>
              </w:divBdr>
              <w:divsChild>
                <w:div w:id="754547048">
                  <w:marLeft w:val="0"/>
                  <w:marRight w:val="0"/>
                  <w:marTop w:val="0"/>
                  <w:marBottom w:val="0"/>
                  <w:divBdr>
                    <w:top w:val="none" w:sz="0" w:space="0" w:color="auto"/>
                    <w:left w:val="none" w:sz="0" w:space="0" w:color="auto"/>
                    <w:bottom w:val="none" w:sz="0" w:space="0" w:color="auto"/>
                    <w:right w:val="none" w:sz="0" w:space="0" w:color="auto"/>
                  </w:divBdr>
                  <w:divsChild>
                    <w:div w:id="49757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086854">
      <w:bodyDiv w:val="1"/>
      <w:marLeft w:val="0"/>
      <w:marRight w:val="0"/>
      <w:marTop w:val="0"/>
      <w:marBottom w:val="0"/>
      <w:divBdr>
        <w:top w:val="none" w:sz="0" w:space="0" w:color="auto"/>
        <w:left w:val="none" w:sz="0" w:space="0" w:color="auto"/>
        <w:bottom w:val="none" w:sz="0" w:space="0" w:color="auto"/>
        <w:right w:val="none" w:sz="0" w:space="0" w:color="auto"/>
      </w:divBdr>
      <w:divsChild>
        <w:div w:id="19553580">
          <w:marLeft w:val="0"/>
          <w:marRight w:val="0"/>
          <w:marTop w:val="0"/>
          <w:marBottom w:val="0"/>
          <w:divBdr>
            <w:top w:val="none" w:sz="0" w:space="0" w:color="auto"/>
            <w:left w:val="none" w:sz="0" w:space="0" w:color="auto"/>
            <w:bottom w:val="none" w:sz="0" w:space="0" w:color="auto"/>
            <w:right w:val="none" w:sz="0" w:space="0" w:color="auto"/>
          </w:divBdr>
        </w:div>
        <w:div w:id="172300841">
          <w:marLeft w:val="0"/>
          <w:marRight w:val="0"/>
          <w:marTop w:val="0"/>
          <w:marBottom w:val="0"/>
          <w:divBdr>
            <w:top w:val="none" w:sz="0" w:space="0" w:color="auto"/>
            <w:left w:val="none" w:sz="0" w:space="0" w:color="auto"/>
            <w:bottom w:val="none" w:sz="0" w:space="0" w:color="auto"/>
            <w:right w:val="none" w:sz="0" w:space="0" w:color="auto"/>
          </w:divBdr>
        </w:div>
        <w:div w:id="505754467">
          <w:marLeft w:val="0"/>
          <w:marRight w:val="0"/>
          <w:marTop w:val="0"/>
          <w:marBottom w:val="0"/>
          <w:divBdr>
            <w:top w:val="none" w:sz="0" w:space="0" w:color="auto"/>
            <w:left w:val="none" w:sz="0" w:space="0" w:color="auto"/>
            <w:bottom w:val="none" w:sz="0" w:space="0" w:color="auto"/>
            <w:right w:val="none" w:sz="0" w:space="0" w:color="auto"/>
          </w:divBdr>
        </w:div>
        <w:div w:id="1809594110">
          <w:marLeft w:val="0"/>
          <w:marRight w:val="0"/>
          <w:marTop w:val="0"/>
          <w:marBottom w:val="0"/>
          <w:divBdr>
            <w:top w:val="none" w:sz="0" w:space="0" w:color="auto"/>
            <w:left w:val="none" w:sz="0" w:space="0" w:color="auto"/>
            <w:bottom w:val="none" w:sz="0" w:space="0" w:color="auto"/>
            <w:right w:val="none" w:sz="0" w:space="0" w:color="auto"/>
          </w:divBdr>
        </w:div>
        <w:div w:id="1426422087">
          <w:marLeft w:val="0"/>
          <w:marRight w:val="0"/>
          <w:marTop w:val="0"/>
          <w:marBottom w:val="0"/>
          <w:divBdr>
            <w:top w:val="none" w:sz="0" w:space="0" w:color="auto"/>
            <w:left w:val="none" w:sz="0" w:space="0" w:color="auto"/>
            <w:bottom w:val="none" w:sz="0" w:space="0" w:color="auto"/>
            <w:right w:val="none" w:sz="0" w:space="0" w:color="auto"/>
          </w:divBdr>
        </w:div>
        <w:div w:id="1011368920">
          <w:marLeft w:val="0"/>
          <w:marRight w:val="0"/>
          <w:marTop w:val="0"/>
          <w:marBottom w:val="0"/>
          <w:divBdr>
            <w:top w:val="none" w:sz="0" w:space="0" w:color="auto"/>
            <w:left w:val="none" w:sz="0" w:space="0" w:color="auto"/>
            <w:bottom w:val="none" w:sz="0" w:space="0" w:color="auto"/>
            <w:right w:val="none" w:sz="0" w:space="0" w:color="auto"/>
          </w:divBdr>
        </w:div>
        <w:div w:id="1592010018">
          <w:marLeft w:val="0"/>
          <w:marRight w:val="0"/>
          <w:marTop w:val="0"/>
          <w:marBottom w:val="0"/>
          <w:divBdr>
            <w:top w:val="none" w:sz="0" w:space="0" w:color="auto"/>
            <w:left w:val="none" w:sz="0" w:space="0" w:color="auto"/>
            <w:bottom w:val="none" w:sz="0" w:space="0" w:color="auto"/>
            <w:right w:val="none" w:sz="0" w:space="0" w:color="auto"/>
          </w:divBdr>
        </w:div>
        <w:div w:id="594750030">
          <w:marLeft w:val="0"/>
          <w:marRight w:val="0"/>
          <w:marTop w:val="0"/>
          <w:marBottom w:val="0"/>
          <w:divBdr>
            <w:top w:val="none" w:sz="0" w:space="0" w:color="auto"/>
            <w:left w:val="none" w:sz="0" w:space="0" w:color="auto"/>
            <w:bottom w:val="none" w:sz="0" w:space="0" w:color="auto"/>
            <w:right w:val="none" w:sz="0" w:space="0" w:color="auto"/>
          </w:divBdr>
        </w:div>
        <w:div w:id="288632123">
          <w:marLeft w:val="0"/>
          <w:marRight w:val="0"/>
          <w:marTop w:val="0"/>
          <w:marBottom w:val="0"/>
          <w:divBdr>
            <w:top w:val="none" w:sz="0" w:space="0" w:color="auto"/>
            <w:left w:val="none" w:sz="0" w:space="0" w:color="auto"/>
            <w:bottom w:val="none" w:sz="0" w:space="0" w:color="auto"/>
            <w:right w:val="none" w:sz="0" w:space="0" w:color="auto"/>
          </w:divBdr>
        </w:div>
        <w:div w:id="949553033">
          <w:marLeft w:val="0"/>
          <w:marRight w:val="0"/>
          <w:marTop w:val="0"/>
          <w:marBottom w:val="0"/>
          <w:divBdr>
            <w:top w:val="none" w:sz="0" w:space="0" w:color="auto"/>
            <w:left w:val="none" w:sz="0" w:space="0" w:color="auto"/>
            <w:bottom w:val="none" w:sz="0" w:space="0" w:color="auto"/>
            <w:right w:val="none" w:sz="0" w:space="0" w:color="auto"/>
          </w:divBdr>
        </w:div>
        <w:div w:id="237794100">
          <w:marLeft w:val="0"/>
          <w:marRight w:val="0"/>
          <w:marTop w:val="0"/>
          <w:marBottom w:val="0"/>
          <w:divBdr>
            <w:top w:val="none" w:sz="0" w:space="0" w:color="auto"/>
            <w:left w:val="none" w:sz="0" w:space="0" w:color="auto"/>
            <w:bottom w:val="none" w:sz="0" w:space="0" w:color="auto"/>
            <w:right w:val="none" w:sz="0" w:space="0" w:color="auto"/>
          </w:divBdr>
        </w:div>
      </w:divsChild>
    </w:div>
    <w:div w:id="1155683955">
      <w:bodyDiv w:val="1"/>
      <w:marLeft w:val="0"/>
      <w:marRight w:val="0"/>
      <w:marTop w:val="0"/>
      <w:marBottom w:val="0"/>
      <w:divBdr>
        <w:top w:val="none" w:sz="0" w:space="0" w:color="auto"/>
        <w:left w:val="none" w:sz="0" w:space="0" w:color="auto"/>
        <w:bottom w:val="none" w:sz="0" w:space="0" w:color="auto"/>
        <w:right w:val="none" w:sz="0" w:space="0" w:color="auto"/>
      </w:divBdr>
    </w:div>
    <w:div w:id="1189022068">
      <w:bodyDiv w:val="1"/>
      <w:marLeft w:val="0"/>
      <w:marRight w:val="0"/>
      <w:marTop w:val="0"/>
      <w:marBottom w:val="0"/>
      <w:divBdr>
        <w:top w:val="none" w:sz="0" w:space="0" w:color="auto"/>
        <w:left w:val="none" w:sz="0" w:space="0" w:color="auto"/>
        <w:bottom w:val="none" w:sz="0" w:space="0" w:color="auto"/>
        <w:right w:val="none" w:sz="0" w:space="0" w:color="auto"/>
      </w:divBdr>
    </w:div>
    <w:div w:id="1197279442">
      <w:bodyDiv w:val="1"/>
      <w:marLeft w:val="0"/>
      <w:marRight w:val="0"/>
      <w:marTop w:val="0"/>
      <w:marBottom w:val="0"/>
      <w:divBdr>
        <w:top w:val="none" w:sz="0" w:space="0" w:color="auto"/>
        <w:left w:val="none" w:sz="0" w:space="0" w:color="auto"/>
        <w:bottom w:val="none" w:sz="0" w:space="0" w:color="auto"/>
        <w:right w:val="none" w:sz="0" w:space="0" w:color="auto"/>
      </w:divBdr>
    </w:div>
    <w:div w:id="1200436042">
      <w:bodyDiv w:val="1"/>
      <w:marLeft w:val="0"/>
      <w:marRight w:val="0"/>
      <w:marTop w:val="0"/>
      <w:marBottom w:val="0"/>
      <w:divBdr>
        <w:top w:val="none" w:sz="0" w:space="0" w:color="auto"/>
        <w:left w:val="none" w:sz="0" w:space="0" w:color="auto"/>
        <w:bottom w:val="none" w:sz="0" w:space="0" w:color="auto"/>
        <w:right w:val="none" w:sz="0" w:space="0" w:color="auto"/>
      </w:divBdr>
    </w:div>
    <w:div w:id="1213153796">
      <w:bodyDiv w:val="1"/>
      <w:marLeft w:val="0"/>
      <w:marRight w:val="0"/>
      <w:marTop w:val="0"/>
      <w:marBottom w:val="0"/>
      <w:divBdr>
        <w:top w:val="none" w:sz="0" w:space="0" w:color="auto"/>
        <w:left w:val="none" w:sz="0" w:space="0" w:color="auto"/>
        <w:bottom w:val="none" w:sz="0" w:space="0" w:color="auto"/>
        <w:right w:val="none" w:sz="0" w:space="0" w:color="auto"/>
      </w:divBdr>
      <w:divsChild>
        <w:div w:id="578633594">
          <w:marLeft w:val="0"/>
          <w:marRight w:val="0"/>
          <w:marTop w:val="0"/>
          <w:marBottom w:val="0"/>
          <w:divBdr>
            <w:top w:val="none" w:sz="0" w:space="0" w:color="auto"/>
            <w:left w:val="none" w:sz="0" w:space="0" w:color="auto"/>
            <w:bottom w:val="none" w:sz="0" w:space="0" w:color="auto"/>
            <w:right w:val="none" w:sz="0" w:space="0" w:color="auto"/>
          </w:divBdr>
          <w:divsChild>
            <w:div w:id="169613308">
              <w:marLeft w:val="0"/>
              <w:marRight w:val="0"/>
              <w:marTop w:val="0"/>
              <w:marBottom w:val="0"/>
              <w:divBdr>
                <w:top w:val="none" w:sz="0" w:space="0" w:color="auto"/>
                <w:left w:val="none" w:sz="0" w:space="0" w:color="auto"/>
                <w:bottom w:val="none" w:sz="0" w:space="0" w:color="auto"/>
                <w:right w:val="none" w:sz="0" w:space="0" w:color="auto"/>
              </w:divBdr>
              <w:divsChild>
                <w:div w:id="6005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850941">
      <w:bodyDiv w:val="1"/>
      <w:marLeft w:val="0"/>
      <w:marRight w:val="0"/>
      <w:marTop w:val="0"/>
      <w:marBottom w:val="0"/>
      <w:divBdr>
        <w:top w:val="none" w:sz="0" w:space="0" w:color="auto"/>
        <w:left w:val="none" w:sz="0" w:space="0" w:color="auto"/>
        <w:bottom w:val="none" w:sz="0" w:space="0" w:color="auto"/>
        <w:right w:val="none" w:sz="0" w:space="0" w:color="auto"/>
      </w:divBdr>
    </w:div>
    <w:div w:id="1238978398">
      <w:bodyDiv w:val="1"/>
      <w:marLeft w:val="0"/>
      <w:marRight w:val="0"/>
      <w:marTop w:val="0"/>
      <w:marBottom w:val="0"/>
      <w:divBdr>
        <w:top w:val="none" w:sz="0" w:space="0" w:color="auto"/>
        <w:left w:val="none" w:sz="0" w:space="0" w:color="auto"/>
        <w:bottom w:val="none" w:sz="0" w:space="0" w:color="auto"/>
        <w:right w:val="none" w:sz="0" w:space="0" w:color="auto"/>
      </w:divBdr>
      <w:divsChild>
        <w:div w:id="194200006">
          <w:marLeft w:val="0"/>
          <w:marRight w:val="0"/>
          <w:marTop w:val="0"/>
          <w:marBottom w:val="0"/>
          <w:divBdr>
            <w:top w:val="none" w:sz="0" w:space="0" w:color="auto"/>
            <w:left w:val="none" w:sz="0" w:space="0" w:color="auto"/>
            <w:bottom w:val="none" w:sz="0" w:space="0" w:color="auto"/>
            <w:right w:val="none" w:sz="0" w:space="0" w:color="auto"/>
          </w:divBdr>
        </w:div>
        <w:div w:id="1905332824">
          <w:marLeft w:val="0"/>
          <w:marRight w:val="0"/>
          <w:marTop w:val="0"/>
          <w:marBottom w:val="0"/>
          <w:divBdr>
            <w:top w:val="none" w:sz="0" w:space="0" w:color="auto"/>
            <w:left w:val="none" w:sz="0" w:space="0" w:color="auto"/>
            <w:bottom w:val="none" w:sz="0" w:space="0" w:color="auto"/>
            <w:right w:val="none" w:sz="0" w:space="0" w:color="auto"/>
          </w:divBdr>
        </w:div>
      </w:divsChild>
    </w:div>
    <w:div w:id="1270704057">
      <w:bodyDiv w:val="1"/>
      <w:marLeft w:val="0"/>
      <w:marRight w:val="0"/>
      <w:marTop w:val="0"/>
      <w:marBottom w:val="0"/>
      <w:divBdr>
        <w:top w:val="none" w:sz="0" w:space="0" w:color="auto"/>
        <w:left w:val="none" w:sz="0" w:space="0" w:color="auto"/>
        <w:bottom w:val="none" w:sz="0" w:space="0" w:color="auto"/>
        <w:right w:val="none" w:sz="0" w:space="0" w:color="auto"/>
      </w:divBdr>
      <w:divsChild>
        <w:div w:id="1719744858">
          <w:marLeft w:val="0"/>
          <w:marRight w:val="0"/>
          <w:marTop w:val="0"/>
          <w:marBottom w:val="0"/>
          <w:divBdr>
            <w:top w:val="none" w:sz="0" w:space="0" w:color="auto"/>
            <w:left w:val="none" w:sz="0" w:space="0" w:color="auto"/>
            <w:bottom w:val="none" w:sz="0" w:space="0" w:color="auto"/>
            <w:right w:val="none" w:sz="0" w:space="0" w:color="auto"/>
          </w:divBdr>
          <w:divsChild>
            <w:div w:id="209654501">
              <w:marLeft w:val="0"/>
              <w:marRight w:val="0"/>
              <w:marTop w:val="0"/>
              <w:marBottom w:val="0"/>
              <w:divBdr>
                <w:top w:val="none" w:sz="0" w:space="0" w:color="auto"/>
                <w:left w:val="none" w:sz="0" w:space="0" w:color="auto"/>
                <w:bottom w:val="none" w:sz="0" w:space="0" w:color="auto"/>
                <w:right w:val="none" w:sz="0" w:space="0" w:color="auto"/>
              </w:divBdr>
              <w:divsChild>
                <w:div w:id="1817915752">
                  <w:marLeft w:val="0"/>
                  <w:marRight w:val="0"/>
                  <w:marTop w:val="0"/>
                  <w:marBottom w:val="0"/>
                  <w:divBdr>
                    <w:top w:val="none" w:sz="0" w:space="0" w:color="auto"/>
                    <w:left w:val="none" w:sz="0" w:space="0" w:color="auto"/>
                    <w:bottom w:val="none" w:sz="0" w:space="0" w:color="auto"/>
                    <w:right w:val="none" w:sz="0" w:space="0" w:color="auto"/>
                  </w:divBdr>
                  <w:divsChild>
                    <w:div w:id="71455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749900">
      <w:bodyDiv w:val="1"/>
      <w:marLeft w:val="0"/>
      <w:marRight w:val="0"/>
      <w:marTop w:val="0"/>
      <w:marBottom w:val="0"/>
      <w:divBdr>
        <w:top w:val="none" w:sz="0" w:space="0" w:color="auto"/>
        <w:left w:val="none" w:sz="0" w:space="0" w:color="auto"/>
        <w:bottom w:val="none" w:sz="0" w:space="0" w:color="auto"/>
        <w:right w:val="none" w:sz="0" w:space="0" w:color="auto"/>
      </w:divBdr>
      <w:divsChild>
        <w:div w:id="653416573">
          <w:marLeft w:val="0"/>
          <w:marRight w:val="0"/>
          <w:marTop w:val="0"/>
          <w:marBottom w:val="0"/>
          <w:divBdr>
            <w:top w:val="none" w:sz="0" w:space="0" w:color="auto"/>
            <w:left w:val="none" w:sz="0" w:space="0" w:color="auto"/>
            <w:bottom w:val="none" w:sz="0" w:space="0" w:color="auto"/>
            <w:right w:val="none" w:sz="0" w:space="0" w:color="auto"/>
          </w:divBdr>
          <w:divsChild>
            <w:div w:id="215509037">
              <w:marLeft w:val="0"/>
              <w:marRight w:val="0"/>
              <w:marTop w:val="0"/>
              <w:marBottom w:val="0"/>
              <w:divBdr>
                <w:top w:val="none" w:sz="0" w:space="0" w:color="auto"/>
                <w:left w:val="none" w:sz="0" w:space="0" w:color="auto"/>
                <w:bottom w:val="none" w:sz="0" w:space="0" w:color="auto"/>
                <w:right w:val="none" w:sz="0" w:space="0" w:color="auto"/>
              </w:divBdr>
              <w:divsChild>
                <w:div w:id="1526796092">
                  <w:marLeft w:val="0"/>
                  <w:marRight w:val="0"/>
                  <w:marTop w:val="0"/>
                  <w:marBottom w:val="0"/>
                  <w:divBdr>
                    <w:top w:val="none" w:sz="0" w:space="0" w:color="auto"/>
                    <w:left w:val="none" w:sz="0" w:space="0" w:color="auto"/>
                    <w:bottom w:val="none" w:sz="0" w:space="0" w:color="auto"/>
                    <w:right w:val="none" w:sz="0" w:space="0" w:color="auto"/>
                  </w:divBdr>
                  <w:divsChild>
                    <w:div w:id="152667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4864610">
      <w:bodyDiv w:val="1"/>
      <w:marLeft w:val="0"/>
      <w:marRight w:val="0"/>
      <w:marTop w:val="0"/>
      <w:marBottom w:val="0"/>
      <w:divBdr>
        <w:top w:val="none" w:sz="0" w:space="0" w:color="auto"/>
        <w:left w:val="none" w:sz="0" w:space="0" w:color="auto"/>
        <w:bottom w:val="none" w:sz="0" w:space="0" w:color="auto"/>
        <w:right w:val="none" w:sz="0" w:space="0" w:color="auto"/>
      </w:divBdr>
    </w:div>
    <w:div w:id="1352143987">
      <w:bodyDiv w:val="1"/>
      <w:marLeft w:val="0"/>
      <w:marRight w:val="0"/>
      <w:marTop w:val="0"/>
      <w:marBottom w:val="0"/>
      <w:divBdr>
        <w:top w:val="none" w:sz="0" w:space="0" w:color="auto"/>
        <w:left w:val="none" w:sz="0" w:space="0" w:color="auto"/>
        <w:bottom w:val="none" w:sz="0" w:space="0" w:color="auto"/>
        <w:right w:val="none" w:sz="0" w:space="0" w:color="auto"/>
      </w:divBdr>
    </w:div>
    <w:div w:id="1377966942">
      <w:bodyDiv w:val="1"/>
      <w:marLeft w:val="0"/>
      <w:marRight w:val="0"/>
      <w:marTop w:val="0"/>
      <w:marBottom w:val="0"/>
      <w:divBdr>
        <w:top w:val="none" w:sz="0" w:space="0" w:color="auto"/>
        <w:left w:val="none" w:sz="0" w:space="0" w:color="auto"/>
        <w:bottom w:val="none" w:sz="0" w:space="0" w:color="auto"/>
        <w:right w:val="none" w:sz="0" w:space="0" w:color="auto"/>
      </w:divBdr>
    </w:div>
    <w:div w:id="1423725070">
      <w:bodyDiv w:val="1"/>
      <w:marLeft w:val="0"/>
      <w:marRight w:val="0"/>
      <w:marTop w:val="0"/>
      <w:marBottom w:val="0"/>
      <w:divBdr>
        <w:top w:val="none" w:sz="0" w:space="0" w:color="auto"/>
        <w:left w:val="none" w:sz="0" w:space="0" w:color="auto"/>
        <w:bottom w:val="none" w:sz="0" w:space="0" w:color="auto"/>
        <w:right w:val="none" w:sz="0" w:space="0" w:color="auto"/>
      </w:divBdr>
      <w:divsChild>
        <w:div w:id="1898933869">
          <w:marLeft w:val="0"/>
          <w:marRight w:val="0"/>
          <w:marTop w:val="0"/>
          <w:marBottom w:val="0"/>
          <w:divBdr>
            <w:top w:val="none" w:sz="0" w:space="0" w:color="auto"/>
            <w:left w:val="none" w:sz="0" w:space="0" w:color="auto"/>
            <w:bottom w:val="none" w:sz="0" w:space="0" w:color="auto"/>
            <w:right w:val="none" w:sz="0" w:space="0" w:color="auto"/>
          </w:divBdr>
        </w:div>
        <w:div w:id="1682472114">
          <w:marLeft w:val="0"/>
          <w:marRight w:val="0"/>
          <w:marTop w:val="0"/>
          <w:marBottom w:val="0"/>
          <w:divBdr>
            <w:top w:val="none" w:sz="0" w:space="0" w:color="auto"/>
            <w:left w:val="none" w:sz="0" w:space="0" w:color="auto"/>
            <w:bottom w:val="none" w:sz="0" w:space="0" w:color="auto"/>
            <w:right w:val="none" w:sz="0" w:space="0" w:color="auto"/>
          </w:divBdr>
        </w:div>
      </w:divsChild>
    </w:div>
    <w:div w:id="1426412954">
      <w:bodyDiv w:val="1"/>
      <w:marLeft w:val="0"/>
      <w:marRight w:val="0"/>
      <w:marTop w:val="0"/>
      <w:marBottom w:val="0"/>
      <w:divBdr>
        <w:top w:val="none" w:sz="0" w:space="0" w:color="auto"/>
        <w:left w:val="none" w:sz="0" w:space="0" w:color="auto"/>
        <w:bottom w:val="none" w:sz="0" w:space="0" w:color="auto"/>
        <w:right w:val="none" w:sz="0" w:space="0" w:color="auto"/>
      </w:divBdr>
    </w:div>
    <w:div w:id="1435898757">
      <w:bodyDiv w:val="1"/>
      <w:marLeft w:val="0"/>
      <w:marRight w:val="0"/>
      <w:marTop w:val="0"/>
      <w:marBottom w:val="0"/>
      <w:divBdr>
        <w:top w:val="none" w:sz="0" w:space="0" w:color="auto"/>
        <w:left w:val="none" w:sz="0" w:space="0" w:color="auto"/>
        <w:bottom w:val="none" w:sz="0" w:space="0" w:color="auto"/>
        <w:right w:val="none" w:sz="0" w:space="0" w:color="auto"/>
      </w:divBdr>
    </w:div>
    <w:div w:id="1447233148">
      <w:bodyDiv w:val="1"/>
      <w:marLeft w:val="0"/>
      <w:marRight w:val="0"/>
      <w:marTop w:val="0"/>
      <w:marBottom w:val="0"/>
      <w:divBdr>
        <w:top w:val="none" w:sz="0" w:space="0" w:color="auto"/>
        <w:left w:val="none" w:sz="0" w:space="0" w:color="auto"/>
        <w:bottom w:val="none" w:sz="0" w:space="0" w:color="auto"/>
        <w:right w:val="none" w:sz="0" w:space="0" w:color="auto"/>
      </w:divBdr>
      <w:divsChild>
        <w:div w:id="2036954022">
          <w:marLeft w:val="0"/>
          <w:marRight w:val="0"/>
          <w:marTop w:val="0"/>
          <w:marBottom w:val="0"/>
          <w:divBdr>
            <w:top w:val="none" w:sz="0" w:space="0" w:color="auto"/>
            <w:left w:val="none" w:sz="0" w:space="0" w:color="auto"/>
            <w:bottom w:val="none" w:sz="0" w:space="0" w:color="auto"/>
            <w:right w:val="none" w:sz="0" w:space="0" w:color="auto"/>
          </w:divBdr>
          <w:divsChild>
            <w:div w:id="1459303764">
              <w:marLeft w:val="0"/>
              <w:marRight w:val="0"/>
              <w:marTop w:val="0"/>
              <w:marBottom w:val="0"/>
              <w:divBdr>
                <w:top w:val="none" w:sz="0" w:space="0" w:color="auto"/>
                <w:left w:val="none" w:sz="0" w:space="0" w:color="auto"/>
                <w:bottom w:val="none" w:sz="0" w:space="0" w:color="auto"/>
                <w:right w:val="none" w:sz="0" w:space="0" w:color="auto"/>
              </w:divBdr>
              <w:divsChild>
                <w:div w:id="1265645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168499">
      <w:bodyDiv w:val="1"/>
      <w:marLeft w:val="0"/>
      <w:marRight w:val="0"/>
      <w:marTop w:val="0"/>
      <w:marBottom w:val="0"/>
      <w:divBdr>
        <w:top w:val="none" w:sz="0" w:space="0" w:color="auto"/>
        <w:left w:val="none" w:sz="0" w:space="0" w:color="auto"/>
        <w:bottom w:val="none" w:sz="0" w:space="0" w:color="auto"/>
        <w:right w:val="none" w:sz="0" w:space="0" w:color="auto"/>
      </w:divBdr>
      <w:divsChild>
        <w:div w:id="328364152">
          <w:marLeft w:val="0"/>
          <w:marRight w:val="0"/>
          <w:marTop w:val="0"/>
          <w:marBottom w:val="0"/>
          <w:divBdr>
            <w:top w:val="none" w:sz="0" w:space="0" w:color="auto"/>
            <w:left w:val="none" w:sz="0" w:space="0" w:color="auto"/>
            <w:bottom w:val="none" w:sz="0" w:space="0" w:color="auto"/>
            <w:right w:val="none" w:sz="0" w:space="0" w:color="auto"/>
          </w:divBdr>
          <w:divsChild>
            <w:div w:id="1934313104">
              <w:marLeft w:val="0"/>
              <w:marRight w:val="0"/>
              <w:marTop w:val="0"/>
              <w:marBottom w:val="0"/>
              <w:divBdr>
                <w:top w:val="none" w:sz="0" w:space="0" w:color="auto"/>
                <w:left w:val="none" w:sz="0" w:space="0" w:color="auto"/>
                <w:bottom w:val="none" w:sz="0" w:space="0" w:color="auto"/>
                <w:right w:val="none" w:sz="0" w:space="0" w:color="auto"/>
              </w:divBdr>
              <w:divsChild>
                <w:div w:id="118682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681239">
      <w:bodyDiv w:val="1"/>
      <w:marLeft w:val="0"/>
      <w:marRight w:val="0"/>
      <w:marTop w:val="0"/>
      <w:marBottom w:val="0"/>
      <w:divBdr>
        <w:top w:val="none" w:sz="0" w:space="0" w:color="auto"/>
        <w:left w:val="none" w:sz="0" w:space="0" w:color="auto"/>
        <w:bottom w:val="none" w:sz="0" w:space="0" w:color="auto"/>
        <w:right w:val="none" w:sz="0" w:space="0" w:color="auto"/>
      </w:divBdr>
    </w:div>
    <w:div w:id="1635215155">
      <w:bodyDiv w:val="1"/>
      <w:marLeft w:val="0"/>
      <w:marRight w:val="0"/>
      <w:marTop w:val="0"/>
      <w:marBottom w:val="0"/>
      <w:divBdr>
        <w:top w:val="none" w:sz="0" w:space="0" w:color="auto"/>
        <w:left w:val="none" w:sz="0" w:space="0" w:color="auto"/>
        <w:bottom w:val="none" w:sz="0" w:space="0" w:color="auto"/>
        <w:right w:val="none" w:sz="0" w:space="0" w:color="auto"/>
      </w:divBdr>
    </w:div>
    <w:div w:id="1721708425">
      <w:bodyDiv w:val="1"/>
      <w:marLeft w:val="0"/>
      <w:marRight w:val="0"/>
      <w:marTop w:val="0"/>
      <w:marBottom w:val="0"/>
      <w:divBdr>
        <w:top w:val="none" w:sz="0" w:space="0" w:color="auto"/>
        <w:left w:val="none" w:sz="0" w:space="0" w:color="auto"/>
        <w:bottom w:val="none" w:sz="0" w:space="0" w:color="auto"/>
        <w:right w:val="none" w:sz="0" w:space="0" w:color="auto"/>
      </w:divBdr>
    </w:div>
    <w:div w:id="1739397550">
      <w:bodyDiv w:val="1"/>
      <w:marLeft w:val="0"/>
      <w:marRight w:val="0"/>
      <w:marTop w:val="0"/>
      <w:marBottom w:val="0"/>
      <w:divBdr>
        <w:top w:val="none" w:sz="0" w:space="0" w:color="auto"/>
        <w:left w:val="none" w:sz="0" w:space="0" w:color="auto"/>
        <w:bottom w:val="none" w:sz="0" w:space="0" w:color="auto"/>
        <w:right w:val="none" w:sz="0" w:space="0" w:color="auto"/>
      </w:divBdr>
    </w:div>
    <w:div w:id="1819033613">
      <w:bodyDiv w:val="1"/>
      <w:marLeft w:val="0"/>
      <w:marRight w:val="0"/>
      <w:marTop w:val="0"/>
      <w:marBottom w:val="0"/>
      <w:divBdr>
        <w:top w:val="none" w:sz="0" w:space="0" w:color="auto"/>
        <w:left w:val="none" w:sz="0" w:space="0" w:color="auto"/>
        <w:bottom w:val="none" w:sz="0" w:space="0" w:color="auto"/>
        <w:right w:val="none" w:sz="0" w:space="0" w:color="auto"/>
      </w:divBdr>
    </w:div>
    <w:div w:id="1843398979">
      <w:bodyDiv w:val="1"/>
      <w:marLeft w:val="0"/>
      <w:marRight w:val="0"/>
      <w:marTop w:val="0"/>
      <w:marBottom w:val="0"/>
      <w:divBdr>
        <w:top w:val="none" w:sz="0" w:space="0" w:color="auto"/>
        <w:left w:val="none" w:sz="0" w:space="0" w:color="auto"/>
        <w:bottom w:val="none" w:sz="0" w:space="0" w:color="auto"/>
        <w:right w:val="none" w:sz="0" w:space="0" w:color="auto"/>
      </w:divBdr>
    </w:div>
    <w:div w:id="1929656910">
      <w:bodyDiv w:val="1"/>
      <w:marLeft w:val="0"/>
      <w:marRight w:val="0"/>
      <w:marTop w:val="0"/>
      <w:marBottom w:val="0"/>
      <w:divBdr>
        <w:top w:val="none" w:sz="0" w:space="0" w:color="auto"/>
        <w:left w:val="none" w:sz="0" w:space="0" w:color="auto"/>
        <w:bottom w:val="none" w:sz="0" w:space="0" w:color="auto"/>
        <w:right w:val="none" w:sz="0" w:space="0" w:color="auto"/>
      </w:divBdr>
      <w:divsChild>
        <w:div w:id="1043868741">
          <w:marLeft w:val="0"/>
          <w:marRight w:val="0"/>
          <w:marTop w:val="0"/>
          <w:marBottom w:val="0"/>
          <w:divBdr>
            <w:top w:val="none" w:sz="0" w:space="0" w:color="auto"/>
            <w:left w:val="none" w:sz="0" w:space="0" w:color="auto"/>
            <w:bottom w:val="none" w:sz="0" w:space="0" w:color="auto"/>
            <w:right w:val="none" w:sz="0" w:space="0" w:color="auto"/>
          </w:divBdr>
        </w:div>
        <w:div w:id="1719665089">
          <w:marLeft w:val="0"/>
          <w:marRight w:val="0"/>
          <w:marTop w:val="0"/>
          <w:marBottom w:val="0"/>
          <w:divBdr>
            <w:top w:val="none" w:sz="0" w:space="0" w:color="auto"/>
            <w:left w:val="none" w:sz="0" w:space="0" w:color="auto"/>
            <w:bottom w:val="none" w:sz="0" w:space="0" w:color="auto"/>
            <w:right w:val="none" w:sz="0" w:space="0" w:color="auto"/>
          </w:divBdr>
        </w:div>
        <w:div w:id="1217086889">
          <w:marLeft w:val="0"/>
          <w:marRight w:val="0"/>
          <w:marTop w:val="0"/>
          <w:marBottom w:val="0"/>
          <w:divBdr>
            <w:top w:val="none" w:sz="0" w:space="0" w:color="auto"/>
            <w:left w:val="none" w:sz="0" w:space="0" w:color="auto"/>
            <w:bottom w:val="none" w:sz="0" w:space="0" w:color="auto"/>
            <w:right w:val="none" w:sz="0" w:space="0" w:color="auto"/>
          </w:divBdr>
        </w:div>
      </w:divsChild>
    </w:div>
    <w:div w:id="1938101040">
      <w:bodyDiv w:val="1"/>
      <w:marLeft w:val="0"/>
      <w:marRight w:val="0"/>
      <w:marTop w:val="0"/>
      <w:marBottom w:val="0"/>
      <w:divBdr>
        <w:top w:val="none" w:sz="0" w:space="0" w:color="auto"/>
        <w:left w:val="none" w:sz="0" w:space="0" w:color="auto"/>
        <w:bottom w:val="none" w:sz="0" w:space="0" w:color="auto"/>
        <w:right w:val="none" w:sz="0" w:space="0" w:color="auto"/>
      </w:divBdr>
    </w:div>
    <w:div w:id="1993826845">
      <w:bodyDiv w:val="1"/>
      <w:marLeft w:val="0"/>
      <w:marRight w:val="0"/>
      <w:marTop w:val="0"/>
      <w:marBottom w:val="0"/>
      <w:divBdr>
        <w:top w:val="none" w:sz="0" w:space="0" w:color="auto"/>
        <w:left w:val="none" w:sz="0" w:space="0" w:color="auto"/>
        <w:bottom w:val="none" w:sz="0" w:space="0" w:color="auto"/>
        <w:right w:val="none" w:sz="0" w:space="0" w:color="auto"/>
      </w:divBdr>
    </w:div>
    <w:div w:id="2012757148">
      <w:bodyDiv w:val="1"/>
      <w:marLeft w:val="0"/>
      <w:marRight w:val="0"/>
      <w:marTop w:val="0"/>
      <w:marBottom w:val="0"/>
      <w:divBdr>
        <w:top w:val="none" w:sz="0" w:space="0" w:color="auto"/>
        <w:left w:val="none" w:sz="0" w:space="0" w:color="auto"/>
        <w:bottom w:val="none" w:sz="0" w:space="0" w:color="auto"/>
        <w:right w:val="none" w:sz="0" w:space="0" w:color="auto"/>
      </w:divBdr>
    </w:div>
    <w:div w:id="2016416587">
      <w:bodyDiv w:val="1"/>
      <w:marLeft w:val="0"/>
      <w:marRight w:val="0"/>
      <w:marTop w:val="0"/>
      <w:marBottom w:val="0"/>
      <w:divBdr>
        <w:top w:val="none" w:sz="0" w:space="0" w:color="auto"/>
        <w:left w:val="none" w:sz="0" w:space="0" w:color="auto"/>
        <w:bottom w:val="none" w:sz="0" w:space="0" w:color="auto"/>
        <w:right w:val="none" w:sz="0" w:space="0" w:color="auto"/>
      </w:divBdr>
    </w:div>
    <w:div w:id="2051027614">
      <w:bodyDiv w:val="1"/>
      <w:marLeft w:val="0"/>
      <w:marRight w:val="0"/>
      <w:marTop w:val="0"/>
      <w:marBottom w:val="0"/>
      <w:divBdr>
        <w:top w:val="none" w:sz="0" w:space="0" w:color="auto"/>
        <w:left w:val="none" w:sz="0" w:space="0" w:color="auto"/>
        <w:bottom w:val="none" w:sz="0" w:space="0" w:color="auto"/>
        <w:right w:val="none" w:sz="0" w:space="0" w:color="auto"/>
      </w:divBdr>
    </w:div>
    <w:div w:id="2072926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odsecurity.ac.uk/publications/extreme-weather-resilience-global-food-system.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Gay04</b:Tag>
    <b:SourceType>DocumentFromInternetSite</b:SourceType>
    <b:Guid>{7126AD8F-0A1A-48C6-A7D3-9165CD4D090B}</b:Guid>
    <b:Title>London Evening Standard </b:Title>
    <b:Year>2004</b:Year>
    <b:Month>June</b:Month>
    <b:Day>17</b:Day>
    <b:YearAccessed>2014</b:YearAccessed>
    <b:MonthAccessed>April</b:MonthAccessed>
    <b:DayAccessed>12</b:DayAccessed>
    <b:Medium>Web</b:Medium>
    <b:InternetSiteTitle>www.standard.co.uk</b:InternetSiteTitle>
    <b:Author>
      <b:Author>
        <b:NameList>
          <b:Person>
            <b:Last>Dresser</b:Last>
            <b:First>Gay</b:First>
          </b:Person>
        </b:NameList>
      </b:Author>
    </b:Author>
    <b:RefOrder>1</b:RefOrder>
  </b:Source>
</b:Sources>
</file>

<file path=customXml/itemProps1.xml><?xml version="1.0" encoding="utf-8"?>
<ds:datastoreItem xmlns:ds="http://schemas.openxmlformats.org/officeDocument/2006/customXml" ds:itemID="{583FC273-C43A-0344-96F9-1E8D259C5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28</Pages>
  <Words>7276</Words>
  <Characters>41476</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Adrian-Gigi Ciacareanu (1710292)</dc:creator>
  <cp:keywords/>
  <dc:description/>
  <cp:lastModifiedBy>Adrian-Gigi Ciacareanu (1710292)</cp:lastModifiedBy>
  <cp:revision>2</cp:revision>
  <dcterms:created xsi:type="dcterms:W3CDTF">2022-02-15T23:24:00Z</dcterms:created>
  <dcterms:modified xsi:type="dcterms:W3CDTF">2022-02-15T23:24:00Z</dcterms:modified>
</cp:coreProperties>
</file>