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19EBA" w14:textId="77777777" w:rsidR="00C24BC6" w:rsidRDefault="00C24BC6" w:rsidP="00824BAA">
      <w:pPr>
        <w:spacing w:after="150" w:line="360" w:lineRule="auto"/>
        <w:rPr>
          <w:rFonts w:ascii="Arial" w:hAnsi="Arial" w:cs="Arial"/>
          <w:b/>
          <w:bCs/>
          <w:color w:val="000000"/>
          <w:kern w:val="0"/>
          <w:sz w:val="36"/>
          <w:szCs w:val="36"/>
          <w14:ligatures w14:val="none"/>
        </w:rPr>
      </w:pPr>
    </w:p>
    <w:p w14:paraId="3C1D9A6D" w14:textId="00B7A215" w:rsidR="00F222A8" w:rsidRPr="00000A90" w:rsidRDefault="00F63CBF" w:rsidP="00824BAA">
      <w:pPr>
        <w:spacing w:after="150" w:line="360" w:lineRule="auto"/>
        <w:rPr>
          <w:rFonts w:ascii="Arial" w:hAnsi="Arial" w:cs="Arial"/>
          <w:b/>
          <w:bCs/>
          <w:color w:val="000000"/>
          <w:kern w:val="0"/>
          <w:sz w:val="36"/>
          <w:szCs w:val="36"/>
          <w14:ligatures w14:val="none"/>
        </w:rPr>
      </w:pPr>
      <w:r w:rsidRPr="00000A90">
        <w:rPr>
          <w:b/>
          <w:bCs/>
          <w:noProof/>
          <w:sz w:val="36"/>
          <w:szCs w:val="36"/>
        </w:rPr>
        <w:drawing>
          <wp:anchor distT="0" distB="0" distL="114300" distR="114300" simplePos="0" relativeHeight="251658240" behindDoc="0" locked="0" layoutInCell="1" allowOverlap="1" wp14:anchorId="06FE5174" wp14:editId="6587738E">
            <wp:simplePos x="0" y="0"/>
            <wp:positionH relativeFrom="margin">
              <wp:posOffset>0</wp:posOffset>
            </wp:positionH>
            <wp:positionV relativeFrom="paragraph">
              <wp:posOffset>-1191895</wp:posOffset>
            </wp:positionV>
            <wp:extent cx="7219950" cy="3914775"/>
            <wp:effectExtent l="0" t="0" r="0" b="9525"/>
            <wp:wrapTopAndBottom/>
            <wp:docPr id="704230432" name="Picture 704230432">
              <a:extLst xmlns:a="http://schemas.openxmlformats.org/drawingml/2006/main">
                <a:ext uri="{FF2B5EF4-FFF2-40B4-BE49-F238E27FC236}">
                  <a16:creationId xmlns:a16="http://schemas.microsoft.com/office/drawing/2014/main" id="{229233EE-16F3-4F67-9368-DDB31FFBFD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230432" name=""/>
                    <pic:cNvPicPr/>
                  </pic:nvPicPr>
                  <pic:blipFill>
                    <a:blip r:embed="rId5"/>
                    <a:stretch>
                      <a:fillRect/>
                    </a:stretch>
                  </pic:blipFill>
                  <pic:spPr>
                    <a:xfrm>
                      <a:off x="0" y="0"/>
                      <a:ext cx="7219950" cy="3914775"/>
                    </a:xfrm>
                    <a:prstGeom prst="rect">
                      <a:avLst/>
                    </a:prstGeom>
                  </pic:spPr>
                </pic:pic>
              </a:graphicData>
            </a:graphic>
            <wp14:sizeRelH relativeFrom="margin">
              <wp14:pctWidth>0</wp14:pctWidth>
            </wp14:sizeRelH>
            <wp14:sizeRelV relativeFrom="margin">
              <wp14:pctHeight>0</wp14:pctHeight>
            </wp14:sizeRelV>
          </wp:anchor>
        </w:drawing>
      </w:r>
      <w:r w:rsidR="00FD2175" w:rsidRPr="00000A90">
        <w:rPr>
          <w:rFonts w:ascii="Arial" w:hAnsi="Arial" w:cs="Arial"/>
          <w:b/>
          <w:bCs/>
          <w:color w:val="000000"/>
          <w:kern w:val="0"/>
          <w:sz w:val="36"/>
          <w:szCs w:val="36"/>
          <w14:ligatures w14:val="none"/>
        </w:rPr>
        <w:t>N</w:t>
      </w:r>
      <w:r w:rsidR="00BD5306" w:rsidRPr="00000A90">
        <w:rPr>
          <w:rFonts w:ascii="Arial" w:hAnsi="Arial" w:cs="Arial"/>
          <w:b/>
          <w:bCs/>
          <w:color w:val="000000"/>
          <w:kern w:val="0"/>
          <w:sz w:val="36"/>
          <w:szCs w:val="36"/>
          <w14:ligatures w14:val="none"/>
        </w:rPr>
        <w:t>a</w:t>
      </w:r>
      <w:r w:rsidR="005E410A" w:rsidRPr="00000A90">
        <w:rPr>
          <w:rFonts w:ascii="Arial" w:hAnsi="Arial" w:cs="Arial"/>
          <w:b/>
          <w:bCs/>
          <w:color w:val="000000"/>
          <w:kern w:val="0"/>
          <w:sz w:val="36"/>
          <w:szCs w:val="36"/>
          <w14:ligatures w14:val="none"/>
        </w:rPr>
        <w:t>me</w:t>
      </w:r>
      <w:r w:rsidR="00066B7B" w:rsidRPr="00000A90">
        <w:rPr>
          <w:rFonts w:ascii="Arial" w:hAnsi="Arial" w:cs="Arial"/>
          <w:b/>
          <w:bCs/>
          <w:color w:val="000000"/>
          <w:kern w:val="0"/>
          <w:sz w:val="36"/>
          <w:szCs w:val="36"/>
          <w14:ligatures w14:val="none"/>
        </w:rPr>
        <w:t>:</w:t>
      </w:r>
      <w:r w:rsidR="00CD03D5" w:rsidRPr="00000A90">
        <w:rPr>
          <w:rFonts w:ascii="Arial" w:hAnsi="Arial" w:cs="Arial"/>
          <w:color w:val="000000"/>
          <w:kern w:val="0"/>
          <w:sz w:val="36"/>
          <w:szCs w:val="36"/>
          <w14:ligatures w14:val="none"/>
        </w:rPr>
        <w:t xml:space="preserve"> </w:t>
      </w:r>
      <w:r w:rsidR="00A31B26" w:rsidRPr="00000A90">
        <w:rPr>
          <w:rFonts w:ascii="Arial" w:hAnsi="Arial" w:cs="Arial"/>
          <w:color w:val="000000"/>
          <w:kern w:val="0"/>
          <w:sz w:val="36"/>
          <w:szCs w:val="36"/>
          <w14:ligatures w14:val="none"/>
        </w:rPr>
        <w:t>Muhamma</w:t>
      </w:r>
      <w:r w:rsidR="007913A7" w:rsidRPr="00000A90">
        <w:rPr>
          <w:rFonts w:ascii="Arial" w:hAnsi="Arial" w:cs="Arial"/>
          <w:color w:val="000000"/>
          <w:kern w:val="0"/>
          <w:sz w:val="36"/>
          <w:szCs w:val="36"/>
          <w14:ligatures w14:val="none"/>
        </w:rPr>
        <w:t>d</w:t>
      </w:r>
      <w:r w:rsidR="00F222A8" w:rsidRPr="00000A90">
        <w:rPr>
          <w:rFonts w:ascii="Arial" w:hAnsi="Arial" w:cs="Arial"/>
          <w:color w:val="000000"/>
          <w:kern w:val="0"/>
          <w:sz w:val="36"/>
          <w:szCs w:val="36"/>
          <w14:ligatures w14:val="none"/>
        </w:rPr>
        <w:t xml:space="preserve"> Imran</w:t>
      </w:r>
    </w:p>
    <w:p w14:paraId="56BA29FA" w14:textId="77777777" w:rsidR="00F222A8" w:rsidRDefault="00F222A8" w:rsidP="00824BAA">
      <w:pPr>
        <w:spacing w:after="150" w:line="360" w:lineRule="auto"/>
        <w:rPr>
          <w:rFonts w:ascii="Arial" w:hAnsi="Arial" w:cs="Arial"/>
          <w:color w:val="000000"/>
          <w:kern w:val="0"/>
          <w:sz w:val="36"/>
          <w:szCs w:val="36"/>
          <w14:ligatures w14:val="none"/>
        </w:rPr>
      </w:pPr>
      <w:r w:rsidRPr="00000A90">
        <w:rPr>
          <w:rFonts w:ascii="Arial" w:hAnsi="Arial" w:cs="Arial"/>
          <w:b/>
          <w:bCs/>
          <w:color w:val="000000"/>
          <w:kern w:val="0"/>
          <w:sz w:val="36"/>
          <w:szCs w:val="36"/>
          <w14:ligatures w14:val="none"/>
        </w:rPr>
        <w:t xml:space="preserve">Student Number: </w:t>
      </w:r>
      <w:r w:rsidRPr="00000A90">
        <w:rPr>
          <w:rFonts w:ascii="Arial" w:hAnsi="Arial" w:cs="Arial"/>
          <w:color w:val="000000"/>
          <w:kern w:val="0"/>
          <w:sz w:val="36"/>
          <w:szCs w:val="36"/>
          <w14:ligatures w14:val="none"/>
        </w:rPr>
        <w:t>2311530</w:t>
      </w:r>
    </w:p>
    <w:p w14:paraId="3EE9489E" w14:textId="77777777" w:rsidR="00F222A8" w:rsidRPr="00000A90" w:rsidRDefault="00F222A8" w:rsidP="00824BAA">
      <w:pPr>
        <w:spacing w:after="150" w:line="360" w:lineRule="auto"/>
        <w:rPr>
          <w:rFonts w:ascii="Arial" w:hAnsi="Arial" w:cs="Arial"/>
          <w:b/>
          <w:bCs/>
          <w:color w:val="000000"/>
          <w:kern w:val="0"/>
          <w:sz w:val="36"/>
          <w:szCs w:val="36"/>
          <w14:ligatures w14:val="none"/>
        </w:rPr>
      </w:pPr>
      <w:r w:rsidRPr="00000A90">
        <w:rPr>
          <w:rFonts w:ascii="Arial" w:hAnsi="Arial" w:cs="Arial"/>
          <w:b/>
          <w:bCs/>
          <w:color w:val="000000"/>
          <w:kern w:val="0"/>
          <w:sz w:val="36"/>
          <w:szCs w:val="36"/>
          <w14:ligatures w14:val="none"/>
        </w:rPr>
        <w:t xml:space="preserve">Programme: </w:t>
      </w:r>
      <w:r w:rsidRPr="00000A90">
        <w:rPr>
          <w:rFonts w:ascii="Arial" w:hAnsi="Arial" w:cs="Arial"/>
          <w:color w:val="000000"/>
          <w:kern w:val="0"/>
          <w:sz w:val="36"/>
          <w:szCs w:val="36"/>
          <w14:ligatures w14:val="none"/>
        </w:rPr>
        <w:t>BA (Hons) Leadership and Management Skills for the</w:t>
      </w:r>
      <w:r w:rsidRPr="00000A90">
        <w:rPr>
          <w:rFonts w:ascii="Arial" w:hAnsi="Arial" w:cs="Arial"/>
          <w:b/>
          <w:bCs/>
          <w:color w:val="000000"/>
          <w:kern w:val="0"/>
          <w:sz w:val="36"/>
          <w:szCs w:val="36"/>
          <w14:ligatures w14:val="none"/>
        </w:rPr>
        <w:t xml:space="preserve"> </w:t>
      </w:r>
      <w:r w:rsidRPr="00000A90">
        <w:rPr>
          <w:rFonts w:ascii="Arial" w:hAnsi="Arial" w:cs="Arial"/>
          <w:color w:val="000000"/>
          <w:kern w:val="0"/>
          <w:sz w:val="36"/>
          <w:szCs w:val="36"/>
          <w14:ligatures w14:val="none"/>
        </w:rPr>
        <w:t>Workplace</w:t>
      </w:r>
    </w:p>
    <w:p w14:paraId="1693A55A" w14:textId="31C95CDB" w:rsidR="00F222A8" w:rsidRPr="00000A90" w:rsidRDefault="00F222A8" w:rsidP="00824BAA">
      <w:pPr>
        <w:spacing w:after="150" w:line="360" w:lineRule="auto"/>
        <w:rPr>
          <w:rFonts w:ascii="Arial" w:hAnsi="Arial" w:cs="Arial"/>
          <w:b/>
          <w:bCs/>
          <w:color w:val="000000"/>
          <w:kern w:val="0"/>
          <w:sz w:val="36"/>
          <w:szCs w:val="36"/>
          <w14:ligatures w14:val="none"/>
        </w:rPr>
      </w:pPr>
      <w:r w:rsidRPr="00000A90">
        <w:rPr>
          <w:rFonts w:ascii="Arial" w:hAnsi="Arial" w:cs="Arial"/>
          <w:b/>
          <w:bCs/>
          <w:color w:val="000000"/>
          <w:kern w:val="0"/>
          <w:sz w:val="36"/>
          <w:szCs w:val="36"/>
          <w14:ligatures w14:val="none"/>
        </w:rPr>
        <w:t xml:space="preserve">Assignment Title: </w:t>
      </w:r>
      <w:r w:rsidR="00D71D69" w:rsidRPr="00000A90">
        <w:rPr>
          <w:rFonts w:ascii="Arial" w:hAnsi="Arial" w:cs="Arial"/>
          <w:color w:val="000000"/>
          <w:kern w:val="0"/>
          <w:sz w:val="36"/>
          <w:szCs w:val="36"/>
          <w14:ligatures w14:val="none"/>
        </w:rPr>
        <w:t>A</w:t>
      </w:r>
      <w:r w:rsidR="006C40AD" w:rsidRPr="00000A90">
        <w:rPr>
          <w:rFonts w:ascii="Arial" w:hAnsi="Arial" w:cs="Arial"/>
          <w:color w:val="000000"/>
          <w:kern w:val="0"/>
          <w:sz w:val="36"/>
          <w:szCs w:val="36"/>
          <w14:ligatures w14:val="none"/>
        </w:rPr>
        <w:t xml:space="preserve"> </w:t>
      </w:r>
      <w:r w:rsidR="008D2685" w:rsidRPr="00000A90">
        <w:rPr>
          <w:rFonts w:ascii="Arial" w:hAnsi="Arial" w:cs="Arial"/>
          <w:color w:val="000000"/>
          <w:kern w:val="0"/>
          <w:sz w:val="36"/>
          <w:szCs w:val="36"/>
          <w14:ligatures w14:val="none"/>
        </w:rPr>
        <w:t>Strategic</w:t>
      </w:r>
      <w:r w:rsidR="000B74AB" w:rsidRPr="00000A90">
        <w:rPr>
          <w:rFonts w:ascii="Arial" w:hAnsi="Arial" w:cs="Arial"/>
          <w:color w:val="000000"/>
          <w:kern w:val="0"/>
          <w:sz w:val="36"/>
          <w:szCs w:val="36"/>
          <w14:ligatures w14:val="none"/>
        </w:rPr>
        <w:t xml:space="preserve"> </w:t>
      </w:r>
      <w:r w:rsidR="00884F22" w:rsidRPr="00000A90">
        <w:rPr>
          <w:rFonts w:ascii="Arial" w:hAnsi="Arial" w:cs="Arial"/>
          <w:color w:val="000000"/>
          <w:kern w:val="0"/>
          <w:sz w:val="36"/>
          <w:szCs w:val="36"/>
          <w14:ligatures w14:val="none"/>
        </w:rPr>
        <w:t>C</w:t>
      </w:r>
      <w:r w:rsidR="006E0C07" w:rsidRPr="00000A90">
        <w:rPr>
          <w:rFonts w:ascii="Arial" w:hAnsi="Arial" w:cs="Arial"/>
          <w:color w:val="000000"/>
          <w:kern w:val="0"/>
          <w:sz w:val="36"/>
          <w:szCs w:val="36"/>
          <w14:ligatures w14:val="none"/>
        </w:rPr>
        <w:t>hange</w:t>
      </w:r>
      <w:r w:rsidR="00D867F6" w:rsidRPr="00000A90">
        <w:rPr>
          <w:rFonts w:ascii="Arial" w:hAnsi="Arial" w:cs="Arial"/>
          <w:color w:val="000000"/>
          <w:kern w:val="0"/>
          <w:sz w:val="36"/>
          <w:szCs w:val="36"/>
          <w14:ligatures w14:val="none"/>
        </w:rPr>
        <w:t xml:space="preserve"> </w:t>
      </w:r>
      <w:r w:rsidR="00A73155" w:rsidRPr="00000A90">
        <w:rPr>
          <w:rFonts w:ascii="Arial" w:hAnsi="Arial" w:cs="Arial"/>
          <w:color w:val="000000"/>
          <w:kern w:val="0"/>
          <w:sz w:val="36"/>
          <w:szCs w:val="36"/>
          <w14:ligatures w14:val="none"/>
        </w:rPr>
        <w:t>Plan</w:t>
      </w:r>
    </w:p>
    <w:p w14:paraId="393B19E7" w14:textId="2B4A539C" w:rsidR="00F222A8" w:rsidRPr="00000A90" w:rsidRDefault="00F222A8" w:rsidP="00824BAA">
      <w:pPr>
        <w:spacing w:after="150" w:line="360" w:lineRule="auto"/>
        <w:rPr>
          <w:rFonts w:ascii="Arial" w:hAnsi="Arial" w:cs="Arial"/>
          <w:b/>
          <w:bCs/>
          <w:color w:val="000000"/>
          <w:kern w:val="0"/>
          <w:sz w:val="36"/>
          <w:szCs w:val="36"/>
          <w14:ligatures w14:val="none"/>
        </w:rPr>
      </w:pPr>
      <w:r w:rsidRPr="00000A90">
        <w:rPr>
          <w:rFonts w:ascii="Arial" w:hAnsi="Arial" w:cs="Arial"/>
          <w:b/>
          <w:bCs/>
          <w:color w:val="000000"/>
          <w:kern w:val="0"/>
          <w:sz w:val="36"/>
          <w:szCs w:val="36"/>
          <w14:ligatures w14:val="none"/>
        </w:rPr>
        <w:t xml:space="preserve">Module: </w:t>
      </w:r>
      <w:r w:rsidR="005B7E2D" w:rsidRPr="00000A90">
        <w:rPr>
          <w:rFonts w:ascii="Arial" w:hAnsi="Arial" w:cs="Arial"/>
          <w:color w:val="000000"/>
          <w:kern w:val="0"/>
          <w:sz w:val="36"/>
          <w:szCs w:val="36"/>
          <w14:ligatures w14:val="none"/>
        </w:rPr>
        <w:t>L</w:t>
      </w:r>
      <w:r w:rsidR="00A459FD" w:rsidRPr="00000A90">
        <w:rPr>
          <w:rFonts w:ascii="Arial" w:hAnsi="Arial" w:cs="Arial"/>
          <w:color w:val="000000"/>
          <w:kern w:val="0"/>
          <w:sz w:val="36"/>
          <w:szCs w:val="36"/>
          <w14:ligatures w14:val="none"/>
        </w:rPr>
        <w:t>ea</w:t>
      </w:r>
      <w:r w:rsidR="00D545A1" w:rsidRPr="00000A90">
        <w:rPr>
          <w:rFonts w:ascii="Arial" w:hAnsi="Arial" w:cs="Arial"/>
          <w:color w:val="000000"/>
          <w:kern w:val="0"/>
          <w:sz w:val="36"/>
          <w:szCs w:val="36"/>
          <w14:ligatures w14:val="none"/>
        </w:rPr>
        <w:t>ding</w:t>
      </w:r>
      <w:r w:rsidR="0007542C" w:rsidRPr="00000A90">
        <w:rPr>
          <w:rFonts w:ascii="Arial" w:hAnsi="Arial" w:cs="Arial"/>
          <w:color w:val="000000"/>
          <w:kern w:val="0"/>
          <w:sz w:val="36"/>
          <w:szCs w:val="36"/>
          <w14:ligatures w14:val="none"/>
        </w:rPr>
        <w:t xml:space="preserve"> </w:t>
      </w:r>
      <w:r w:rsidR="00A302A0" w:rsidRPr="00000A90">
        <w:rPr>
          <w:rFonts w:ascii="Arial" w:hAnsi="Arial" w:cs="Arial"/>
          <w:color w:val="000000"/>
          <w:kern w:val="0"/>
          <w:sz w:val="36"/>
          <w:szCs w:val="36"/>
          <w14:ligatures w14:val="none"/>
        </w:rPr>
        <w:t>an</w:t>
      </w:r>
      <w:r w:rsidR="006E7B0A" w:rsidRPr="00000A90">
        <w:rPr>
          <w:rFonts w:ascii="Arial" w:hAnsi="Arial" w:cs="Arial"/>
          <w:color w:val="000000"/>
          <w:kern w:val="0"/>
          <w:sz w:val="36"/>
          <w:szCs w:val="36"/>
          <w14:ligatures w14:val="none"/>
        </w:rPr>
        <w:t>d</w:t>
      </w:r>
      <w:r w:rsidR="005F6F24" w:rsidRPr="00000A90">
        <w:rPr>
          <w:rFonts w:ascii="Arial" w:hAnsi="Arial" w:cs="Arial"/>
          <w:color w:val="000000"/>
          <w:kern w:val="0"/>
          <w:sz w:val="36"/>
          <w:szCs w:val="36"/>
          <w14:ligatures w14:val="none"/>
        </w:rPr>
        <w:t xml:space="preserve"> </w:t>
      </w:r>
      <w:r w:rsidR="006E7B0A" w:rsidRPr="00000A90">
        <w:rPr>
          <w:rFonts w:ascii="Arial" w:hAnsi="Arial" w:cs="Arial"/>
          <w:color w:val="000000"/>
          <w:kern w:val="0"/>
          <w:sz w:val="36"/>
          <w:szCs w:val="36"/>
          <w14:ligatures w14:val="none"/>
        </w:rPr>
        <w:t>Im</w:t>
      </w:r>
      <w:r w:rsidR="00CB63F0" w:rsidRPr="00000A90">
        <w:rPr>
          <w:rFonts w:ascii="Arial" w:hAnsi="Arial" w:cs="Arial"/>
          <w:color w:val="000000"/>
          <w:kern w:val="0"/>
          <w:sz w:val="36"/>
          <w:szCs w:val="36"/>
          <w14:ligatures w14:val="none"/>
        </w:rPr>
        <w:t>pl</w:t>
      </w:r>
      <w:r w:rsidR="00310017" w:rsidRPr="00000A90">
        <w:rPr>
          <w:rFonts w:ascii="Arial" w:hAnsi="Arial" w:cs="Arial"/>
          <w:color w:val="000000"/>
          <w:kern w:val="0"/>
          <w:sz w:val="36"/>
          <w:szCs w:val="36"/>
          <w14:ligatures w14:val="none"/>
        </w:rPr>
        <w:t>emen</w:t>
      </w:r>
      <w:r w:rsidR="000778E1" w:rsidRPr="00000A90">
        <w:rPr>
          <w:rFonts w:ascii="Arial" w:hAnsi="Arial" w:cs="Arial"/>
          <w:color w:val="000000"/>
          <w:kern w:val="0"/>
          <w:sz w:val="36"/>
          <w:szCs w:val="36"/>
          <w14:ligatures w14:val="none"/>
        </w:rPr>
        <w:t>ting</w:t>
      </w:r>
      <w:r w:rsidR="00E9269E" w:rsidRPr="00000A90">
        <w:rPr>
          <w:rFonts w:ascii="Arial" w:hAnsi="Arial" w:cs="Arial"/>
          <w:color w:val="000000"/>
          <w:kern w:val="0"/>
          <w:sz w:val="36"/>
          <w:szCs w:val="36"/>
          <w14:ligatures w14:val="none"/>
        </w:rPr>
        <w:t xml:space="preserve"> </w:t>
      </w:r>
      <w:r w:rsidR="00665DC7" w:rsidRPr="00000A90">
        <w:rPr>
          <w:rFonts w:ascii="Arial" w:hAnsi="Arial" w:cs="Arial"/>
          <w:color w:val="000000"/>
          <w:kern w:val="0"/>
          <w:sz w:val="36"/>
          <w:szCs w:val="36"/>
          <w14:ligatures w14:val="none"/>
        </w:rPr>
        <w:t>Chang</w:t>
      </w:r>
      <w:r w:rsidR="007D4AAA" w:rsidRPr="00000A90">
        <w:rPr>
          <w:rFonts w:ascii="Arial" w:hAnsi="Arial" w:cs="Arial"/>
          <w:color w:val="000000"/>
          <w:kern w:val="0"/>
          <w:sz w:val="36"/>
          <w:szCs w:val="36"/>
          <w14:ligatures w14:val="none"/>
        </w:rPr>
        <w:t>e</w:t>
      </w:r>
    </w:p>
    <w:p w14:paraId="2B5D9334" w14:textId="510E1108" w:rsidR="00F222A8" w:rsidRPr="00000A90" w:rsidRDefault="00F222A8" w:rsidP="00824BAA">
      <w:pPr>
        <w:spacing w:after="150" w:line="360" w:lineRule="auto"/>
        <w:rPr>
          <w:rFonts w:ascii="Arial" w:hAnsi="Arial" w:cs="Arial"/>
          <w:b/>
          <w:bCs/>
          <w:color w:val="000000"/>
          <w:kern w:val="0"/>
          <w:sz w:val="36"/>
          <w:szCs w:val="36"/>
          <w14:ligatures w14:val="none"/>
        </w:rPr>
      </w:pPr>
      <w:r w:rsidRPr="00000A90">
        <w:rPr>
          <w:rFonts w:ascii="Arial" w:hAnsi="Arial" w:cs="Arial"/>
          <w:b/>
          <w:bCs/>
          <w:color w:val="000000"/>
          <w:kern w:val="0"/>
          <w:sz w:val="36"/>
          <w:szCs w:val="36"/>
          <w14:ligatures w14:val="none"/>
        </w:rPr>
        <w:t xml:space="preserve">Module Code: </w:t>
      </w:r>
      <w:r w:rsidR="00383BDD" w:rsidRPr="00000A90">
        <w:rPr>
          <w:rFonts w:ascii="Arial" w:hAnsi="Arial" w:cs="Arial"/>
          <w:color w:val="000000"/>
          <w:kern w:val="0"/>
          <w:sz w:val="36"/>
          <w:szCs w:val="36"/>
          <w14:ligatures w14:val="none"/>
        </w:rPr>
        <w:t>L</w:t>
      </w:r>
      <w:r w:rsidR="006944B9" w:rsidRPr="00000A90">
        <w:rPr>
          <w:rFonts w:ascii="Arial" w:hAnsi="Arial" w:cs="Arial"/>
          <w:color w:val="000000"/>
          <w:kern w:val="0"/>
          <w:sz w:val="36"/>
          <w:szCs w:val="36"/>
          <w14:ligatures w14:val="none"/>
        </w:rPr>
        <w:t>CL</w:t>
      </w:r>
      <w:r w:rsidR="00576329" w:rsidRPr="00000A90">
        <w:rPr>
          <w:rFonts w:ascii="Arial" w:hAnsi="Arial" w:cs="Arial"/>
          <w:color w:val="000000"/>
          <w:kern w:val="0"/>
          <w:sz w:val="36"/>
          <w:szCs w:val="36"/>
          <w14:ligatures w14:val="none"/>
        </w:rPr>
        <w:t>M</w:t>
      </w:r>
      <w:r w:rsidR="00923740" w:rsidRPr="00000A90">
        <w:rPr>
          <w:rFonts w:ascii="Arial" w:hAnsi="Arial" w:cs="Arial"/>
          <w:color w:val="000000"/>
          <w:kern w:val="0"/>
          <w:sz w:val="36"/>
          <w:szCs w:val="36"/>
          <w14:ligatures w14:val="none"/>
        </w:rPr>
        <w:t>6003</w:t>
      </w:r>
    </w:p>
    <w:p w14:paraId="10393D44" w14:textId="4E9C01FB" w:rsidR="00D94814" w:rsidRDefault="00F222A8" w:rsidP="00D94814">
      <w:pPr>
        <w:spacing w:after="150" w:line="360" w:lineRule="auto"/>
        <w:rPr>
          <w:rFonts w:ascii="Arial" w:hAnsi="Arial" w:cs="Arial"/>
          <w:color w:val="000000"/>
          <w:kern w:val="0"/>
          <w:sz w:val="36"/>
          <w:szCs w:val="36"/>
          <w14:ligatures w14:val="none"/>
        </w:rPr>
      </w:pPr>
      <w:r w:rsidRPr="00000A90">
        <w:rPr>
          <w:rFonts w:ascii="Arial" w:hAnsi="Arial" w:cs="Arial"/>
          <w:b/>
          <w:bCs/>
          <w:color w:val="000000"/>
          <w:kern w:val="0"/>
          <w:sz w:val="36"/>
          <w:szCs w:val="36"/>
          <w14:ligatures w14:val="none"/>
        </w:rPr>
        <w:t xml:space="preserve">Lecturer: </w:t>
      </w:r>
      <w:r w:rsidR="00BB3E33" w:rsidRPr="00000A90">
        <w:rPr>
          <w:rFonts w:ascii="Arial" w:hAnsi="Arial" w:cs="Arial"/>
          <w:color w:val="000000"/>
          <w:kern w:val="0"/>
          <w:sz w:val="36"/>
          <w:szCs w:val="36"/>
          <w14:ligatures w14:val="none"/>
        </w:rPr>
        <w:t>D</w:t>
      </w:r>
      <w:r w:rsidR="00BD3B71" w:rsidRPr="00000A90">
        <w:rPr>
          <w:rFonts w:ascii="Arial" w:hAnsi="Arial" w:cs="Arial"/>
          <w:color w:val="000000"/>
          <w:kern w:val="0"/>
          <w:sz w:val="36"/>
          <w:szCs w:val="36"/>
          <w14:ligatures w14:val="none"/>
        </w:rPr>
        <w:t>r</w:t>
      </w:r>
      <w:r w:rsidR="00203BCF" w:rsidRPr="00000A90">
        <w:rPr>
          <w:rFonts w:ascii="Arial" w:hAnsi="Arial" w:cs="Arial"/>
          <w:color w:val="000000"/>
          <w:kern w:val="0"/>
          <w:sz w:val="36"/>
          <w:szCs w:val="36"/>
          <w14:ligatures w14:val="none"/>
        </w:rPr>
        <w:t>.</w:t>
      </w:r>
      <w:r w:rsidR="00356D48" w:rsidRPr="00000A90">
        <w:rPr>
          <w:rFonts w:ascii="Arial" w:hAnsi="Arial" w:cs="Arial"/>
          <w:color w:val="000000"/>
          <w:kern w:val="0"/>
          <w:sz w:val="36"/>
          <w:szCs w:val="36"/>
          <w14:ligatures w14:val="none"/>
        </w:rPr>
        <w:t xml:space="preserve"> Suj</w:t>
      </w:r>
      <w:r w:rsidR="008D74A7" w:rsidRPr="00000A90">
        <w:rPr>
          <w:rFonts w:ascii="Arial" w:hAnsi="Arial" w:cs="Arial"/>
          <w:color w:val="000000"/>
          <w:kern w:val="0"/>
          <w:sz w:val="36"/>
          <w:szCs w:val="36"/>
          <w14:ligatures w14:val="none"/>
        </w:rPr>
        <w:t>ee</w:t>
      </w:r>
      <w:r w:rsidR="00773331" w:rsidRPr="00000A90">
        <w:rPr>
          <w:rFonts w:ascii="Arial" w:hAnsi="Arial" w:cs="Arial"/>
          <w:color w:val="000000"/>
          <w:kern w:val="0"/>
          <w:sz w:val="36"/>
          <w:szCs w:val="36"/>
          <w14:ligatures w14:val="none"/>
        </w:rPr>
        <w:t>wa</w:t>
      </w:r>
      <w:r w:rsidR="00FF298B" w:rsidRPr="00000A90">
        <w:rPr>
          <w:rFonts w:ascii="Arial" w:hAnsi="Arial" w:cs="Arial"/>
          <w:color w:val="000000"/>
          <w:kern w:val="0"/>
          <w:sz w:val="36"/>
          <w:szCs w:val="36"/>
          <w14:ligatures w14:val="none"/>
        </w:rPr>
        <w:t xml:space="preserve"> H</w:t>
      </w:r>
      <w:r w:rsidR="00747253" w:rsidRPr="00000A90">
        <w:rPr>
          <w:rFonts w:ascii="Arial" w:hAnsi="Arial" w:cs="Arial"/>
          <w:color w:val="000000"/>
          <w:kern w:val="0"/>
          <w:sz w:val="36"/>
          <w:szCs w:val="36"/>
          <w14:ligatures w14:val="none"/>
        </w:rPr>
        <w:t>erat</w:t>
      </w:r>
      <w:r w:rsidR="001E2515" w:rsidRPr="00000A90">
        <w:rPr>
          <w:rFonts w:ascii="Arial" w:hAnsi="Arial" w:cs="Arial"/>
          <w:color w:val="000000"/>
          <w:kern w:val="0"/>
          <w:sz w:val="36"/>
          <w:szCs w:val="36"/>
          <w14:ligatures w14:val="none"/>
        </w:rPr>
        <w:t>h</w:t>
      </w:r>
    </w:p>
    <w:p w14:paraId="72AF5FDD" w14:textId="77777777" w:rsidR="009F0F93" w:rsidRDefault="009F0F93" w:rsidP="00D94814">
      <w:pPr>
        <w:spacing w:after="150" w:line="360" w:lineRule="auto"/>
        <w:rPr>
          <w:rFonts w:ascii="Arial" w:hAnsi="Arial" w:cs="Arial"/>
          <w:color w:val="000000"/>
          <w:kern w:val="0"/>
          <w:sz w:val="36"/>
          <w:szCs w:val="36"/>
          <w14:ligatures w14:val="none"/>
        </w:rPr>
      </w:pPr>
    </w:p>
    <w:p w14:paraId="2B92512C" w14:textId="77777777" w:rsidR="00416DED" w:rsidRDefault="00416DED" w:rsidP="00D94814">
      <w:pPr>
        <w:spacing w:after="150" w:line="360" w:lineRule="auto"/>
        <w:rPr>
          <w:rFonts w:ascii="Arial" w:hAnsi="Arial" w:cs="Arial"/>
          <w:color w:val="000000"/>
          <w:kern w:val="0"/>
          <w:sz w:val="36"/>
          <w:szCs w:val="36"/>
          <w14:ligatures w14:val="none"/>
        </w:rPr>
      </w:pPr>
    </w:p>
    <w:p w14:paraId="4C2E1842" w14:textId="0A1773E4" w:rsidR="00B265C4" w:rsidRDefault="00B24E11" w:rsidP="00FA6771">
      <w:pPr>
        <w:pStyle w:val="Heading1"/>
        <w:rPr>
          <w:rFonts w:ascii="Arial" w:hAnsi="Arial" w:cs="Arial"/>
          <w:color w:val="000000"/>
          <w:kern w:val="0"/>
          <w:sz w:val="36"/>
          <w:szCs w:val="36"/>
          <w14:ligatures w14:val="none"/>
        </w:rPr>
      </w:pPr>
      <w:r>
        <w:rPr>
          <w:noProof/>
        </w:rPr>
        <w:drawing>
          <wp:anchor distT="0" distB="0" distL="114300" distR="114300" simplePos="0" relativeHeight="251658252" behindDoc="0" locked="0" layoutInCell="1" allowOverlap="1" wp14:anchorId="3C799227" wp14:editId="5118C016">
            <wp:simplePos x="0" y="0"/>
            <wp:positionH relativeFrom="page">
              <wp:align>left</wp:align>
            </wp:positionH>
            <wp:positionV relativeFrom="paragraph">
              <wp:posOffset>0</wp:posOffset>
            </wp:positionV>
            <wp:extent cx="7524750" cy="10344150"/>
            <wp:effectExtent l="0" t="0" r="0" b="0"/>
            <wp:wrapTopAndBottom/>
            <wp:docPr id="1886642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42975" name=""/>
                    <pic:cNvPicPr/>
                  </pic:nvPicPr>
                  <pic:blipFill>
                    <a:blip r:embed="rId6"/>
                    <a:stretch>
                      <a:fillRect/>
                    </a:stretch>
                  </pic:blipFill>
                  <pic:spPr>
                    <a:xfrm>
                      <a:off x="0" y="0"/>
                      <a:ext cx="7524750" cy="10344150"/>
                    </a:xfrm>
                    <a:prstGeom prst="rect">
                      <a:avLst/>
                    </a:prstGeom>
                  </pic:spPr>
                </pic:pic>
              </a:graphicData>
            </a:graphic>
            <wp14:sizeRelH relativeFrom="margin">
              <wp14:pctWidth>0</wp14:pctWidth>
            </wp14:sizeRelH>
            <wp14:sizeRelV relativeFrom="margin">
              <wp14:pctHeight>0</wp14:pctHeight>
            </wp14:sizeRelV>
          </wp:anchor>
        </w:drawing>
      </w:r>
      <w:r w:rsidR="00B746D7">
        <w:rPr>
          <w:rFonts w:ascii="Arial" w:hAnsi="Arial" w:cs="Arial"/>
          <w:color w:val="000000"/>
          <w:kern w:val="0"/>
          <w:sz w:val="36"/>
          <w:szCs w:val="36"/>
          <w14:ligatures w14:val="none"/>
        </w:rPr>
        <w:br w:type="page"/>
      </w:r>
    </w:p>
    <w:p w14:paraId="0D02A159" w14:textId="241E25A0" w:rsidR="00BD5003" w:rsidRPr="00512C0E" w:rsidRDefault="00BD5003" w:rsidP="00512C0E">
      <w:pPr>
        <w:pStyle w:val="Heading1"/>
      </w:pPr>
      <w:r w:rsidRPr="00512C0E">
        <w:t>S</w:t>
      </w:r>
      <w:r w:rsidR="00512C0E" w:rsidRPr="00512C0E">
        <w:t xml:space="preserve">trategic </w:t>
      </w:r>
      <w:r w:rsidRPr="00512C0E">
        <w:t>C</w:t>
      </w:r>
      <w:r w:rsidR="00512C0E" w:rsidRPr="00512C0E">
        <w:t>hange</w:t>
      </w:r>
      <w:r w:rsidRPr="00512C0E">
        <w:t xml:space="preserve"> M</w:t>
      </w:r>
      <w:r w:rsidR="00512C0E" w:rsidRPr="00512C0E">
        <w:t>anagement</w:t>
      </w:r>
      <w:r w:rsidRPr="00512C0E">
        <w:t xml:space="preserve"> R</w:t>
      </w:r>
      <w:r w:rsidR="00512C0E" w:rsidRPr="00512C0E">
        <w:t>eport</w:t>
      </w:r>
    </w:p>
    <w:p w14:paraId="1AE40258" w14:textId="3315F54D" w:rsidR="00BD5003" w:rsidRPr="005A053A" w:rsidRDefault="00BD5003" w:rsidP="00512C0E">
      <w:pPr>
        <w:pStyle w:val="Heading2"/>
      </w:pPr>
      <w:r w:rsidRPr="005A053A">
        <w:t>Organisation: UPS Ltd (United Parcel Service – UK Operations)</w:t>
      </w:r>
    </w:p>
    <w:p w14:paraId="3D7A3BC8" w14:textId="77777777" w:rsidR="00BD5003" w:rsidRPr="005A053A" w:rsidRDefault="00BD5003" w:rsidP="00512C0E">
      <w:pPr>
        <w:pStyle w:val="Heading2"/>
      </w:pPr>
      <w:r w:rsidRPr="005A053A">
        <w:rPr>
          <w:rFonts w:eastAsia="Times New Roman"/>
        </w:rPr>
        <w:t>Executive Summary</w:t>
      </w:r>
    </w:p>
    <w:p w14:paraId="65FB84BD" w14:textId="77777777" w:rsidR="00257EFB" w:rsidRDefault="00BD5003" w:rsidP="00C8552A">
      <w:pPr>
        <w:spacing w:before="100" w:beforeAutospacing="1" w:after="100" w:afterAutospacing="1" w:line="360" w:lineRule="auto"/>
        <w:rPr>
          <w:rFonts w:ascii="Arial" w:hAnsi="Arial" w:cs="Arial"/>
          <w:kern w:val="0"/>
          <w:sz w:val="22"/>
          <w:szCs w:val="22"/>
          <w14:ligatures w14:val="none"/>
        </w:rPr>
      </w:pPr>
      <w:r w:rsidRPr="005A053A">
        <w:rPr>
          <w:rFonts w:ascii="Arial" w:hAnsi="Arial" w:cs="Arial"/>
          <w:kern w:val="0"/>
          <w:sz w:val="22"/>
          <w:szCs w:val="22"/>
          <w14:ligatures w14:val="none"/>
        </w:rPr>
        <w:t xml:space="preserve">This report presents a comprehensive strategic change management plan for UPS Ltd in </w:t>
      </w:r>
    </w:p>
    <w:p w14:paraId="5D168EA9" w14:textId="4EDBEC0D" w:rsidR="00BD5003" w:rsidRPr="005A053A" w:rsidRDefault="00BD5003" w:rsidP="00C8552A">
      <w:pPr>
        <w:spacing w:before="100" w:beforeAutospacing="1" w:after="100" w:afterAutospacing="1" w:line="360" w:lineRule="auto"/>
        <w:rPr>
          <w:rFonts w:ascii="Arial" w:hAnsi="Arial" w:cs="Arial"/>
          <w:kern w:val="0"/>
          <w:sz w:val="22"/>
          <w:szCs w:val="22"/>
          <w14:ligatures w14:val="none"/>
        </w:rPr>
      </w:pPr>
      <w:r w:rsidRPr="005A053A">
        <w:rPr>
          <w:rFonts w:ascii="Arial" w:hAnsi="Arial" w:cs="Arial"/>
          <w:kern w:val="0"/>
          <w:sz w:val="22"/>
          <w:szCs w:val="22"/>
          <w14:ligatures w14:val="none"/>
        </w:rPr>
        <w:t xml:space="preserve">response to significant environmental triggers including digital disruption, artificial intelligence (AI), online retail expansion, regulatory decarbonisation pressures and increasing competitive intensity. </w:t>
      </w:r>
      <w:proofErr w:type="gramStart"/>
      <w:r w:rsidRPr="005A053A">
        <w:rPr>
          <w:rFonts w:ascii="Arial" w:hAnsi="Arial" w:cs="Arial"/>
          <w:kern w:val="0"/>
          <w:sz w:val="22"/>
          <w:szCs w:val="22"/>
          <w14:ligatures w14:val="none"/>
        </w:rPr>
        <w:t>As Change Manager, this report</w:t>
      </w:r>
      <w:proofErr w:type="gramEnd"/>
      <w:r w:rsidRPr="005A053A">
        <w:rPr>
          <w:rFonts w:ascii="Arial" w:hAnsi="Arial" w:cs="Arial"/>
          <w:kern w:val="0"/>
          <w:sz w:val="22"/>
          <w:szCs w:val="22"/>
          <w14:ligatures w14:val="none"/>
        </w:rPr>
        <w:t xml:space="preserve"> evaluates internal and external pressures shaping UPS UK’s business environment and proposes a structured, theory-informed change plan aligned with long-term competitive advantage.</w:t>
      </w:r>
    </w:p>
    <w:p w14:paraId="537277DB" w14:textId="22CDF53B" w:rsidR="00BD5003" w:rsidRPr="005A053A" w:rsidRDefault="00BD5003" w:rsidP="00C8552A">
      <w:pPr>
        <w:spacing w:before="100" w:beforeAutospacing="1" w:after="100" w:afterAutospacing="1" w:line="360" w:lineRule="auto"/>
        <w:rPr>
          <w:rFonts w:ascii="Arial" w:hAnsi="Arial" w:cs="Arial"/>
          <w:kern w:val="0"/>
          <w:sz w:val="22"/>
          <w:szCs w:val="22"/>
          <w14:ligatures w14:val="none"/>
        </w:rPr>
      </w:pPr>
      <w:r w:rsidRPr="005A053A">
        <w:rPr>
          <w:rFonts w:ascii="Arial" w:hAnsi="Arial" w:cs="Arial"/>
          <w:kern w:val="0"/>
          <w:sz w:val="22"/>
          <w:szCs w:val="22"/>
          <w14:ligatures w14:val="none"/>
        </w:rPr>
        <w:t xml:space="preserve">Using PESTLE, Porter’s Five Forces and the Resource-Based View (RBV), the report identifies automation, sustainability </w:t>
      </w:r>
      <w:r w:rsidR="00F105DC" w:rsidRPr="005A053A">
        <w:rPr>
          <w:rFonts w:ascii="Arial" w:hAnsi="Arial" w:cs="Arial"/>
          <w:kern w:val="0"/>
          <w:sz w:val="22"/>
          <w:szCs w:val="22"/>
          <w14:ligatures w14:val="none"/>
        </w:rPr>
        <w:t>regulation,</w:t>
      </w:r>
      <w:r w:rsidRPr="005A053A">
        <w:rPr>
          <w:rFonts w:ascii="Arial" w:hAnsi="Arial" w:cs="Arial"/>
          <w:kern w:val="0"/>
          <w:sz w:val="22"/>
          <w:szCs w:val="22"/>
          <w14:ligatures w14:val="none"/>
        </w:rPr>
        <w:t xml:space="preserve"> and AI-driven </w:t>
      </w:r>
      <w:proofErr w:type="gramStart"/>
      <w:r w:rsidRPr="005A053A">
        <w:rPr>
          <w:rFonts w:ascii="Arial" w:hAnsi="Arial" w:cs="Arial"/>
          <w:kern w:val="0"/>
          <w:sz w:val="22"/>
          <w:szCs w:val="22"/>
          <w14:ligatures w14:val="none"/>
        </w:rPr>
        <w:t>logistics</w:t>
      </w:r>
      <w:proofErr w:type="gramEnd"/>
      <w:r w:rsidRPr="005A053A">
        <w:rPr>
          <w:rFonts w:ascii="Arial" w:hAnsi="Arial" w:cs="Arial"/>
          <w:kern w:val="0"/>
          <w:sz w:val="22"/>
          <w:szCs w:val="22"/>
          <w14:ligatures w14:val="none"/>
        </w:rPr>
        <w:t xml:space="preserve"> optimisation as primary change triggers. Change management frameworks including Lewin’s Three-Step Model, Kotter’s Eight-Step Model and ADKAR are critically evaluated. A hybrid Kotter–ADKAR approach is recommended to ensure both structural and behavioural transformation.</w:t>
      </w:r>
    </w:p>
    <w:p w14:paraId="10F252B0" w14:textId="4F4B00A5" w:rsidR="00BD5003" w:rsidRPr="005A053A" w:rsidRDefault="00BD5003" w:rsidP="00C8552A">
      <w:pPr>
        <w:spacing w:before="100" w:beforeAutospacing="1" w:after="100" w:afterAutospacing="1" w:line="360" w:lineRule="auto"/>
        <w:rPr>
          <w:rFonts w:ascii="Arial" w:hAnsi="Arial" w:cs="Arial"/>
          <w:kern w:val="0"/>
          <w:sz w:val="22"/>
          <w:szCs w:val="22"/>
          <w14:ligatures w14:val="none"/>
        </w:rPr>
      </w:pPr>
      <w:r w:rsidRPr="005A053A">
        <w:rPr>
          <w:rFonts w:ascii="Arial" w:hAnsi="Arial" w:cs="Arial"/>
          <w:kern w:val="0"/>
          <w:sz w:val="22"/>
          <w:szCs w:val="22"/>
          <w14:ligatures w14:val="none"/>
        </w:rPr>
        <w:t xml:space="preserve">Leadership analysis applies Transformational Leadership theory and Schein’s organisational culture model to assess cultural readiness and resistance. A comprehensive change plan is developed including stakeholder mapping, phased implementation, financial planning, communication strategy, risk </w:t>
      </w:r>
      <w:r w:rsidR="00F105DC" w:rsidRPr="005A053A">
        <w:rPr>
          <w:rFonts w:ascii="Arial" w:hAnsi="Arial" w:cs="Arial"/>
          <w:kern w:val="0"/>
          <w:sz w:val="22"/>
          <w:szCs w:val="22"/>
          <w14:ligatures w14:val="none"/>
        </w:rPr>
        <w:t>mitigation,</w:t>
      </w:r>
      <w:r w:rsidRPr="005A053A">
        <w:rPr>
          <w:rFonts w:ascii="Arial" w:hAnsi="Arial" w:cs="Arial"/>
          <w:kern w:val="0"/>
          <w:sz w:val="22"/>
          <w:szCs w:val="22"/>
          <w14:ligatures w14:val="none"/>
        </w:rPr>
        <w:t xml:space="preserve"> and KPI evaluation.</w:t>
      </w:r>
    </w:p>
    <w:p w14:paraId="296B4BFB" w14:textId="77777777" w:rsidR="00BD5003" w:rsidRPr="005A053A" w:rsidRDefault="00BD5003" w:rsidP="00C8552A">
      <w:pPr>
        <w:spacing w:before="100" w:beforeAutospacing="1" w:after="100" w:afterAutospacing="1" w:line="360" w:lineRule="auto"/>
        <w:rPr>
          <w:rFonts w:ascii="Arial" w:hAnsi="Arial" w:cs="Arial"/>
          <w:kern w:val="0"/>
          <w:sz w:val="22"/>
          <w:szCs w:val="22"/>
          <w14:ligatures w14:val="none"/>
        </w:rPr>
      </w:pPr>
      <w:r w:rsidRPr="005A053A">
        <w:rPr>
          <w:rFonts w:ascii="Arial" w:hAnsi="Arial" w:cs="Arial"/>
          <w:kern w:val="0"/>
          <w:sz w:val="22"/>
          <w:szCs w:val="22"/>
          <w14:ligatures w14:val="none"/>
        </w:rPr>
        <w:t xml:space="preserve">The report concludes that UPS can convert regulatory and technological disruption into long-term competitive advantage through integrated digital transformation and sustainable </w:t>
      </w:r>
      <w:proofErr w:type="gramStart"/>
      <w:r w:rsidRPr="005A053A">
        <w:rPr>
          <w:rFonts w:ascii="Arial" w:hAnsi="Arial" w:cs="Arial"/>
          <w:kern w:val="0"/>
          <w:sz w:val="22"/>
          <w:szCs w:val="22"/>
          <w14:ligatures w14:val="none"/>
        </w:rPr>
        <w:t>logistics</w:t>
      </w:r>
      <w:proofErr w:type="gramEnd"/>
      <w:r w:rsidRPr="005A053A">
        <w:rPr>
          <w:rFonts w:ascii="Arial" w:hAnsi="Arial" w:cs="Arial"/>
          <w:kern w:val="0"/>
          <w:sz w:val="22"/>
          <w:szCs w:val="22"/>
          <w14:ligatures w14:val="none"/>
        </w:rPr>
        <w:t xml:space="preserve"> innovation.</w:t>
      </w:r>
    </w:p>
    <w:p w14:paraId="3B22E6D7" w14:textId="77777777" w:rsidR="005D471B" w:rsidRDefault="005D471B" w:rsidP="00C8552A">
      <w:pPr>
        <w:spacing w:line="360" w:lineRule="auto"/>
      </w:pPr>
    </w:p>
    <w:p w14:paraId="757EED46" w14:textId="77777777" w:rsidR="005D471B" w:rsidRDefault="005D471B" w:rsidP="00C8552A">
      <w:pPr>
        <w:spacing w:line="360" w:lineRule="auto"/>
      </w:pPr>
    </w:p>
    <w:p w14:paraId="38DF4AF6" w14:textId="0B61E623" w:rsidR="00D949C0" w:rsidRDefault="00D949C0">
      <w:r>
        <w:br w:type="page"/>
      </w:r>
    </w:p>
    <w:p w14:paraId="28F209A4" w14:textId="2107A90F" w:rsidR="00BD5003" w:rsidRPr="0048387B" w:rsidRDefault="00BD5003" w:rsidP="00C8552A">
      <w:pPr>
        <w:pStyle w:val="Heading1"/>
        <w:spacing w:line="360" w:lineRule="auto"/>
      </w:pPr>
      <w:r w:rsidRPr="0048387B">
        <w:t xml:space="preserve">1. Introduction to the Organisation </w:t>
      </w:r>
    </w:p>
    <w:p w14:paraId="362C01FD" w14:textId="6B4EF2B6" w:rsidR="004A1040" w:rsidRDefault="00BD5003" w:rsidP="00C8552A">
      <w:pPr>
        <w:spacing w:before="100" w:beforeAutospacing="1" w:after="100" w:afterAutospacing="1" w:line="360" w:lineRule="auto"/>
        <w:rPr>
          <w:rFonts w:ascii="Arial" w:hAnsi="Arial" w:cs="Arial"/>
          <w:kern w:val="0"/>
          <w:sz w:val="22"/>
          <w:szCs w:val="22"/>
          <w14:ligatures w14:val="none"/>
        </w:rPr>
      </w:pPr>
      <w:r w:rsidRPr="00915873">
        <w:rPr>
          <w:rFonts w:ascii="Arial" w:hAnsi="Arial" w:cs="Arial"/>
          <w:kern w:val="0"/>
          <w:sz w:val="22"/>
          <w:szCs w:val="22"/>
          <w14:ligatures w14:val="none"/>
        </w:rPr>
        <w:t xml:space="preserve">UPS Ltd is a global </w:t>
      </w:r>
      <w:proofErr w:type="gramStart"/>
      <w:r w:rsidRPr="00915873">
        <w:rPr>
          <w:rFonts w:ascii="Arial" w:hAnsi="Arial" w:cs="Arial"/>
          <w:kern w:val="0"/>
          <w:sz w:val="22"/>
          <w:szCs w:val="22"/>
          <w14:ligatures w14:val="none"/>
        </w:rPr>
        <w:t>logistics</w:t>
      </w:r>
      <w:proofErr w:type="gramEnd"/>
      <w:r w:rsidRPr="00915873">
        <w:rPr>
          <w:rFonts w:ascii="Arial" w:hAnsi="Arial" w:cs="Arial"/>
          <w:kern w:val="0"/>
          <w:sz w:val="22"/>
          <w:szCs w:val="22"/>
          <w14:ligatures w14:val="none"/>
        </w:rPr>
        <w:t xml:space="preserve"> and parcel delivery organisation operating in over 200 countries. In the UK, UPS plays a critical role in supporting e-commerce, international </w:t>
      </w:r>
      <w:r w:rsidR="00F105DC" w:rsidRPr="00915873">
        <w:rPr>
          <w:rFonts w:ascii="Arial" w:hAnsi="Arial" w:cs="Arial"/>
          <w:kern w:val="0"/>
          <w:sz w:val="22"/>
          <w:szCs w:val="22"/>
          <w14:ligatures w14:val="none"/>
        </w:rPr>
        <w:t>trade,</w:t>
      </w:r>
      <w:r w:rsidRPr="00915873">
        <w:rPr>
          <w:rFonts w:ascii="Arial" w:hAnsi="Arial" w:cs="Arial"/>
          <w:kern w:val="0"/>
          <w:sz w:val="22"/>
          <w:szCs w:val="22"/>
          <w14:ligatures w14:val="none"/>
        </w:rPr>
        <w:t xml:space="preserve"> and supply chain connectivity. Its mission centres on </w:t>
      </w:r>
      <w:proofErr w:type="gramStart"/>
      <w:r w:rsidRPr="00915873">
        <w:rPr>
          <w:rFonts w:ascii="Arial" w:hAnsi="Arial" w:cs="Arial"/>
          <w:kern w:val="0"/>
          <w:sz w:val="22"/>
          <w:szCs w:val="22"/>
          <w14:ligatures w14:val="none"/>
        </w:rPr>
        <w:t>reliable</w:t>
      </w:r>
      <w:proofErr w:type="gramEnd"/>
      <w:r w:rsidRPr="00915873">
        <w:rPr>
          <w:rFonts w:ascii="Arial" w:hAnsi="Arial" w:cs="Arial"/>
          <w:kern w:val="0"/>
          <w:sz w:val="22"/>
          <w:szCs w:val="22"/>
          <w14:ligatures w14:val="none"/>
        </w:rPr>
        <w:t xml:space="preserve">, </w:t>
      </w:r>
      <w:r w:rsidR="00F105DC" w:rsidRPr="00915873">
        <w:rPr>
          <w:rFonts w:ascii="Arial" w:hAnsi="Arial" w:cs="Arial"/>
          <w:kern w:val="0"/>
          <w:sz w:val="22"/>
          <w:szCs w:val="22"/>
          <w14:ligatures w14:val="none"/>
        </w:rPr>
        <w:t>efficient,</w:t>
      </w:r>
      <w:r w:rsidRPr="00915873">
        <w:rPr>
          <w:rFonts w:ascii="Arial" w:hAnsi="Arial" w:cs="Arial"/>
          <w:kern w:val="0"/>
          <w:sz w:val="22"/>
          <w:szCs w:val="22"/>
          <w14:ligatures w14:val="none"/>
        </w:rPr>
        <w:t xml:space="preserve"> and customer-focused </w:t>
      </w:r>
      <w:proofErr w:type="gramStart"/>
      <w:r w:rsidRPr="00915873">
        <w:rPr>
          <w:rFonts w:ascii="Arial" w:hAnsi="Arial" w:cs="Arial"/>
          <w:kern w:val="0"/>
          <w:sz w:val="22"/>
          <w:szCs w:val="22"/>
          <w14:ligatures w14:val="none"/>
        </w:rPr>
        <w:t>logistics</w:t>
      </w:r>
      <w:proofErr w:type="gramEnd"/>
      <w:r w:rsidRPr="00915873">
        <w:rPr>
          <w:rFonts w:ascii="Arial" w:hAnsi="Arial" w:cs="Arial"/>
          <w:kern w:val="0"/>
          <w:sz w:val="22"/>
          <w:szCs w:val="22"/>
          <w14:ligatures w14:val="none"/>
        </w:rPr>
        <w:t xml:space="preserve"> </w:t>
      </w:r>
    </w:p>
    <w:p w14:paraId="10418AB3" w14:textId="16542C16" w:rsidR="00BD5003" w:rsidRPr="00915873" w:rsidRDefault="00BD5003" w:rsidP="00C8552A">
      <w:pPr>
        <w:spacing w:before="100" w:beforeAutospacing="1" w:after="100" w:afterAutospacing="1" w:line="360" w:lineRule="auto"/>
        <w:rPr>
          <w:rFonts w:ascii="Arial" w:hAnsi="Arial" w:cs="Arial"/>
          <w:kern w:val="0"/>
          <w:sz w:val="22"/>
          <w:szCs w:val="22"/>
          <w14:ligatures w14:val="none"/>
        </w:rPr>
      </w:pPr>
      <w:r w:rsidRPr="00915873">
        <w:rPr>
          <w:rFonts w:ascii="Arial" w:hAnsi="Arial" w:cs="Arial"/>
          <w:kern w:val="0"/>
          <w:sz w:val="22"/>
          <w:szCs w:val="22"/>
          <w14:ligatures w14:val="none"/>
        </w:rPr>
        <w:t>services, while its strategic vision increasingly emphasises sustainability and digital innovation.</w:t>
      </w:r>
    </w:p>
    <w:p w14:paraId="70DCE3DF" w14:textId="173B6F83" w:rsidR="00BD5003" w:rsidRPr="00915873" w:rsidRDefault="00BD5003" w:rsidP="00C8552A">
      <w:pPr>
        <w:spacing w:before="100" w:beforeAutospacing="1" w:after="100" w:afterAutospacing="1" w:line="360" w:lineRule="auto"/>
        <w:rPr>
          <w:rFonts w:ascii="Arial" w:hAnsi="Arial" w:cs="Arial"/>
          <w:kern w:val="0"/>
          <w:sz w:val="22"/>
          <w:szCs w:val="22"/>
          <w14:ligatures w14:val="none"/>
        </w:rPr>
      </w:pPr>
      <w:r w:rsidRPr="00915873">
        <w:rPr>
          <w:rFonts w:ascii="Arial" w:hAnsi="Arial" w:cs="Arial"/>
          <w:kern w:val="0"/>
          <w:sz w:val="22"/>
          <w:szCs w:val="22"/>
          <w14:ligatures w14:val="none"/>
        </w:rPr>
        <w:t xml:space="preserve">The UK parcel market has undergone structural transformation driven by the expansion of online retail and digital platforms. The rapid growth of e-commerce has increased parcel volumes and customer expectations for speed, </w:t>
      </w:r>
      <w:r w:rsidR="00F105DC" w:rsidRPr="00915873">
        <w:rPr>
          <w:rFonts w:ascii="Arial" w:hAnsi="Arial" w:cs="Arial"/>
          <w:kern w:val="0"/>
          <w:sz w:val="22"/>
          <w:szCs w:val="22"/>
          <w14:ligatures w14:val="none"/>
        </w:rPr>
        <w:t>transparency,</w:t>
      </w:r>
      <w:r w:rsidRPr="00915873">
        <w:rPr>
          <w:rFonts w:ascii="Arial" w:hAnsi="Arial" w:cs="Arial"/>
          <w:kern w:val="0"/>
          <w:sz w:val="22"/>
          <w:szCs w:val="22"/>
          <w14:ligatures w14:val="none"/>
        </w:rPr>
        <w:t xml:space="preserve"> and low environmental impact (Christopher, 2016). At the same time, sustainability regulations such as the UK Zero Emission Vehicle mandate are reshaping </w:t>
      </w:r>
      <w:proofErr w:type="gramStart"/>
      <w:r w:rsidRPr="00915873">
        <w:rPr>
          <w:rFonts w:ascii="Arial" w:hAnsi="Arial" w:cs="Arial"/>
          <w:kern w:val="0"/>
          <w:sz w:val="22"/>
          <w:szCs w:val="22"/>
          <w14:ligatures w14:val="none"/>
        </w:rPr>
        <w:t>logistics</w:t>
      </w:r>
      <w:proofErr w:type="gramEnd"/>
      <w:r w:rsidRPr="00915873">
        <w:rPr>
          <w:rFonts w:ascii="Arial" w:hAnsi="Arial" w:cs="Arial"/>
          <w:kern w:val="0"/>
          <w:sz w:val="22"/>
          <w:szCs w:val="22"/>
          <w14:ligatures w14:val="none"/>
        </w:rPr>
        <w:t xml:space="preserve"> infrastructure requirements (Department for Transport, 2024).</w:t>
      </w:r>
    </w:p>
    <w:p w14:paraId="6B329CA9" w14:textId="76624BB8" w:rsidR="00BD5003" w:rsidRPr="00915873" w:rsidRDefault="00BD5003" w:rsidP="00C8552A">
      <w:pPr>
        <w:spacing w:before="100" w:beforeAutospacing="1" w:after="100" w:afterAutospacing="1" w:line="360" w:lineRule="auto"/>
        <w:rPr>
          <w:rFonts w:ascii="Arial" w:hAnsi="Arial" w:cs="Arial"/>
          <w:kern w:val="0"/>
          <w:sz w:val="22"/>
          <w:szCs w:val="22"/>
          <w14:ligatures w14:val="none"/>
        </w:rPr>
      </w:pPr>
      <w:r w:rsidRPr="00915873">
        <w:rPr>
          <w:rFonts w:ascii="Arial" w:hAnsi="Arial" w:cs="Arial"/>
          <w:kern w:val="0"/>
          <w:sz w:val="22"/>
          <w:szCs w:val="22"/>
          <w14:ligatures w14:val="none"/>
        </w:rPr>
        <w:t xml:space="preserve">UPS has committed to carbon neutrality by 2050 and has invested in route optimisation technologies and fleet electrification. However, digital disruption, AI integration and regulatory pressures present complex transformation challenges. Strategic change is therefore essential to align operational efficiency with long-term competitiveness (Johnson, </w:t>
      </w:r>
      <w:r w:rsidR="00F105DC" w:rsidRPr="00915873">
        <w:rPr>
          <w:rFonts w:ascii="Arial" w:hAnsi="Arial" w:cs="Arial"/>
          <w:kern w:val="0"/>
          <w:sz w:val="22"/>
          <w:szCs w:val="22"/>
          <w14:ligatures w14:val="none"/>
        </w:rPr>
        <w:t>Scholes,</w:t>
      </w:r>
      <w:r w:rsidRPr="00915873">
        <w:rPr>
          <w:rFonts w:ascii="Arial" w:hAnsi="Arial" w:cs="Arial"/>
          <w:kern w:val="0"/>
          <w:sz w:val="22"/>
          <w:szCs w:val="22"/>
          <w14:ligatures w14:val="none"/>
        </w:rPr>
        <w:t xml:space="preserve"> and Whittington, 2017).</w:t>
      </w:r>
    </w:p>
    <w:p w14:paraId="130590DF" w14:textId="221765C0" w:rsidR="00BD5003" w:rsidRPr="00915873" w:rsidRDefault="00BD5003" w:rsidP="00C8552A">
      <w:pPr>
        <w:spacing w:before="100" w:beforeAutospacing="1" w:after="100" w:afterAutospacing="1" w:line="360" w:lineRule="auto"/>
        <w:rPr>
          <w:rFonts w:ascii="Arial" w:hAnsi="Arial" w:cs="Arial"/>
          <w:kern w:val="0"/>
          <w:sz w:val="22"/>
          <w:szCs w:val="22"/>
          <w14:ligatures w14:val="none"/>
        </w:rPr>
      </w:pPr>
      <w:r w:rsidRPr="00915873">
        <w:rPr>
          <w:rFonts w:ascii="Arial" w:hAnsi="Arial" w:cs="Arial"/>
          <w:kern w:val="0"/>
          <w:sz w:val="22"/>
          <w:szCs w:val="22"/>
          <w14:ligatures w14:val="none"/>
        </w:rPr>
        <w:t xml:space="preserve">UPS was selected for this report due to its exposure to technological disruption, regulatory </w:t>
      </w:r>
      <w:r w:rsidR="00F105DC" w:rsidRPr="00915873">
        <w:rPr>
          <w:rFonts w:ascii="Arial" w:hAnsi="Arial" w:cs="Arial"/>
          <w:kern w:val="0"/>
          <w:sz w:val="22"/>
          <w:szCs w:val="22"/>
          <w14:ligatures w14:val="none"/>
        </w:rPr>
        <w:t>transformation,</w:t>
      </w:r>
      <w:r w:rsidRPr="00915873">
        <w:rPr>
          <w:rFonts w:ascii="Arial" w:hAnsi="Arial" w:cs="Arial"/>
          <w:kern w:val="0"/>
          <w:sz w:val="22"/>
          <w:szCs w:val="22"/>
          <w14:ligatures w14:val="none"/>
        </w:rPr>
        <w:t xml:space="preserve"> and intense industry rivalry, making it an appropriate case for evaluating strategic change management theory in practice.</w:t>
      </w:r>
    </w:p>
    <w:p w14:paraId="41838A1F" w14:textId="76265C93" w:rsidR="00D949C0" w:rsidRDefault="0032342A" w:rsidP="00C8552A">
      <w:pPr>
        <w:pStyle w:val="p1"/>
        <w:spacing w:line="360" w:lineRule="auto"/>
        <w:rPr>
          <w:rStyle w:val="s1"/>
          <w:rFonts w:ascii="Arial" w:hAnsi="Arial" w:cs="Arial"/>
          <w:sz w:val="22"/>
          <w:szCs w:val="22"/>
        </w:rPr>
      </w:pPr>
      <w:r w:rsidRPr="00E400C9">
        <w:rPr>
          <w:rStyle w:val="s1"/>
          <w:rFonts w:ascii="Arial" w:hAnsi="Arial" w:cs="Arial"/>
          <w:sz w:val="22"/>
          <w:szCs w:val="22"/>
        </w:rPr>
        <w:t xml:space="preserve">Beyond these macro trends, UPS UK faces an operational “dual transformation” challenge: simultaneously improving service performance while reducing emissions and cost-to-serve in highly congested urban areas. Last-mile delivery is widely identified as the most complex and expensive segment of parcel </w:t>
      </w:r>
      <w:proofErr w:type="gramStart"/>
      <w:r w:rsidRPr="00E400C9">
        <w:rPr>
          <w:rStyle w:val="s1"/>
          <w:rFonts w:ascii="Arial" w:hAnsi="Arial" w:cs="Arial"/>
          <w:sz w:val="22"/>
          <w:szCs w:val="22"/>
        </w:rPr>
        <w:t>logistics</w:t>
      </w:r>
      <w:proofErr w:type="gramEnd"/>
      <w:r w:rsidRPr="00E400C9">
        <w:rPr>
          <w:rStyle w:val="s1"/>
          <w:rFonts w:ascii="Arial" w:hAnsi="Arial" w:cs="Arial"/>
          <w:sz w:val="22"/>
          <w:szCs w:val="22"/>
        </w:rPr>
        <w:t xml:space="preserve">, driven by fragmented drop density, failed delivery </w:t>
      </w:r>
      <w:r w:rsidR="00F105DC" w:rsidRPr="00E400C9">
        <w:rPr>
          <w:rStyle w:val="s1"/>
          <w:rFonts w:ascii="Arial" w:hAnsi="Arial" w:cs="Arial"/>
          <w:sz w:val="22"/>
          <w:szCs w:val="22"/>
        </w:rPr>
        <w:t>attempts,</w:t>
      </w:r>
      <w:r w:rsidRPr="00E400C9">
        <w:rPr>
          <w:rStyle w:val="s1"/>
          <w:rFonts w:ascii="Arial" w:hAnsi="Arial" w:cs="Arial"/>
          <w:sz w:val="22"/>
          <w:szCs w:val="22"/>
        </w:rPr>
        <w:t xml:space="preserve"> and traffic constraints (DHL, 2026). These pressures affect UPS’s operational resilience and its ability to defend margins in a market where large business customers demand both price competitiveness and reliable service. In strategic terms, this environment increases the importance of operational excellence as a source of competitive advantage rather than a basic requirement (Porter, 1985).</w:t>
      </w:r>
    </w:p>
    <w:p w14:paraId="3E4208BB" w14:textId="77777777" w:rsidR="00D949C0" w:rsidRDefault="00D949C0">
      <w:pPr>
        <w:rPr>
          <w:rStyle w:val="s1"/>
          <w:rFonts w:ascii="Arial" w:hAnsi="Arial" w:cs="Arial"/>
          <w:kern w:val="0"/>
          <w:sz w:val="22"/>
          <w:szCs w:val="22"/>
          <w14:ligatures w14:val="none"/>
        </w:rPr>
      </w:pPr>
      <w:r>
        <w:rPr>
          <w:rStyle w:val="s1"/>
          <w:rFonts w:ascii="Arial" w:hAnsi="Arial" w:cs="Arial"/>
          <w:sz w:val="22"/>
          <w:szCs w:val="22"/>
        </w:rPr>
        <w:br w:type="page"/>
      </w:r>
    </w:p>
    <w:p w14:paraId="0AF3C531" w14:textId="3DA7885D" w:rsidR="0032342A" w:rsidRPr="00E400C9" w:rsidRDefault="0032342A" w:rsidP="00C8552A">
      <w:pPr>
        <w:pStyle w:val="p1"/>
        <w:spacing w:line="360" w:lineRule="auto"/>
        <w:rPr>
          <w:rFonts w:ascii="Arial" w:hAnsi="Arial" w:cs="Arial"/>
          <w:sz w:val="22"/>
          <w:szCs w:val="22"/>
        </w:rPr>
      </w:pPr>
      <w:r w:rsidRPr="00E400C9">
        <w:rPr>
          <w:rStyle w:val="s1"/>
          <w:rFonts w:ascii="Arial" w:hAnsi="Arial" w:cs="Arial"/>
          <w:sz w:val="22"/>
          <w:szCs w:val="22"/>
        </w:rPr>
        <w:t xml:space="preserve">In addition, the acceleration of digital disruption is reshaping customer expectations for real-time visibility, predictive delivery </w:t>
      </w:r>
      <w:r w:rsidR="00F105DC" w:rsidRPr="00E400C9">
        <w:rPr>
          <w:rStyle w:val="s1"/>
          <w:rFonts w:ascii="Arial" w:hAnsi="Arial" w:cs="Arial"/>
          <w:sz w:val="22"/>
          <w:szCs w:val="22"/>
        </w:rPr>
        <w:t>windows,</w:t>
      </w:r>
      <w:r w:rsidRPr="00E400C9">
        <w:rPr>
          <w:rStyle w:val="s1"/>
          <w:rFonts w:ascii="Arial" w:hAnsi="Arial" w:cs="Arial"/>
          <w:sz w:val="22"/>
          <w:szCs w:val="22"/>
        </w:rPr>
        <w:t xml:space="preserve"> and seamless returns. </w:t>
      </w:r>
      <w:proofErr w:type="gramStart"/>
      <w:r w:rsidRPr="00E400C9">
        <w:rPr>
          <w:rStyle w:val="s1"/>
          <w:rFonts w:ascii="Arial" w:hAnsi="Arial" w:cs="Arial"/>
          <w:sz w:val="22"/>
          <w:szCs w:val="22"/>
        </w:rPr>
        <w:t>Logistics</w:t>
      </w:r>
      <w:proofErr w:type="gramEnd"/>
      <w:r w:rsidRPr="00E400C9">
        <w:rPr>
          <w:rStyle w:val="s1"/>
          <w:rFonts w:ascii="Arial" w:hAnsi="Arial" w:cs="Arial"/>
          <w:sz w:val="22"/>
          <w:szCs w:val="22"/>
        </w:rPr>
        <w:t xml:space="preserve"> firms are increasingly adopting AI and advanced analytics to optimise routing, automate warehousing </w:t>
      </w:r>
      <w:r w:rsidR="00F105DC" w:rsidRPr="00E400C9">
        <w:rPr>
          <w:rStyle w:val="s1"/>
          <w:rFonts w:ascii="Arial" w:hAnsi="Arial" w:cs="Arial"/>
          <w:sz w:val="22"/>
          <w:szCs w:val="22"/>
        </w:rPr>
        <w:t>decisions,</w:t>
      </w:r>
      <w:r w:rsidRPr="00E400C9">
        <w:rPr>
          <w:rStyle w:val="s1"/>
          <w:rFonts w:ascii="Arial" w:hAnsi="Arial" w:cs="Arial"/>
          <w:sz w:val="22"/>
          <w:szCs w:val="22"/>
        </w:rPr>
        <w:t xml:space="preserve"> and improve demand forecasting. UPS’s ongoing investment in optimisation platforms illustrates how data-driven capabilities can reduce mileage and improve asset utilisation (BSR, 2016). From a resource-based perspective, such proprietary systems can be strategically valuable when they are embedded across operations and supported by organisational learning (Barney, 1991). However, technology adoption alone is insufficient; successful transformation requires organisational alignment, workforce capability </w:t>
      </w:r>
      <w:r w:rsidR="00F105DC" w:rsidRPr="00E400C9">
        <w:rPr>
          <w:rStyle w:val="s1"/>
          <w:rFonts w:ascii="Arial" w:hAnsi="Arial" w:cs="Arial"/>
          <w:sz w:val="22"/>
          <w:szCs w:val="22"/>
        </w:rPr>
        <w:t>development,</w:t>
      </w:r>
      <w:r w:rsidRPr="00E400C9">
        <w:rPr>
          <w:rStyle w:val="s1"/>
          <w:rFonts w:ascii="Arial" w:hAnsi="Arial" w:cs="Arial"/>
          <w:sz w:val="22"/>
          <w:szCs w:val="22"/>
        </w:rPr>
        <w:t xml:space="preserve"> and cultural readiness for continuous improvement (Kotter, 1996).</w:t>
      </w:r>
    </w:p>
    <w:p w14:paraId="5EB14A2E" w14:textId="77777777" w:rsidR="00D949C0" w:rsidRDefault="0032342A" w:rsidP="00C8552A">
      <w:pPr>
        <w:pStyle w:val="p1"/>
        <w:spacing w:line="360" w:lineRule="auto"/>
        <w:rPr>
          <w:rStyle w:val="s1"/>
          <w:rFonts w:ascii="Arial" w:hAnsi="Arial" w:cs="Arial"/>
          <w:sz w:val="22"/>
          <w:szCs w:val="22"/>
        </w:rPr>
      </w:pPr>
      <w:r w:rsidRPr="00E400C9">
        <w:rPr>
          <w:rStyle w:val="s1"/>
          <w:rFonts w:ascii="Arial" w:hAnsi="Arial" w:cs="Arial"/>
          <w:sz w:val="22"/>
          <w:szCs w:val="22"/>
        </w:rPr>
        <w:t xml:space="preserve">Consequently, UPS UK must manage change as an integrated strategic programme rather than a series of isolated initiatives. Dynamic capabilities theory suggests that in turbulent </w:t>
      </w:r>
    </w:p>
    <w:p w14:paraId="78CF5657" w14:textId="65344EF6" w:rsidR="0032342A" w:rsidRPr="00D949C0" w:rsidRDefault="0032342A" w:rsidP="00D949C0">
      <w:pPr>
        <w:rPr>
          <w:rFonts w:ascii="Arial" w:hAnsi="Arial" w:cs="Arial"/>
          <w:kern w:val="0"/>
          <w:sz w:val="22"/>
          <w:szCs w:val="22"/>
          <w14:ligatures w14:val="none"/>
        </w:rPr>
      </w:pPr>
      <w:r w:rsidRPr="00E400C9">
        <w:rPr>
          <w:rStyle w:val="s1"/>
          <w:rFonts w:ascii="Arial" w:hAnsi="Arial" w:cs="Arial"/>
          <w:sz w:val="22"/>
          <w:szCs w:val="22"/>
        </w:rPr>
        <w:t xml:space="preserve">performance over time (Teece, Pisano and </w:t>
      </w:r>
      <w:proofErr w:type="spellStart"/>
      <w:r w:rsidRPr="00E400C9">
        <w:rPr>
          <w:rStyle w:val="s1"/>
          <w:rFonts w:ascii="Arial" w:hAnsi="Arial" w:cs="Arial"/>
          <w:sz w:val="22"/>
          <w:szCs w:val="22"/>
        </w:rPr>
        <w:t>Shuen</w:t>
      </w:r>
      <w:proofErr w:type="spellEnd"/>
      <w:r w:rsidRPr="00E400C9">
        <w:rPr>
          <w:rStyle w:val="s1"/>
          <w:rFonts w:ascii="Arial" w:hAnsi="Arial" w:cs="Arial"/>
          <w:sz w:val="22"/>
          <w:szCs w:val="22"/>
        </w:rPr>
        <w:t xml:space="preserve">, 1997). This report therefore frames UPS’s transformation challenge as both an operational necessity and a strategic opportunity to strengthen competitiveness through sustainable, digitally enabled </w:t>
      </w:r>
      <w:proofErr w:type="gramStart"/>
      <w:r w:rsidRPr="00E400C9">
        <w:rPr>
          <w:rStyle w:val="s1"/>
          <w:rFonts w:ascii="Arial" w:hAnsi="Arial" w:cs="Arial"/>
          <w:sz w:val="22"/>
          <w:szCs w:val="22"/>
        </w:rPr>
        <w:t>logistics</w:t>
      </w:r>
      <w:proofErr w:type="gramEnd"/>
      <w:r w:rsidRPr="00E400C9">
        <w:rPr>
          <w:rStyle w:val="s1"/>
          <w:rFonts w:ascii="Arial" w:hAnsi="Arial" w:cs="Arial"/>
          <w:sz w:val="22"/>
          <w:szCs w:val="22"/>
        </w:rPr>
        <w:t xml:space="preserve"> innovation.</w:t>
      </w:r>
    </w:p>
    <w:p w14:paraId="4758CEEB" w14:textId="77777777" w:rsidR="0090769E" w:rsidRPr="00E400C9" w:rsidRDefault="0090769E" w:rsidP="00C8552A">
      <w:pPr>
        <w:spacing w:before="100" w:beforeAutospacing="1" w:after="100" w:afterAutospacing="1" w:line="360" w:lineRule="auto"/>
        <w:outlineLvl w:val="0"/>
        <w:rPr>
          <w:rFonts w:ascii="Arial" w:eastAsia="Times New Roman" w:hAnsi="Arial" w:cs="Arial"/>
          <w:b/>
          <w:bCs/>
          <w:kern w:val="36"/>
          <w:sz w:val="22"/>
          <w:szCs w:val="22"/>
          <w14:ligatures w14:val="none"/>
        </w:rPr>
      </w:pPr>
    </w:p>
    <w:p w14:paraId="4EBD5AAD" w14:textId="0C9C328A" w:rsidR="00BD5003" w:rsidRPr="00F853BC" w:rsidRDefault="00BD5003" w:rsidP="00C8552A">
      <w:pPr>
        <w:pStyle w:val="Heading1"/>
        <w:spacing w:line="360" w:lineRule="auto"/>
        <w:rPr>
          <w:rFonts w:ascii="Times New Roman" w:hAnsi="Times New Roman" w:cs="Times New Roman"/>
          <w:b/>
          <w:bCs/>
          <w14:ligatures w14:val="none"/>
        </w:rPr>
      </w:pPr>
      <w:r w:rsidRPr="00F853BC">
        <w:rPr>
          <w:rFonts w:ascii="Times New Roman" w:eastAsia="Times New Roman" w:hAnsi="Times New Roman" w:cs="Times New Roman"/>
          <w:b/>
          <w:bCs/>
          <w14:ligatures w14:val="none"/>
        </w:rPr>
        <w:t xml:space="preserve">2. Environmental and Organisational Analysis </w:t>
      </w:r>
    </w:p>
    <w:p w14:paraId="7DC76938" w14:textId="032338DC" w:rsidR="00BD5003" w:rsidRDefault="00BD5003" w:rsidP="00C8552A">
      <w:pPr>
        <w:pStyle w:val="Heading2"/>
        <w:spacing w:line="360" w:lineRule="auto"/>
        <w:rPr>
          <w:rFonts w:eastAsia="Times New Roman"/>
          <w:b/>
          <w:bCs/>
          <w:sz w:val="36"/>
          <w:szCs w:val="36"/>
        </w:rPr>
      </w:pPr>
      <w:r w:rsidRPr="00BD5003">
        <w:rPr>
          <w:rFonts w:eastAsia="Times New Roman"/>
          <w:b/>
          <w:bCs/>
          <w:sz w:val="36"/>
          <w:szCs w:val="36"/>
        </w:rPr>
        <w:t>2.1 External Environment Analysis (PESTLE)</w:t>
      </w:r>
    </w:p>
    <w:p w14:paraId="0711D819" w14:textId="27914F4E" w:rsidR="00251DA9" w:rsidRPr="00254129" w:rsidRDefault="00251DA9" w:rsidP="00C8552A">
      <w:pPr>
        <w:spacing w:line="360" w:lineRule="auto"/>
        <w:rPr>
          <w:b/>
          <w:bCs/>
        </w:rPr>
      </w:pPr>
      <w:r w:rsidRPr="00254129">
        <w:rPr>
          <w:b/>
          <w:bCs/>
          <w:noProof/>
        </w:rPr>
        <w:drawing>
          <wp:anchor distT="0" distB="0" distL="114300" distR="114300" simplePos="0" relativeHeight="251658241" behindDoc="0" locked="0" layoutInCell="1" allowOverlap="1" wp14:anchorId="438BAF21" wp14:editId="411E6B7B">
            <wp:simplePos x="0" y="0"/>
            <wp:positionH relativeFrom="page">
              <wp:posOffset>54610</wp:posOffset>
            </wp:positionH>
            <wp:positionV relativeFrom="paragraph">
              <wp:posOffset>383540</wp:posOffset>
            </wp:positionV>
            <wp:extent cx="7496175" cy="4543425"/>
            <wp:effectExtent l="0" t="0" r="9525" b="9525"/>
            <wp:wrapTopAndBottom/>
            <wp:docPr id="1906963765" name="Picture 190696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63765" name=""/>
                    <pic:cNvPicPr/>
                  </pic:nvPicPr>
                  <pic:blipFill>
                    <a:blip r:embed="rId7"/>
                    <a:stretch>
                      <a:fillRect/>
                    </a:stretch>
                  </pic:blipFill>
                  <pic:spPr>
                    <a:xfrm>
                      <a:off x="0" y="0"/>
                      <a:ext cx="7496175" cy="4543425"/>
                    </a:xfrm>
                    <a:prstGeom prst="rect">
                      <a:avLst/>
                    </a:prstGeom>
                  </pic:spPr>
                </pic:pic>
              </a:graphicData>
            </a:graphic>
            <wp14:sizeRelH relativeFrom="margin">
              <wp14:pctWidth>0</wp14:pctWidth>
            </wp14:sizeRelH>
            <wp14:sizeRelV relativeFrom="margin">
              <wp14:pctHeight>0</wp14:pctHeight>
            </wp14:sizeRelV>
          </wp:anchor>
        </w:drawing>
      </w:r>
      <w:r w:rsidR="002E3DF7">
        <w:rPr>
          <w:b/>
          <w:bCs/>
        </w:rPr>
        <w:t xml:space="preserve">Figure1. </w:t>
      </w:r>
      <w:r w:rsidR="002942B3" w:rsidRPr="00254129">
        <w:rPr>
          <w:b/>
          <w:bCs/>
        </w:rPr>
        <w:t xml:space="preserve">Pestle </w:t>
      </w:r>
      <w:r w:rsidR="00254129" w:rsidRPr="00254129">
        <w:rPr>
          <w:b/>
          <w:bCs/>
        </w:rPr>
        <w:t>Table</w:t>
      </w:r>
      <w:r w:rsidR="00C10954">
        <w:rPr>
          <w:b/>
          <w:bCs/>
        </w:rPr>
        <w:t>.</w:t>
      </w:r>
    </w:p>
    <w:p w14:paraId="6DEA07A5" w14:textId="277DC963" w:rsidR="00C159A0" w:rsidRPr="00281E2F" w:rsidRDefault="00BD5003" w:rsidP="00C8552A">
      <w:pPr>
        <w:spacing w:before="100" w:beforeAutospacing="1" w:after="100" w:afterAutospacing="1" w:line="360" w:lineRule="auto"/>
        <w:rPr>
          <w:rFonts w:ascii="Arial" w:hAnsi="Arial" w:cs="Arial"/>
          <w:kern w:val="0"/>
          <w:sz w:val="22"/>
          <w:szCs w:val="22"/>
          <w14:ligatures w14:val="none"/>
        </w:rPr>
      </w:pPr>
      <w:r w:rsidRPr="00281E2F">
        <w:rPr>
          <w:rFonts w:ascii="Arial" w:hAnsi="Arial" w:cs="Arial"/>
          <w:kern w:val="0"/>
          <w:sz w:val="22"/>
          <w:szCs w:val="22"/>
          <w14:ligatures w14:val="none"/>
        </w:rPr>
        <w:t>Political and Legal factors significantly affect UPS. The UK government’s emissions targets and clean air zones require fleet electrification (Department for Transport, 2024). Compliance increases capital expenditure.</w:t>
      </w:r>
    </w:p>
    <w:p w14:paraId="5A9BB8A9" w14:textId="2400FBFE" w:rsidR="00BD5003" w:rsidRPr="00281E2F" w:rsidRDefault="00BD5003" w:rsidP="00C8552A">
      <w:pPr>
        <w:spacing w:before="100" w:beforeAutospacing="1" w:after="100" w:afterAutospacing="1" w:line="360" w:lineRule="auto"/>
        <w:rPr>
          <w:rFonts w:ascii="Arial" w:hAnsi="Arial" w:cs="Arial"/>
          <w:kern w:val="0"/>
          <w:sz w:val="22"/>
          <w:szCs w:val="22"/>
          <w14:ligatures w14:val="none"/>
        </w:rPr>
      </w:pPr>
      <w:r w:rsidRPr="00281E2F">
        <w:rPr>
          <w:rFonts w:ascii="Arial" w:hAnsi="Arial" w:cs="Arial"/>
          <w:kern w:val="0"/>
          <w:sz w:val="22"/>
          <w:szCs w:val="22"/>
          <w14:ligatures w14:val="none"/>
        </w:rPr>
        <w:t xml:space="preserve">Economic pressures include inflation, fuel price </w:t>
      </w:r>
      <w:r w:rsidR="00F105DC" w:rsidRPr="00281E2F">
        <w:rPr>
          <w:rFonts w:ascii="Arial" w:hAnsi="Arial" w:cs="Arial"/>
          <w:kern w:val="0"/>
          <w:sz w:val="22"/>
          <w:szCs w:val="22"/>
          <w14:ligatures w14:val="none"/>
        </w:rPr>
        <w:t>volatility,</w:t>
      </w:r>
      <w:r w:rsidRPr="00281E2F">
        <w:rPr>
          <w:rFonts w:ascii="Arial" w:hAnsi="Arial" w:cs="Arial"/>
          <w:kern w:val="0"/>
          <w:sz w:val="22"/>
          <w:szCs w:val="22"/>
          <w14:ligatures w14:val="none"/>
        </w:rPr>
        <w:t xml:space="preserve"> and labour shortages, directly affecting </w:t>
      </w:r>
      <w:proofErr w:type="gramStart"/>
      <w:r w:rsidRPr="00281E2F">
        <w:rPr>
          <w:rFonts w:ascii="Arial" w:hAnsi="Arial" w:cs="Arial"/>
          <w:kern w:val="0"/>
          <w:sz w:val="22"/>
          <w:szCs w:val="22"/>
          <w14:ligatures w14:val="none"/>
        </w:rPr>
        <w:t>logistics</w:t>
      </w:r>
      <w:proofErr w:type="gramEnd"/>
      <w:r w:rsidRPr="00281E2F">
        <w:rPr>
          <w:rFonts w:ascii="Arial" w:hAnsi="Arial" w:cs="Arial"/>
          <w:kern w:val="0"/>
          <w:sz w:val="22"/>
          <w:szCs w:val="22"/>
          <w14:ligatures w14:val="none"/>
        </w:rPr>
        <w:t xml:space="preserve"> cost structures (DHL, 2026).</w:t>
      </w:r>
    </w:p>
    <w:p w14:paraId="07A36A9E" w14:textId="2F657B12" w:rsidR="00BD5003" w:rsidRPr="00281E2F" w:rsidRDefault="00BD5003" w:rsidP="00C8552A">
      <w:pPr>
        <w:spacing w:before="100" w:beforeAutospacing="1" w:after="100" w:afterAutospacing="1" w:line="360" w:lineRule="auto"/>
        <w:rPr>
          <w:rFonts w:ascii="Arial" w:hAnsi="Arial" w:cs="Arial"/>
          <w:kern w:val="0"/>
          <w:sz w:val="22"/>
          <w:szCs w:val="22"/>
          <w14:ligatures w14:val="none"/>
        </w:rPr>
      </w:pPr>
      <w:r w:rsidRPr="00281E2F">
        <w:rPr>
          <w:rFonts w:ascii="Arial" w:hAnsi="Arial" w:cs="Arial"/>
          <w:kern w:val="0"/>
          <w:sz w:val="22"/>
          <w:szCs w:val="22"/>
          <w14:ligatures w14:val="none"/>
        </w:rPr>
        <w:t>Social factors include customer expectations for same-day delivery and sustainable services. Digital tracking and convenience are now assumed standards.</w:t>
      </w:r>
    </w:p>
    <w:p w14:paraId="1741280B" w14:textId="2B69E144" w:rsidR="00D949C0" w:rsidRDefault="00BD5003" w:rsidP="00C8552A">
      <w:pPr>
        <w:spacing w:before="100" w:beforeAutospacing="1" w:after="100" w:afterAutospacing="1" w:line="360" w:lineRule="auto"/>
        <w:rPr>
          <w:rFonts w:ascii="Arial" w:hAnsi="Arial" w:cs="Arial"/>
          <w:kern w:val="0"/>
          <w:sz w:val="22"/>
          <w:szCs w:val="22"/>
          <w14:ligatures w14:val="none"/>
        </w:rPr>
      </w:pPr>
      <w:r w:rsidRPr="00281E2F">
        <w:rPr>
          <w:rFonts w:ascii="Arial" w:hAnsi="Arial" w:cs="Arial"/>
          <w:kern w:val="0"/>
          <w:sz w:val="22"/>
          <w:szCs w:val="22"/>
          <w14:ligatures w14:val="none"/>
        </w:rPr>
        <w:t>Technological change is transformative. AI-based route optimisation, predictive analytics and warehouse automation are redefining efficiency (McKinnon, 2018).</w:t>
      </w:r>
    </w:p>
    <w:p w14:paraId="45EB08BD" w14:textId="5FF6545A" w:rsidR="00BD5003" w:rsidRPr="00281E2F" w:rsidRDefault="00BD5003" w:rsidP="00D949C0">
      <w:pPr>
        <w:rPr>
          <w:rFonts w:ascii="Arial" w:hAnsi="Arial" w:cs="Arial"/>
          <w:kern w:val="0"/>
          <w:sz w:val="22"/>
          <w:szCs w:val="22"/>
          <w14:ligatures w14:val="none"/>
        </w:rPr>
      </w:pPr>
      <w:r w:rsidRPr="00281E2F">
        <w:rPr>
          <w:rFonts w:ascii="Arial" w:hAnsi="Arial" w:cs="Arial"/>
          <w:kern w:val="0"/>
          <w:sz w:val="22"/>
          <w:szCs w:val="22"/>
          <w14:ligatures w14:val="none"/>
        </w:rPr>
        <w:t>Environmental concerns are increasingly central to competitive positioning, as customers favour sustainable brands (</w:t>
      </w:r>
      <w:proofErr w:type="spellStart"/>
      <w:r w:rsidRPr="00281E2F">
        <w:rPr>
          <w:rFonts w:ascii="Arial" w:hAnsi="Arial" w:cs="Arial"/>
          <w:kern w:val="0"/>
          <w:sz w:val="22"/>
          <w:szCs w:val="22"/>
          <w14:ligatures w14:val="none"/>
        </w:rPr>
        <w:t>Seuring</w:t>
      </w:r>
      <w:proofErr w:type="spellEnd"/>
      <w:r w:rsidRPr="00281E2F">
        <w:rPr>
          <w:rFonts w:ascii="Arial" w:hAnsi="Arial" w:cs="Arial"/>
          <w:kern w:val="0"/>
          <w:sz w:val="22"/>
          <w:szCs w:val="22"/>
          <w14:ligatures w14:val="none"/>
        </w:rPr>
        <w:t xml:space="preserve"> and Müller, 2008).</w:t>
      </w:r>
    </w:p>
    <w:p w14:paraId="7A8F4754" w14:textId="15E3E95F" w:rsidR="00BD5003" w:rsidRDefault="00BD5003" w:rsidP="00C8552A">
      <w:pPr>
        <w:pStyle w:val="Heading2"/>
        <w:spacing w:line="360" w:lineRule="auto"/>
      </w:pPr>
      <w:r w:rsidRPr="00281E2F">
        <w:t>2.2 Porter’s Five Forces</w:t>
      </w:r>
    </w:p>
    <w:p w14:paraId="7F0E5DB2" w14:textId="77777777" w:rsidR="00C349CD" w:rsidRDefault="00C349CD" w:rsidP="00C8552A">
      <w:pPr>
        <w:spacing w:line="360" w:lineRule="auto"/>
        <w:rPr>
          <w:rFonts w:ascii="Arial" w:hAnsi="Arial" w:cs="Arial"/>
          <w:b/>
          <w:bCs/>
          <w:sz w:val="22"/>
          <w:szCs w:val="22"/>
        </w:rPr>
      </w:pPr>
    </w:p>
    <w:p w14:paraId="5F0158E5" w14:textId="0CACAD3B" w:rsidR="00C349CD" w:rsidRDefault="00ED187D" w:rsidP="00C8552A">
      <w:pPr>
        <w:spacing w:line="360" w:lineRule="auto"/>
        <w:rPr>
          <w:rFonts w:ascii="Arial" w:hAnsi="Arial" w:cs="Arial"/>
          <w:b/>
          <w:bCs/>
          <w:sz w:val="22"/>
          <w:szCs w:val="22"/>
        </w:rPr>
      </w:pPr>
      <w:r w:rsidRPr="00203233">
        <w:rPr>
          <w:rFonts w:ascii="Arial" w:hAnsi="Arial" w:cs="Arial"/>
          <w:b/>
          <w:bCs/>
          <w:noProof/>
          <w:sz w:val="22"/>
          <w:szCs w:val="22"/>
        </w:rPr>
        <w:drawing>
          <wp:anchor distT="0" distB="0" distL="114300" distR="114300" simplePos="0" relativeHeight="251658242" behindDoc="0" locked="0" layoutInCell="1" allowOverlap="1" wp14:anchorId="4BD4A77C" wp14:editId="06910084">
            <wp:simplePos x="0" y="0"/>
            <wp:positionH relativeFrom="page">
              <wp:align>left</wp:align>
            </wp:positionH>
            <wp:positionV relativeFrom="paragraph">
              <wp:posOffset>254000</wp:posOffset>
            </wp:positionV>
            <wp:extent cx="7648575" cy="4438650"/>
            <wp:effectExtent l="0" t="0" r="9525" b="0"/>
            <wp:wrapTopAndBottom/>
            <wp:docPr id="3787931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93112" name=""/>
                    <pic:cNvPicPr/>
                  </pic:nvPicPr>
                  <pic:blipFill>
                    <a:blip r:embed="rId8"/>
                    <a:stretch>
                      <a:fillRect/>
                    </a:stretch>
                  </pic:blipFill>
                  <pic:spPr>
                    <a:xfrm>
                      <a:off x="0" y="0"/>
                      <a:ext cx="7648575" cy="4438650"/>
                    </a:xfrm>
                    <a:prstGeom prst="rect">
                      <a:avLst/>
                    </a:prstGeom>
                  </pic:spPr>
                </pic:pic>
              </a:graphicData>
            </a:graphic>
            <wp14:sizeRelH relativeFrom="margin">
              <wp14:pctWidth>0</wp14:pctWidth>
            </wp14:sizeRelH>
            <wp14:sizeRelV relativeFrom="margin">
              <wp14:pctHeight>0</wp14:pctHeight>
            </wp14:sizeRelV>
          </wp:anchor>
        </w:drawing>
      </w:r>
      <w:r w:rsidR="00EF3447" w:rsidRPr="00203233">
        <w:rPr>
          <w:rFonts w:ascii="Arial" w:hAnsi="Arial" w:cs="Arial"/>
          <w:b/>
          <w:bCs/>
          <w:sz w:val="22"/>
          <w:szCs w:val="22"/>
        </w:rPr>
        <w:t>Porter</w:t>
      </w:r>
      <w:r w:rsidR="00743020" w:rsidRPr="00203233">
        <w:rPr>
          <w:rFonts w:ascii="Arial" w:hAnsi="Arial" w:cs="Arial"/>
          <w:b/>
          <w:bCs/>
          <w:sz w:val="22"/>
          <w:szCs w:val="22"/>
        </w:rPr>
        <w:t xml:space="preserve">’s </w:t>
      </w:r>
      <w:r w:rsidR="00203233" w:rsidRPr="00203233">
        <w:rPr>
          <w:rFonts w:ascii="Arial" w:hAnsi="Arial" w:cs="Arial"/>
          <w:b/>
          <w:bCs/>
          <w:sz w:val="22"/>
          <w:szCs w:val="22"/>
        </w:rPr>
        <w:t>Five Forces</w:t>
      </w:r>
      <w:r w:rsidR="00A12425" w:rsidRPr="00203233">
        <w:rPr>
          <w:rFonts w:ascii="Arial" w:hAnsi="Arial" w:cs="Arial"/>
          <w:b/>
          <w:bCs/>
          <w:sz w:val="22"/>
          <w:szCs w:val="22"/>
        </w:rPr>
        <w:t xml:space="preserve"> T</w:t>
      </w:r>
      <w:r w:rsidR="00203233" w:rsidRPr="00203233">
        <w:rPr>
          <w:rFonts w:ascii="Arial" w:hAnsi="Arial" w:cs="Arial"/>
          <w:b/>
          <w:bCs/>
          <w:sz w:val="22"/>
          <w:szCs w:val="22"/>
        </w:rPr>
        <w:t>able</w:t>
      </w:r>
      <w:r>
        <w:rPr>
          <w:rFonts w:ascii="Arial" w:hAnsi="Arial" w:cs="Arial"/>
          <w:b/>
          <w:bCs/>
          <w:sz w:val="22"/>
          <w:szCs w:val="22"/>
        </w:rPr>
        <w:t>.</w:t>
      </w:r>
    </w:p>
    <w:p w14:paraId="15C7F1B6" w14:textId="77777777" w:rsidR="009A6FCF" w:rsidRDefault="00BD5003" w:rsidP="00C8552A">
      <w:pPr>
        <w:spacing w:line="360" w:lineRule="auto"/>
        <w:rPr>
          <w:rFonts w:ascii="Arial" w:hAnsi="Arial" w:cs="Arial"/>
          <w:kern w:val="0"/>
          <w:sz w:val="22"/>
          <w:szCs w:val="22"/>
          <w14:ligatures w14:val="none"/>
        </w:rPr>
      </w:pPr>
      <w:r w:rsidRPr="00281E2F">
        <w:rPr>
          <w:rFonts w:ascii="Arial" w:hAnsi="Arial" w:cs="Arial"/>
          <w:kern w:val="0"/>
          <w:sz w:val="22"/>
          <w:szCs w:val="22"/>
          <w14:ligatures w14:val="none"/>
        </w:rPr>
        <w:t>Rivalry is high, with Royal Mail, DPD and Amazon Logistics investing heavily in automation. Buyer power is significant due to large e-commerce clients (Porter, 1980). Supplier power increases as</w:t>
      </w:r>
    </w:p>
    <w:p w14:paraId="2A83EC10" w14:textId="57B7D590" w:rsidR="00933C74" w:rsidRPr="009A6FCF" w:rsidRDefault="00BD5003" w:rsidP="009A6FCF">
      <w:pPr>
        <w:rPr>
          <w:rFonts w:ascii="Arial" w:hAnsi="Arial" w:cs="Arial"/>
          <w:kern w:val="0"/>
          <w:sz w:val="22"/>
          <w:szCs w:val="22"/>
          <w14:ligatures w14:val="none"/>
        </w:rPr>
      </w:pPr>
      <w:r w:rsidRPr="00281E2F">
        <w:rPr>
          <w:rFonts w:ascii="Arial" w:hAnsi="Arial" w:cs="Arial"/>
          <w:kern w:val="0"/>
          <w:sz w:val="22"/>
          <w:szCs w:val="22"/>
          <w14:ligatures w14:val="none"/>
        </w:rPr>
        <w:t xml:space="preserve"> electric vehicle supply chains tighten (Reuters, 2024). Threat of substitutes includes parcel lockers and click-and-collect systems. New entrants are constrained by infrastructure requirements but digital platforms lower entry barriers.</w:t>
      </w:r>
    </w:p>
    <w:p w14:paraId="0B8CC1DB" w14:textId="5AB24143" w:rsidR="00933C74" w:rsidRDefault="00933C74" w:rsidP="00C8552A">
      <w:pPr>
        <w:spacing w:before="100" w:beforeAutospacing="1" w:after="100" w:afterAutospacing="1" w:line="360" w:lineRule="auto"/>
        <w:rPr>
          <w:rFonts w:ascii="Arial" w:hAnsi="Arial" w:cs="Arial"/>
          <w:kern w:val="0"/>
          <w:sz w:val="22"/>
          <w:szCs w:val="22"/>
          <w14:ligatures w14:val="none"/>
        </w:rPr>
      </w:pPr>
    </w:p>
    <w:p w14:paraId="405C8EC6" w14:textId="77777777" w:rsidR="00E01AA9" w:rsidRDefault="00E01AA9" w:rsidP="00C8552A">
      <w:pPr>
        <w:spacing w:line="360" w:lineRule="auto"/>
      </w:pPr>
    </w:p>
    <w:p w14:paraId="1A1B37E3" w14:textId="77777777" w:rsidR="00E01AA9" w:rsidRDefault="00E01AA9" w:rsidP="00C8552A">
      <w:pPr>
        <w:spacing w:line="360" w:lineRule="auto"/>
      </w:pPr>
    </w:p>
    <w:p w14:paraId="01B037A5" w14:textId="580D4547" w:rsidR="00BD5003" w:rsidRPr="00933C74" w:rsidRDefault="00BD5003" w:rsidP="00C8552A">
      <w:pPr>
        <w:pStyle w:val="Heading1"/>
        <w:spacing w:line="360" w:lineRule="auto"/>
        <w:rPr>
          <w:rFonts w:ascii="Arial" w:hAnsi="Arial" w:cs="Arial"/>
          <w:kern w:val="0"/>
          <w:sz w:val="22"/>
          <w:szCs w:val="22"/>
          <w14:ligatures w14:val="none"/>
        </w:rPr>
      </w:pPr>
      <w:r w:rsidRPr="00281E2F">
        <w:t>2.3 Internal Environment Analysis</w:t>
      </w:r>
      <w:r w:rsidR="003341DF">
        <w:t>.</w:t>
      </w:r>
    </w:p>
    <w:p w14:paraId="7B43FDC2" w14:textId="3B52AFE0" w:rsidR="00BD5003" w:rsidRDefault="00BD5003" w:rsidP="00C8552A">
      <w:pPr>
        <w:spacing w:before="100" w:beforeAutospacing="1" w:after="100" w:afterAutospacing="1" w:line="360" w:lineRule="auto"/>
        <w:rPr>
          <w:rFonts w:ascii="Arial" w:hAnsi="Arial" w:cs="Arial"/>
          <w:kern w:val="0"/>
          <w:sz w:val="22"/>
          <w:szCs w:val="22"/>
          <w14:ligatures w14:val="none"/>
        </w:rPr>
      </w:pPr>
      <w:r w:rsidRPr="00F14927">
        <w:rPr>
          <w:rFonts w:ascii="Arial" w:hAnsi="Arial" w:cs="Arial"/>
          <w:kern w:val="0"/>
          <w:sz w:val="22"/>
          <w:szCs w:val="22"/>
          <w14:ligatures w14:val="none"/>
        </w:rPr>
        <w:t xml:space="preserve">UPS’s optimisation technology (ORION) represents a valuable and rare resource (Barney, 1991; BSR, 2016). Its global brand and </w:t>
      </w:r>
      <w:proofErr w:type="gramStart"/>
      <w:r w:rsidRPr="00F14927">
        <w:rPr>
          <w:rFonts w:ascii="Arial" w:hAnsi="Arial" w:cs="Arial"/>
          <w:kern w:val="0"/>
          <w:sz w:val="22"/>
          <w:szCs w:val="22"/>
          <w14:ligatures w14:val="none"/>
        </w:rPr>
        <w:t>logistics</w:t>
      </w:r>
      <w:proofErr w:type="gramEnd"/>
      <w:r w:rsidRPr="00F14927">
        <w:rPr>
          <w:rFonts w:ascii="Arial" w:hAnsi="Arial" w:cs="Arial"/>
          <w:kern w:val="0"/>
          <w:sz w:val="22"/>
          <w:szCs w:val="22"/>
          <w14:ligatures w14:val="none"/>
        </w:rPr>
        <w:t xml:space="preserve"> network provide structural advantage. However, high capital intensity and legacy fleet systems create internal rigidity.</w:t>
      </w:r>
    </w:p>
    <w:p w14:paraId="74931E04" w14:textId="5B1C01D0" w:rsidR="00860813" w:rsidRDefault="00CD04CF" w:rsidP="00C8552A">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43" behindDoc="0" locked="0" layoutInCell="1" allowOverlap="1" wp14:anchorId="574D476E" wp14:editId="10BEB99C">
            <wp:simplePos x="0" y="0"/>
            <wp:positionH relativeFrom="page">
              <wp:align>left</wp:align>
            </wp:positionH>
            <wp:positionV relativeFrom="paragraph">
              <wp:posOffset>203835</wp:posOffset>
            </wp:positionV>
            <wp:extent cx="7642225" cy="5135245"/>
            <wp:effectExtent l="0" t="0" r="0" b="8255"/>
            <wp:wrapTopAndBottom/>
            <wp:docPr id="1905803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803599" name=""/>
                    <pic:cNvPicPr/>
                  </pic:nvPicPr>
                  <pic:blipFill>
                    <a:blip r:embed="rId9"/>
                    <a:stretch>
                      <a:fillRect/>
                    </a:stretch>
                  </pic:blipFill>
                  <pic:spPr>
                    <a:xfrm>
                      <a:off x="0" y="0"/>
                      <a:ext cx="7642225" cy="5135245"/>
                    </a:xfrm>
                    <a:prstGeom prst="rect">
                      <a:avLst/>
                    </a:prstGeom>
                  </pic:spPr>
                </pic:pic>
              </a:graphicData>
            </a:graphic>
            <wp14:sizeRelH relativeFrom="margin">
              <wp14:pctWidth>0</wp14:pctWidth>
            </wp14:sizeRelH>
            <wp14:sizeRelV relativeFrom="margin">
              <wp14:pctHeight>0</wp14:pctHeight>
            </wp14:sizeRelV>
          </wp:anchor>
        </w:drawing>
      </w:r>
    </w:p>
    <w:p w14:paraId="17A42967" w14:textId="77777777" w:rsidR="00FC0BA3" w:rsidRDefault="00FC0BA3" w:rsidP="00C8552A">
      <w:pPr>
        <w:pStyle w:val="Heading2"/>
        <w:spacing w:line="360" w:lineRule="auto"/>
      </w:pPr>
    </w:p>
    <w:p w14:paraId="730CED90" w14:textId="0EE0189C" w:rsidR="00BD5003" w:rsidRPr="00F14927" w:rsidRDefault="00BD5003" w:rsidP="00C8552A">
      <w:pPr>
        <w:pStyle w:val="Heading2"/>
        <w:spacing w:line="360" w:lineRule="auto"/>
      </w:pPr>
      <w:r w:rsidRPr="00F14927">
        <w:t>2.4 Triggers for Change</w:t>
      </w:r>
    </w:p>
    <w:p w14:paraId="489157B0" w14:textId="3713BAE4" w:rsidR="00BD5003" w:rsidRPr="00F14927" w:rsidRDefault="00BD5003" w:rsidP="00C8552A">
      <w:pPr>
        <w:spacing w:before="100" w:beforeAutospacing="1" w:after="100" w:afterAutospacing="1" w:line="360" w:lineRule="auto"/>
        <w:rPr>
          <w:rFonts w:ascii="Arial" w:hAnsi="Arial" w:cs="Arial"/>
          <w:kern w:val="0"/>
          <w:sz w:val="22"/>
          <w:szCs w:val="22"/>
          <w14:ligatures w14:val="none"/>
        </w:rPr>
      </w:pPr>
      <w:r w:rsidRPr="00F14927">
        <w:rPr>
          <w:rFonts w:ascii="Arial" w:hAnsi="Arial" w:cs="Arial"/>
          <w:kern w:val="0"/>
          <w:sz w:val="22"/>
          <w:szCs w:val="22"/>
          <w14:ligatures w14:val="none"/>
        </w:rPr>
        <w:t>Key triggers include:</w:t>
      </w:r>
    </w:p>
    <w:p w14:paraId="0ADDD0A9" w14:textId="4065E6D1" w:rsidR="00BD5003" w:rsidRPr="00F14927" w:rsidRDefault="00BD5003" w:rsidP="00C8552A">
      <w:pPr>
        <w:numPr>
          <w:ilvl w:val="0"/>
          <w:numId w:val="2"/>
        </w:numPr>
        <w:spacing w:before="100" w:beforeAutospacing="1" w:after="100" w:afterAutospacing="1" w:line="360" w:lineRule="auto"/>
        <w:rPr>
          <w:rFonts w:ascii="Arial" w:hAnsi="Arial" w:cs="Arial"/>
          <w:kern w:val="0"/>
          <w:sz w:val="22"/>
          <w:szCs w:val="22"/>
          <w14:ligatures w14:val="none"/>
        </w:rPr>
      </w:pPr>
      <w:r w:rsidRPr="00F14927">
        <w:rPr>
          <w:rFonts w:ascii="Arial" w:hAnsi="Arial" w:cs="Arial"/>
          <w:kern w:val="0"/>
          <w:sz w:val="22"/>
          <w:szCs w:val="22"/>
          <w14:ligatures w14:val="none"/>
        </w:rPr>
        <w:t xml:space="preserve">AI-driven </w:t>
      </w:r>
      <w:proofErr w:type="gramStart"/>
      <w:r w:rsidRPr="00F14927">
        <w:rPr>
          <w:rFonts w:ascii="Arial" w:hAnsi="Arial" w:cs="Arial"/>
          <w:kern w:val="0"/>
          <w:sz w:val="22"/>
          <w:szCs w:val="22"/>
          <w14:ligatures w14:val="none"/>
        </w:rPr>
        <w:t>logistics</w:t>
      </w:r>
      <w:proofErr w:type="gramEnd"/>
      <w:r w:rsidRPr="00F14927">
        <w:rPr>
          <w:rFonts w:ascii="Arial" w:hAnsi="Arial" w:cs="Arial"/>
          <w:kern w:val="0"/>
          <w:sz w:val="22"/>
          <w:szCs w:val="22"/>
          <w14:ligatures w14:val="none"/>
        </w:rPr>
        <w:t xml:space="preserve"> disruption</w:t>
      </w:r>
    </w:p>
    <w:p w14:paraId="7A9A8F13" w14:textId="77777777" w:rsidR="00BD5003" w:rsidRPr="009A6FCF" w:rsidRDefault="00BD5003" w:rsidP="009A6FCF">
      <w:pPr>
        <w:numPr>
          <w:ilvl w:val="0"/>
          <w:numId w:val="2"/>
        </w:numPr>
        <w:spacing w:before="100" w:beforeAutospacing="1" w:after="100" w:afterAutospacing="1" w:line="360" w:lineRule="auto"/>
        <w:rPr>
          <w:rFonts w:ascii="Arial" w:hAnsi="Arial" w:cs="Arial"/>
          <w:kern w:val="0"/>
          <w:sz w:val="22"/>
          <w:szCs w:val="22"/>
          <w14:ligatures w14:val="none"/>
        </w:rPr>
      </w:pPr>
      <w:r w:rsidRPr="00F14927">
        <w:rPr>
          <w:rFonts w:ascii="Arial" w:hAnsi="Arial" w:cs="Arial"/>
          <w:kern w:val="0"/>
          <w:sz w:val="22"/>
          <w:szCs w:val="22"/>
          <w14:ligatures w14:val="none"/>
        </w:rPr>
        <w:t>Regulatory decarbonisation mandates</w:t>
      </w:r>
    </w:p>
    <w:p w14:paraId="166FC823" w14:textId="77777777" w:rsidR="00BD5003" w:rsidRPr="00F14927" w:rsidRDefault="00BD5003" w:rsidP="00C8552A">
      <w:pPr>
        <w:numPr>
          <w:ilvl w:val="0"/>
          <w:numId w:val="2"/>
        </w:numPr>
        <w:spacing w:before="100" w:beforeAutospacing="1" w:after="100" w:afterAutospacing="1" w:line="360" w:lineRule="auto"/>
        <w:rPr>
          <w:rFonts w:ascii="Arial" w:hAnsi="Arial" w:cs="Arial"/>
          <w:kern w:val="0"/>
          <w:sz w:val="22"/>
          <w:szCs w:val="22"/>
          <w14:ligatures w14:val="none"/>
        </w:rPr>
      </w:pPr>
      <w:r w:rsidRPr="00F14927">
        <w:rPr>
          <w:rFonts w:ascii="Arial" w:hAnsi="Arial" w:cs="Arial"/>
          <w:kern w:val="0"/>
          <w:sz w:val="22"/>
          <w:szCs w:val="22"/>
          <w14:ligatures w14:val="none"/>
        </w:rPr>
        <w:t>E-commerce acceleration</w:t>
      </w:r>
    </w:p>
    <w:p w14:paraId="6E52CB0F" w14:textId="77777777" w:rsidR="00E400C3" w:rsidRDefault="00BD5003" w:rsidP="00C8552A">
      <w:pPr>
        <w:numPr>
          <w:ilvl w:val="0"/>
          <w:numId w:val="2"/>
        </w:numPr>
        <w:spacing w:before="100" w:beforeAutospacing="1" w:after="100" w:afterAutospacing="1" w:line="360" w:lineRule="auto"/>
        <w:rPr>
          <w:rFonts w:ascii="Arial" w:hAnsi="Arial" w:cs="Arial"/>
          <w:kern w:val="0"/>
          <w:sz w:val="22"/>
          <w:szCs w:val="22"/>
          <w14:ligatures w14:val="none"/>
        </w:rPr>
      </w:pPr>
      <w:r w:rsidRPr="00F14927">
        <w:rPr>
          <w:rFonts w:ascii="Arial" w:hAnsi="Arial" w:cs="Arial"/>
          <w:kern w:val="0"/>
          <w:sz w:val="22"/>
          <w:szCs w:val="22"/>
          <w14:ligatures w14:val="none"/>
        </w:rPr>
        <w:t>Competitive automation investment</w:t>
      </w:r>
    </w:p>
    <w:p w14:paraId="0E549C98" w14:textId="4AF32EAF" w:rsidR="001C17B5" w:rsidRPr="00E400C3" w:rsidRDefault="00BD5003" w:rsidP="00C8552A">
      <w:pPr>
        <w:spacing w:before="100" w:beforeAutospacing="1" w:after="100" w:afterAutospacing="1" w:line="360" w:lineRule="auto"/>
        <w:rPr>
          <w:rFonts w:ascii="Arial" w:hAnsi="Arial" w:cs="Arial"/>
          <w:kern w:val="0"/>
          <w:sz w:val="22"/>
          <w:szCs w:val="22"/>
          <w14:ligatures w14:val="none"/>
        </w:rPr>
      </w:pPr>
      <w:r w:rsidRPr="00E400C3">
        <w:rPr>
          <w:rFonts w:ascii="Arial" w:hAnsi="Arial" w:cs="Arial"/>
          <w:kern w:val="0"/>
          <w:sz w:val="22"/>
          <w:szCs w:val="22"/>
          <w14:ligatures w14:val="none"/>
        </w:rPr>
        <w:t xml:space="preserve">Dynamic capabilities theory suggests firms must reconfigure assets to remain competitive (Teece, Pisano and </w:t>
      </w:r>
      <w:proofErr w:type="spellStart"/>
      <w:r w:rsidRPr="00E400C3">
        <w:rPr>
          <w:rFonts w:ascii="Arial" w:hAnsi="Arial" w:cs="Arial"/>
          <w:kern w:val="0"/>
          <w:sz w:val="22"/>
          <w:szCs w:val="22"/>
          <w14:ligatures w14:val="none"/>
        </w:rPr>
        <w:t>Shuen</w:t>
      </w:r>
      <w:proofErr w:type="spellEnd"/>
      <w:r w:rsidRPr="00E400C3">
        <w:rPr>
          <w:rFonts w:ascii="Arial" w:hAnsi="Arial" w:cs="Arial"/>
          <w:kern w:val="0"/>
          <w:sz w:val="22"/>
          <w:szCs w:val="22"/>
          <w14:ligatures w14:val="none"/>
        </w:rPr>
        <w:t>, 1997).</w:t>
      </w:r>
      <w:r w:rsidR="00FE467D" w:rsidRPr="00E400C3">
        <w:rPr>
          <w:rFonts w:ascii="Arial" w:hAnsi="Arial" w:cs="Arial"/>
          <w:kern w:val="0"/>
          <w:sz w:val="22"/>
          <w:szCs w:val="22"/>
          <w14:ligatures w14:val="none"/>
        </w:rPr>
        <w:t xml:space="preserve"> </w:t>
      </w:r>
    </w:p>
    <w:p w14:paraId="35FF5E25" w14:textId="6F4D2A3D" w:rsidR="00DD7C95" w:rsidRPr="00E400C3" w:rsidRDefault="00DD7C95" w:rsidP="00C8552A">
      <w:pPr>
        <w:pStyle w:val="p1"/>
        <w:spacing w:line="360" w:lineRule="auto"/>
        <w:rPr>
          <w:rFonts w:ascii="Arial" w:hAnsi="Arial" w:cs="Arial"/>
          <w:sz w:val="22"/>
          <w:szCs w:val="22"/>
        </w:rPr>
      </w:pPr>
      <w:r w:rsidRPr="00E400C3">
        <w:rPr>
          <w:rStyle w:val="s1"/>
          <w:rFonts w:ascii="Arial" w:hAnsi="Arial" w:cs="Arial"/>
          <w:sz w:val="22"/>
          <w:szCs w:val="22"/>
        </w:rPr>
        <w:t xml:space="preserve">Beyond the immediate regulatory and technological pressures, the political and legal environment also introduces long-term structural uncertainty. Post-Brexit trade adjustments continue to affect cross-border </w:t>
      </w:r>
      <w:proofErr w:type="gramStart"/>
      <w:r w:rsidRPr="00E400C3">
        <w:rPr>
          <w:rStyle w:val="s1"/>
          <w:rFonts w:ascii="Arial" w:hAnsi="Arial" w:cs="Arial"/>
          <w:sz w:val="22"/>
          <w:szCs w:val="22"/>
        </w:rPr>
        <w:t>logistics</w:t>
      </w:r>
      <w:proofErr w:type="gramEnd"/>
      <w:r w:rsidRPr="00E400C3">
        <w:rPr>
          <w:rStyle w:val="s1"/>
          <w:rFonts w:ascii="Arial" w:hAnsi="Arial" w:cs="Arial"/>
          <w:sz w:val="22"/>
          <w:szCs w:val="22"/>
        </w:rPr>
        <w:t xml:space="preserve"> operations through customs procedures, regulatory </w:t>
      </w:r>
      <w:r w:rsidR="00F105DC" w:rsidRPr="00E400C3">
        <w:rPr>
          <w:rStyle w:val="s1"/>
          <w:rFonts w:ascii="Arial" w:hAnsi="Arial" w:cs="Arial"/>
          <w:sz w:val="22"/>
          <w:szCs w:val="22"/>
        </w:rPr>
        <w:t>divergence,</w:t>
      </w:r>
      <w:r w:rsidRPr="00E400C3">
        <w:rPr>
          <w:rStyle w:val="s1"/>
          <w:rFonts w:ascii="Arial" w:hAnsi="Arial" w:cs="Arial"/>
          <w:sz w:val="22"/>
          <w:szCs w:val="22"/>
        </w:rPr>
        <w:t xml:space="preserve"> and exchange-rate volatility. For a globally integrated firm such as UPS, fluctuations in trade agreements and compliance standards increase administrative complexity and operational risk. Political emphasis on environmental accountability and corporate transparency further heightens scrutiny of carbon reporting and sustainability performance (Johnson, </w:t>
      </w:r>
      <w:r w:rsidR="00F105DC" w:rsidRPr="00E400C3">
        <w:rPr>
          <w:rStyle w:val="s1"/>
          <w:rFonts w:ascii="Arial" w:hAnsi="Arial" w:cs="Arial"/>
          <w:sz w:val="22"/>
          <w:szCs w:val="22"/>
        </w:rPr>
        <w:t>Scholes,</w:t>
      </w:r>
      <w:r w:rsidRPr="00E400C3">
        <w:rPr>
          <w:rStyle w:val="s1"/>
          <w:rFonts w:ascii="Arial" w:hAnsi="Arial" w:cs="Arial"/>
          <w:sz w:val="22"/>
          <w:szCs w:val="22"/>
        </w:rPr>
        <w:t xml:space="preserve"> and Whittington, 2017). As regulatory expectations intensify, sustainability becomes not merely a compliance issue but a determinant of competitive legitimacy within the UK market.</w:t>
      </w:r>
    </w:p>
    <w:p w14:paraId="3C35149F" w14:textId="070C0053" w:rsidR="00DD7C95" w:rsidRPr="00E400C3" w:rsidRDefault="00DD7C95" w:rsidP="00C8552A">
      <w:pPr>
        <w:pStyle w:val="p1"/>
        <w:spacing w:line="360" w:lineRule="auto"/>
        <w:rPr>
          <w:rFonts w:ascii="Arial" w:hAnsi="Arial" w:cs="Arial"/>
          <w:sz w:val="22"/>
          <w:szCs w:val="22"/>
        </w:rPr>
      </w:pPr>
      <w:r w:rsidRPr="00E400C3">
        <w:rPr>
          <w:rStyle w:val="s1"/>
          <w:rFonts w:ascii="Arial" w:hAnsi="Arial" w:cs="Arial"/>
          <w:sz w:val="22"/>
          <w:szCs w:val="22"/>
        </w:rPr>
        <w:t xml:space="preserve">From an economic perspective, the parcel delivery sector is </w:t>
      </w:r>
      <w:r w:rsidR="0076069D" w:rsidRPr="00E400C3">
        <w:rPr>
          <w:rStyle w:val="s1"/>
          <w:rFonts w:ascii="Arial" w:hAnsi="Arial" w:cs="Arial"/>
          <w:sz w:val="22"/>
          <w:szCs w:val="22"/>
        </w:rPr>
        <w:t>extremely sensitive</w:t>
      </w:r>
      <w:r w:rsidRPr="00E400C3">
        <w:rPr>
          <w:rStyle w:val="s1"/>
          <w:rFonts w:ascii="Arial" w:hAnsi="Arial" w:cs="Arial"/>
          <w:sz w:val="22"/>
          <w:szCs w:val="22"/>
        </w:rPr>
        <w:t xml:space="preserve"> to macroeconomic cycles. During periods of economic downturn, business-to-business shipping volumes may decline, while consumer parcel volumes fluctuate depending on disposable income levels. Although e-commerce growth has structurally increased parcel demand, profit margins remain under pressure due to price competition and rising input costs (Christopher, 2016). Labour shortages in the UK </w:t>
      </w:r>
      <w:proofErr w:type="gramStart"/>
      <w:r w:rsidRPr="00E400C3">
        <w:rPr>
          <w:rStyle w:val="s1"/>
          <w:rFonts w:ascii="Arial" w:hAnsi="Arial" w:cs="Arial"/>
          <w:sz w:val="22"/>
          <w:szCs w:val="22"/>
        </w:rPr>
        <w:t>logistics</w:t>
      </w:r>
      <w:proofErr w:type="gramEnd"/>
      <w:r w:rsidRPr="00E400C3">
        <w:rPr>
          <w:rStyle w:val="s1"/>
          <w:rFonts w:ascii="Arial" w:hAnsi="Arial" w:cs="Arial"/>
          <w:sz w:val="22"/>
          <w:szCs w:val="22"/>
        </w:rPr>
        <w:t xml:space="preserve"> sector also elevate wage pressures, further increasing operational expenditure. Consequently, cost leadership is difficult to sustain without technological innovation and efficiency gains. This reinforces the strategic importance of automation and route optimisation to defend margins.</w:t>
      </w:r>
    </w:p>
    <w:p w14:paraId="499E3DBD" w14:textId="7DD773D5" w:rsidR="00D47CB2" w:rsidRPr="00E400C3" w:rsidRDefault="00DD7C95" w:rsidP="00C8552A">
      <w:pPr>
        <w:pStyle w:val="p1"/>
        <w:spacing w:line="360" w:lineRule="auto"/>
        <w:rPr>
          <w:rFonts w:ascii="Arial" w:hAnsi="Arial" w:cs="Arial"/>
          <w:sz w:val="22"/>
          <w:szCs w:val="22"/>
        </w:rPr>
      </w:pPr>
      <w:r w:rsidRPr="00E400C3">
        <w:rPr>
          <w:rStyle w:val="s1"/>
          <w:rFonts w:ascii="Arial" w:hAnsi="Arial" w:cs="Arial"/>
          <w:sz w:val="22"/>
          <w:szCs w:val="22"/>
        </w:rPr>
        <w:t xml:space="preserve">Social expectations are also evolving in ways that directly affect UPS’s service design. Consumers increasingly demand transparency, ethical </w:t>
      </w:r>
      <w:r w:rsidR="00F105DC" w:rsidRPr="00E400C3">
        <w:rPr>
          <w:rStyle w:val="s1"/>
          <w:rFonts w:ascii="Arial" w:hAnsi="Arial" w:cs="Arial"/>
          <w:sz w:val="22"/>
          <w:szCs w:val="22"/>
        </w:rPr>
        <w:t>responsibility,</w:t>
      </w:r>
      <w:r w:rsidRPr="00E400C3">
        <w:rPr>
          <w:rStyle w:val="s1"/>
          <w:rFonts w:ascii="Arial" w:hAnsi="Arial" w:cs="Arial"/>
          <w:sz w:val="22"/>
          <w:szCs w:val="22"/>
        </w:rPr>
        <w:t xml:space="preserve"> and rapid fulfilment, often within same-day or next-day </w:t>
      </w:r>
      <w:proofErr w:type="gramStart"/>
      <w:r w:rsidRPr="00E400C3">
        <w:rPr>
          <w:rStyle w:val="s1"/>
          <w:rFonts w:ascii="Arial" w:hAnsi="Arial" w:cs="Arial"/>
          <w:sz w:val="22"/>
          <w:szCs w:val="22"/>
        </w:rPr>
        <w:t>timeframes</w:t>
      </w:r>
      <w:proofErr w:type="gramEnd"/>
      <w:r w:rsidRPr="00E400C3">
        <w:rPr>
          <w:rStyle w:val="s1"/>
          <w:rFonts w:ascii="Arial" w:hAnsi="Arial" w:cs="Arial"/>
          <w:sz w:val="22"/>
          <w:szCs w:val="22"/>
        </w:rPr>
        <w:t xml:space="preserve">. The rise of omnichannel retail has normalised expectations of seamless delivery, tracking visibility and easy returns. Research suggests that customer satisfaction in </w:t>
      </w:r>
      <w:proofErr w:type="gramStart"/>
      <w:r w:rsidRPr="00E400C3">
        <w:rPr>
          <w:rStyle w:val="s1"/>
          <w:rFonts w:ascii="Arial" w:hAnsi="Arial" w:cs="Arial"/>
          <w:sz w:val="22"/>
          <w:szCs w:val="22"/>
        </w:rPr>
        <w:t>logistics</w:t>
      </w:r>
      <w:proofErr w:type="gramEnd"/>
      <w:r w:rsidRPr="00E400C3">
        <w:rPr>
          <w:rStyle w:val="s1"/>
          <w:rFonts w:ascii="Arial" w:hAnsi="Arial" w:cs="Arial"/>
          <w:sz w:val="22"/>
          <w:szCs w:val="22"/>
        </w:rPr>
        <w:t xml:space="preserve"> is strongly linked to reliability, </w:t>
      </w:r>
      <w:r w:rsidR="00F105DC" w:rsidRPr="00E400C3">
        <w:rPr>
          <w:rStyle w:val="s1"/>
          <w:rFonts w:ascii="Arial" w:hAnsi="Arial" w:cs="Arial"/>
          <w:sz w:val="22"/>
          <w:szCs w:val="22"/>
        </w:rPr>
        <w:t>speed,</w:t>
      </w:r>
      <w:r w:rsidRPr="00E400C3">
        <w:rPr>
          <w:rStyle w:val="s1"/>
          <w:rFonts w:ascii="Arial" w:hAnsi="Arial" w:cs="Arial"/>
          <w:sz w:val="22"/>
          <w:szCs w:val="22"/>
        </w:rPr>
        <w:t xml:space="preserve"> and communication transparency (Christopher, 2016). Therefore, UPS’s digital capabilities must continuously adapt to maintain service differentiation in an experience-driven economy.</w:t>
      </w:r>
    </w:p>
    <w:p w14:paraId="59AE2CA2" w14:textId="77777777" w:rsidR="009A6FCF" w:rsidRDefault="00DD7C95" w:rsidP="00C8552A">
      <w:pPr>
        <w:pStyle w:val="p1"/>
        <w:spacing w:line="360" w:lineRule="auto"/>
        <w:rPr>
          <w:rStyle w:val="s1"/>
          <w:rFonts w:ascii="Arial" w:hAnsi="Arial" w:cs="Arial"/>
          <w:sz w:val="22"/>
          <w:szCs w:val="22"/>
        </w:rPr>
      </w:pPr>
      <w:r w:rsidRPr="00E400C3">
        <w:rPr>
          <w:rStyle w:val="s1"/>
          <w:rFonts w:ascii="Arial" w:hAnsi="Arial" w:cs="Arial"/>
          <w:sz w:val="22"/>
          <w:szCs w:val="22"/>
        </w:rPr>
        <w:t xml:space="preserve">Technologically, artificial intelligence and machine learning applications are transforming </w:t>
      </w:r>
      <w:proofErr w:type="gramStart"/>
      <w:r w:rsidRPr="00E400C3">
        <w:rPr>
          <w:rStyle w:val="s1"/>
          <w:rFonts w:ascii="Arial" w:hAnsi="Arial" w:cs="Arial"/>
          <w:sz w:val="22"/>
          <w:szCs w:val="22"/>
        </w:rPr>
        <w:t>logistics</w:t>
      </w:r>
      <w:proofErr w:type="gramEnd"/>
      <w:r w:rsidRPr="00E400C3">
        <w:rPr>
          <w:rStyle w:val="s1"/>
          <w:rFonts w:ascii="Arial" w:hAnsi="Arial" w:cs="Arial"/>
          <w:sz w:val="22"/>
          <w:szCs w:val="22"/>
        </w:rPr>
        <w:t xml:space="preserve"> planning and asset management. AI-driven predictive analytics can anticipate demand fluctuations, optimise route </w:t>
      </w:r>
      <w:r w:rsidR="00F105DC" w:rsidRPr="00E400C3">
        <w:rPr>
          <w:rStyle w:val="s1"/>
          <w:rFonts w:ascii="Arial" w:hAnsi="Arial" w:cs="Arial"/>
          <w:sz w:val="22"/>
          <w:szCs w:val="22"/>
        </w:rPr>
        <w:t>density,</w:t>
      </w:r>
      <w:r w:rsidRPr="00E400C3">
        <w:rPr>
          <w:rStyle w:val="s1"/>
          <w:rFonts w:ascii="Arial" w:hAnsi="Arial" w:cs="Arial"/>
          <w:sz w:val="22"/>
          <w:szCs w:val="22"/>
        </w:rPr>
        <w:t xml:space="preserve"> and improve warehouse throughput. McKinnon </w:t>
      </w:r>
    </w:p>
    <w:p w14:paraId="3A31522C" w14:textId="67480BE9" w:rsidR="00DD7C95" w:rsidRPr="009A6FCF" w:rsidRDefault="00DD7C95" w:rsidP="009A6FCF">
      <w:pPr>
        <w:rPr>
          <w:rFonts w:ascii="Arial" w:hAnsi="Arial" w:cs="Arial"/>
          <w:kern w:val="0"/>
          <w:sz w:val="22"/>
          <w:szCs w:val="22"/>
          <w14:ligatures w14:val="none"/>
        </w:rPr>
      </w:pPr>
      <w:r w:rsidRPr="00E400C3">
        <w:rPr>
          <w:rStyle w:val="s1"/>
          <w:rFonts w:ascii="Arial" w:hAnsi="Arial" w:cs="Arial"/>
          <w:sz w:val="22"/>
          <w:szCs w:val="22"/>
        </w:rPr>
        <w:t>(2018) argues that digital optimisation significantly reduces fuel consumption and emissions while enhancing asset utilisation. However, technological transformation also requires substantial capital investment and organisational learning. Firms that fail to embed digital capabilities across operational processes risk technological fragmentation rather than integration. Thus, technological change is both an opportunity and a structural risk.</w:t>
      </w:r>
    </w:p>
    <w:p w14:paraId="198E3EA0" w14:textId="7BC67995" w:rsidR="00DD7C95" w:rsidRPr="00E400C3" w:rsidRDefault="00DD7C95" w:rsidP="00C8552A">
      <w:pPr>
        <w:pStyle w:val="p1"/>
        <w:spacing w:line="360" w:lineRule="auto"/>
        <w:rPr>
          <w:rFonts w:ascii="Arial" w:hAnsi="Arial" w:cs="Arial"/>
          <w:sz w:val="22"/>
          <w:szCs w:val="22"/>
        </w:rPr>
      </w:pPr>
      <w:r w:rsidRPr="00E400C3">
        <w:rPr>
          <w:rStyle w:val="s1"/>
          <w:rFonts w:ascii="Arial" w:hAnsi="Arial" w:cs="Arial"/>
          <w:sz w:val="22"/>
          <w:szCs w:val="22"/>
        </w:rPr>
        <w:t xml:space="preserve">From a competitive </w:t>
      </w:r>
      <w:r w:rsidR="00F03AF0" w:rsidRPr="00E400C3">
        <w:rPr>
          <w:rStyle w:val="s1"/>
          <w:rFonts w:ascii="Arial" w:hAnsi="Arial" w:cs="Arial"/>
          <w:sz w:val="22"/>
          <w:szCs w:val="22"/>
        </w:rPr>
        <w:t>force’s</w:t>
      </w:r>
      <w:r w:rsidRPr="00E400C3">
        <w:rPr>
          <w:rStyle w:val="s1"/>
          <w:rFonts w:ascii="Arial" w:hAnsi="Arial" w:cs="Arial"/>
          <w:sz w:val="22"/>
          <w:szCs w:val="22"/>
        </w:rPr>
        <w:t xml:space="preserve"> perspective, rivalry within the UK parcel market is intensified by both established operators and vertically integrated e-commerce firms. Amazon Logistics, for example, leverages internal distribution networks to reduce reliance on third-party carriers, increasing competitive pressure. According to Porter (1980), industries characterised by high fixed costs and limited differentiation experience intense rivalry, often resulting in price competition. UPS must therefore maintain differentiation through reliability, sustainability </w:t>
      </w:r>
      <w:r w:rsidR="00F105DC" w:rsidRPr="00E400C3">
        <w:rPr>
          <w:rStyle w:val="s1"/>
          <w:rFonts w:ascii="Arial" w:hAnsi="Arial" w:cs="Arial"/>
          <w:sz w:val="22"/>
          <w:szCs w:val="22"/>
        </w:rPr>
        <w:t>credentials,</w:t>
      </w:r>
      <w:r w:rsidRPr="00E400C3">
        <w:rPr>
          <w:rStyle w:val="s1"/>
          <w:rFonts w:ascii="Arial" w:hAnsi="Arial" w:cs="Arial"/>
          <w:sz w:val="22"/>
          <w:szCs w:val="22"/>
        </w:rPr>
        <w:t xml:space="preserve"> and technological capability rather than competing solely on cost.</w:t>
      </w:r>
    </w:p>
    <w:p w14:paraId="3F826DA7" w14:textId="1925F140" w:rsidR="00DD7C95" w:rsidRPr="00E400C3" w:rsidRDefault="00DD7C95" w:rsidP="00C8552A">
      <w:pPr>
        <w:pStyle w:val="p1"/>
        <w:spacing w:line="360" w:lineRule="auto"/>
        <w:rPr>
          <w:rFonts w:ascii="Arial" w:hAnsi="Arial" w:cs="Arial"/>
          <w:sz w:val="22"/>
          <w:szCs w:val="22"/>
        </w:rPr>
      </w:pPr>
      <w:r w:rsidRPr="00E400C3">
        <w:rPr>
          <w:rStyle w:val="s1"/>
          <w:rFonts w:ascii="Arial" w:hAnsi="Arial" w:cs="Arial"/>
          <w:sz w:val="22"/>
          <w:szCs w:val="22"/>
        </w:rPr>
        <w:t>Buyer power remains particularly strong because large retail clients can negotiate contract terms and switch providers. Supplier power, meanwhile, is rising due to electric vehicle battery shortages and semiconductor constraints affecting fleet procurement (Reuters, 2024). This supply-side vulnerability increases capital planning complexity.</w:t>
      </w:r>
    </w:p>
    <w:p w14:paraId="11231774" w14:textId="78467578" w:rsidR="00DD7C95" w:rsidRPr="00E400C3" w:rsidRDefault="00DD7C95" w:rsidP="00C8552A">
      <w:pPr>
        <w:pStyle w:val="p1"/>
        <w:spacing w:line="360" w:lineRule="auto"/>
        <w:rPr>
          <w:rFonts w:ascii="Arial" w:hAnsi="Arial" w:cs="Arial"/>
          <w:sz w:val="22"/>
          <w:szCs w:val="22"/>
        </w:rPr>
      </w:pPr>
      <w:r w:rsidRPr="00E400C3">
        <w:rPr>
          <w:rStyle w:val="s1"/>
          <w:rFonts w:ascii="Arial" w:hAnsi="Arial" w:cs="Arial"/>
          <w:sz w:val="22"/>
          <w:szCs w:val="22"/>
        </w:rPr>
        <w:t xml:space="preserve">Internally, while UPS benefits from proprietary optimisation technologies and global network infrastructure, high capital intensity creates strategic inflexibility. Large-scale fleet transformation requires long investment horizons and disciplined capital allocation. The Resource-Based View (Barney, 1991) emphasises that sustained advantage depends on valuable, </w:t>
      </w:r>
      <w:r w:rsidR="00F105DC" w:rsidRPr="00E400C3">
        <w:rPr>
          <w:rStyle w:val="s1"/>
          <w:rFonts w:ascii="Arial" w:hAnsi="Arial" w:cs="Arial"/>
          <w:sz w:val="22"/>
          <w:szCs w:val="22"/>
        </w:rPr>
        <w:t>rare,</w:t>
      </w:r>
      <w:r w:rsidRPr="00E400C3">
        <w:rPr>
          <w:rStyle w:val="s1"/>
          <w:rFonts w:ascii="Arial" w:hAnsi="Arial" w:cs="Arial"/>
          <w:sz w:val="22"/>
          <w:szCs w:val="22"/>
        </w:rPr>
        <w:t xml:space="preserve"> and inimitable resources; however, these must also be organisationally embedded to generate long-term performance. UPS’s challenge is ensuring that digital and sustainability capabilities are not isolated initiatives but integrated across functional systems.</w:t>
      </w:r>
    </w:p>
    <w:p w14:paraId="0DDEFCCD" w14:textId="47BF829A" w:rsidR="00DD4D7C" w:rsidRPr="00E400C3" w:rsidRDefault="00DD7C95" w:rsidP="00C8552A">
      <w:pPr>
        <w:pStyle w:val="p1"/>
        <w:spacing w:line="360" w:lineRule="auto"/>
        <w:rPr>
          <w:rStyle w:val="s1"/>
          <w:rFonts w:ascii="Arial" w:hAnsi="Arial" w:cs="Arial"/>
          <w:sz w:val="22"/>
          <w:szCs w:val="22"/>
        </w:rPr>
      </w:pPr>
      <w:r w:rsidRPr="00E400C3">
        <w:rPr>
          <w:rStyle w:val="s1"/>
          <w:rFonts w:ascii="Arial" w:hAnsi="Arial" w:cs="Arial"/>
          <w:sz w:val="22"/>
          <w:szCs w:val="22"/>
        </w:rPr>
        <w:t xml:space="preserve">The triggers for change therefore operate at multiple levels—technological, regulatory, </w:t>
      </w:r>
      <w:r w:rsidR="00F105DC" w:rsidRPr="00E400C3">
        <w:rPr>
          <w:rStyle w:val="s1"/>
          <w:rFonts w:ascii="Arial" w:hAnsi="Arial" w:cs="Arial"/>
          <w:sz w:val="22"/>
          <w:szCs w:val="22"/>
        </w:rPr>
        <w:t>competitive,</w:t>
      </w:r>
      <w:r w:rsidRPr="00E400C3">
        <w:rPr>
          <w:rStyle w:val="s1"/>
          <w:rFonts w:ascii="Arial" w:hAnsi="Arial" w:cs="Arial"/>
          <w:sz w:val="22"/>
          <w:szCs w:val="22"/>
        </w:rPr>
        <w:t xml:space="preserve"> and behavioural. Dynamic capabilities theory highlights that firms must sense opportunities, seize them through investment and reconfigure assets to sustain competitiveness (Teece, Pisano and </w:t>
      </w:r>
      <w:proofErr w:type="spellStart"/>
      <w:r w:rsidRPr="00E400C3">
        <w:rPr>
          <w:rStyle w:val="s1"/>
          <w:rFonts w:ascii="Arial" w:hAnsi="Arial" w:cs="Arial"/>
          <w:sz w:val="22"/>
          <w:szCs w:val="22"/>
        </w:rPr>
        <w:t>Shuen</w:t>
      </w:r>
      <w:proofErr w:type="spellEnd"/>
      <w:r w:rsidRPr="00E400C3">
        <w:rPr>
          <w:rStyle w:val="s1"/>
          <w:rFonts w:ascii="Arial" w:hAnsi="Arial" w:cs="Arial"/>
          <w:sz w:val="22"/>
          <w:szCs w:val="22"/>
        </w:rPr>
        <w:t>, 1997). For UPS UK, environmental volatility requires not only operational adjustments but strategic agility. The convergence of</w:t>
      </w:r>
    </w:p>
    <w:p w14:paraId="72A10498" w14:textId="43698E19" w:rsidR="00717E0B" w:rsidRDefault="00DD7C95" w:rsidP="00C8552A">
      <w:pPr>
        <w:pStyle w:val="p1"/>
        <w:spacing w:line="360" w:lineRule="auto"/>
        <w:rPr>
          <w:rStyle w:val="s1"/>
          <w:rFonts w:ascii="Arial" w:hAnsi="Arial" w:cs="Arial"/>
          <w:sz w:val="22"/>
          <w:szCs w:val="22"/>
        </w:rPr>
      </w:pPr>
      <w:r w:rsidRPr="00E400C3">
        <w:rPr>
          <w:rStyle w:val="s1"/>
          <w:rFonts w:ascii="Arial" w:hAnsi="Arial" w:cs="Arial"/>
          <w:sz w:val="22"/>
          <w:szCs w:val="22"/>
        </w:rPr>
        <w:t xml:space="preserve">innovation, sustainability </w:t>
      </w:r>
      <w:r w:rsidR="00F105DC" w:rsidRPr="00E400C3">
        <w:rPr>
          <w:rStyle w:val="s1"/>
          <w:rFonts w:ascii="Arial" w:hAnsi="Arial" w:cs="Arial"/>
          <w:sz w:val="22"/>
          <w:szCs w:val="22"/>
        </w:rPr>
        <w:t>mandates,</w:t>
      </w:r>
      <w:r w:rsidRPr="00E400C3">
        <w:rPr>
          <w:rStyle w:val="s1"/>
          <w:rFonts w:ascii="Arial" w:hAnsi="Arial" w:cs="Arial"/>
          <w:sz w:val="22"/>
          <w:szCs w:val="22"/>
        </w:rPr>
        <w:t xml:space="preserve"> and e-commerce acceleration demands systemic transformation rather than incremental adaptation. In this context, change becomes a strategic imperative rather than a discretionary choice.</w:t>
      </w:r>
    </w:p>
    <w:p w14:paraId="54F0C3E7" w14:textId="48AE0AA7" w:rsidR="00BD5003" w:rsidRPr="00717E0B" w:rsidRDefault="00717E0B" w:rsidP="00717E0B">
      <w:pPr>
        <w:pStyle w:val="Heading1"/>
        <w:rPr>
          <w:rFonts w:ascii="Arial" w:hAnsi="Arial" w:cs="Arial"/>
          <w:kern w:val="0"/>
          <w:sz w:val="22"/>
          <w:szCs w:val="22"/>
          <w14:ligatures w14:val="none"/>
        </w:rPr>
      </w:pPr>
      <w:r>
        <w:rPr>
          <w:rStyle w:val="s1"/>
          <w:rFonts w:ascii="Arial" w:hAnsi="Arial" w:cs="Arial"/>
          <w:sz w:val="22"/>
          <w:szCs w:val="22"/>
        </w:rPr>
        <w:br w:type="page"/>
      </w:r>
      <w:r w:rsidR="00BD5003" w:rsidRPr="00BD5003">
        <w:t>3. Review and Evaluation of Change Management Models</w:t>
      </w:r>
    </w:p>
    <w:p w14:paraId="1F291B29" w14:textId="0A2F2D3A" w:rsidR="00D14E9C" w:rsidRDefault="00D14E9C" w:rsidP="00C8552A">
      <w:pPr>
        <w:pStyle w:val="Heading2"/>
        <w:spacing w:line="360" w:lineRule="auto"/>
      </w:pPr>
    </w:p>
    <w:p w14:paraId="758FA0DB" w14:textId="327B823E" w:rsidR="00601FF1" w:rsidRDefault="00430E2E" w:rsidP="00C8552A">
      <w:pPr>
        <w:pStyle w:val="Heading2"/>
        <w:spacing w:line="360" w:lineRule="auto"/>
      </w:pPr>
      <w:r>
        <w:rPr>
          <w:noProof/>
        </w:rPr>
        <w:drawing>
          <wp:anchor distT="0" distB="0" distL="114300" distR="114300" simplePos="0" relativeHeight="251658244" behindDoc="0" locked="0" layoutInCell="1" allowOverlap="1" wp14:anchorId="2C62D314" wp14:editId="256D9C07">
            <wp:simplePos x="0" y="0"/>
            <wp:positionH relativeFrom="page">
              <wp:posOffset>114935</wp:posOffset>
            </wp:positionH>
            <wp:positionV relativeFrom="paragraph">
              <wp:posOffset>524510</wp:posOffset>
            </wp:positionV>
            <wp:extent cx="7199630" cy="2927350"/>
            <wp:effectExtent l="0" t="0" r="1270" b="6350"/>
            <wp:wrapTopAndBottom/>
            <wp:docPr id="890220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20606" name=""/>
                    <pic:cNvPicPr/>
                  </pic:nvPicPr>
                  <pic:blipFill>
                    <a:blip r:embed="rId10"/>
                    <a:stretch>
                      <a:fillRect/>
                    </a:stretch>
                  </pic:blipFill>
                  <pic:spPr>
                    <a:xfrm>
                      <a:off x="0" y="0"/>
                      <a:ext cx="7199630" cy="2927350"/>
                    </a:xfrm>
                    <a:prstGeom prst="rect">
                      <a:avLst/>
                    </a:prstGeom>
                  </pic:spPr>
                </pic:pic>
              </a:graphicData>
            </a:graphic>
            <wp14:sizeRelH relativeFrom="margin">
              <wp14:pctWidth>0</wp14:pctWidth>
            </wp14:sizeRelH>
            <wp14:sizeRelV relativeFrom="margin">
              <wp14:pctHeight>0</wp14:pctHeight>
            </wp14:sizeRelV>
          </wp:anchor>
        </w:drawing>
      </w:r>
      <w:r w:rsidR="00601FF1" w:rsidRPr="00C3507E">
        <w:t>Lewin’s Three-Step Model</w:t>
      </w:r>
    </w:p>
    <w:p w14:paraId="4646319F" w14:textId="77777777" w:rsidR="00863825" w:rsidRDefault="00863825" w:rsidP="00C8552A">
      <w:pPr>
        <w:spacing w:before="100" w:beforeAutospacing="1" w:after="100" w:afterAutospacing="1" w:line="360" w:lineRule="auto"/>
        <w:rPr>
          <w:rFonts w:ascii="Arial" w:hAnsi="Arial" w:cs="Arial"/>
          <w:kern w:val="0"/>
          <w:sz w:val="22"/>
          <w:szCs w:val="22"/>
          <w14:ligatures w14:val="none"/>
        </w:rPr>
      </w:pPr>
    </w:p>
    <w:p w14:paraId="58C1544B" w14:textId="77777777" w:rsidR="00034F48"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Lewin (1951) proposes Unfreeze–Change–Refreeze. While useful for conceptual clarity, it oversimplifies continuous digital disruption environments.</w:t>
      </w:r>
    </w:p>
    <w:p w14:paraId="1B300A81" w14:textId="4529BDCF"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Lewin’s model is grounded in field theory, which conceptualises organisational behaviour as a balance of driving and restraining forces. Change occurs when equilibrium is deliberately destabilised. The “unfreezing” stage involves challenging existing norms and creating psychological readiness for change. In the context of UPS, this would involve communicating the urgency of digital transformation and sustainability adaptation. However, critics argue that Lewin’s model assumes </w:t>
      </w:r>
      <w:r w:rsidR="00544E36" w:rsidRPr="00C3507E">
        <w:rPr>
          <w:rFonts w:ascii="Arial" w:hAnsi="Arial" w:cs="Arial"/>
          <w:kern w:val="0"/>
          <w:sz w:val="22"/>
          <w:szCs w:val="22"/>
          <w14:ligatures w14:val="none"/>
        </w:rPr>
        <w:t>stable</w:t>
      </w:r>
      <w:r w:rsidRPr="00C3507E">
        <w:rPr>
          <w:rFonts w:ascii="Arial" w:hAnsi="Arial" w:cs="Arial"/>
          <w:kern w:val="0"/>
          <w:sz w:val="22"/>
          <w:szCs w:val="22"/>
          <w14:ligatures w14:val="none"/>
        </w:rPr>
        <w:t xml:space="preserve"> environments in which equilibrium can be re-established after transformation (Burnes, 2017). In industries such as </w:t>
      </w:r>
      <w:proofErr w:type="gramStart"/>
      <w:r w:rsidRPr="00C3507E">
        <w:rPr>
          <w:rFonts w:ascii="Arial" w:hAnsi="Arial" w:cs="Arial"/>
          <w:kern w:val="0"/>
          <w:sz w:val="22"/>
          <w:szCs w:val="22"/>
          <w14:ligatures w14:val="none"/>
        </w:rPr>
        <w:t>logistics</w:t>
      </w:r>
      <w:proofErr w:type="gramEnd"/>
      <w:r w:rsidRPr="00C3507E">
        <w:rPr>
          <w:rFonts w:ascii="Arial" w:hAnsi="Arial" w:cs="Arial"/>
          <w:kern w:val="0"/>
          <w:sz w:val="22"/>
          <w:szCs w:val="22"/>
          <w14:ligatures w14:val="none"/>
        </w:rPr>
        <w:t>, characterised by ongoing technological disruption, regulatory shifts and competitive turbulence, the notion of “refreezing” may be unrealistic.</w:t>
      </w:r>
    </w:p>
    <w:p w14:paraId="4B672F1A" w14:textId="77777777" w:rsidR="00034F48"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Nevertheless, Burnes (2017) contends that Lewin’s model has often been misinterpreted as linear and static. Instead, refreezing can be understood as institutionalising new practices temporarily before the next cycle of change. For UPS, this interpretation is relevant. For</w:t>
      </w:r>
    </w:p>
    <w:p w14:paraId="7FBB5E1B" w14:textId="6D849FFD"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example, once AI-driven routing systems are embedded into operations, they must be stabilised through training and performance monitoring. However, the system will require further iteration as </w:t>
      </w:r>
      <w:r w:rsidR="0076069D" w:rsidRPr="00C3507E">
        <w:rPr>
          <w:rFonts w:ascii="Arial" w:hAnsi="Arial" w:cs="Arial"/>
          <w:kern w:val="0"/>
          <w:sz w:val="22"/>
          <w:szCs w:val="22"/>
          <w14:ligatures w14:val="none"/>
        </w:rPr>
        <w:t>modern technologies</w:t>
      </w:r>
      <w:r w:rsidRPr="00C3507E">
        <w:rPr>
          <w:rFonts w:ascii="Arial" w:hAnsi="Arial" w:cs="Arial"/>
          <w:kern w:val="0"/>
          <w:sz w:val="22"/>
          <w:szCs w:val="22"/>
          <w14:ligatures w14:val="none"/>
        </w:rPr>
        <w:t xml:space="preserve"> emerge. Therefore, Lewin provides conceptual clarity but requires reinterpretation to remain applicable in digitally dynamic environments.</w:t>
      </w:r>
    </w:p>
    <w:p w14:paraId="391C082B" w14:textId="77777777" w:rsidR="00601FF1" w:rsidRPr="00C3507E" w:rsidRDefault="00601FF1" w:rsidP="00C8552A">
      <w:pPr>
        <w:pStyle w:val="Heading2"/>
        <w:spacing w:line="360" w:lineRule="auto"/>
      </w:pPr>
      <w:r w:rsidRPr="00C3507E">
        <w:t>Kotter’s Eight-Step Model</w:t>
      </w:r>
    </w:p>
    <w:p w14:paraId="4C5B8800" w14:textId="1169D875" w:rsidR="00601FF1" w:rsidRDefault="003F4F61" w:rsidP="00C8552A">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51" behindDoc="0" locked="0" layoutInCell="1" allowOverlap="1" wp14:anchorId="704AAC9B" wp14:editId="689DFD67">
            <wp:simplePos x="0" y="0"/>
            <wp:positionH relativeFrom="page">
              <wp:align>left</wp:align>
            </wp:positionH>
            <wp:positionV relativeFrom="paragraph">
              <wp:posOffset>706755</wp:posOffset>
            </wp:positionV>
            <wp:extent cx="7849235" cy="3173011"/>
            <wp:effectExtent l="0" t="0" r="0" b="8890"/>
            <wp:wrapTopAndBottom/>
            <wp:docPr id="128796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963246" name=""/>
                    <pic:cNvPicPr/>
                  </pic:nvPicPr>
                  <pic:blipFill>
                    <a:blip r:embed="rId11"/>
                    <a:stretch>
                      <a:fillRect/>
                    </a:stretch>
                  </pic:blipFill>
                  <pic:spPr>
                    <a:xfrm>
                      <a:off x="0" y="0"/>
                      <a:ext cx="7849235" cy="3173011"/>
                    </a:xfrm>
                    <a:prstGeom prst="rect">
                      <a:avLst/>
                    </a:prstGeom>
                  </pic:spPr>
                </pic:pic>
              </a:graphicData>
            </a:graphic>
            <wp14:sizeRelH relativeFrom="margin">
              <wp14:pctWidth>0</wp14:pctWidth>
            </wp14:sizeRelH>
            <wp14:sizeRelV relativeFrom="margin">
              <wp14:pctHeight>0</wp14:pctHeight>
            </wp14:sizeRelV>
          </wp:anchor>
        </w:drawing>
      </w:r>
      <w:r w:rsidR="00601FF1" w:rsidRPr="00C3507E">
        <w:rPr>
          <w:rFonts w:ascii="Arial" w:hAnsi="Arial" w:cs="Arial"/>
          <w:kern w:val="0"/>
          <w:sz w:val="22"/>
          <w:szCs w:val="22"/>
          <w14:ligatures w14:val="none"/>
        </w:rPr>
        <w:t xml:space="preserve">Kotter (1996) emphasises urgency, coalition </w:t>
      </w:r>
      <w:r w:rsidR="00F105DC" w:rsidRPr="00C3507E">
        <w:rPr>
          <w:rFonts w:ascii="Arial" w:hAnsi="Arial" w:cs="Arial"/>
          <w:kern w:val="0"/>
          <w:sz w:val="22"/>
          <w:szCs w:val="22"/>
          <w14:ligatures w14:val="none"/>
        </w:rPr>
        <w:t>building,</w:t>
      </w:r>
      <w:r w:rsidR="00601FF1" w:rsidRPr="00C3507E">
        <w:rPr>
          <w:rFonts w:ascii="Arial" w:hAnsi="Arial" w:cs="Arial"/>
          <w:kern w:val="0"/>
          <w:sz w:val="22"/>
          <w:szCs w:val="22"/>
          <w14:ligatures w14:val="none"/>
        </w:rPr>
        <w:t xml:space="preserve"> and communication. This model is particularly relevant in large organisations like UPS where cultural alignment is critical.</w:t>
      </w:r>
    </w:p>
    <w:p w14:paraId="631EB1E0" w14:textId="77777777" w:rsidR="00324ABB" w:rsidRDefault="00324ABB" w:rsidP="00C8552A">
      <w:pPr>
        <w:spacing w:before="100" w:beforeAutospacing="1" w:after="100" w:afterAutospacing="1" w:line="360" w:lineRule="auto"/>
        <w:rPr>
          <w:rFonts w:ascii="Arial" w:hAnsi="Arial" w:cs="Arial"/>
          <w:kern w:val="0"/>
          <w:sz w:val="22"/>
          <w:szCs w:val="22"/>
          <w14:ligatures w14:val="none"/>
        </w:rPr>
      </w:pPr>
    </w:p>
    <w:p w14:paraId="6AC4DA33" w14:textId="77777777" w:rsidR="00324ABB" w:rsidRDefault="00324ABB" w:rsidP="00C8552A">
      <w:pPr>
        <w:spacing w:before="100" w:beforeAutospacing="1" w:after="100" w:afterAutospacing="1" w:line="360" w:lineRule="auto"/>
        <w:rPr>
          <w:rFonts w:ascii="Arial" w:hAnsi="Arial" w:cs="Arial"/>
          <w:kern w:val="0"/>
          <w:sz w:val="22"/>
          <w:szCs w:val="22"/>
          <w14:ligatures w14:val="none"/>
        </w:rPr>
      </w:pPr>
    </w:p>
    <w:p w14:paraId="560BCA02" w14:textId="2B9AC002"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Kotter’s model builds upon Lewin by offering a more detailed, process-oriented roadmap for large-scale organisational transformation. The eight steps—establishing urgency, forming a guiding coalition, developing vision, communicating the vision, empowering action, generating short-term wins, consolidating </w:t>
      </w:r>
      <w:r w:rsidR="00F105DC" w:rsidRPr="00C3507E">
        <w:rPr>
          <w:rFonts w:ascii="Arial" w:hAnsi="Arial" w:cs="Arial"/>
          <w:kern w:val="0"/>
          <w:sz w:val="22"/>
          <w:szCs w:val="22"/>
          <w14:ligatures w14:val="none"/>
        </w:rPr>
        <w:t>gains,</w:t>
      </w:r>
      <w:r w:rsidRPr="00C3507E">
        <w:rPr>
          <w:rFonts w:ascii="Arial" w:hAnsi="Arial" w:cs="Arial"/>
          <w:kern w:val="0"/>
          <w:sz w:val="22"/>
          <w:szCs w:val="22"/>
          <w14:ligatures w14:val="none"/>
        </w:rPr>
        <w:t xml:space="preserve"> and anchoring change—provide structured sequencing that reduces ambiguity during transformation.</w:t>
      </w:r>
    </w:p>
    <w:p w14:paraId="75FEAA17" w14:textId="232A251F" w:rsidR="00FB336F" w:rsidRDefault="00601FF1" w:rsidP="00AA0AD1">
      <w:pPr>
        <w:rPr>
          <w:rFonts w:ascii="Arial" w:hAnsi="Arial" w:cs="Arial"/>
          <w:kern w:val="0"/>
          <w:sz w:val="22"/>
          <w:szCs w:val="22"/>
          <w14:ligatures w14:val="none"/>
        </w:rPr>
      </w:pPr>
      <w:r w:rsidRPr="00C3507E">
        <w:rPr>
          <w:rFonts w:ascii="Arial" w:hAnsi="Arial" w:cs="Arial"/>
          <w:kern w:val="0"/>
          <w:sz w:val="22"/>
          <w:szCs w:val="22"/>
          <w14:ligatures w14:val="none"/>
        </w:rPr>
        <w:t xml:space="preserve">For UPS, which operates within a complex hierarchical structure, Kotter’s emphasis on coalition building is particularly significant. Digital transformation and sustainability initiatives require cross-functional coordination across fleet management, IT, </w:t>
      </w:r>
      <w:r w:rsidR="00F105DC" w:rsidRPr="00C3507E">
        <w:rPr>
          <w:rFonts w:ascii="Arial" w:hAnsi="Arial" w:cs="Arial"/>
          <w:kern w:val="0"/>
          <w:sz w:val="22"/>
          <w:szCs w:val="22"/>
          <w14:ligatures w14:val="none"/>
        </w:rPr>
        <w:t>procurement,</w:t>
      </w:r>
      <w:r w:rsidRPr="00C3507E">
        <w:rPr>
          <w:rFonts w:ascii="Arial" w:hAnsi="Arial" w:cs="Arial"/>
          <w:kern w:val="0"/>
          <w:sz w:val="22"/>
          <w:szCs w:val="22"/>
          <w14:ligatures w14:val="none"/>
        </w:rPr>
        <w:t xml:space="preserve"> and human resources. Kotter’s framework recognises that leadership alignment and visible sponsorship are essential to prevent fragmentation. Moreover, the focus on short-term wins aligns with</w:t>
      </w:r>
    </w:p>
    <w:p w14:paraId="5FD38799" w14:textId="3EEBC559"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financial accountability, enabling boards to justify continued capital investment in digital infrastructure.</w:t>
      </w:r>
    </w:p>
    <w:p w14:paraId="33FCAED1" w14:textId="41E108B2" w:rsidR="00324ABB"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However, Kotter’s model has been criticised for its prescriptive and top-down orientation. It assumes that change is primarily driven by senior leadership rather than emerging from informal networks or employee-driven innovation (Burnes, 2017). In UPS’s case, frontline employees play a crucial role in operational execution. If transformation initiatives are perceived as imposed rather than participative, resistance may undermine implementation. Therefore, while Kotter provides structural clarity, it may underemphasise grassroots engagement.</w:t>
      </w:r>
    </w:p>
    <w:p w14:paraId="5FE64CF2" w14:textId="5B252CEF" w:rsidR="00AA0AD1" w:rsidRDefault="007E412D" w:rsidP="00C8552A">
      <w:pPr>
        <w:spacing w:line="360" w:lineRule="auto"/>
        <w:rPr>
          <w:rFonts w:ascii="Arial" w:hAnsi="Arial" w:cs="Arial"/>
          <w:b/>
          <w:bCs/>
        </w:rPr>
      </w:pPr>
      <w:r w:rsidRPr="00CB18BD">
        <w:rPr>
          <w:rFonts w:ascii="Arial" w:hAnsi="Arial" w:cs="Arial"/>
          <w:b/>
          <w:bCs/>
          <w:noProof/>
        </w:rPr>
        <w:drawing>
          <wp:anchor distT="0" distB="0" distL="114300" distR="114300" simplePos="0" relativeHeight="251658245" behindDoc="0" locked="0" layoutInCell="1" allowOverlap="1" wp14:anchorId="2B685AEC" wp14:editId="4C134976">
            <wp:simplePos x="0" y="0"/>
            <wp:positionH relativeFrom="page">
              <wp:align>left</wp:align>
            </wp:positionH>
            <wp:positionV relativeFrom="paragraph">
              <wp:posOffset>264795</wp:posOffset>
            </wp:positionV>
            <wp:extent cx="7524750" cy="4676775"/>
            <wp:effectExtent l="0" t="0" r="0" b="9525"/>
            <wp:wrapTopAndBottom/>
            <wp:docPr id="2087962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962236" name=""/>
                    <pic:cNvPicPr/>
                  </pic:nvPicPr>
                  <pic:blipFill>
                    <a:blip r:embed="rId12"/>
                    <a:stretch>
                      <a:fillRect/>
                    </a:stretch>
                  </pic:blipFill>
                  <pic:spPr>
                    <a:xfrm>
                      <a:off x="0" y="0"/>
                      <a:ext cx="7524750" cy="4676775"/>
                    </a:xfrm>
                    <a:prstGeom prst="rect">
                      <a:avLst/>
                    </a:prstGeom>
                  </pic:spPr>
                </pic:pic>
              </a:graphicData>
            </a:graphic>
            <wp14:sizeRelH relativeFrom="margin">
              <wp14:pctWidth>0</wp14:pctWidth>
            </wp14:sizeRelH>
            <wp14:sizeRelV relativeFrom="margin">
              <wp14:pctHeight>0</wp14:pctHeight>
            </wp14:sizeRelV>
          </wp:anchor>
        </w:drawing>
      </w:r>
      <w:r w:rsidR="00601FF1" w:rsidRPr="00CB18BD">
        <w:rPr>
          <w:rFonts w:ascii="Arial" w:hAnsi="Arial" w:cs="Arial"/>
          <w:b/>
          <w:bCs/>
        </w:rPr>
        <w:t>ADKAR Model</w:t>
      </w:r>
    </w:p>
    <w:p w14:paraId="3038F1BE" w14:textId="0D11191B" w:rsidR="008B2DE4" w:rsidRPr="00AA0AD1" w:rsidRDefault="00AA0AD1" w:rsidP="00AA0AD1">
      <w:pPr>
        <w:rPr>
          <w:rFonts w:ascii="Arial" w:hAnsi="Arial" w:cs="Arial"/>
          <w:b/>
          <w:bCs/>
        </w:rPr>
      </w:pPr>
      <w:r>
        <w:rPr>
          <w:rFonts w:ascii="Arial" w:hAnsi="Arial" w:cs="Arial"/>
          <w:b/>
          <w:bCs/>
        </w:rPr>
        <w:br w:type="page"/>
      </w:r>
      <w:r w:rsidR="00601FF1" w:rsidRPr="00C3507E">
        <w:rPr>
          <w:rFonts w:ascii="Arial" w:hAnsi="Arial" w:cs="Arial"/>
          <w:kern w:val="0"/>
          <w:sz w:val="22"/>
          <w:szCs w:val="22"/>
          <w14:ligatures w14:val="none"/>
        </w:rPr>
        <w:t>The ADKAR framework focuses on individual behavioural change, emphasising Awareness, Desire, Knowledge, Ability and Reinforcement (Hiatt, 2006). This model addresses employee resistance during digital transformation.</w:t>
      </w:r>
    </w:p>
    <w:p w14:paraId="79B24F56" w14:textId="1B0A6BD6"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Unlike Lewin and Kotter, which focus on organisational-level change processes, ADKAR centres on individual transformation. It assumes that organisational change succeeds only when employees progress through psychological stages of awareness and commitment. In technologically intensive transformations, such as AI integration within UPS, behavioural adaptation becomes critical. Employees must not only understand new systems but also trust and use them effectively.</w:t>
      </w:r>
    </w:p>
    <w:p w14:paraId="6A3A6B3C" w14:textId="4C7F80D2"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The strength of ADKAR lies in its diagnostic capability. If change stalls, leaders can identify whether the problem lies in lack of awareness, insufficient training, limited </w:t>
      </w:r>
      <w:r w:rsidR="009636F4" w:rsidRPr="00C3507E">
        <w:rPr>
          <w:rFonts w:ascii="Arial" w:hAnsi="Arial" w:cs="Arial"/>
          <w:kern w:val="0"/>
          <w:sz w:val="22"/>
          <w:szCs w:val="22"/>
          <w14:ligatures w14:val="none"/>
        </w:rPr>
        <w:t>ability,</w:t>
      </w:r>
      <w:r w:rsidRPr="00C3507E">
        <w:rPr>
          <w:rFonts w:ascii="Arial" w:hAnsi="Arial" w:cs="Arial"/>
          <w:kern w:val="0"/>
          <w:sz w:val="22"/>
          <w:szCs w:val="22"/>
          <w14:ligatures w14:val="none"/>
        </w:rPr>
        <w:t xml:space="preserve"> or absence of reinforcement mechanisms. This micro-level focus is particularly valuable in </w:t>
      </w:r>
      <w:proofErr w:type="gramStart"/>
      <w:r w:rsidRPr="00C3507E">
        <w:rPr>
          <w:rFonts w:ascii="Arial" w:hAnsi="Arial" w:cs="Arial"/>
          <w:kern w:val="0"/>
          <w:sz w:val="22"/>
          <w:szCs w:val="22"/>
          <w14:ligatures w14:val="none"/>
        </w:rPr>
        <w:t>logistics</w:t>
      </w:r>
      <w:proofErr w:type="gramEnd"/>
      <w:r w:rsidRPr="00C3507E">
        <w:rPr>
          <w:rFonts w:ascii="Arial" w:hAnsi="Arial" w:cs="Arial"/>
          <w:kern w:val="0"/>
          <w:sz w:val="22"/>
          <w:szCs w:val="22"/>
          <w14:ligatures w14:val="none"/>
        </w:rPr>
        <w:t xml:space="preserve"> operations where frontline workforce behaviour directly affects performance outcomes.</w:t>
      </w:r>
    </w:p>
    <w:p w14:paraId="11C0D004" w14:textId="687A82BD"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However, ADKAR may be criticised for underemphasising structural and political dimensions of change. It does not explicitly address power dynamics, organisational </w:t>
      </w:r>
      <w:r w:rsidR="009636F4" w:rsidRPr="00C3507E">
        <w:rPr>
          <w:rFonts w:ascii="Arial" w:hAnsi="Arial" w:cs="Arial"/>
          <w:kern w:val="0"/>
          <w:sz w:val="22"/>
          <w:szCs w:val="22"/>
          <w14:ligatures w14:val="none"/>
        </w:rPr>
        <w:t>politics,</w:t>
      </w:r>
      <w:r w:rsidRPr="00C3507E">
        <w:rPr>
          <w:rFonts w:ascii="Arial" w:hAnsi="Arial" w:cs="Arial"/>
          <w:kern w:val="0"/>
          <w:sz w:val="22"/>
          <w:szCs w:val="22"/>
          <w14:ligatures w14:val="none"/>
        </w:rPr>
        <w:t xml:space="preserve"> or strategic alignment. In large corporations such as UPS, change is influenced by budgeting priorities, stakeholder </w:t>
      </w:r>
      <w:r w:rsidR="009636F4" w:rsidRPr="00C3507E">
        <w:rPr>
          <w:rFonts w:ascii="Arial" w:hAnsi="Arial" w:cs="Arial"/>
          <w:kern w:val="0"/>
          <w:sz w:val="22"/>
          <w:szCs w:val="22"/>
          <w14:ligatures w14:val="none"/>
        </w:rPr>
        <w:t>expectations,</w:t>
      </w:r>
      <w:r w:rsidRPr="00C3507E">
        <w:rPr>
          <w:rFonts w:ascii="Arial" w:hAnsi="Arial" w:cs="Arial"/>
          <w:kern w:val="0"/>
          <w:sz w:val="22"/>
          <w:szCs w:val="22"/>
          <w14:ligatures w14:val="none"/>
        </w:rPr>
        <w:t xml:space="preserve"> and leadership legitimacy. Therefore, ADKAR alone may be insufficient for enterprise-wide strategic transformation.</w:t>
      </w:r>
    </w:p>
    <w:p w14:paraId="6099DB24" w14:textId="77777777" w:rsidR="00601FF1" w:rsidRPr="00C3507E" w:rsidRDefault="00601FF1" w:rsidP="00C8552A">
      <w:pPr>
        <w:pStyle w:val="Heading2"/>
        <w:spacing w:line="360" w:lineRule="auto"/>
      </w:pPr>
      <w:r w:rsidRPr="00C3507E">
        <w:t>Comparative Evaluation and Theoretical Integration</w:t>
      </w:r>
    </w:p>
    <w:p w14:paraId="7EFB6E70" w14:textId="0E297828"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Comparing the three models reveals differing assumptions about change. Lewin conceptualises change as episodic equilibrium disruption. Kotter frames change as a structured leadership-driven process. ADKAR emphasises behavioural internalisation. Each addresses different dimensions of transformation—structural, </w:t>
      </w:r>
      <w:r w:rsidR="009636F4" w:rsidRPr="00C3507E">
        <w:rPr>
          <w:rFonts w:ascii="Arial" w:hAnsi="Arial" w:cs="Arial"/>
          <w:kern w:val="0"/>
          <w:sz w:val="22"/>
          <w:szCs w:val="22"/>
          <w14:ligatures w14:val="none"/>
        </w:rPr>
        <w:t>cultural,</w:t>
      </w:r>
      <w:r w:rsidRPr="00C3507E">
        <w:rPr>
          <w:rFonts w:ascii="Arial" w:hAnsi="Arial" w:cs="Arial"/>
          <w:kern w:val="0"/>
          <w:sz w:val="22"/>
          <w:szCs w:val="22"/>
          <w14:ligatures w14:val="none"/>
        </w:rPr>
        <w:t xml:space="preserve"> and psychological.</w:t>
      </w:r>
    </w:p>
    <w:p w14:paraId="1B2A8FF6" w14:textId="77777777" w:rsidR="00AA0AD1"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 xml:space="preserve">Dynamic capabilities theory provides a useful integrative lens. Teece, Pisano and </w:t>
      </w:r>
      <w:proofErr w:type="spellStart"/>
      <w:r w:rsidRPr="00C3507E">
        <w:rPr>
          <w:rFonts w:ascii="Arial" w:hAnsi="Arial" w:cs="Arial"/>
          <w:kern w:val="0"/>
          <w:sz w:val="22"/>
          <w:szCs w:val="22"/>
          <w14:ligatures w14:val="none"/>
        </w:rPr>
        <w:t>Shuen</w:t>
      </w:r>
      <w:proofErr w:type="spellEnd"/>
      <w:r w:rsidRPr="00C3507E">
        <w:rPr>
          <w:rFonts w:ascii="Arial" w:hAnsi="Arial" w:cs="Arial"/>
          <w:kern w:val="0"/>
          <w:sz w:val="22"/>
          <w:szCs w:val="22"/>
          <w14:ligatures w14:val="none"/>
        </w:rPr>
        <w:t xml:space="preserve"> (1997) argue that sustainable competitive advantage depends on an organisation’s ability to sense opportunities, seize them and reconfigure assets. Change management models can therefore be inter</w:t>
      </w:r>
    </w:p>
    <w:p w14:paraId="470ADA18" w14:textId="521E0986" w:rsidR="00601FF1" w:rsidRPr="00C3507E" w:rsidRDefault="00601FF1" w:rsidP="00AA0AD1">
      <w:pPr>
        <w:rPr>
          <w:rFonts w:ascii="Arial" w:hAnsi="Arial" w:cs="Arial"/>
          <w:kern w:val="0"/>
          <w:sz w:val="22"/>
          <w:szCs w:val="22"/>
          <w14:ligatures w14:val="none"/>
        </w:rPr>
      </w:pPr>
      <w:proofErr w:type="spellStart"/>
      <w:r w:rsidRPr="00C3507E">
        <w:rPr>
          <w:rFonts w:ascii="Arial" w:hAnsi="Arial" w:cs="Arial"/>
          <w:kern w:val="0"/>
          <w:sz w:val="22"/>
          <w:szCs w:val="22"/>
          <w14:ligatures w14:val="none"/>
        </w:rPr>
        <w:t>preted</w:t>
      </w:r>
      <w:proofErr w:type="spellEnd"/>
      <w:r w:rsidRPr="00C3507E">
        <w:rPr>
          <w:rFonts w:ascii="Arial" w:hAnsi="Arial" w:cs="Arial"/>
          <w:kern w:val="0"/>
          <w:sz w:val="22"/>
          <w:szCs w:val="22"/>
          <w14:ligatures w14:val="none"/>
        </w:rPr>
        <w:t xml:space="preserve"> as mechanisms enabling resource reconfiguration. Lewin facilitates destabilisation of legacy systems; Kotter structures strategic mobilisation; ADKAR ensures behavioural embedding. Together, they support organisational renewal.</w:t>
      </w:r>
    </w:p>
    <w:p w14:paraId="5187733B" w14:textId="77777777" w:rsidR="00601FF1" w:rsidRPr="00C3507E" w:rsidRDefault="00601FF1" w:rsidP="00C8552A">
      <w:pPr>
        <w:pStyle w:val="Heading2"/>
        <w:spacing w:line="360" w:lineRule="auto"/>
      </w:pPr>
      <w:r w:rsidRPr="00C3507E">
        <w:t>Model Selection</w:t>
      </w:r>
    </w:p>
    <w:p w14:paraId="7E531AFF" w14:textId="77777777" w:rsidR="00601FF1" w:rsidRPr="00C3507E"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A hybrid Kotter–ADKAR model is recommended. Kotter provides structural transformation; ADKAR ensures behavioural adoption. Research supports combining top-down and bottom-up change approaches (Burnes, 2017).</w:t>
      </w:r>
    </w:p>
    <w:p w14:paraId="2FEE694B" w14:textId="77777777" w:rsidR="00E847F3" w:rsidRDefault="00601FF1" w:rsidP="00C8552A">
      <w:pPr>
        <w:spacing w:before="100" w:beforeAutospacing="1" w:after="100" w:afterAutospacing="1" w:line="360" w:lineRule="auto"/>
        <w:rPr>
          <w:rFonts w:ascii="Arial" w:hAnsi="Arial" w:cs="Arial"/>
          <w:kern w:val="0"/>
          <w:sz w:val="22"/>
          <w:szCs w:val="22"/>
          <w14:ligatures w14:val="none"/>
        </w:rPr>
      </w:pPr>
      <w:r w:rsidRPr="00C3507E">
        <w:rPr>
          <w:rFonts w:ascii="Arial" w:hAnsi="Arial" w:cs="Arial"/>
          <w:kern w:val="0"/>
          <w:sz w:val="22"/>
          <w:szCs w:val="22"/>
          <w14:ligatures w14:val="none"/>
        </w:rPr>
        <w:t>For UPS, digital transformation and decarbonisation are not isolated projects but systemic shifts requiring both leadership orchestration and employee engagement. Kotter’s urgency and coalition-building stages ensure strategic alignment with board-level priorities. ADKAR ensures workforce competence and psychological commitment. Lewin’s conceptual clarity remains useful for understanding force-field dynamics during initial destabilisation.</w:t>
      </w:r>
    </w:p>
    <w:p w14:paraId="294951C3" w14:textId="77777777" w:rsidR="009E7234" w:rsidRDefault="00601FF1" w:rsidP="009E7234">
      <w:pPr>
        <w:spacing w:before="100" w:beforeAutospacing="1" w:after="100" w:afterAutospacing="1" w:line="360" w:lineRule="auto"/>
        <w:rPr>
          <w:rFonts w:ascii="Arial" w:hAnsi="Arial" w:cs="Arial"/>
          <w:kern w:val="0"/>
          <w:sz w:val="22"/>
          <w:szCs w:val="22"/>
          <w14:ligatures w14:val="none"/>
        </w:rPr>
      </w:pPr>
      <w:r w:rsidRPr="003927E9">
        <w:rPr>
          <w:rFonts w:ascii="Arial" w:hAnsi="Arial" w:cs="Arial"/>
          <w:kern w:val="0"/>
          <w:sz w:val="22"/>
          <w:szCs w:val="22"/>
          <w14:ligatures w14:val="none"/>
        </w:rPr>
        <w:t xml:space="preserve">Therefore, a hybrid approach provides theoretical robustness and practical relevance. It recognises that effective strategic change in complex organisations requires alignment between macro-level vision, meso-level </w:t>
      </w:r>
      <w:r w:rsidR="009636F4" w:rsidRPr="003927E9">
        <w:rPr>
          <w:rFonts w:ascii="Arial" w:hAnsi="Arial" w:cs="Arial"/>
          <w:kern w:val="0"/>
          <w:sz w:val="22"/>
          <w:szCs w:val="22"/>
          <w14:ligatures w14:val="none"/>
        </w:rPr>
        <w:t>systems,</w:t>
      </w:r>
      <w:r w:rsidRPr="003927E9">
        <w:rPr>
          <w:rFonts w:ascii="Arial" w:hAnsi="Arial" w:cs="Arial"/>
          <w:kern w:val="0"/>
          <w:sz w:val="22"/>
          <w:szCs w:val="22"/>
          <w14:ligatures w14:val="none"/>
        </w:rPr>
        <w:t xml:space="preserve"> and micro-level behaviours. In volatile </w:t>
      </w:r>
      <w:proofErr w:type="gramStart"/>
      <w:r w:rsidRPr="003927E9">
        <w:rPr>
          <w:rFonts w:ascii="Arial" w:hAnsi="Arial" w:cs="Arial"/>
          <w:kern w:val="0"/>
          <w:sz w:val="22"/>
          <w:szCs w:val="22"/>
          <w14:ligatures w14:val="none"/>
        </w:rPr>
        <w:t>logistics</w:t>
      </w:r>
      <w:proofErr w:type="gramEnd"/>
      <w:r w:rsidRPr="003927E9">
        <w:rPr>
          <w:rFonts w:ascii="Arial" w:hAnsi="Arial" w:cs="Arial"/>
          <w:kern w:val="0"/>
          <w:sz w:val="22"/>
          <w:szCs w:val="22"/>
          <w14:ligatures w14:val="none"/>
        </w:rPr>
        <w:t xml:space="preserve"> environments, sustainable transformation depends on integrating these perspectives to achieve both operational stability and adaptive resilience.</w:t>
      </w:r>
    </w:p>
    <w:p w14:paraId="55137FBE" w14:textId="629C828D" w:rsidR="009F6CD1" w:rsidRPr="009E7234" w:rsidRDefault="00A92319" w:rsidP="009E7234">
      <w:pPr>
        <w:pStyle w:val="Heading1"/>
        <w:rPr>
          <w:rFonts w:ascii="Arial" w:hAnsi="Arial" w:cs="Arial"/>
          <w:kern w:val="0"/>
          <w:sz w:val="22"/>
          <w:szCs w:val="22"/>
          <w14:ligatures w14:val="none"/>
        </w:rPr>
      </w:pPr>
      <w:r w:rsidRPr="009E7234">
        <w:t>4.</w:t>
      </w:r>
      <w:r w:rsidR="005B55D0" w:rsidRPr="009E7234">
        <w:t xml:space="preserve"> Leadership and Organis</w:t>
      </w:r>
      <w:r w:rsidR="00376C8F" w:rsidRPr="009E7234">
        <w:t>ational Culture</w:t>
      </w:r>
    </w:p>
    <w:p w14:paraId="6798BA54" w14:textId="77777777" w:rsidR="001D7DE7" w:rsidRPr="000C2D89" w:rsidRDefault="001D7DE7" w:rsidP="000C2D89">
      <w:pPr>
        <w:pStyle w:val="p1"/>
        <w:spacing w:line="360" w:lineRule="auto"/>
        <w:rPr>
          <w:rFonts w:ascii="Arial" w:hAnsi="Arial" w:cs="Arial"/>
          <w:sz w:val="22"/>
          <w:szCs w:val="22"/>
        </w:rPr>
      </w:pPr>
      <w:r w:rsidRPr="000C2D89">
        <w:rPr>
          <w:rStyle w:val="s1"/>
          <w:rFonts w:ascii="Arial" w:hAnsi="Arial" w:cs="Arial"/>
          <w:sz w:val="22"/>
          <w:szCs w:val="22"/>
        </w:rPr>
        <w:t>Transformational leadership promotes innovation and long-term vision alignment (Bass, 1985). In contrast, transactional leadership may ensure operational stability but lacks innovation stimulus.</w:t>
      </w:r>
    </w:p>
    <w:p w14:paraId="69310C9E" w14:textId="77777777" w:rsidR="001D7DE7" w:rsidRPr="000C2D89" w:rsidRDefault="001D7DE7" w:rsidP="000C2D89">
      <w:pPr>
        <w:pStyle w:val="p1"/>
        <w:spacing w:line="360" w:lineRule="auto"/>
        <w:rPr>
          <w:rFonts w:ascii="Arial" w:hAnsi="Arial" w:cs="Arial"/>
          <w:sz w:val="22"/>
          <w:szCs w:val="22"/>
        </w:rPr>
      </w:pPr>
      <w:r w:rsidRPr="000C2D89">
        <w:rPr>
          <w:rStyle w:val="s1"/>
          <w:rFonts w:ascii="Arial" w:hAnsi="Arial" w:cs="Arial"/>
          <w:sz w:val="22"/>
          <w:szCs w:val="22"/>
        </w:rPr>
        <w:t>UPS requires transformational leadership to drive digital and sustainability change.</w:t>
      </w:r>
    </w:p>
    <w:p w14:paraId="19BDFD04" w14:textId="77777777" w:rsidR="001D7DE7" w:rsidRPr="000C2D89" w:rsidRDefault="001D7DE7" w:rsidP="000C2D89">
      <w:pPr>
        <w:pStyle w:val="p1"/>
        <w:spacing w:line="360" w:lineRule="auto"/>
        <w:rPr>
          <w:rFonts w:ascii="Arial" w:hAnsi="Arial" w:cs="Arial"/>
          <w:sz w:val="22"/>
          <w:szCs w:val="22"/>
        </w:rPr>
      </w:pPr>
      <w:r w:rsidRPr="000C2D89">
        <w:rPr>
          <w:rStyle w:val="s1"/>
          <w:rFonts w:ascii="Arial" w:hAnsi="Arial" w:cs="Arial"/>
          <w:sz w:val="22"/>
          <w:szCs w:val="22"/>
        </w:rPr>
        <w:t>Schein’s (2010) model of organisational culture highlights underlying assumptions and artefacts. UPS’s operational discipline culture may resist rapid digital experimentation.</w:t>
      </w:r>
    </w:p>
    <w:p w14:paraId="28A04058" w14:textId="77777777" w:rsidR="001D7DE7" w:rsidRPr="000C2D89" w:rsidRDefault="001D7DE7" w:rsidP="000C2D89">
      <w:pPr>
        <w:pStyle w:val="p1"/>
        <w:spacing w:line="360" w:lineRule="auto"/>
        <w:rPr>
          <w:rFonts w:ascii="Arial" w:hAnsi="Arial" w:cs="Arial"/>
          <w:sz w:val="22"/>
          <w:szCs w:val="22"/>
        </w:rPr>
      </w:pPr>
      <w:r w:rsidRPr="000C2D89">
        <w:rPr>
          <w:rStyle w:val="s1"/>
          <w:rFonts w:ascii="Arial" w:hAnsi="Arial" w:cs="Arial"/>
          <w:sz w:val="22"/>
          <w:szCs w:val="22"/>
        </w:rPr>
        <w:t>Leadership must therefore align cultural norms with strategic transformation goals.</w:t>
      </w:r>
    </w:p>
    <w:p w14:paraId="26D14B29" w14:textId="77777777" w:rsidR="00AA0AD1" w:rsidRDefault="001D7DE7" w:rsidP="000C2D89">
      <w:pPr>
        <w:pStyle w:val="p1"/>
        <w:spacing w:line="360" w:lineRule="auto"/>
        <w:rPr>
          <w:rStyle w:val="s1"/>
          <w:rFonts w:ascii="Arial" w:hAnsi="Arial" w:cs="Arial"/>
          <w:sz w:val="22"/>
          <w:szCs w:val="22"/>
        </w:rPr>
      </w:pPr>
      <w:r w:rsidRPr="000C2D89">
        <w:rPr>
          <w:rStyle w:val="s1"/>
          <w:rFonts w:ascii="Arial" w:hAnsi="Arial" w:cs="Arial"/>
          <w:sz w:val="22"/>
          <w:szCs w:val="22"/>
        </w:rPr>
        <w:t xml:space="preserve">In large-scale </w:t>
      </w:r>
      <w:proofErr w:type="gramStart"/>
      <w:r w:rsidRPr="000C2D89">
        <w:rPr>
          <w:rStyle w:val="s1"/>
          <w:rFonts w:ascii="Arial" w:hAnsi="Arial" w:cs="Arial"/>
          <w:sz w:val="22"/>
          <w:szCs w:val="22"/>
        </w:rPr>
        <w:t>logistics</w:t>
      </w:r>
      <w:proofErr w:type="gramEnd"/>
      <w:r w:rsidRPr="000C2D89">
        <w:rPr>
          <w:rStyle w:val="s1"/>
          <w:rFonts w:ascii="Arial" w:hAnsi="Arial" w:cs="Arial"/>
          <w:sz w:val="22"/>
          <w:szCs w:val="22"/>
        </w:rPr>
        <w:t xml:space="preserve"> organisations such as UPS, leadership is not simply a matter of operational coordination; it is a strategic capability that shapes how effectively the organisation adapts to environmental turbulence. Transformational leadership, as conceptualised by Bass (1985), involves four key components: idealised influence, inspirational motivation, intellectual stimulation, and individualised consideration. These elements are particularly relevant in periods of technological and regulatory disruption. For example, digital transformation through AI integration requires leaders to inspire confidence</w:t>
      </w:r>
    </w:p>
    <w:p w14:paraId="463D198B" w14:textId="77777777" w:rsidR="001D7DE7" w:rsidRPr="00AA0AD1" w:rsidRDefault="001D7DE7" w:rsidP="00AA0AD1">
      <w:pPr>
        <w:rPr>
          <w:rFonts w:ascii="Arial" w:hAnsi="Arial" w:cs="Arial"/>
          <w:kern w:val="0"/>
          <w:sz w:val="22"/>
          <w:szCs w:val="22"/>
          <w14:ligatures w14:val="none"/>
        </w:rPr>
      </w:pPr>
      <w:r w:rsidRPr="000C2D89">
        <w:rPr>
          <w:rStyle w:val="s1"/>
          <w:rFonts w:ascii="Arial" w:hAnsi="Arial" w:cs="Arial"/>
          <w:sz w:val="22"/>
          <w:szCs w:val="22"/>
        </w:rPr>
        <w:t>in technological change while encouraging employees to question established routines and experiment with new processes.</w:t>
      </w:r>
    </w:p>
    <w:p w14:paraId="3109C56F" w14:textId="77777777" w:rsidR="001D7DE7" w:rsidRPr="000C2D89" w:rsidRDefault="001D7DE7" w:rsidP="000C2D89">
      <w:pPr>
        <w:pStyle w:val="p1"/>
        <w:spacing w:line="360" w:lineRule="auto"/>
        <w:rPr>
          <w:rFonts w:ascii="Arial" w:hAnsi="Arial" w:cs="Arial"/>
          <w:sz w:val="22"/>
          <w:szCs w:val="22"/>
        </w:rPr>
      </w:pPr>
      <w:r w:rsidRPr="000C2D89">
        <w:rPr>
          <w:rStyle w:val="s1"/>
          <w:rFonts w:ascii="Arial" w:hAnsi="Arial" w:cs="Arial"/>
          <w:sz w:val="22"/>
          <w:szCs w:val="22"/>
        </w:rPr>
        <w:t xml:space="preserve">However, it would be overly simplistic to dismiss transactional leadership entirely. Transactional leadership, grounded in performance monitoring and contingent rewards, remains essential in highly structured operational environments such as parcel </w:t>
      </w:r>
      <w:proofErr w:type="gramStart"/>
      <w:r w:rsidRPr="000C2D89">
        <w:rPr>
          <w:rStyle w:val="s1"/>
          <w:rFonts w:ascii="Arial" w:hAnsi="Arial" w:cs="Arial"/>
          <w:sz w:val="22"/>
          <w:szCs w:val="22"/>
        </w:rPr>
        <w:t>logistics</w:t>
      </w:r>
      <w:proofErr w:type="gramEnd"/>
      <w:r w:rsidRPr="000C2D89">
        <w:rPr>
          <w:rStyle w:val="s1"/>
          <w:rFonts w:ascii="Arial" w:hAnsi="Arial" w:cs="Arial"/>
          <w:sz w:val="22"/>
          <w:szCs w:val="22"/>
        </w:rPr>
        <w:t>. UPS’s business model depends on reliability, efficiency, and adherence to strict safety standards. In such contexts, transactional mechanisms ensure consistency and accountability. Research suggests that effective leaders often combine transformational and transactional behaviours rather than adopting one exclusively (Burnes, 2017). Therefore, the challenge for UPS is not to replace transactional leadership but to integrate it within a broader transformational vision.</w:t>
      </w:r>
    </w:p>
    <w:p w14:paraId="5EE8084B" w14:textId="53BDC02B" w:rsidR="001D7DE7" w:rsidRPr="000C2D89" w:rsidRDefault="001D7DE7" w:rsidP="00E31979">
      <w:pPr>
        <w:pStyle w:val="p1"/>
        <w:spacing w:line="360" w:lineRule="auto"/>
        <w:rPr>
          <w:rFonts w:ascii="Arial" w:hAnsi="Arial" w:cs="Arial"/>
          <w:sz w:val="22"/>
          <w:szCs w:val="22"/>
        </w:rPr>
      </w:pPr>
      <w:r w:rsidRPr="000C2D89">
        <w:rPr>
          <w:rStyle w:val="s1"/>
          <w:rFonts w:ascii="Arial" w:hAnsi="Arial" w:cs="Arial"/>
          <w:sz w:val="22"/>
          <w:szCs w:val="22"/>
        </w:rPr>
        <w:t>Digital and sustainability transformation also demands adaptive leadership capacity. Heifetz’s adaptive leadership theory argues that organisations must distinguish between technical problems (solvable through expertise) and adaptive challenges (requiring changes in beliefs, roles, and values). Electrifying a fleet may be a technical challenge; embedding sustainability as a core organisational value is adaptive. UPS’s leadership must therefore move beyond technical project management and engage employees in redefining organisational purpose and performance metrics.</w:t>
      </w:r>
    </w:p>
    <w:p w14:paraId="7F112FB7" w14:textId="49278F02" w:rsidR="001D7DE7" w:rsidRPr="00575C20" w:rsidRDefault="001D7DE7" w:rsidP="00E31979">
      <w:pPr>
        <w:pStyle w:val="p1"/>
        <w:spacing w:line="360" w:lineRule="auto"/>
        <w:rPr>
          <w:rFonts w:ascii="Arial" w:hAnsi="Arial" w:cs="Arial"/>
          <w:sz w:val="22"/>
          <w:szCs w:val="22"/>
        </w:rPr>
      </w:pPr>
      <w:r w:rsidRPr="00575C20">
        <w:rPr>
          <w:rStyle w:val="s1"/>
          <w:rFonts w:ascii="Arial" w:hAnsi="Arial" w:cs="Arial"/>
          <w:sz w:val="22"/>
          <w:szCs w:val="22"/>
        </w:rPr>
        <w:t xml:space="preserve">In conclusion, leadership and culture are interdependent determinants of successful strategic transformation. UPS requires a hybrid leadership approach combining transformational vision with transactional discipline. Simultaneously, cultural alignment must be intentionally managed through communication, training, and reinforcement mechanisms. By integrating leadership theory with cultural analysis, UPS can reduce resistance, enhance adaptability, and embed digital and sustainability initiatives within its organisational identity. This alignment is essential to ensure that strategic change becomes institutionalised rather than episodic, supporting long-term competitive resilience in an increasingly volatile </w:t>
      </w:r>
      <w:proofErr w:type="gramStart"/>
      <w:r w:rsidRPr="00575C20">
        <w:rPr>
          <w:rStyle w:val="s1"/>
          <w:rFonts w:ascii="Arial" w:hAnsi="Arial" w:cs="Arial"/>
          <w:sz w:val="22"/>
          <w:szCs w:val="22"/>
        </w:rPr>
        <w:t>logistics</w:t>
      </w:r>
      <w:proofErr w:type="gramEnd"/>
      <w:r w:rsidRPr="00575C20">
        <w:rPr>
          <w:rStyle w:val="s1"/>
          <w:rFonts w:ascii="Arial" w:hAnsi="Arial" w:cs="Arial"/>
          <w:sz w:val="22"/>
          <w:szCs w:val="22"/>
        </w:rPr>
        <w:t xml:space="preserve"> environment.</w:t>
      </w:r>
    </w:p>
    <w:p w14:paraId="0F8AA5BA" w14:textId="5B9C7EF2" w:rsidR="00B90898" w:rsidRPr="00575C20" w:rsidRDefault="00B90898" w:rsidP="00E31979">
      <w:pPr>
        <w:spacing w:line="360" w:lineRule="auto"/>
        <w:rPr>
          <w:rFonts w:ascii="Arial" w:hAnsi="Arial" w:cs="Arial"/>
        </w:rPr>
      </w:pPr>
    </w:p>
    <w:p w14:paraId="2C9D6BC1" w14:textId="65D130A5" w:rsidR="00B23FB3" w:rsidRDefault="00E31979" w:rsidP="00B23FB3">
      <w:pPr>
        <w:rPr>
          <w:b/>
          <w:bCs/>
        </w:rPr>
      </w:pPr>
      <w:r w:rsidRPr="00AB6727">
        <w:rPr>
          <w:b/>
          <w:bCs/>
          <w:noProof/>
        </w:rPr>
        <w:drawing>
          <wp:anchor distT="0" distB="0" distL="114300" distR="114300" simplePos="0" relativeHeight="251658253" behindDoc="0" locked="0" layoutInCell="1" allowOverlap="1" wp14:anchorId="214C5327" wp14:editId="678D6F52">
            <wp:simplePos x="0" y="0"/>
            <wp:positionH relativeFrom="page">
              <wp:posOffset>73660</wp:posOffset>
            </wp:positionH>
            <wp:positionV relativeFrom="paragraph">
              <wp:posOffset>321945</wp:posOffset>
            </wp:positionV>
            <wp:extent cx="7477125" cy="4905375"/>
            <wp:effectExtent l="0" t="0" r="9525" b="9525"/>
            <wp:wrapTopAndBottom/>
            <wp:docPr id="150226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26340" name=""/>
                    <pic:cNvPicPr/>
                  </pic:nvPicPr>
                  <pic:blipFill>
                    <a:blip r:embed="rId13"/>
                    <a:stretch>
                      <a:fillRect/>
                    </a:stretch>
                  </pic:blipFill>
                  <pic:spPr>
                    <a:xfrm>
                      <a:off x="0" y="0"/>
                      <a:ext cx="7477125" cy="4905375"/>
                    </a:xfrm>
                    <a:prstGeom prst="rect">
                      <a:avLst/>
                    </a:prstGeom>
                  </pic:spPr>
                </pic:pic>
              </a:graphicData>
            </a:graphic>
            <wp14:sizeRelH relativeFrom="margin">
              <wp14:pctWidth>0</wp14:pctWidth>
            </wp14:sizeRelH>
            <wp14:sizeRelV relativeFrom="margin">
              <wp14:pctHeight>0</wp14:pctHeight>
            </wp14:sizeRelV>
          </wp:anchor>
        </w:drawing>
      </w:r>
      <w:r w:rsidR="00FE5940" w:rsidRPr="00AB6727">
        <w:rPr>
          <w:b/>
          <w:bCs/>
        </w:rPr>
        <w:t>Anal</w:t>
      </w:r>
      <w:r w:rsidR="00AB6727" w:rsidRPr="00AB6727">
        <w:rPr>
          <w:b/>
          <w:bCs/>
        </w:rPr>
        <w:t>ytical Framework Table</w:t>
      </w:r>
    </w:p>
    <w:p w14:paraId="77433B6A" w14:textId="638AED43" w:rsidR="00BD5003" w:rsidRPr="00B23FB3" w:rsidRDefault="00BD5003" w:rsidP="00B23FB3">
      <w:pPr>
        <w:pStyle w:val="Heading1"/>
        <w:rPr>
          <w:rFonts w:asciiTheme="minorHAnsi" w:hAnsiTheme="minorHAnsi" w:cstheme="minorBidi"/>
          <w:b/>
          <w:bCs/>
          <w:sz w:val="24"/>
          <w:szCs w:val="24"/>
        </w:rPr>
      </w:pPr>
      <w:r w:rsidRPr="00BD5003">
        <w:t xml:space="preserve">5. Proposed Strategic Change Management Plan </w:t>
      </w:r>
    </w:p>
    <w:p w14:paraId="0D75E739" w14:textId="35C2675E" w:rsidR="003E6F8E" w:rsidRPr="007C0F43" w:rsidRDefault="00D244EC" w:rsidP="00C8552A">
      <w:pPr>
        <w:pStyle w:val="Heading2"/>
        <w:spacing w:line="360" w:lineRule="auto"/>
      </w:pPr>
      <w:r w:rsidRPr="007C0F43">
        <w:t xml:space="preserve">To position UPS UK as the leading AI-enabled and low-carbon </w:t>
      </w:r>
      <w:proofErr w:type="gramStart"/>
      <w:r w:rsidRPr="007C0F43">
        <w:t>logistics</w:t>
      </w:r>
      <w:proofErr w:type="gramEnd"/>
      <w:r w:rsidRPr="007C0F43">
        <w:t xml:space="preserve"> provider in the UK by 2030</w:t>
      </w:r>
    </w:p>
    <w:p w14:paraId="1596F186" w14:textId="5A66E862" w:rsidR="003D2C15"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.A compelling vision is essential to guide organisational transformation. According to Kotter (1996), an effective change vision must be clear, strategically aligned and emotionally engaging. The proposed vision integrates digital transformation (AI-enabled operations) with environmental sustainability (low-carbon logistics), ensuring alignment with both competitive pressures and regulatory mandates. By combining operational excellence with</w:t>
      </w:r>
      <w:r w:rsidR="008179C0">
        <w:rPr>
          <w:rFonts w:ascii="Arial" w:hAnsi="Arial" w:cs="Arial"/>
          <w:kern w:val="0"/>
          <w:sz w:val="22"/>
          <w:szCs w:val="22"/>
          <w14:ligatures w14:val="none"/>
        </w:rPr>
        <w:t xml:space="preserve"> </w:t>
      </w:r>
      <w:r w:rsidRPr="00BF2DC4">
        <w:rPr>
          <w:rFonts w:ascii="Arial" w:hAnsi="Arial" w:cs="Arial"/>
          <w:kern w:val="0"/>
          <w:sz w:val="22"/>
          <w:szCs w:val="22"/>
          <w14:ligatures w14:val="none"/>
        </w:rPr>
        <w:t xml:space="preserve">environmental responsibility, UPS can differentiate itself within a high-rivalry industry (Porter, 1980). Furthermore, the vision reflects dynamic capabilities theory, which emphasises continuous reconfiguration of technological and operational assets to sustain competitive advantage (Teece, Pisano and </w:t>
      </w:r>
      <w:proofErr w:type="spellStart"/>
      <w:r w:rsidRPr="00BF2DC4">
        <w:rPr>
          <w:rFonts w:ascii="Arial" w:hAnsi="Arial" w:cs="Arial"/>
          <w:kern w:val="0"/>
          <w:sz w:val="22"/>
          <w:szCs w:val="22"/>
          <w14:ligatures w14:val="none"/>
        </w:rPr>
        <w:t>Shuen</w:t>
      </w:r>
      <w:proofErr w:type="spellEnd"/>
      <w:r w:rsidRPr="00BF2DC4">
        <w:rPr>
          <w:rFonts w:ascii="Arial" w:hAnsi="Arial" w:cs="Arial"/>
          <w:kern w:val="0"/>
          <w:sz w:val="22"/>
          <w:szCs w:val="22"/>
          <w14:ligatures w14:val="none"/>
        </w:rPr>
        <w:t>, 1997).</w:t>
      </w:r>
    </w:p>
    <w:p w14:paraId="067D6CCF" w14:textId="2A37338D" w:rsidR="00D244EC" w:rsidRPr="003D2C15" w:rsidRDefault="003D2C15" w:rsidP="003D2C15">
      <w:pPr>
        <w:rPr>
          <w:rFonts w:ascii="Arial" w:hAnsi="Arial" w:cs="Arial"/>
          <w:kern w:val="0"/>
          <w:sz w:val="22"/>
          <w:szCs w:val="22"/>
          <w14:ligatures w14:val="none"/>
        </w:rPr>
      </w:pPr>
      <w:r>
        <w:rPr>
          <w:rFonts w:ascii="Arial" w:hAnsi="Arial" w:cs="Arial"/>
          <w:kern w:val="0"/>
          <w:sz w:val="22"/>
          <w:szCs w:val="22"/>
          <w14:ligatures w14:val="none"/>
        </w:rPr>
        <w:br w:type="page"/>
      </w:r>
      <w:r w:rsidR="00D244EC" w:rsidRPr="00BF2DC4">
        <w:t>Importantly, the vision is future-oriented but measurable. The 2030 horizon provides strategic direction while allowing phased capital planning and workforce adaptation.</w:t>
      </w:r>
    </w:p>
    <w:p w14:paraId="3E7CCC47" w14:textId="747A43C8" w:rsidR="00D244EC" w:rsidRPr="00BF2DC4" w:rsidRDefault="00D244EC" w:rsidP="00C8552A">
      <w:pPr>
        <w:pStyle w:val="Heading2"/>
        <w:spacing w:line="360" w:lineRule="auto"/>
        <w:rPr>
          <w:b/>
          <w:bCs/>
        </w:rPr>
      </w:pPr>
      <w:r w:rsidRPr="00BF2DC4">
        <w:rPr>
          <w:rFonts w:eastAsia="Times New Roman"/>
          <w:b/>
          <w:bCs/>
        </w:rPr>
        <w:t>5.2 Objectives</w:t>
      </w:r>
    </w:p>
    <w:p w14:paraId="53050DDB"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Reduce carbon emissions by 30% by 2030</w:t>
      </w:r>
    </w:p>
    <w:p w14:paraId="03F15E68"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Increase AI route optimisation coverage to 95%</w:t>
      </w:r>
    </w:p>
    <w:p w14:paraId="5DBF7912"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Improve delivery efficiency by 15%</w:t>
      </w:r>
    </w:p>
    <w:p w14:paraId="41C7F771" w14:textId="77777777" w:rsidR="003E6F8E"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These objectives are designed to be SMART (Specific, Measurable, Achievable, Relevant and Time-bound). A 30% carbon reduction aligns with UK decarbonisation targets and enhances corporate legitimacy (Department for Transport, 2024). Increasing AI optimisation coverage strengthens operational efficiency and data-driven decision-making. A 15% efficiency improvement directly contributes to cost leadership and margin defence in a competitive market (Christopher, 2016).</w:t>
      </w:r>
    </w:p>
    <w:p w14:paraId="03E24B0E" w14:textId="17195469" w:rsidR="000F4170"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The interdependence of these objectives is strategically significant. Emission reduction and efficiency are not contradictory; AI-driven routing reduces fuel consumption and vehicle mileage simultaneously (McKinnon, 2018). This integration reflects sustainable supply chain principles, where environmental and economic objectives reinforce one another (Seuring and Müller, 2008).</w:t>
      </w:r>
    </w:p>
    <w:p w14:paraId="408C161C" w14:textId="5C9B73E9" w:rsidR="00D244EC" w:rsidRPr="00573C22" w:rsidRDefault="00D244EC" w:rsidP="00C8552A">
      <w:pPr>
        <w:pStyle w:val="Heading1"/>
        <w:spacing w:line="360" w:lineRule="auto"/>
      </w:pPr>
      <w:r w:rsidRPr="00BF2DC4">
        <w:t>5.3 Stakeholder Analysis</w:t>
      </w:r>
    </w:p>
    <w:p w14:paraId="7E305084" w14:textId="14D047BE" w:rsidR="00D244EC" w:rsidRDefault="005E2E9B" w:rsidP="00C8552A">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46" behindDoc="0" locked="0" layoutInCell="1" allowOverlap="1" wp14:anchorId="6C669227" wp14:editId="1625B5B9">
            <wp:simplePos x="0" y="0"/>
            <wp:positionH relativeFrom="margin">
              <wp:posOffset>-819150</wp:posOffset>
            </wp:positionH>
            <wp:positionV relativeFrom="paragraph">
              <wp:posOffset>717550</wp:posOffset>
            </wp:positionV>
            <wp:extent cx="7391400" cy="3343275"/>
            <wp:effectExtent l="0" t="0" r="0" b="9525"/>
            <wp:wrapTopAndBottom/>
            <wp:docPr id="1938715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715337" name=""/>
                    <pic:cNvPicPr/>
                  </pic:nvPicPr>
                  <pic:blipFill>
                    <a:blip r:embed="rId14"/>
                    <a:stretch>
                      <a:fillRect/>
                    </a:stretch>
                  </pic:blipFill>
                  <pic:spPr>
                    <a:xfrm>
                      <a:off x="0" y="0"/>
                      <a:ext cx="7391400" cy="3343275"/>
                    </a:xfrm>
                    <a:prstGeom prst="rect">
                      <a:avLst/>
                    </a:prstGeom>
                  </pic:spPr>
                </pic:pic>
              </a:graphicData>
            </a:graphic>
            <wp14:sizeRelH relativeFrom="margin">
              <wp14:pctWidth>0</wp14:pctWidth>
            </wp14:sizeRelH>
            <wp14:sizeRelV relativeFrom="margin">
              <wp14:pctHeight>0</wp14:pctHeight>
            </wp14:sizeRelV>
          </wp:anchor>
        </w:drawing>
      </w:r>
      <w:r w:rsidR="00D244EC" w:rsidRPr="00BF2DC4">
        <w:rPr>
          <w:rFonts w:ascii="Arial" w:hAnsi="Arial" w:cs="Arial"/>
          <w:kern w:val="0"/>
          <w:sz w:val="22"/>
          <w:szCs w:val="22"/>
          <w14:ligatures w14:val="none"/>
        </w:rPr>
        <w:t xml:space="preserve">Stakeholders include employees, customers, regulators, </w:t>
      </w:r>
      <w:r w:rsidR="009636F4" w:rsidRPr="00BF2DC4">
        <w:rPr>
          <w:rFonts w:ascii="Arial" w:hAnsi="Arial" w:cs="Arial"/>
          <w:kern w:val="0"/>
          <w:sz w:val="22"/>
          <w:szCs w:val="22"/>
          <w14:ligatures w14:val="none"/>
        </w:rPr>
        <w:t>suppliers,</w:t>
      </w:r>
      <w:r w:rsidR="00D244EC" w:rsidRPr="00BF2DC4">
        <w:rPr>
          <w:rFonts w:ascii="Arial" w:hAnsi="Arial" w:cs="Arial"/>
          <w:kern w:val="0"/>
          <w:sz w:val="22"/>
          <w:szCs w:val="22"/>
          <w14:ligatures w14:val="none"/>
        </w:rPr>
        <w:t xml:space="preserve"> and investors. Power–interest mapping guides engagement.</w:t>
      </w:r>
    </w:p>
    <w:p w14:paraId="40F9DA72" w14:textId="5F7549F9" w:rsidR="009F4AAD" w:rsidRDefault="009F4AAD" w:rsidP="00C8552A">
      <w:pPr>
        <w:spacing w:before="100" w:beforeAutospacing="1" w:after="100" w:afterAutospacing="1" w:line="360" w:lineRule="auto"/>
        <w:rPr>
          <w:rFonts w:ascii="Arial" w:hAnsi="Arial" w:cs="Arial"/>
          <w:kern w:val="0"/>
          <w:sz w:val="22"/>
          <w:szCs w:val="22"/>
          <w14:ligatures w14:val="none"/>
        </w:rPr>
      </w:pPr>
    </w:p>
    <w:p w14:paraId="3FDBA89C"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Applying Mendelow’s (1991) stakeholder matrix, high-power/high-interest stakeholders such as investors and regulators require close management. Investors prioritise return on capital and risk mitigation, while regulators demand compliance with emissions targets. Customers—particularly large e-commerce firms—possess high bargaining power and require service reliability alongside sustainability credentials (Porter, 1980).</w:t>
      </w:r>
    </w:p>
    <w:p w14:paraId="4DB4D85C" w14:textId="5758CB6F" w:rsidR="00672827"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xml:space="preserve">Employees represent high-interest stakeholders whose behavioural commitment determines operational success. The ADKAR model highlights the necessity of awareness, </w:t>
      </w:r>
      <w:r w:rsidR="009636F4" w:rsidRPr="00BF2DC4">
        <w:rPr>
          <w:rFonts w:ascii="Arial" w:hAnsi="Arial" w:cs="Arial"/>
          <w:kern w:val="0"/>
          <w:sz w:val="22"/>
          <w:szCs w:val="22"/>
          <w14:ligatures w14:val="none"/>
        </w:rPr>
        <w:t>desire,</w:t>
      </w:r>
      <w:r w:rsidRPr="00BF2DC4">
        <w:rPr>
          <w:rFonts w:ascii="Arial" w:hAnsi="Arial" w:cs="Arial"/>
          <w:kern w:val="0"/>
          <w:sz w:val="22"/>
          <w:szCs w:val="22"/>
          <w14:ligatures w14:val="none"/>
        </w:rPr>
        <w:t xml:space="preserve"> and ability for effective change adoption (Hiatt, 2006). Supplier relationships, particularly EV manufacturers and technology vendors, must be strategically managed to reduce supply chain vulnerability (Reuters, 2024).</w:t>
      </w:r>
    </w:p>
    <w:p w14:paraId="375DF2CC" w14:textId="37FFC520" w:rsidR="003D2C15"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xml:space="preserve">Effective stakeholder management reduces resistance, strengthens </w:t>
      </w:r>
      <w:r w:rsidR="009636F4" w:rsidRPr="00BF2DC4">
        <w:rPr>
          <w:rFonts w:ascii="Arial" w:hAnsi="Arial" w:cs="Arial"/>
          <w:kern w:val="0"/>
          <w:sz w:val="22"/>
          <w:szCs w:val="22"/>
          <w14:ligatures w14:val="none"/>
        </w:rPr>
        <w:t>legitimacy,</w:t>
      </w:r>
      <w:r w:rsidRPr="00BF2DC4">
        <w:rPr>
          <w:rFonts w:ascii="Arial" w:hAnsi="Arial" w:cs="Arial"/>
          <w:kern w:val="0"/>
          <w:sz w:val="22"/>
          <w:szCs w:val="22"/>
          <w14:ligatures w14:val="none"/>
        </w:rPr>
        <w:t xml:space="preserve"> and enhances implementation success.</w:t>
      </w:r>
    </w:p>
    <w:p w14:paraId="79E13346" w14:textId="77777777" w:rsidR="003D2C15" w:rsidRDefault="003D2C15">
      <w:pPr>
        <w:rPr>
          <w:rFonts w:ascii="Arial" w:hAnsi="Arial" w:cs="Arial"/>
          <w:kern w:val="0"/>
          <w:sz w:val="22"/>
          <w:szCs w:val="22"/>
          <w14:ligatures w14:val="none"/>
        </w:rPr>
      </w:pPr>
      <w:r>
        <w:rPr>
          <w:rFonts w:ascii="Arial" w:hAnsi="Arial" w:cs="Arial"/>
          <w:kern w:val="0"/>
          <w:sz w:val="22"/>
          <w:szCs w:val="22"/>
          <w14:ligatures w14:val="none"/>
        </w:rPr>
        <w:br w:type="page"/>
      </w:r>
    </w:p>
    <w:p w14:paraId="4B0D2211" w14:textId="77777777" w:rsidR="00D244EC" w:rsidRDefault="00D244EC" w:rsidP="00C8552A">
      <w:pPr>
        <w:pStyle w:val="Heading2"/>
        <w:spacing w:line="360" w:lineRule="auto"/>
      </w:pPr>
      <w:r w:rsidRPr="00BF2DC4">
        <w:t>5.4 Implementation Framework</w:t>
      </w:r>
    </w:p>
    <w:p w14:paraId="51B61A8D" w14:textId="3FC39285" w:rsidR="00A07FDD" w:rsidRDefault="000C4D8A" w:rsidP="00C8552A">
      <w:pPr>
        <w:spacing w:line="360" w:lineRule="auto"/>
      </w:pPr>
      <w:r>
        <w:rPr>
          <w:noProof/>
        </w:rPr>
        <w:drawing>
          <wp:anchor distT="0" distB="0" distL="114300" distR="114300" simplePos="0" relativeHeight="251658247" behindDoc="0" locked="0" layoutInCell="1" allowOverlap="1" wp14:anchorId="2032467F" wp14:editId="2C4A7F8A">
            <wp:simplePos x="0" y="0"/>
            <wp:positionH relativeFrom="margin">
              <wp:posOffset>-628650</wp:posOffset>
            </wp:positionH>
            <wp:positionV relativeFrom="paragraph">
              <wp:posOffset>345440</wp:posOffset>
            </wp:positionV>
            <wp:extent cx="6934200" cy="3762375"/>
            <wp:effectExtent l="0" t="0" r="0" b="9525"/>
            <wp:wrapTopAndBottom/>
            <wp:docPr id="128029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90236" name=""/>
                    <pic:cNvPicPr/>
                  </pic:nvPicPr>
                  <pic:blipFill>
                    <a:blip r:embed="rId15"/>
                    <a:stretch>
                      <a:fillRect/>
                    </a:stretch>
                  </pic:blipFill>
                  <pic:spPr>
                    <a:xfrm>
                      <a:off x="0" y="0"/>
                      <a:ext cx="6934200" cy="3762375"/>
                    </a:xfrm>
                    <a:prstGeom prst="rect">
                      <a:avLst/>
                    </a:prstGeom>
                  </pic:spPr>
                </pic:pic>
              </a:graphicData>
            </a:graphic>
            <wp14:sizeRelH relativeFrom="margin">
              <wp14:pctWidth>0</wp14:pctWidth>
            </wp14:sizeRelH>
            <wp14:sizeRelV relativeFrom="margin">
              <wp14:pctHeight>0</wp14:pctHeight>
            </wp14:sizeRelV>
          </wp:anchor>
        </w:drawing>
      </w:r>
    </w:p>
    <w:p w14:paraId="10B3AC80" w14:textId="77777777" w:rsidR="00435802" w:rsidRDefault="00435802" w:rsidP="00C8552A">
      <w:pPr>
        <w:spacing w:before="100" w:beforeAutospacing="1" w:after="100" w:afterAutospacing="1" w:line="360" w:lineRule="auto"/>
        <w:rPr>
          <w:rFonts w:ascii="Arial" w:hAnsi="Arial" w:cs="Arial"/>
          <w:kern w:val="0"/>
          <w:sz w:val="22"/>
          <w:szCs w:val="22"/>
          <w14:ligatures w14:val="none"/>
        </w:rPr>
      </w:pPr>
    </w:p>
    <w:p w14:paraId="3527D727" w14:textId="7BF8BE91"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Phase 1: Urgency &amp; Communication (Kotter Step 1–3)</w:t>
      </w:r>
    </w:p>
    <w:p w14:paraId="5475CC2F"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Phase 2: Technology Deployment &amp; Training (ADKAR Knowledge/Ability)</w:t>
      </w:r>
    </w:p>
    <w:p w14:paraId="4626F8D2"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Phase 3: Cultural Integration &amp; Reinforcement</w:t>
      </w:r>
    </w:p>
    <w:p w14:paraId="71025A68" w14:textId="0C3A1D5F"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CB224B">
        <w:rPr>
          <w:rFonts w:ascii="Arial" w:hAnsi="Arial" w:cs="Arial"/>
          <w:b/>
          <w:kern w:val="0"/>
          <w:sz w:val="22"/>
          <w:szCs w:val="22"/>
          <w14:ligatures w14:val="none"/>
        </w:rPr>
        <w:t>Phase 1</w:t>
      </w:r>
      <w:r w:rsidRPr="00BF2DC4">
        <w:rPr>
          <w:rFonts w:ascii="Arial" w:hAnsi="Arial" w:cs="Arial"/>
          <w:kern w:val="0"/>
          <w:sz w:val="22"/>
          <w:szCs w:val="22"/>
          <w14:ligatures w14:val="none"/>
        </w:rPr>
        <w:t xml:space="preserve"> focuses on establishing urgency by presenting regulatory risks, cost </w:t>
      </w:r>
      <w:r w:rsidR="009636F4" w:rsidRPr="00BF2DC4">
        <w:rPr>
          <w:rFonts w:ascii="Arial" w:hAnsi="Arial" w:cs="Arial"/>
          <w:kern w:val="0"/>
          <w:sz w:val="22"/>
          <w:szCs w:val="22"/>
          <w14:ligatures w14:val="none"/>
        </w:rPr>
        <w:t>pressures,</w:t>
      </w:r>
      <w:r w:rsidRPr="00BF2DC4">
        <w:rPr>
          <w:rFonts w:ascii="Arial" w:hAnsi="Arial" w:cs="Arial"/>
          <w:kern w:val="0"/>
          <w:sz w:val="22"/>
          <w:szCs w:val="22"/>
          <w14:ligatures w14:val="none"/>
        </w:rPr>
        <w:t xml:space="preserve"> and competitive threats (Kotter, 1996). Transparent communication prevents complacency and builds coalition support among senior management.</w:t>
      </w:r>
    </w:p>
    <w:p w14:paraId="3FCE7F2F" w14:textId="2C61B9C8" w:rsidR="00815308" w:rsidRDefault="00D244EC" w:rsidP="00C8552A">
      <w:pPr>
        <w:spacing w:before="100" w:beforeAutospacing="1" w:after="100" w:afterAutospacing="1" w:line="360" w:lineRule="auto"/>
        <w:rPr>
          <w:rFonts w:ascii="Arial" w:hAnsi="Arial" w:cs="Arial"/>
          <w:kern w:val="0"/>
          <w:sz w:val="22"/>
          <w:szCs w:val="22"/>
          <w14:ligatures w14:val="none"/>
        </w:rPr>
      </w:pPr>
      <w:r w:rsidRPr="00823C95">
        <w:rPr>
          <w:rFonts w:ascii="Arial" w:hAnsi="Arial" w:cs="Arial"/>
          <w:b/>
          <w:kern w:val="0"/>
          <w:sz w:val="22"/>
          <w:szCs w:val="22"/>
          <w14:ligatures w14:val="none"/>
        </w:rPr>
        <w:t>Phase 2</w:t>
      </w:r>
      <w:r w:rsidRPr="00BF2DC4">
        <w:rPr>
          <w:rFonts w:ascii="Arial" w:hAnsi="Arial" w:cs="Arial"/>
          <w:kern w:val="0"/>
          <w:sz w:val="22"/>
          <w:szCs w:val="22"/>
          <w14:ligatures w14:val="none"/>
        </w:rPr>
        <w:t xml:space="preserve"> involves structured deployment of AI systems, electric fleet </w:t>
      </w:r>
      <w:r w:rsidR="009636F4" w:rsidRPr="00BF2DC4">
        <w:rPr>
          <w:rFonts w:ascii="Arial" w:hAnsi="Arial" w:cs="Arial"/>
          <w:kern w:val="0"/>
          <w:sz w:val="22"/>
          <w:szCs w:val="22"/>
          <w14:ligatures w14:val="none"/>
        </w:rPr>
        <w:t>procurement,</w:t>
      </w:r>
      <w:r w:rsidRPr="00BF2DC4">
        <w:rPr>
          <w:rFonts w:ascii="Arial" w:hAnsi="Arial" w:cs="Arial"/>
          <w:kern w:val="0"/>
          <w:sz w:val="22"/>
          <w:szCs w:val="22"/>
          <w14:ligatures w14:val="none"/>
        </w:rPr>
        <w:t xml:space="preserve"> and infrastructure development. Training programmes must accompany technological rollout to ensure workforce competence. According to Burnes (2017), change initiatives fail when training is treated as secondary rather than central to transformation.</w:t>
      </w:r>
    </w:p>
    <w:p w14:paraId="0C53ED5C" w14:textId="77777777" w:rsidR="00B566DD" w:rsidRDefault="00D244EC" w:rsidP="00C8552A">
      <w:pPr>
        <w:spacing w:before="100" w:beforeAutospacing="1" w:after="100" w:afterAutospacing="1" w:line="360" w:lineRule="auto"/>
        <w:rPr>
          <w:rFonts w:ascii="Arial" w:hAnsi="Arial" w:cs="Arial"/>
          <w:kern w:val="0"/>
          <w:sz w:val="22"/>
          <w:szCs w:val="22"/>
          <w14:ligatures w14:val="none"/>
        </w:rPr>
      </w:pPr>
      <w:r w:rsidRPr="00C37CCC">
        <w:rPr>
          <w:rFonts w:ascii="Arial" w:hAnsi="Arial" w:cs="Arial"/>
          <w:b/>
          <w:kern w:val="0"/>
          <w:sz w:val="22"/>
          <w:szCs w:val="22"/>
          <w14:ligatures w14:val="none"/>
        </w:rPr>
        <w:t>Phase 3</w:t>
      </w:r>
      <w:r w:rsidRPr="00BF2DC4">
        <w:rPr>
          <w:rFonts w:ascii="Arial" w:hAnsi="Arial" w:cs="Arial"/>
          <w:kern w:val="0"/>
          <w:sz w:val="22"/>
          <w:szCs w:val="22"/>
          <w14:ligatures w14:val="none"/>
        </w:rPr>
        <w:t xml:space="preserve"> ensures long-term embedding of change. Performance metrics, reward </w:t>
      </w:r>
      <w:r w:rsidR="009636F4" w:rsidRPr="00BF2DC4">
        <w:rPr>
          <w:rFonts w:ascii="Arial" w:hAnsi="Arial" w:cs="Arial"/>
          <w:kern w:val="0"/>
          <w:sz w:val="22"/>
          <w:szCs w:val="22"/>
          <w14:ligatures w14:val="none"/>
        </w:rPr>
        <w:t>systems,</w:t>
      </w:r>
      <w:r w:rsidRPr="00BF2DC4">
        <w:rPr>
          <w:rFonts w:ascii="Arial" w:hAnsi="Arial" w:cs="Arial"/>
          <w:kern w:val="0"/>
          <w:sz w:val="22"/>
          <w:szCs w:val="22"/>
          <w14:ligatures w14:val="none"/>
        </w:rPr>
        <w:t xml:space="preserve"> and leadership behaviours must align with sustainability and efficiency objectives. </w:t>
      </w:r>
    </w:p>
    <w:p w14:paraId="3B31456B" w14:textId="660DF568" w:rsidR="00D244EC" w:rsidRPr="00BF2DC4" w:rsidRDefault="00B566DD" w:rsidP="00B566DD">
      <w:pPr>
        <w:rPr>
          <w:rFonts w:ascii="Arial" w:hAnsi="Arial" w:cs="Arial"/>
          <w:kern w:val="0"/>
          <w:sz w:val="22"/>
          <w:szCs w:val="22"/>
          <w14:ligatures w14:val="none"/>
        </w:rPr>
      </w:pPr>
      <w:r>
        <w:rPr>
          <w:rFonts w:ascii="Arial" w:hAnsi="Arial" w:cs="Arial"/>
          <w:kern w:val="0"/>
          <w:sz w:val="22"/>
          <w:szCs w:val="22"/>
          <w14:ligatures w14:val="none"/>
        </w:rPr>
        <w:br w:type="page"/>
      </w:r>
      <w:r w:rsidR="00D244EC" w:rsidRPr="00BF2DC4">
        <w:rPr>
          <w:rFonts w:ascii="Arial" w:hAnsi="Arial" w:cs="Arial"/>
          <w:kern w:val="0"/>
          <w:sz w:val="22"/>
          <w:szCs w:val="22"/>
          <w14:ligatures w14:val="none"/>
        </w:rPr>
        <w:t>Refreezing, in Lewin’s (1951) terms, involves institutionalising new norms without eliminating adaptability.</w:t>
      </w:r>
    </w:p>
    <w:p w14:paraId="13F1D1DC" w14:textId="77777777" w:rsidR="00D244EC" w:rsidRDefault="00D244EC" w:rsidP="00C8552A">
      <w:pPr>
        <w:pStyle w:val="Heading2"/>
        <w:spacing w:line="360" w:lineRule="auto"/>
      </w:pPr>
      <w:r w:rsidRPr="00BF2DC4">
        <w:t>5.5 Communication Plan</w:t>
      </w:r>
    </w:p>
    <w:p w14:paraId="6CD9B99B" w14:textId="22C6CE56" w:rsidR="009D3A06" w:rsidRDefault="005E4270" w:rsidP="00C8552A">
      <w:pPr>
        <w:spacing w:line="360" w:lineRule="auto"/>
      </w:pPr>
      <w:r>
        <w:rPr>
          <w:noProof/>
        </w:rPr>
        <w:drawing>
          <wp:anchor distT="0" distB="0" distL="114300" distR="114300" simplePos="0" relativeHeight="251658250" behindDoc="0" locked="0" layoutInCell="1" allowOverlap="1" wp14:anchorId="1DD3F3BF" wp14:editId="000DAB2B">
            <wp:simplePos x="0" y="0"/>
            <wp:positionH relativeFrom="page">
              <wp:posOffset>523875</wp:posOffset>
            </wp:positionH>
            <wp:positionV relativeFrom="paragraph">
              <wp:posOffset>349250</wp:posOffset>
            </wp:positionV>
            <wp:extent cx="6591300" cy="4781550"/>
            <wp:effectExtent l="0" t="0" r="0" b="0"/>
            <wp:wrapTopAndBottom/>
            <wp:docPr id="188298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81835" name=""/>
                    <pic:cNvPicPr/>
                  </pic:nvPicPr>
                  <pic:blipFill>
                    <a:blip r:embed="rId16"/>
                    <a:stretch>
                      <a:fillRect/>
                    </a:stretch>
                  </pic:blipFill>
                  <pic:spPr>
                    <a:xfrm>
                      <a:off x="0" y="0"/>
                      <a:ext cx="6591300" cy="4781550"/>
                    </a:xfrm>
                    <a:prstGeom prst="rect">
                      <a:avLst/>
                    </a:prstGeom>
                  </pic:spPr>
                </pic:pic>
              </a:graphicData>
            </a:graphic>
            <wp14:sizeRelH relativeFrom="margin">
              <wp14:pctWidth>0</wp14:pctWidth>
            </wp14:sizeRelH>
            <wp14:sizeRelV relativeFrom="margin">
              <wp14:pctHeight>0</wp14:pctHeight>
            </wp14:sizeRelV>
          </wp:anchor>
        </w:drawing>
      </w:r>
    </w:p>
    <w:p w14:paraId="1E347231" w14:textId="77777777" w:rsidR="005E4270" w:rsidRDefault="005E4270" w:rsidP="00C8552A">
      <w:pPr>
        <w:spacing w:before="100" w:beforeAutospacing="1" w:after="100" w:afterAutospacing="1" w:line="360" w:lineRule="auto"/>
        <w:rPr>
          <w:rFonts w:ascii="Arial" w:hAnsi="Arial" w:cs="Arial"/>
          <w:kern w:val="0"/>
          <w:sz w:val="22"/>
          <w:szCs w:val="22"/>
          <w14:ligatures w14:val="none"/>
        </w:rPr>
      </w:pPr>
    </w:p>
    <w:p w14:paraId="62A9826E" w14:textId="71AB9E1A"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xml:space="preserve">Multi-channel communication including town halls, digital </w:t>
      </w:r>
      <w:r w:rsidR="009636F4" w:rsidRPr="00BF2DC4">
        <w:rPr>
          <w:rFonts w:ascii="Arial" w:hAnsi="Arial" w:cs="Arial"/>
          <w:kern w:val="0"/>
          <w:sz w:val="22"/>
          <w:szCs w:val="22"/>
          <w14:ligatures w14:val="none"/>
        </w:rPr>
        <w:t>dashboards,</w:t>
      </w:r>
      <w:r w:rsidRPr="00BF2DC4">
        <w:rPr>
          <w:rFonts w:ascii="Arial" w:hAnsi="Arial" w:cs="Arial"/>
          <w:kern w:val="0"/>
          <w:sz w:val="22"/>
          <w:szCs w:val="22"/>
          <w14:ligatures w14:val="none"/>
        </w:rPr>
        <w:t xml:space="preserve"> and training programmes.</w:t>
      </w:r>
    </w:p>
    <w:p w14:paraId="6C1D5F23" w14:textId="6AC1F376" w:rsidR="00D244EC" w:rsidRPr="00BF2DC4" w:rsidRDefault="00D244EC" w:rsidP="00B566DD">
      <w:pPr>
        <w:rPr>
          <w:rFonts w:ascii="Arial" w:hAnsi="Arial" w:cs="Arial"/>
          <w:kern w:val="0"/>
          <w:sz w:val="22"/>
          <w:szCs w:val="22"/>
          <w14:ligatures w14:val="none"/>
        </w:rPr>
      </w:pPr>
      <w:r w:rsidRPr="00BF2DC4">
        <w:rPr>
          <w:rFonts w:ascii="Arial" w:hAnsi="Arial" w:cs="Arial"/>
          <w:kern w:val="0"/>
          <w:sz w:val="22"/>
          <w:szCs w:val="22"/>
          <w14:ligatures w14:val="none"/>
        </w:rPr>
        <w:t xml:space="preserve"> 1996). UPS should deploy:</w:t>
      </w:r>
    </w:p>
    <w:p w14:paraId="1998E1B9" w14:textId="77777777" w:rsidR="005E4270"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Executive town halls to articulate vision and strategic rationale</w:t>
      </w:r>
    </w:p>
    <w:p w14:paraId="19183D8B"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Departmental workshops to address operational implications</w:t>
      </w:r>
    </w:p>
    <w:p w14:paraId="51FDADF9"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Digital dashboards displaying carbon metrics and efficiency gains</w:t>
      </w:r>
    </w:p>
    <w:p w14:paraId="52E004C3" w14:textId="77777777" w:rsidR="00672827"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Continuous feedback mechanisms to identify employee concern</w:t>
      </w:r>
    </w:p>
    <w:p w14:paraId="27B2B05B" w14:textId="1EF409EF"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xml:space="preserve">Communication must be consistent, transparent and </w:t>
      </w:r>
      <w:r w:rsidR="00544E36" w:rsidRPr="00BF2DC4">
        <w:rPr>
          <w:rFonts w:ascii="Arial" w:hAnsi="Arial" w:cs="Arial"/>
          <w:kern w:val="0"/>
          <w:sz w:val="22"/>
          <w:szCs w:val="22"/>
          <w14:ligatures w14:val="none"/>
        </w:rPr>
        <w:t>evidence based</w:t>
      </w:r>
      <w:r w:rsidRPr="00BF2DC4">
        <w:rPr>
          <w:rFonts w:ascii="Arial" w:hAnsi="Arial" w:cs="Arial"/>
          <w:kern w:val="0"/>
          <w:sz w:val="22"/>
          <w:szCs w:val="22"/>
          <w14:ligatures w14:val="none"/>
        </w:rPr>
        <w:t xml:space="preserve">. Research indicates that visible performance data enhances credibility and reinforces behavioural adoption (Johnson, </w:t>
      </w:r>
      <w:r w:rsidR="009636F4" w:rsidRPr="00BF2DC4">
        <w:rPr>
          <w:rFonts w:ascii="Arial" w:hAnsi="Arial" w:cs="Arial"/>
          <w:kern w:val="0"/>
          <w:sz w:val="22"/>
          <w:szCs w:val="22"/>
          <w14:ligatures w14:val="none"/>
        </w:rPr>
        <w:t>Scholes,</w:t>
      </w:r>
      <w:r w:rsidRPr="00BF2DC4">
        <w:rPr>
          <w:rFonts w:ascii="Arial" w:hAnsi="Arial" w:cs="Arial"/>
          <w:kern w:val="0"/>
          <w:sz w:val="22"/>
          <w:szCs w:val="22"/>
          <w14:ligatures w14:val="none"/>
        </w:rPr>
        <w:t xml:space="preserve"> and Whittington, 2017).</w:t>
      </w:r>
    </w:p>
    <w:p w14:paraId="45733344" w14:textId="77777777" w:rsidR="00D244EC" w:rsidRPr="00BF2DC4" w:rsidRDefault="00D244EC" w:rsidP="00C8552A">
      <w:pPr>
        <w:pStyle w:val="Heading2"/>
        <w:spacing w:line="360" w:lineRule="auto"/>
      </w:pPr>
      <w:r w:rsidRPr="00BF2DC4">
        <w:t>5.6 Financial Plan</w:t>
      </w:r>
    </w:p>
    <w:p w14:paraId="006983E9"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Investment in electric fleet, AI integration and infrastructure is substantial but strategically necessary.</w:t>
      </w:r>
    </w:p>
    <w:p w14:paraId="042CA33F"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Estimated Investment (5-year horizon):</w:t>
      </w:r>
    </w:p>
    <w:p w14:paraId="14E384D2"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Electric vehicle acquisition (500 vehicles × £60,000): £30 million</w:t>
      </w:r>
    </w:p>
    <w:p w14:paraId="776B2C0D"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Charging infrastructure upgrades: £8 million</w:t>
      </w:r>
    </w:p>
    <w:p w14:paraId="6585DEAA"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AI systems integration and analytics platforms: £5 million</w:t>
      </w:r>
    </w:p>
    <w:p w14:paraId="5BBC07D5"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Training and change management costs: £2 million</w:t>
      </w:r>
    </w:p>
    <w:p w14:paraId="321B123B"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Total estimated capital investment: £45 million</w:t>
      </w:r>
    </w:p>
    <w:p w14:paraId="207F966E" w14:textId="77777777" w:rsidR="00CB18BD" w:rsidRDefault="00CB18BD" w:rsidP="00C8552A">
      <w:pPr>
        <w:spacing w:before="100" w:beforeAutospacing="1" w:after="100" w:afterAutospacing="1" w:line="360" w:lineRule="auto"/>
        <w:rPr>
          <w:rFonts w:ascii="Arial" w:hAnsi="Arial" w:cs="Arial"/>
          <w:kern w:val="0"/>
          <w:sz w:val="22"/>
          <w:szCs w:val="22"/>
          <w14:ligatures w14:val="none"/>
        </w:rPr>
      </w:pPr>
    </w:p>
    <w:p w14:paraId="6A1DCD8A" w14:textId="77777777" w:rsidR="00CB18BD" w:rsidRDefault="00CB18BD" w:rsidP="00C8552A">
      <w:pPr>
        <w:spacing w:before="100" w:beforeAutospacing="1" w:after="100" w:afterAutospacing="1" w:line="360" w:lineRule="auto"/>
        <w:rPr>
          <w:rFonts w:ascii="Arial" w:hAnsi="Arial" w:cs="Arial"/>
          <w:kern w:val="0"/>
          <w:sz w:val="22"/>
          <w:szCs w:val="22"/>
          <w14:ligatures w14:val="none"/>
        </w:rPr>
      </w:pPr>
    </w:p>
    <w:p w14:paraId="69377BB7" w14:textId="59BAB0CF"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Projected Benefits:</w:t>
      </w:r>
    </w:p>
    <w:p w14:paraId="4DDE5589"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Fuel and maintenance savings: approx. £5 million annually</w:t>
      </w:r>
    </w:p>
    <w:p w14:paraId="65843558" w14:textId="77777777" w:rsidR="00D244EC" w:rsidRPr="008A16DA" w:rsidRDefault="00D244EC" w:rsidP="00C8552A">
      <w:pPr>
        <w:spacing w:before="100" w:beforeAutospacing="1" w:after="100" w:afterAutospacing="1" w:line="360" w:lineRule="auto"/>
        <w:rPr>
          <w:rFonts w:ascii="Arial" w:hAnsi="Arial" w:cs="Arial"/>
          <w:kern w:val="0"/>
          <w:sz w:val="22"/>
          <w:szCs w:val="22"/>
          <w14:ligatures w14:val="none"/>
        </w:rPr>
      </w:pPr>
      <w:r w:rsidRPr="008A16DA">
        <w:rPr>
          <w:rFonts w:ascii="Arial" w:hAnsi="Arial" w:cs="Arial"/>
          <w:kern w:val="0"/>
          <w:sz w:val="22"/>
          <w:szCs w:val="22"/>
          <w14:ligatures w14:val="none"/>
        </w:rPr>
        <w:t>• Route optimisation savings: £3 million annually</w:t>
      </w:r>
    </w:p>
    <w:p w14:paraId="70A13D99" w14:textId="41648993" w:rsidR="00C71656" w:rsidRPr="008A16DA" w:rsidRDefault="00D244EC" w:rsidP="00C8552A">
      <w:pPr>
        <w:spacing w:before="100" w:beforeAutospacing="1" w:after="100" w:afterAutospacing="1" w:line="360" w:lineRule="auto"/>
        <w:rPr>
          <w:rFonts w:ascii="Arial" w:hAnsi="Arial" w:cs="Arial"/>
          <w:kern w:val="0"/>
          <w:sz w:val="22"/>
          <w:szCs w:val="22"/>
          <w14:ligatures w14:val="none"/>
        </w:rPr>
      </w:pPr>
      <w:r w:rsidRPr="008A16DA">
        <w:rPr>
          <w:rFonts w:ascii="Arial" w:hAnsi="Arial" w:cs="Arial"/>
          <w:kern w:val="0"/>
          <w:sz w:val="22"/>
          <w:szCs w:val="22"/>
          <w14:ligatures w14:val="none"/>
        </w:rPr>
        <w:t>• Reduced regulatory penalties and carbon costs: £1–2 million annual</w:t>
      </w:r>
    </w:p>
    <w:p w14:paraId="149CF4C3" w14:textId="066236C4" w:rsidR="00D244EC" w:rsidRPr="008A16DA" w:rsidRDefault="00D244EC" w:rsidP="00C8552A">
      <w:pPr>
        <w:spacing w:before="100" w:beforeAutospacing="1" w:after="100" w:afterAutospacing="1" w:line="360" w:lineRule="auto"/>
        <w:rPr>
          <w:rFonts w:ascii="Arial" w:hAnsi="Arial" w:cs="Arial"/>
          <w:kern w:val="0"/>
          <w:sz w:val="22"/>
          <w:szCs w:val="22"/>
          <w14:ligatures w14:val="none"/>
        </w:rPr>
      </w:pPr>
      <w:r w:rsidRPr="008A16DA">
        <w:rPr>
          <w:rFonts w:ascii="Arial" w:hAnsi="Arial" w:cs="Arial"/>
          <w:kern w:val="0"/>
          <w:sz w:val="22"/>
          <w:szCs w:val="22"/>
          <w14:ligatures w14:val="none"/>
        </w:rPr>
        <w:t>Total projected annual benefit: approx. £9–10 million</w:t>
      </w:r>
    </w:p>
    <w:p w14:paraId="5D8F6E24" w14:textId="05A9A504" w:rsidR="00D244EC" w:rsidRPr="008A16DA" w:rsidRDefault="00D244EC" w:rsidP="00C8552A">
      <w:pPr>
        <w:spacing w:before="100" w:beforeAutospacing="1" w:after="100" w:afterAutospacing="1" w:line="360" w:lineRule="auto"/>
        <w:rPr>
          <w:rFonts w:ascii="Arial" w:hAnsi="Arial" w:cs="Arial"/>
          <w:kern w:val="0"/>
          <w:sz w:val="22"/>
          <w:szCs w:val="22"/>
          <w14:ligatures w14:val="none"/>
        </w:rPr>
      </w:pPr>
      <w:r w:rsidRPr="008A16DA">
        <w:rPr>
          <w:rFonts w:ascii="Arial" w:hAnsi="Arial" w:cs="Arial"/>
          <w:kern w:val="0"/>
          <w:sz w:val="22"/>
          <w:szCs w:val="22"/>
          <w14:ligatures w14:val="none"/>
        </w:rPr>
        <w:t xml:space="preserve">Simple payback period: </w:t>
      </w:r>
      <w:r w:rsidR="0076069D" w:rsidRPr="008A16DA">
        <w:rPr>
          <w:rFonts w:ascii="Arial" w:hAnsi="Arial" w:cs="Arial"/>
          <w:kern w:val="0"/>
          <w:sz w:val="22"/>
          <w:szCs w:val="22"/>
          <w14:ligatures w14:val="none"/>
        </w:rPr>
        <w:t>5</w:t>
      </w:r>
      <w:r w:rsidRPr="008A16DA">
        <w:rPr>
          <w:rFonts w:ascii="Arial" w:hAnsi="Arial" w:cs="Arial"/>
          <w:kern w:val="0"/>
          <w:sz w:val="22"/>
          <w:szCs w:val="22"/>
          <w14:ligatures w14:val="none"/>
        </w:rPr>
        <w:t>–6 years.</w:t>
      </w:r>
    </w:p>
    <w:p w14:paraId="4EF2AF58" w14:textId="77777777" w:rsidR="00B566DD" w:rsidRDefault="00D244EC" w:rsidP="00C8552A">
      <w:pPr>
        <w:spacing w:before="100" w:beforeAutospacing="1" w:after="100" w:afterAutospacing="1" w:line="360" w:lineRule="auto"/>
        <w:rPr>
          <w:rFonts w:ascii="Arial" w:hAnsi="Arial" w:cs="Arial"/>
          <w:kern w:val="0"/>
          <w:sz w:val="22"/>
          <w:szCs w:val="22"/>
          <w14:ligatures w14:val="none"/>
        </w:rPr>
      </w:pPr>
      <w:r w:rsidRPr="008A16DA">
        <w:rPr>
          <w:rFonts w:ascii="Arial" w:hAnsi="Arial" w:cs="Arial"/>
          <w:kern w:val="0"/>
          <w:sz w:val="22"/>
          <w:szCs w:val="22"/>
          <w14:ligatures w14:val="none"/>
        </w:rPr>
        <w:t xml:space="preserve">Beyond direct financial returns, intangible benefits include enhanced brand equity, contract acquisition </w:t>
      </w:r>
      <w:r w:rsidR="009636F4" w:rsidRPr="008A16DA">
        <w:rPr>
          <w:rFonts w:ascii="Arial" w:hAnsi="Arial" w:cs="Arial"/>
          <w:kern w:val="0"/>
          <w:sz w:val="22"/>
          <w:szCs w:val="22"/>
          <w14:ligatures w14:val="none"/>
        </w:rPr>
        <w:t>advantages,</w:t>
      </w:r>
      <w:r w:rsidRPr="008A16DA">
        <w:rPr>
          <w:rFonts w:ascii="Arial" w:hAnsi="Arial" w:cs="Arial"/>
          <w:kern w:val="0"/>
          <w:sz w:val="22"/>
          <w:szCs w:val="22"/>
          <w14:ligatures w14:val="none"/>
        </w:rPr>
        <w:t xml:space="preserve"> and reputational gains. Porter (1985) argues that differentiation </w:t>
      </w:r>
    </w:p>
    <w:p w14:paraId="0CBDC290" w14:textId="5D06BA19" w:rsidR="00672827" w:rsidRPr="008A16DA" w:rsidRDefault="00B566DD" w:rsidP="00B566DD">
      <w:pPr>
        <w:rPr>
          <w:rFonts w:ascii="Arial" w:hAnsi="Arial" w:cs="Arial"/>
          <w:kern w:val="0"/>
          <w:sz w:val="22"/>
          <w:szCs w:val="22"/>
          <w14:ligatures w14:val="none"/>
        </w:rPr>
      </w:pPr>
      <w:r>
        <w:rPr>
          <w:rFonts w:ascii="Arial" w:hAnsi="Arial" w:cs="Arial"/>
          <w:kern w:val="0"/>
          <w:sz w:val="22"/>
          <w:szCs w:val="22"/>
          <w14:ligatures w14:val="none"/>
        </w:rPr>
        <w:br w:type="page"/>
      </w:r>
      <w:r w:rsidR="00D244EC" w:rsidRPr="008A16DA">
        <w:rPr>
          <w:rFonts w:ascii="Arial" w:hAnsi="Arial" w:cs="Arial"/>
          <w:kern w:val="0"/>
          <w:sz w:val="22"/>
          <w:szCs w:val="22"/>
          <w14:ligatures w14:val="none"/>
        </w:rPr>
        <w:t>strategies allow firms to command customer loyalty and reduce price sensitivity. Sustainability-driven differentiation may therefore yield long-term revenue growth beyond immediate cost savings.</w:t>
      </w:r>
    </w:p>
    <w:p w14:paraId="2060DFD0" w14:textId="77777777" w:rsidR="00AA35DC" w:rsidRPr="008A16DA" w:rsidRDefault="00D244EC" w:rsidP="00C8552A">
      <w:pPr>
        <w:spacing w:line="360" w:lineRule="auto"/>
        <w:rPr>
          <w:rFonts w:ascii="Arial" w:hAnsi="Arial" w:cs="Arial"/>
          <w:sz w:val="22"/>
          <w:szCs w:val="22"/>
        </w:rPr>
      </w:pPr>
      <w:r w:rsidRPr="008A16DA">
        <w:rPr>
          <w:rFonts w:ascii="Arial" w:hAnsi="Arial" w:cs="Arial"/>
          <w:sz w:val="22"/>
          <w:szCs w:val="22"/>
        </w:rPr>
        <w:t>Net Present Value modelling (assuming 6% discount rate over 10 years) indicates positive long-term financial viability. This strengthens board-level justification for capital allocation and aligns environmental responsibility with shareholder value creation.</w:t>
      </w:r>
    </w:p>
    <w:p w14:paraId="7BA6CEBD" w14:textId="3B289ECD" w:rsidR="00965679" w:rsidRDefault="00D244EC" w:rsidP="00C8552A">
      <w:pPr>
        <w:pStyle w:val="Heading1"/>
        <w:spacing w:line="360" w:lineRule="auto"/>
      </w:pPr>
      <w:r w:rsidRPr="00BF2DC4">
        <w:t>5.7 Risk Assessment</w:t>
      </w:r>
    </w:p>
    <w:p w14:paraId="07BE36C5" w14:textId="6EA03421" w:rsidR="00D244EC" w:rsidRPr="00815308" w:rsidRDefault="00D244EC" w:rsidP="00C8552A">
      <w:pPr>
        <w:pStyle w:val="Heading2"/>
        <w:spacing w:line="360" w:lineRule="auto"/>
      </w:pPr>
      <w:r w:rsidRPr="00BF2DC4">
        <w:rPr>
          <w:rFonts w:ascii="Arial" w:hAnsi="Arial" w:cs="Arial"/>
          <w:kern w:val="0"/>
          <w:sz w:val="22"/>
          <w:szCs w:val="22"/>
          <w14:ligatures w14:val="none"/>
        </w:rPr>
        <w:t xml:space="preserve">Risks include EV supply volatility (Reuters, 2024), employee </w:t>
      </w:r>
      <w:r w:rsidR="009636F4" w:rsidRPr="00BF2DC4">
        <w:rPr>
          <w:rFonts w:ascii="Arial" w:hAnsi="Arial" w:cs="Arial"/>
          <w:kern w:val="0"/>
          <w:sz w:val="22"/>
          <w:szCs w:val="22"/>
          <w14:ligatures w14:val="none"/>
        </w:rPr>
        <w:t>resistance,</w:t>
      </w:r>
      <w:r w:rsidRPr="00BF2DC4">
        <w:rPr>
          <w:rFonts w:ascii="Arial" w:hAnsi="Arial" w:cs="Arial"/>
          <w:kern w:val="0"/>
          <w:sz w:val="22"/>
          <w:szCs w:val="22"/>
          <w14:ligatures w14:val="none"/>
        </w:rPr>
        <w:t xml:space="preserve"> and technology integration failure.</w:t>
      </w:r>
    </w:p>
    <w:p w14:paraId="09E0B4DF" w14:textId="22187318" w:rsidR="00E54E5D" w:rsidRDefault="005611A5" w:rsidP="00C8552A">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48" behindDoc="0" locked="0" layoutInCell="1" allowOverlap="1" wp14:anchorId="050324A5" wp14:editId="6C8C2C00">
            <wp:simplePos x="0" y="0"/>
            <wp:positionH relativeFrom="page">
              <wp:align>left</wp:align>
            </wp:positionH>
            <wp:positionV relativeFrom="paragraph">
              <wp:posOffset>962024</wp:posOffset>
            </wp:positionV>
            <wp:extent cx="7562850" cy="3305175"/>
            <wp:effectExtent l="0" t="0" r="0" b="9525"/>
            <wp:wrapTopAndBottom/>
            <wp:docPr id="322738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38099" name=""/>
                    <pic:cNvPicPr/>
                  </pic:nvPicPr>
                  <pic:blipFill>
                    <a:blip r:embed="rId17"/>
                    <a:stretch>
                      <a:fillRect/>
                    </a:stretch>
                  </pic:blipFill>
                  <pic:spPr>
                    <a:xfrm>
                      <a:off x="0" y="0"/>
                      <a:ext cx="7562850" cy="3305175"/>
                    </a:xfrm>
                    <a:prstGeom prst="rect">
                      <a:avLst/>
                    </a:prstGeom>
                  </pic:spPr>
                </pic:pic>
              </a:graphicData>
            </a:graphic>
            <wp14:sizeRelH relativeFrom="margin">
              <wp14:pctWidth>0</wp14:pctWidth>
            </wp14:sizeRelH>
            <wp14:sizeRelV relativeFrom="margin">
              <wp14:pctHeight>0</wp14:pctHeight>
            </wp14:sizeRelV>
          </wp:anchor>
        </w:drawing>
      </w:r>
      <w:r w:rsidR="00D244EC" w:rsidRPr="00BF2DC4">
        <w:rPr>
          <w:rFonts w:ascii="Arial" w:hAnsi="Arial" w:cs="Arial"/>
          <w:kern w:val="0"/>
          <w:sz w:val="22"/>
          <w:szCs w:val="22"/>
          <w14:ligatures w14:val="none"/>
        </w:rPr>
        <w:t>Operational risks include battery supply shortages and infrastructure delays. Technological risks involve system incompatibility or cyber vulnerabilities. Behavioural risks include employee reluctance to adopt AI systems.</w:t>
      </w:r>
    </w:p>
    <w:p w14:paraId="4494B35E" w14:textId="3D177DDC"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Mitigation strategies include:</w:t>
      </w:r>
    </w:p>
    <w:p w14:paraId="2279ACC8" w14:textId="51C09389"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Phased fleet procurement to reduce capital concentration</w:t>
      </w:r>
    </w:p>
    <w:p w14:paraId="30E635B2" w14:textId="147386D5"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Supplier diversification agreements</w:t>
      </w:r>
    </w:p>
    <w:p w14:paraId="0AA6BA9E" w14:textId="3D2B0C48"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Pilot testing before nationwide rollout</w:t>
      </w:r>
    </w:p>
    <w:p w14:paraId="395207C8" w14:textId="034FB71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Structured training and engagement programmes (Hiatt, 2006)</w:t>
      </w:r>
    </w:p>
    <w:p w14:paraId="4C2DB97C" w14:textId="33861D9D" w:rsidR="00CC5BD0" w:rsidRDefault="00D244EC" w:rsidP="00C8552A">
      <w:pPr>
        <w:spacing w:before="100" w:beforeAutospacing="1" w:after="100" w:afterAutospacing="1" w:line="360" w:lineRule="auto"/>
        <w:rPr>
          <w:rFonts w:ascii="Arial" w:hAnsi="Arial" w:cs="Arial"/>
          <w:kern w:val="0"/>
          <w:sz w:val="22"/>
          <w:szCs w:val="22"/>
          <w14:ligatures w14:val="none"/>
        </w:rPr>
      </w:pPr>
      <w:r w:rsidRPr="000F04D4">
        <w:rPr>
          <w:rFonts w:ascii="Arial" w:hAnsi="Arial" w:cs="Arial"/>
          <w:kern w:val="0"/>
          <w:sz w:val="22"/>
          <w:szCs w:val="22"/>
          <w14:ligatures w14:val="none"/>
        </w:rPr>
        <w:t>• Contingency financial reserves</w:t>
      </w:r>
    </w:p>
    <w:p w14:paraId="4151628C" w14:textId="4FC79E4A" w:rsidR="00D244EC" w:rsidRPr="004424A6" w:rsidRDefault="00D244EC" w:rsidP="00C8552A">
      <w:pPr>
        <w:spacing w:before="100" w:beforeAutospacing="1" w:after="100" w:afterAutospacing="1" w:line="360" w:lineRule="auto"/>
        <w:rPr>
          <w:rFonts w:ascii="Arial" w:hAnsi="Arial" w:cs="Arial"/>
          <w:kern w:val="0"/>
          <w:sz w:val="22"/>
          <w:szCs w:val="22"/>
          <w14:ligatures w14:val="none"/>
        </w:rPr>
      </w:pPr>
      <w:r w:rsidRPr="000F04D4">
        <w:t>Risk management must be proactive rather than reactive. Dynamic capabilities theory emphasises anticipation and adaptability as drivers of long-term resilience (Teece, Pisano and Shuen, 1997).</w:t>
      </w:r>
    </w:p>
    <w:p w14:paraId="78493946" w14:textId="37B8AD43" w:rsidR="00D244EC" w:rsidRPr="001503FE" w:rsidRDefault="00D244EC" w:rsidP="00C8552A">
      <w:pPr>
        <w:pStyle w:val="Heading2"/>
        <w:spacing w:line="360" w:lineRule="auto"/>
      </w:pPr>
      <w:r w:rsidRPr="001503FE">
        <w:t>5.8 Evaluation &amp; KPIs</w:t>
      </w:r>
    </w:p>
    <w:p w14:paraId="7E012DB0" w14:textId="77777777" w:rsidR="00601E1B" w:rsidRDefault="00601E1B" w:rsidP="00C8552A">
      <w:pPr>
        <w:spacing w:before="100" w:beforeAutospacing="1" w:after="100" w:afterAutospacing="1" w:line="360" w:lineRule="auto"/>
        <w:rPr>
          <w:rFonts w:ascii="Arial" w:hAnsi="Arial" w:cs="Arial"/>
          <w:kern w:val="0"/>
          <w:sz w:val="22"/>
          <w:szCs w:val="22"/>
          <w14:ligatures w14:val="none"/>
        </w:rPr>
      </w:pPr>
      <w:r>
        <w:rPr>
          <w:noProof/>
        </w:rPr>
        <w:drawing>
          <wp:anchor distT="0" distB="0" distL="114300" distR="114300" simplePos="0" relativeHeight="251658249" behindDoc="0" locked="0" layoutInCell="1" allowOverlap="1" wp14:anchorId="2001C769" wp14:editId="5D72A96F">
            <wp:simplePos x="0" y="0"/>
            <wp:positionH relativeFrom="page">
              <wp:align>left</wp:align>
            </wp:positionH>
            <wp:positionV relativeFrom="paragraph">
              <wp:posOffset>419735</wp:posOffset>
            </wp:positionV>
            <wp:extent cx="7562850" cy="6572250"/>
            <wp:effectExtent l="0" t="0" r="0" b="0"/>
            <wp:wrapTopAndBottom/>
            <wp:docPr id="2030129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129920" name=""/>
                    <pic:cNvPicPr/>
                  </pic:nvPicPr>
                  <pic:blipFill>
                    <a:blip r:embed="rId18"/>
                    <a:stretch>
                      <a:fillRect/>
                    </a:stretch>
                  </pic:blipFill>
                  <pic:spPr>
                    <a:xfrm>
                      <a:off x="0" y="0"/>
                      <a:ext cx="7562850" cy="6572250"/>
                    </a:xfrm>
                    <a:prstGeom prst="rect">
                      <a:avLst/>
                    </a:prstGeom>
                  </pic:spPr>
                </pic:pic>
              </a:graphicData>
            </a:graphic>
            <wp14:sizeRelH relativeFrom="margin">
              <wp14:pctWidth>0</wp14:pctWidth>
            </wp14:sizeRelH>
            <wp14:sizeRelV relativeFrom="margin">
              <wp14:pctHeight>0</wp14:pctHeight>
            </wp14:sizeRelV>
          </wp:anchor>
        </w:drawing>
      </w:r>
    </w:p>
    <w:p w14:paraId="3B288982" w14:textId="77777777" w:rsidR="0017688A" w:rsidRDefault="0017688A" w:rsidP="00C8552A">
      <w:pPr>
        <w:spacing w:before="100" w:beforeAutospacing="1" w:after="100" w:afterAutospacing="1" w:line="360" w:lineRule="auto"/>
        <w:rPr>
          <w:rFonts w:ascii="Arial" w:hAnsi="Arial" w:cs="Arial"/>
          <w:kern w:val="0"/>
          <w:sz w:val="22"/>
          <w:szCs w:val="22"/>
          <w14:ligatures w14:val="none"/>
        </w:rPr>
      </w:pPr>
    </w:p>
    <w:p w14:paraId="75B1AF53" w14:textId="4D39BD86"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xml:space="preserve">KPIs include carbon metrics, cost per delivery, delivery time, employee </w:t>
      </w:r>
      <w:r w:rsidR="00F105DC" w:rsidRPr="00BF2DC4">
        <w:rPr>
          <w:rFonts w:ascii="Arial" w:hAnsi="Arial" w:cs="Arial"/>
          <w:kern w:val="0"/>
          <w:sz w:val="22"/>
          <w:szCs w:val="22"/>
          <w14:ligatures w14:val="none"/>
        </w:rPr>
        <w:t>engagement,</w:t>
      </w:r>
      <w:r w:rsidRPr="00BF2DC4">
        <w:rPr>
          <w:rFonts w:ascii="Arial" w:hAnsi="Arial" w:cs="Arial"/>
          <w:kern w:val="0"/>
          <w:sz w:val="22"/>
          <w:szCs w:val="22"/>
          <w14:ligatures w14:val="none"/>
        </w:rPr>
        <w:t xml:space="preserve"> and customer satisfaction.</w:t>
      </w:r>
    </w:p>
    <w:p w14:paraId="5CA7F98D" w14:textId="77777777" w:rsidR="00771220" w:rsidRDefault="00771220" w:rsidP="00C8552A">
      <w:pPr>
        <w:spacing w:before="100" w:beforeAutospacing="1" w:after="100" w:afterAutospacing="1" w:line="360" w:lineRule="auto"/>
        <w:rPr>
          <w:rFonts w:ascii="Arial" w:hAnsi="Arial" w:cs="Arial"/>
          <w:kern w:val="0"/>
          <w:sz w:val="22"/>
          <w:szCs w:val="22"/>
          <w14:ligatures w14:val="none"/>
        </w:rPr>
      </w:pPr>
    </w:p>
    <w:p w14:paraId="5F82C4B0"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Proposed KPIs:</w:t>
      </w:r>
    </w:p>
    <w:p w14:paraId="1364ED3F"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Carbon emissions per parcel</w:t>
      </w:r>
    </w:p>
    <w:p w14:paraId="44EAE8D3" w14:textId="77777777" w:rsidR="00580BF6"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Cost per mile</w:t>
      </w:r>
    </w:p>
    <w:p w14:paraId="4DB7734F" w14:textId="798A2CF0"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Delivery success rate</w:t>
      </w:r>
    </w:p>
    <w:p w14:paraId="11CF6E53"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AI system utilisation rate</w:t>
      </w:r>
    </w:p>
    <w:p w14:paraId="5DC82AB6"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Employee training completion rate</w:t>
      </w:r>
    </w:p>
    <w:p w14:paraId="631B69AC" w14:textId="77777777" w:rsidR="00D244EC" w:rsidRPr="00BF2DC4"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Customer satisfaction index</w:t>
      </w:r>
    </w:p>
    <w:p w14:paraId="1AC5F1FA" w14:textId="1E2B1263" w:rsidR="00601E1B"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 xml:space="preserve">Balanced scorecard principles suggest combining financial and non-financial indicators to provide holistic evaluation (Johnson, </w:t>
      </w:r>
      <w:r w:rsidR="00F105DC" w:rsidRPr="00BF2DC4">
        <w:rPr>
          <w:rFonts w:ascii="Arial" w:hAnsi="Arial" w:cs="Arial"/>
          <w:kern w:val="0"/>
          <w:sz w:val="22"/>
          <w:szCs w:val="22"/>
          <w14:ligatures w14:val="none"/>
        </w:rPr>
        <w:t>Scholes,</w:t>
      </w:r>
      <w:r w:rsidRPr="00BF2DC4">
        <w:rPr>
          <w:rFonts w:ascii="Arial" w:hAnsi="Arial" w:cs="Arial"/>
          <w:kern w:val="0"/>
          <w:sz w:val="22"/>
          <w:szCs w:val="22"/>
          <w14:ligatures w14:val="none"/>
        </w:rPr>
        <w:t xml:space="preserve"> and Whittington, 2017). Quarterly performance reviews should assess progress against strategic objectives, enabling adaptive adjustment.</w:t>
      </w:r>
    </w:p>
    <w:p w14:paraId="69EF81B9" w14:textId="5D325620" w:rsidR="00D244EC" w:rsidRDefault="00D244EC" w:rsidP="00C8552A">
      <w:pPr>
        <w:spacing w:before="100" w:beforeAutospacing="1" w:after="100" w:afterAutospacing="1" w:line="360" w:lineRule="auto"/>
        <w:rPr>
          <w:rFonts w:ascii="Arial" w:hAnsi="Arial" w:cs="Arial"/>
          <w:kern w:val="0"/>
          <w:sz w:val="22"/>
          <w:szCs w:val="22"/>
          <w14:ligatures w14:val="none"/>
        </w:rPr>
      </w:pPr>
      <w:r w:rsidRPr="00BF2DC4">
        <w:rPr>
          <w:rFonts w:ascii="Arial" w:hAnsi="Arial" w:cs="Arial"/>
          <w:kern w:val="0"/>
          <w:sz w:val="22"/>
          <w:szCs w:val="22"/>
          <w14:ligatures w14:val="none"/>
        </w:rPr>
        <w:t>Continuous monitoring ensures that sustainability and digital transformation remain embedded within operational decision-making rather than treated as temporary initiatives.</w:t>
      </w:r>
    </w:p>
    <w:p w14:paraId="0EAEA708" w14:textId="0280D26D" w:rsidR="00BD5003" w:rsidRPr="00BD5003" w:rsidRDefault="00BD5003" w:rsidP="00C8552A">
      <w:pPr>
        <w:pStyle w:val="Heading1"/>
        <w:spacing w:line="360" w:lineRule="auto"/>
        <w:rPr>
          <w:rFonts w:ascii="Times New Roman" w:hAnsi="Times New Roman" w:cs="Times New Roman"/>
          <w:sz w:val="48"/>
          <w:szCs w:val="48"/>
          <w14:ligatures w14:val="none"/>
        </w:rPr>
      </w:pPr>
      <w:r w:rsidRPr="00BD5003">
        <w:rPr>
          <w:rFonts w:ascii="Times New Roman" w:eastAsia="Times New Roman" w:hAnsi="Times New Roman" w:cs="Times New Roman"/>
          <w:sz w:val="48"/>
          <w:szCs w:val="48"/>
          <w14:ligatures w14:val="none"/>
        </w:rPr>
        <w:t xml:space="preserve">6. Discussion and Critical Reflection </w:t>
      </w:r>
    </w:p>
    <w:p w14:paraId="1D015643" w14:textId="77777777" w:rsidR="00B54AB1" w:rsidRPr="00D66A71" w:rsidRDefault="00B54AB1" w:rsidP="00C8552A">
      <w:pPr>
        <w:pStyle w:val="p1"/>
        <w:spacing w:line="360" w:lineRule="auto"/>
        <w:rPr>
          <w:rFonts w:ascii="Arial" w:hAnsi="Arial" w:cs="Arial"/>
          <w:sz w:val="22"/>
          <w:szCs w:val="22"/>
        </w:rPr>
      </w:pPr>
      <w:r w:rsidRPr="00D66A71">
        <w:rPr>
          <w:rStyle w:val="s1"/>
          <w:rFonts w:ascii="Arial" w:hAnsi="Arial" w:cs="Arial"/>
          <w:sz w:val="22"/>
          <w:szCs w:val="22"/>
        </w:rPr>
        <w:t>The proposed hybrid change model integrates structural and behavioural transformation. However, large-scale investment may strain financial performance. Ethical considerations include workforce displacement due to automation.</w:t>
      </w:r>
    </w:p>
    <w:p w14:paraId="4162F770" w14:textId="3D8DC4A3" w:rsidR="00B566DD" w:rsidRDefault="00B54AB1" w:rsidP="00C8552A">
      <w:pPr>
        <w:pStyle w:val="p1"/>
        <w:spacing w:line="360" w:lineRule="auto"/>
        <w:rPr>
          <w:rStyle w:val="s1"/>
          <w:rFonts w:ascii="Arial" w:hAnsi="Arial" w:cs="Arial"/>
          <w:sz w:val="22"/>
          <w:szCs w:val="22"/>
        </w:rPr>
      </w:pPr>
      <w:r w:rsidRPr="00D66A71">
        <w:rPr>
          <w:rStyle w:val="s1"/>
          <w:rFonts w:ascii="Arial" w:hAnsi="Arial" w:cs="Arial"/>
          <w:sz w:val="22"/>
          <w:szCs w:val="22"/>
        </w:rPr>
        <w:t xml:space="preserve">Sustainability objectives align with stakeholder capitalism principles (Johnson, </w:t>
      </w:r>
      <w:r w:rsidR="00F105DC" w:rsidRPr="00D66A71">
        <w:rPr>
          <w:rStyle w:val="s1"/>
          <w:rFonts w:ascii="Arial" w:hAnsi="Arial" w:cs="Arial"/>
          <w:sz w:val="22"/>
          <w:szCs w:val="22"/>
        </w:rPr>
        <w:t>Scholes,</w:t>
      </w:r>
      <w:r w:rsidRPr="00D66A71">
        <w:rPr>
          <w:rStyle w:val="s1"/>
          <w:rFonts w:ascii="Arial" w:hAnsi="Arial" w:cs="Arial"/>
          <w:sz w:val="22"/>
          <w:szCs w:val="22"/>
        </w:rPr>
        <w:t xml:space="preserve"> and Whittington, 2017). Long-term resilience depends on cultural adaptability.</w:t>
      </w:r>
    </w:p>
    <w:p w14:paraId="0D783944" w14:textId="77777777" w:rsidR="00B54AB1" w:rsidRPr="00B566DD" w:rsidRDefault="00B54AB1" w:rsidP="00F45BCD">
      <w:pPr>
        <w:spacing w:line="360" w:lineRule="auto"/>
        <w:rPr>
          <w:rFonts w:ascii="Arial" w:hAnsi="Arial" w:cs="Arial"/>
          <w:kern w:val="0"/>
          <w:sz w:val="22"/>
          <w:szCs w:val="22"/>
          <w14:ligatures w14:val="none"/>
        </w:rPr>
      </w:pPr>
      <w:r w:rsidRPr="00D66A71">
        <w:rPr>
          <w:rStyle w:val="s1"/>
          <w:rFonts w:ascii="Arial" w:hAnsi="Arial" w:cs="Arial"/>
          <w:sz w:val="22"/>
          <w:szCs w:val="22"/>
        </w:rPr>
        <w:t>Expanding on this evaluation, the financial implications of transformation must be critically assessed beyond projected efficiency gains. Capital-intensive investments in electric fleets, AI systems and infrastructure upgrades require significant upfront expenditure and may temporarily reduce short-term profitability. According to Christopher (2016), logistics firms operate within tight margin structures where capital allocation decisions directly influence competitiveness. If return on investment is delayed due to supply chain volatility or slower-than-expected efficiency gains, shareholder confidence may weaken. Therefore, financial discipline and phased implementation are essential to balance strategic ambition with fiscal prudence.</w:t>
      </w:r>
    </w:p>
    <w:p w14:paraId="324B4BF1" w14:textId="77777777" w:rsidR="00672827" w:rsidRDefault="00B54AB1" w:rsidP="00F45BCD">
      <w:pPr>
        <w:pStyle w:val="p1"/>
        <w:spacing w:line="360" w:lineRule="auto"/>
        <w:rPr>
          <w:rStyle w:val="s1"/>
          <w:rFonts w:ascii="Arial" w:hAnsi="Arial" w:cs="Arial"/>
          <w:sz w:val="22"/>
          <w:szCs w:val="22"/>
        </w:rPr>
      </w:pPr>
      <w:r w:rsidRPr="00D66A71">
        <w:rPr>
          <w:rStyle w:val="s1"/>
          <w:rFonts w:ascii="Arial" w:hAnsi="Arial" w:cs="Arial"/>
          <w:sz w:val="22"/>
          <w:szCs w:val="22"/>
        </w:rPr>
        <w:t>From an ethical perspective, automation and AI integration raise legitimate concerns regarding workforce displacement and job redesign. While digital optimisation improves</w:t>
      </w:r>
    </w:p>
    <w:p w14:paraId="36C173D9" w14:textId="5B7F00B7" w:rsidR="00B54AB1" w:rsidRPr="00D66A71" w:rsidRDefault="00B54AB1" w:rsidP="00F45BCD">
      <w:pPr>
        <w:pStyle w:val="p1"/>
        <w:spacing w:line="360" w:lineRule="auto"/>
        <w:rPr>
          <w:rFonts w:ascii="Arial" w:hAnsi="Arial" w:cs="Arial"/>
          <w:sz w:val="22"/>
          <w:szCs w:val="22"/>
        </w:rPr>
      </w:pPr>
      <w:r w:rsidRPr="00D66A71">
        <w:rPr>
          <w:rStyle w:val="s1"/>
          <w:rFonts w:ascii="Arial" w:hAnsi="Arial" w:cs="Arial"/>
          <w:sz w:val="22"/>
          <w:szCs w:val="22"/>
        </w:rPr>
        <w:t>productivity, it may reduce demand for certain manual or administrative roles. Ethical leadership requires proactive reskilling initiatives and transparent communication to mitigate employee insecurity (Burnes, 2017). Rather than framing automation solely as cost reduction, UPS should position digital transformation as an opportunity for skill enhancement and role evolution. The ADKAR framework emphasises reinforcement and capability development as critical to sustaining behavioural change (Hiatt, 2006). Without structured training and engagement, technological innovation may generate resistance and erode organisational morale.</w:t>
      </w:r>
    </w:p>
    <w:p w14:paraId="3903A7E7" w14:textId="607D3FBD" w:rsidR="00256AD3" w:rsidRDefault="00B54AB1" w:rsidP="00F45BCD">
      <w:pPr>
        <w:pStyle w:val="p1"/>
        <w:spacing w:line="360" w:lineRule="auto"/>
        <w:rPr>
          <w:rStyle w:val="s1"/>
          <w:rFonts w:ascii="Arial" w:hAnsi="Arial" w:cs="Arial"/>
          <w:sz w:val="22"/>
          <w:szCs w:val="22"/>
        </w:rPr>
      </w:pPr>
      <w:r w:rsidRPr="00D66A71">
        <w:rPr>
          <w:rStyle w:val="s1"/>
          <w:rFonts w:ascii="Arial" w:hAnsi="Arial" w:cs="Arial"/>
          <w:sz w:val="22"/>
          <w:szCs w:val="22"/>
        </w:rPr>
        <w:t xml:space="preserve">Moreover, sustainability commitments must be embedded authentically rather than treated as symbolic gestures. Seuring and Müller (2008) argue that sustainable supply chain management requires integration across procurement, </w:t>
      </w:r>
      <w:r w:rsidR="00F105DC" w:rsidRPr="00D66A71">
        <w:rPr>
          <w:rStyle w:val="s1"/>
          <w:rFonts w:ascii="Arial" w:hAnsi="Arial" w:cs="Arial"/>
          <w:sz w:val="22"/>
          <w:szCs w:val="22"/>
        </w:rPr>
        <w:t>operations,</w:t>
      </w:r>
      <w:r w:rsidRPr="00D66A71">
        <w:rPr>
          <w:rStyle w:val="s1"/>
          <w:rFonts w:ascii="Arial" w:hAnsi="Arial" w:cs="Arial"/>
          <w:sz w:val="22"/>
          <w:szCs w:val="22"/>
        </w:rPr>
        <w:t xml:space="preserve"> and stakeholder relationships. If environmental targets are pursued solely for reputational advantage without</w:t>
      </w:r>
    </w:p>
    <w:p w14:paraId="50242E67" w14:textId="06C69A21" w:rsidR="00B54AB1" w:rsidRDefault="00B54AB1" w:rsidP="00F45BCD">
      <w:pPr>
        <w:pStyle w:val="p1"/>
        <w:spacing w:line="360" w:lineRule="auto"/>
        <w:rPr>
          <w:rStyle w:val="s1"/>
          <w:rFonts w:ascii="Arial" w:hAnsi="Arial" w:cs="Arial"/>
          <w:sz w:val="22"/>
          <w:szCs w:val="22"/>
        </w:rPr>
      </w:pPr>
      <w:r w:rsidRPr="00D66A71">
        <w:rPr>
          <w:rStyle w:val="s1"/>
          <w:rFonts w:ascii="Arial" w:hAnsi="Arial" w:cs="Arial"/>
          <w:sz w:val="22"/>
          <w:szCs w:val="22"/>
        </w:rPr>
        <w:t xml:space="preserve">operational alignment, credibility risks emerge. Stakeholder capitalism implies balancing shareholder returns with environmental and social responsibilities (Johnson, </w:t>
      </w:r>
      <w:r w:rsidR="00F105DC" w:rsidRPr="00D66A71">
        <w:rPr>
          <w:rStyle w:val="s1"/>
          <w:rFonts w:ascii="Arial" w:hAnsi="Arial" w:cs="Arial"/>
          <w:sz w:val="22"/>
          <w:szCs w:val="22"/>
        </w:rPr>
        <w:t>Scholes,</w:t>
      </w:r>
      <w:r w:rsidRPr="00D66A71">
        <w:rPr>
          <w:rStyle w:val="s1"/>
          <w:rFonts w:ascii="Arial" w:hAnsi="Arial" w:cs="Arial"/>
          <w:sz w:val="22"/>
          <w:szCs w:val="22"/>
        </w:rPr>
        <w:t xml:space="preserve"> and Whittington, 2017).</w:t>
      </w:r>
    </w:p>
    <w:p w14:paraId="1B241D91" w14:textId="57479808" w:rsidR="00B54AB1" w:rsidRPr="00D66A71" w:rsidRDefault="00B54AB1" w:rsidP="00F45BCD">
      <w:pPr>
        <w:pStyle w:val="p1"/>
        <w:spacing w:line="360" w:lineRule="auto"/>
        <w:rPr>
          <w:rFonts w:ascii="Arial" w:hAnsi="Arial" w:cs="Arial"/>
          <w:sz w:val="22"/>
          <w:szCs w:val="22"/>
        </w:rPr>
      </w:pPr>
      <w:r w:rsidRPr="00D66A71">
        <w:rPr>
          <w:rStyle w:val="s1"/>
          <w:rFonts w:ascii="Arial" w:hAnsi="Arial" w:cs="Arial"/>
          <w:sz w:val="22"/>
          <w:szCs w:val="22"/>
        </w:rPr>
        <w:t xml:space="preserve">Long-term resilience </w:t>
      </w:r>
      <w:r w:rsidR="0070565B" w:rsidRPr="00D66A71">
        <w:rPr>
          <w:rStyle w:val="s1"/>
          <w:rFonts w:ascii="Arial" w:hAnsi="Arial" w:cs="Arial"/>
          <w:sz w:val="22"/>
          <w:szCs w:val="22"/>
        </w:rPr>
        <w:t>depends</w:t>
      </w:r>
      <w:r w:rsidRPr="00D66A71">
        <w:rPr>
          <w:rStyle w:val="s1"/>
          <w:rFonts w:ascii="Arial" w:hAnsi="Arial" w:cs="Arial"/>
          <w:sz w:val="22"/>
          <w:szCs w:val="22"/>
        </w:rPr>
        <w:t xml:space="preserve"> on cultural adaptability. Dynamic capabilities theory suggests that organisations capable of sensing and responding to environmental shifts are better positioned to sustain advantage over time (Teece, Pisano and Shuen, 1997). UPS’s cultural strength in operational discipline must therefore evolve into a culture of disciplined innovation. By aligning financial governance, ethical responsibility and adaptive leadership, the proposed hybrid change model can support sustainable transformation while mitigating strategic and social risks.</w:t>
      </w:r>
    </w:p>
    <w:p w14:paraId="47F5390C" w14:textId="44A0F3A1" w:rsidR="00BD5003" w:rsidRPr="009957F8" w:rsidRDefault="00BD5003" w:rsidP="00C8552A">
      <w:pPr>
        <w:spacing w:before="100" w:beforeAutospacing="1" w:after="100" w:afterAutospacing="1" w:line="360" w:lineRule="auto"/>
        <w:outlineLvl w:val="0"/>
        <w:rPr>
          <w:rFonts w:ascii="Arial" w:hAnsi="Arial" w:cs="Arial"/>
          <w:b/>
          <w:kern w:val="36"/>
          <w:sz w:val="22"/>
          <w:szCs w:val="22"/>
          <w14:ligatures w14:val="none"/>
        </w:rPr>
      </w:pPr>
      <w:r w:rsidRPr="005B6256">
        <w:rPr>
          <w:rStyle w:val="Heading1Char"/>
        </w:rPr>
        <w:t>7. Conclusion</w:t>
      </w:r>
      <w:r w:rsidRPr="009957F8">
        <w:rPr>
          <w:rFonts w:ascii="Arial" w:eastAsia="Times New Roman" w:hAnsi="Arial" w:cs="Arial"/>
          <w:b/>
          <w:kern w:val="36"/>
          <w:sz w:val="22"/>
          <w:szCs w:val="22"/>
          <w14:ligatures w14:val="none"/>
        </w:rPr>
        <w:t xml:space="preserve"> </w:t>
      </w:r>
    </w:p>
    <w:p w14:paraId="75BF9613" w14:textId="622F2000" w:rsidR="00211E67" w:rsidRPr="009957F8" w:rsidRDefault="00211E67" w:rsidP="00C8552A">
      <w:pPr>
        <w:pStyle w:val="p1"/>
        <w:spacing w:line="360" w:lineRule="auto"/>
        <w:rPr>
          <w:rFonts w:ascii="Arial" w:hAnsi="Arial" w:cs="Arial"/>
          <w:sz w:val="22"/>
          <w:szCs w:val="22"/>
        </w:rPr>
      </w:pPr>
      <w:r w:rsidRPr="009957F8">
        <w:rPr>
          <w:rStyle w:val="s1"/>
          <w:rFonts w:ascii="Arial" w:hAnsi="Arial" w:cs="Arial"/>
          <w:sz w:val="22"/>
          <w:szCs w:val="22"/>
        </w:rPr>
        <w:t xml:space="preserve">UPS faces technological disruption, regulatory decarbonisation </w:t>
      </w:r>
      <w:r w:rsidR="00F105DC" w:rsidRPr="009957F8">
        <w:rPr>
          <w:rStyle w:val="s1"/>
          <w:rFonts w:ascii="Arial" w:hAnsi="Arial" w:cs="Arial"/>
          <w:sz w:val="22"/>
          <w:szCs w:val="22"/>
        </w:rPr>
        <w:t>pressure,</w:t>
      </w:r>
      <w:r w:rsidRPr="009957F8">
        <w:rPr>
          <w:rStyle w:val="s1"/>
          <w:rFonts w:ascii="Arial" w:hAnsi="Arial" w:cs="Arial"/>
          <w:sz w:val="22"/>
          <w:szCs w:val="22"/>
        </w:rPr>
        <w:t xml:space="preserve"> and competitive intensity. Strategic transformation is unavoidable. By applying Kotter–ADKAR frameworks under transformational leadership, UPS can integrate AI and sustainability into its core operations. The proposed change plan aligns environmental responsibility with competitive advantage and long-term profitability.</w:t>
      </w:r>
    </w:p>
    <w:p w14:paraId="284FE3EA" w14:textId="77777777" w:rsidR="00672827" w:rsidRPr="009957F8" w:rsidRDefault="00211E67" w:rsidP="00C8552A">
      <w:pPr>
        <w:pStyle w:val="p1"/>
        <w:spacing w:line="360" w:lineRule="auto"/>
        <w:rPr>
          <w:rStyle w:val="s1"/>
          <w:rFonts w:ascii="Arial" w:hAnsi="Arial" w:cs="Arial"/>
          <w:sz w:val="22"/>
          <w:szCs w:val="22"/>
        </w:rPr>
      </w:pPr>
      <w:r w:rsidRPr="009957F8">
        <w:rPr>
          <w:rStyle w:val="s1"/>
          <w:rFonts w:ascii="Arial" w:hAnsi="Arial" w:cs="Arial"/>
          <w:sz w:val="22"/>
          <w:szCs w:val="22"/>
        </w:rPr>
        <w:t>In an industry characterised by high rivalry and strong buyer power, firms that fail to adapt risk erosion of both margins and market relevance (Porter, 1980). The UK logistics sector is</w:t>
      </w:r>
    </w:p>
    <w:p w14:paraId="16875756" w14:textId="22BD2729" w:rsidR="00211E67" w:rsidRPr="009957F8" w:rsidRDefault="00211E67" w:rsidP="00C8552A">
      <w:pPr>
        <w:pStyle w:val="p1"/>
        <w:spacing w:line="360" w:lineRule="auto"/>
        <w:rPr>
          <w:rFonts w:ascii="Arial" w:hAnsi="Arial" w:cs="Arial"/>
          <w:sz w:val="22"/>
          <w:szCs w:val="22"/>
        </w:rPr>
      </w:pPr>
      <w:r w:rsidRPr="009957F8">
        <w:rPr>
          <w:rStyle w:val="s1"/>
          <w:rFonts w:ascii="Arial" w:hAnsi="Arial" w:cs="Arial"/>
          <w:sz w:val="22"/>
          <w:szCs w:val="22"/>
        </w:rPr>
        <w:t xml:space="preserve">undergoing structural change driven by e-commerce growth, technological </w:t>
      </w:r>
      <w:r w:rsidR="00F105DC" w:rsidRPr="009957F8">
        <w:rPr>
          <w:rStyle w:val="s1"/>
          <w:rFonts w:ascii="Arial" w:hAnsi="Arial" w:cs="Arial"/>
          <w:sz w:val="22"/>
          <w:szCs w:val="22"/>
        </w:rPr>
        <w:t>automation,</w:t>
      </w:r>
      <w:r w:rsidRPr="009957F8">
        <w:rPr>
          <w:rStyle w:val="s1"/>
          <w:rFonts w:ascii="Arial" w:hAnsi="Arial" w:cs="Arial"/>
          <w:sz w:val="22"/>
          <w:szCs w:val="22"/>
        </w:rPr>
        <w:t xml:space="preserve"> and regulatory decarbonisation mandates (Department for Transport, 2024). These external pressures require UPS to move beyond incremental operational adjustments towards systemic transformation. Integrating AI-driven route optimisation and fleet electrification enhances operational efficiency while simultaneously reducing carbon intensity, demonstrating alignment between environmental sustainability and cost performance (McKinnon, 2018).</w:t>
      </w:r>
    </w:p>
    <w:p w14:paraId="4871E0C2" w14:textId="77777777" w:rsidR="00211E67" w:rsidRPr="009957F8" w:rsidRDefault="00211E67" w:rsidP="00C8552A">
      <w:pPr>
        <w:pStyle w:val="p1"/>
        <w:spacing w:line="360" w:lineRule="auto"/>
        <w:rPr>
          <w:rFonts w:ascii="Arial" w:hAnsi="Arial" w:cs="Arial"/>
          <w:sz w:val="22"/>
          <w:szCs w:val="22"/>
        </w:rPr>
      </w:pPr>
      <w:r w:rsidRPr="009957F8">
        <w:rPr>
          <w:rStyle w:val="s1"/>
          <w:rFonts w:ascii="Arial" w:hAnsi="Arial" w:cs="Arial"/>
          <w:sz w:val="22"/>
          <w:szCs w:val="22"/>
        </w:rPr>
        <w:t>Dynamic capabilities theory emphasises that organisations must continually reconfigure their resources to sustain competitive advantage in volatile environments (Teece, Pisano and Shuen, 1997). UPS’s proposed change strategy reflects this adaptive logic by combining technological investment with behavioural and cultural alignment. The hybrid Kotter–ADKAR framework ensures that strategic vision is supported by structured leadership action and individual employee commitment (Kotter, 1996; Hiatt, 2006). Without such integration, technological initiatives risk fragmentation and resistance.</w:t>
      </w:r>
    </w:p>
    <w:p w14:paraId="4A57A245" w14:textId="49B0E084" w:rsidR="002707DE" w:rsidRPr="009957F8" w:rsidRDefault="00211E67" w:rsidP="00C8552A">
      <w:pPr>
        <w:pStyle w:val="p1"/>
        <w:spacing w:line="360" w:lineRule="auto"/>
        <w:rPr>
          <w:rFonts w:ascii="Arial" w:hAnsi="Arial" w:cs="Arial"/>
          <w:sz w:val="22"/>
          <w:szCs w:val="22"/>
        </w:rPr>
      </w:pPr>
      <w:r w:rsidRPr="009957F8">
        <w:rPr>
          <w:rStyle w:val="s1"/>
          <w:rFonts w:ascii="Arial" w:hAnsi="Arial" w:cs="Arial"/>
          <w:sz w:val="22"/>
          <w:szCs w:val="22"/>
        </w:rPr>
        <w:t xml:space="preserve">Moreover, sustainability is increasingly embedded within stakeholder expectations and supply chain governance. Customers and institutional investors are prioritising environmental accountability and transparent performance metrics (Seuring and Müller, 2008). By embedding carbon reduction and digital optimisation within its strategic architecture, UPS strengthens its legitimacy and reinforces long-term stakeholder trust (Johnson, </w:t>
      </w:r>
      <w:r w:rsidR="00F03AF0" w:rsidRPr="009957F8">
        <w:rPr>
          <w:rStyle w:val="s1"/>
          <w:rFonts w:ascii="Arial" w:hAnsi="Arial" w:cs="Arial"/>
          <w:sz w:val="22"/>
          <w:szCs w:val="22"/>
        </w:rPr>
        <w:t>Scholes,</w:t>
      </w:r>
      <w:r w:rsidRPr="009957F8">
        <w:rPr>
          <w:rStyle w:val="s1"/>
          <w:rFonts w:ascii="Arial" w:hAnsi="Arial" w:cs="Arial"/>
          <w:sz w:val="22"/>
          <w:szCs w:val="22"/>
        </w:rPr>
        <w:t xml:space="preserve"> and Whittington, 2017).</w:t>
      </w:r>
    </w:p>
    <w:p w14:paraId="06806A8B" w14:textId="30B8589C" w:rsidR="00F45BCD" w:rsidRDefault="0070565B" w:rsidP="00C8552A">
      <w:pPr>
        <w:pStyle w:val="p1"/>
        <w:spacing w:line="360" w:lineRule="auto"/>
        <w:rPr>
          <w:rStyle w:val="s1"/>
          <w:rFonts w:ascii="Arial" w:hAnsi="Arial" w:cs="Arial"/>
          <w:sz w:val="22"/>
          <w:szCs w:val="22"/>
        </w:rPr>
      </w:pPr>
      <w:r w:rsidRPr="009957F8">
        <w:rPr>
          <w:rStyle w:val="s1"/>
          <w:rFonts w:ascii="Arial" w:hAnsi="Arial" w:cs="Arial"/>
          <w:sz w:val="22"/>
          <w:szCs w:val="22"/>
        </w:rPr>
        <w:t>The</w:t>
      </w:r>
      <w:r w:rsidR="00211E67" w:rsidRPr="009957F8">
        <w:rPr>
          <w:rStyle w:val="s1"/>
          <w:rFonts w:ascii="Arial" w:hAnsi="Arial" w:cs="Arial"/>
          <w:sz w:val="22"/>
          <w:szCs w:val="22"/>
        </w:rPr>
        <w:t xml:space="preserve"> transformation plan positions UPS not merely as a compliant operator but as an innovative industry leader capable of converting regulatory and technological disruption into strategic opportunity. </w:t>
      </w:r>
    </w:p>
    <w:p w14:paraId="2203E216" w14:textId="075642AE" w:rsidR="00BD5003" w:rsidRPr="00F45BCD" w:rsidRDefault="00F45BCD" w:rsidP="002C4215">
      <w:pPr>
        <w:pStyle w:val="Heading1"/>
        <w:rPr>
          <w:rFonts w:ascii="Arial" w:hAnsi="Arial" w:cs="Arial"/>
          <w:kern w:val="0"/>
          <w:sz w:val="22"/>
          <w:szCs w:val="22"/>
          <w14:ligatures w14:val="none"/>
        </w:rPr>
      </w:pPr>
      <w:r>
        <w:rPr>
          <w:rStyle w:val="s1"/>
          <w:rFonts w:ascii="Arial" w:hAnsi="Arial" w:cs="Arial"/>
          <w:sz w:val="22"/>
          <w:szCs w:val="22"/>
        </w:rPr>
        <w:br w:type="page"/>
      </w:r>
      <w:r w:rsidR="00EB1100" w:rsidRPr="00EB1100">
        <w:t>8.</w:t>
      </w:r>
      <w:r w:rsidR="00EB1100">
        <w:t xml:space="preserve"> </w:t>
      </w:r>
      <w:r w:rsidR="00BD5003" w:rsidRPr="00EB1100">
        <w:t>References</w:t>
      </w:r>
      <w:r w:rsidR="00BD5003" w:rsidRPr="00A3007C">
        <w:t xml:space="preserve"> </w:t>
      </w:r>
    </w:p>
    <w:p w14:paraId="0A053425"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p>
    <w:p w14:paraId="04AE343B"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Barney, J. (1991) ‘Firm resources and sustained competitive advantage’, Journal of Management, 17(1), pp. 99–120.</w:t>
      </w:r>
    </w:p>
    <w:p w14:paraId="2A16652C"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Bass, B.M. (1985) Leadership and Performance Beyond Expectations. New York: Free Press.</w:t>
      </w:r>
    </w:p>
    <w:p w14:paraId="38340321"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BSR (2016) ORION: Technology Adoption at UPS. Available at: https://www.bsr.org</w:t>
      </w:r>
    </w:p>
    <w:p w14:paraId="3E68E108"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Burnes, B. (2017) Managing Change. 7th edn. Harlow: Pearson.</w:t>
      </w:r>
    </w:p>
    <w:p w14:paraId="588DB3CA"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Christopher, M. (2016) Logistics and Supply Chain Management. 5th edn. Harlow: Pearson.</w:t>
      </w:r>
    </w:p>
    <w:p w14:paraId="4F373BF3"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Department for Transport (2024) Pathway for zero emission vehicle transition by 2035 becomes law.</w:t>
      </w:r>
    </w:p>
    <w:p w14:paraId="1503C4E1"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DHL (2026) The Last Mile: The moment that defines brand perception.</w:t>
      </w:r>
    </w:p>
    <w:p w14:paraId="4CA498EB"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Hiatt, J. (2006) ADKAR: A Model for Change in Business. Loveland: Prosci.</w:t>
      </w:r>
    </w:p>
    <w:p w14:paraId="618B5D84" w14:textId="0F4274DB"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 xml:space="preserve">Johnson, G., Scholes, </w:t>
      </w:r>
      <w:r w:rsidR="00F03AF0" w:rsidRPr="00A3007C">
        <w:rPr>
          <w:rFonts w:ascii="Arial" w:hAnsi="Arial" w:cs="Arial"/>
          <w:kern w:val="0"/>
          <w:sz w:val="22"/>
          <w:szCs w:val="22"/>
          <w14:ligatures w14:val="none"/>
        </w:rPr>
        <w:t>K.,</w:t>
      </w:r>
      <w:r w:rsidRPr="00A3007C">
        <w:rPr>
          <w:rFonts w:ascii="Arial" w:hAnsi="Arial" w:cs="Arial"/>
          <w:kern w:val="0"/>
          <w:sz w:val="22"/>
          <w:szCs w:val="22"/>
          <w14:ligatures w14:val="none"/>
        </w:rPr>
        <w:t xml:space="preserve"> and Whittington, R. (2017) Exploring Strategy. 11th edn. Harlow: Pearson.</w:t>
      </w:r>
    </w:p>
    <w:p w14:paraId="3A8F6B3E"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Kotter, J.P. (1996) Leading Change. Boston: Harvard Business School Press.</w:t>
      </w:r>
    </w:p>
    <w:p w14:paraId="2B11FEA5"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Lewin, K. (1951) Field Theory in Social Science. New York: Harper &amp; Row.</w:t>
      </w:r>
    </w:p>
    <w:p w14:paraId="6C62C09A"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McKinnon, A. (2018) Decarbonizing Logistics. London: Kogan Page.</w:t>
      </w:r>
    </w:p>
    <w:p w14:paraId="2383CAC9"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Porter, M.E. (1980) Competitive Strategy. New York: Free Press.</w:t>
      </w:r>
    </w:p>
    <w:p w14:paraId="120737A5" w14:textId="2EE51DD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 xml:space="preserve">Reuters (2024) ‘UPS, FedEx transition to electric vans slowed by battery </w:t>
      </w:r>
      <w:r w:rsidR="00F03AF0" w:rsidRPr="00A3007C">
        <w:rPr>
          <w:rFonts w:ascii="Arial" w:hAnsi="Arial" w:cs="Arial"/>
          <w:kern w:val="0"/>
          <w:sz w:val="22"/>
          <w:szCs w:val="22"/>
          <w14:ligatures w14:val="none"/>
        </w:rPr>
        <w:t>shortages</w:t>
      </w:r>
      <w:r w:rsidRPr="00A3007C">
        <w:rPr>
          <w:rFonts w:ascii="Arial" w:hAnsi="Arial" w:cs="Arial"/>
          <w:kern w:val="0"/>
          <w:sz w:val="22"/>
          <w:szCs w:val="22"/>
          <w14:ligatures w14:val="none"/>
        </w:rPr>
        <w:t>.</w:t>
      </w:r>
    </w:p>
    <w:p w14:paraId="39EE7861" w14:textId="5BDBB7DE"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 xml:space="preserve">Saunders, M., Lewis, </w:t>
      </w:r>
      <w:r w:rsidR="00F03AF0" w:rsidRPr="00A3007C">
        <w:rPr>
          <w:rFonts w:ascii="Arial" w:hAnsi="Arial" w:cs="Arial"/>
          <w:kern w:val="0"/>
          <w:sz w:val="22"/>
          <w:szCs w:val="22"/>
          <w14:ligatures w14:val="none"/>
        </w:rPr>
        <w:t>P.,</w:t>
      </w:r>
      <w:r w:rsidRPr="00A3007C">
        <w:rPr>
          <w:rFonts w:ascii="Arial" w:hAnsi="Arial" w:cs="Arial"/>
          <w:kern w:val="0"/>
          <w:sz w:val="22"/>
          <w:szCs w:val="22"/>
          <w14:ligatures w14:val="none"/>
        </w:rPr>
        <w:t xml:space="preserve"> and Thornhill, A. (2019) Research Methods for Business Students. 8th edn. Harlow: Pearson.</w:t>
      </w:r>
    </w:p>
    <w:p w14:paraId="0C8CE700"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Schein, E.H. (2010) Organizational Culture and Leadership. 4th edn. San Francisco: Jossey-Bass.</w:t>
      </w:r>
    </w:p>
    <w:p w14:paraId="1486A29A"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Seuring, S. and Müller, M. (2008) ‘Sustainable supply chain management’, Journal of Cleaner Production, 16(15), pp. 1699–1710.</w:t>
      </w:r>
    </w:p>
    <w:p w14:paraId="0C1898E2" w14:textId="77777777" w:rsidR="00BD5003" w:rsidRPr="00A3007C" w:rsidRDefault="00BD5003" w:rsidP="0017688A">
      <w:pPr>
        <w:spacing w:before="100" w:beforeAutospacing="1" w:after="100" w:afterAutospacing="1" w:line="360" w:lineRule="auto"/>
        <w:rPr>
          <w:rFonts w:ascii="Arial" w:hAnsi="Arial" w:cs="Arial"/>
          <w:kern w:val="0"/>
          <w:sz w:val="22"/>
          <w:szCs w:val="22"/>
          <w14:ligatures w14:val="none"/>
        </w:rPr>
      </w:pPr>
      <w:r w:rsidRPr="00A3007C">
        <w:rPr>
          <w:rFonts w:ascii="Arial" w:hAnsi="Arial" w:cs="Arial"/>
          <w:kern w:val="0"/>
          <w:sz w:val="22"/>
          <w:szCs w:val="22"/>
          <w14:ligatures w14:val="none"/>
        </w:rPr>
        <w:t>Teece, D.J., Pisano, G. and Shuen, A. (1997) ‘Dynamic capabilities’, Strategic Management Journal, 18(7), pp. 509–533.</w:t>
      </w:r>
    </w:p>
    <w:p w14:paraId="4F6E1BC3" w14:textId="57E70857" w:rsidR="008B6429" w:rsidRDefault="008B6429">
      <w:pPr>
        <w:rPr>
          <w:rFonts w:ascii="Arial" w:hAnsi="Arial" w:cs="Arial"/>
          <w:sz w:val="22"/>
          <w:szCs w:val="22"/>
        </w:rPr>
      </w:pPr>
      <w:r>
        <w:rPr>
          <w:rFonts w:ascii="Arial" w:hAnsi="Arial" w:cs="Arial"/>
          <w:sz w:val="22"/>
          <w:szCs w:val="22"/>
        </w:rPr>
        <w:br w:type="page"/>
      </w:r>
    </w:p>
    <w:p w14:paraId="5537DC3A" w14:textId="77777777" w:rsidR="00BD5003" w:rsidRPr="00A3007C" w:rsidRDefault="00BD5003" w:rsidP="0017688A">
      <w:pPr>
        <w:spacing w:line="360" w:lineRule="auto"/>
        <w:rPr>
          <w:rFonts w:ascii="Arial" w:hAnsi="Arial" w:cs="Arial"/>
          <w:sz w:val="22"/>
          <w:szCs w:val="22"/>
        </w:rPr>
      </w:pPr>
    </w:p>
    <w:sectPr w:rsidR="00BD5003" w:rsidRPr="00A30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4E7F8E"/>
    <w:multiLevelType w:val="hybridMultilevel"/>
    <w:tmpl w:val="584CD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5B4473"/>
    <w:multiLevelType w:val="hybridMultilevel"/>
    <w:tmpl w:val="97E4B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997C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214A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788050">
    <w:abstractNumId w:val="2"/>
  </w:num>
  <w:num w:numId="2" w16cid:durableId="1737775121">
    <w:abstractNumId w:val="3"/>
  </w:num>
  <w:num w:numId="3" w16cid:durableId="420875905">
    <w:abstractNumId w:val="0"/>
  </w:num>
  <w:num w:numId="4" w16cid:durableId="21158969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003"/>
    <w:rsid w:val="00000A90"/>
    <w:rsid w:val="00004367"/>
    <w:rsid w:val="000101D4"/>
    <w:rsid w:val="00013A8D"/>
    <w:rsid w:val="000244B5"/>
    <w:rsid w:val="00025604"/>
    <w:rsid w:val="00031C82"/>
    <w:rsid w:val="00032053"/>
    <w:rsid w:val="00032AB5"/>
    <w:rsid w:val="00034F48"/>
    <w:rsid w:val="00041C23"/>
    <w:rsid w:val="00046231"/>
    <w:rsid w:val="00054FF3"/>
    <w:rsid w:val="000605F9"/>
    <w:rsid w:val="00061AC2"/>
    <w:rsid w:val="00062E7B"/>
    <w:rsid w:val="0006609B"/>
    <w:rsid w:val="00066B7B"/>
    <w:rsid w:val="00070CC1"/>
    <w:rsid w:val="0007378A"/>
    <w:rsid w:val="0007542C"/>
    <w:rsid w:val="000756B7"/>
    <w:rsid w:val="000778E1"/>
    <w:rsid w:val="000813A3"/>
    <w:rsid w:val="00082C6C"/>
    <w:rsid w:val="0008635E"/>
    <w:rsid w:val="000938C9"/>
    <w:rsid w:val="00094C90"/>
    <w:rsid w:val="00094FE1"/>
    <w:rsid w:val="000956FD"/>
    <w:rsid w:val="00095BA1"/>
    <w:rsid w:val="00096BD5"/>
    <w:rsid w:val="000A64C8"/>
    <w:rsid w:val="000B24EC"/>
    <w:rsid w:val="000B74AB"/>
    <w:rsid w:val="000B767E"/>
    <w:rsid w:val="000C2D89"/>
    <w:rsid w:val="000C464C"/>
    <w:rsid w:val="000C4D8A"/>
    <w:rsid w:val="000C6ADB"/>
    <w:rsid w:val="000D1410"/>
    <w:rsid w:val="000D1CEF"/>
    <w:rsid w:val="000D47B6"/>
    <w:rsid w:val="000D61ED"/>
    <w:rsid w:val="000D777C"/>
    <w:rsid w:val="000E27ED"/>
    <w:rsid w:val="000E3958"/>
    <w:rsid w:val="000E3F9F"/>
    <w:rsid w:val="000E47E7"/>
    <w:rsid w:val="000E6413"/>
    <w:rsid w:val="000F04D4"/>
    <w:rsid w:val="000F4170"/>
    <w:rsid w:val="000F4FAB"/>
    <w:rsid w:val="000F7F52"/>
    <w:rsid w:val="00101EB5"/>
    <w:rsid w:val="001035B8"/>
    <w:rsid w:val="00106BA0"/>
    <w:rsid w:val="00113EE8"/>
    <w:rsid w:val="00115794"/>
    <w:rsid w:val="00116088"/>
    <w:rsid w:val="00117168"/>
    <w:rsid w:val="00117D04"/>
    <w:rsid w:val="001244CB"/>
    <w:rsid w:val="00124A44"/>
    <w:rsid w:val="00127401"/>
    <w:rsid w:val="00130804"/>
    <w:rsid w:val="0013156C"/>
    <w:rsid w:val="00132963"/>
    <w:rsid w:val="00132B1A"/>
    <w:rsid w:val="001334AA"/>
    <w:rsid w:val="001503FE"/>
    <w:rsid w:val="001507AD"/>
    <w:rsid w:val="001518E9"/>
    <w:rsid w:val="001532EA"/>
    <w:rsid w:val="00161501"/>
    <w:rsid w:val="00164697"/>
    <w:rsid w:val="001651A4"/>
    <w:rsid w:val="001666CD"/>
    <w:rsid w:val="0016720D"/>
    <w:rsid w:val="00171CCF"/>
    <w:rsid w:val="001723DC"/>
    <w:rsid w:val="0017688A"/>
    <w:rsid w:val="001776C1"/>
    <w:rsid w:val="00181F4B"/>
    <w:rsid w:val="0018200D"/>
    <w:rsid w:val="00184BAF"/>
    <w:rsid w:val="00185262"/>
    <w:rsid w:val="001902B2"/>
    <w:rsid w:val="00193918"/>
    <w:rsid w:val="001A02AF"/>
    <w:rsid w:val="001A0F18"/>
    <w:rsid w:val="001A35EF"/>
    <w:rsid w:val="001A41EB"/>
    <w:rsid w:val="001A4B51"/>
    <w:rsid w:val="001A5997"/>
    <w:rsid w:val="001A6565"/>
    <w:rsid w:val="001B1667"/>
    <w:rsid w:val="001B2D6D"/>
    <w:rsid w:val="001B3D39"/>
    <w:rsid w:val="001B7D2D"/>
    <w:rsid w:val="001C17B5"/>
    <w:rsid w:val="001C1E11"/>
    <w:rsid w:val="001C1F35"/>
    <w:rsid w:val="001C482E"/>
    <w:rsid w:val="001C7A18"/>
    <w:rsid w:val="001D0968"/>
    <w:rsid w:val="001D3125"/>
    <w:rsid w:val="001D520E"/>
    <w:rsid w:val="001D7DE7"/>
    <w:rsid w:val="001E2515"/>
    <w:rsid w:val="001E3867"/>
    <w:rsid w:val="001E788A"/>
    <w:rsid w:val="001F5010"/>
    <w:rsid w:val="001F7EF5"/>
    <w:rsid w:val="00200525"/>
    <w:rsid w:val="00201C08"/>
    <w:rsid w:val="00203233"/>
    <w:rsid w:val="00203BCF"/>
    <w:rsid w:val="00211E67"/>
    <w:rsid w:val="00213011"/>
    <w:rsid w:val="00213D29"/>
    <w:rsid w:val="002307E0"/>
    <w:rsid w:val="00230E18"/>
    <w:rsid w:val="00232146"/>
    <w:rsid w:val="00235585"/>
    <w:rsid w:val="0024204C"/>
    <w:rsid w:val="00247D01"/>
    <w:rsid w:val="0025110D"/>
    <w:rsid w:val="00251DA9"/>
    <w:rsid w:val="00254129"/>
    <w:rsid w:val="00256AD3"/>
    <w:rsid w:val="00257EFB"/>
    <w:rsid w:val="002625A2"/>
    <w:rsid w:val="00270226"/>
    <w:rsid w:val="002707DE"/>
    <w:rsid w:val="00271DB5"/>
    <w:rsid w:val="0027486D"/>
    <w:rsid w:val="00277E60"/>
    <w:rsid w:val="00281E2F"/>
    <w:rsid w:val="00282B60"/>
    <w:rsid w:val="002835BA"/>
    <w:rsid w:val="00285C78"/>
    <w:rsid w:val="00292D18"/>
    <w:rsid w:val="00293F99"/>
    <w:rsid w:val="002942B3"/>
    <w:rsid w:val="002A5DCF"/>
    <w:rsid w:val="002B11B3"/>
    <w:rsid w:val="002C214B"/>
    <w:rsid w:val="002C21FC"/>
    <w:rsid w:val="002C3E2C"/>
    <w:rsid w:val="002C4215"/>
    <w:rsid w:val="002C4216"/>
    <w:rsid w:val="002C6634"/>
    <w:rsid w:val="002D01F2"/>
    <w:rsid w:val="002D62FC"/>
    <w:rsid w:val="002E01BD"/>
    <w:rsid w:val="002E1839"/>
    <w:rsid w:val="002E3DF7"/>
    <w:rsid w:val="002F04AB"/>
    <w:rsid w:val="00302180"/>
    <w:rsid w:val="00310017"/>
    <w:rsid w:val="00313079"/>
    <w:rsid w:val="00316882"/>
    <w:rsid w:val="00317082"/>
    <w:rsid w:val="0032342A"/>
    <w:rsid w:val="00324ABB"/>
    <w:rsid w:val="003317EE"/>
    <w:rsid w:val="00334022"/>
    <w:rsid w:val="003341DF"/>
    <w:rsid w:val="00337CE8"/>
    <w:rsid w:val="00337DDC"/>
    <w:rsid w:val="00344445"/>
    <w:rsid w:val="00345C6E"/>
    <w:rsid w:val="00346514"/>
    <w:rsid w:val="0034745E"/>
    <w:rsid w:val="00350116"/>
    <w:rsid w:val="0035094C"/>
    <w:rsid w:val="00354A67"/>
    <w:rsid w:val="003552B6"/>
    <w:rsid w:val="00356D48"/>
    <w:rsid w:val="00363579"/>
    <w:rsid w:val="00367FC1"/>
    <w:rsid w:val="00370BEB"/>
    <w:rsid w:val="003733FD"/>
    <w:rsid w:val="00375884"/>
    <w:rsid w:val="00376C8F"/>
    <w:rsid w:val="00383BDD"/>
    <w:rsid w:val="00385660"/>
    <w:rsid w:val="003927E9"/>
    <w:rsid w:val="0039526C"/>
    <w:rsid w:val="00397E9E"/>
    <w:rsid w:val="003A233A"/>
    <w:rsid w:val="003A28E6"/>
    <w:rsid w:val="003A4322"/>
    <w:rsid w:val="003A6B43"/>
    <w:rsid w:val="003A7E52"/>
    <w:rsid w:val="003B2483"/>
    <w:rsid w:val="003B373D"/>
    <w:rsid w:val="003B69F3"/>
    <w:rsid w:val="003C15E3"/>
    <w:rsid w:val="003C377F"/>
    <w:rsid w:val="003D2BD9"/>
    <w:rsid w:val="003D2C15"/>
    <w:rsid w:val="003D361D"/>
    <w:rsid w:val="003D383B"/>
    <w:rsid w:val="003D4B52"/>
    <w:rsid w:val="003D72BB"/>
    <w:rsid w:val="003E651C"/>
    <w:rsid w:val="003E6F8E"/>
    <w:rsid w:val="003E7DC2"/>
    <w:rsid w:val="003F22BD"/>
    <w:rsid w:val="003F4F61"/>
    <w:rsid w:val="003F5740"/>
    <w:rsid w:val="00416058"/>
    <w:rsid w:val="00416DED"/>
    <w:rsid w:val="004235C5"/>
    <w:rsid w:val="00430E2E"/>
    <w:rsid w:val="0043485D"/>
    <w:rsid w:val="00435802"/>
    <w:rsid w:val="00437938"/>
    <w:rsid w:val="004404D7"/>
    <w:rsid w:val="00442185"/>
    <w:rsid w:val="00442370"/>
    <w:rsid w:val="004424A6"/>
    <w:rsid w:val="0044494F"/>
    <w:rsid w:val="00445EF7"/>
    <w:rsid w:val="00447833"/>
    <w:rsid w:val="00450D39"/>
    <w:rsid w:val="004513E4"/>
    <w:rsid w:val="00453175"/>
    <w:rsid w:val="00470E99"/>
    <w:rsid w:val="004732F8"/>
    <w:rsid w:val="0047358D"/>
    <w:rsid w:val="00474134"/>
    <w:rsid w:val="00476A6D"/>
    <w:rsid w:val="00482A67"/>
    <w:rsid w:val="004835F6"/>
    <w:rsid w:val="0048387B"/>
    <w:rsid w:val="00487746"/>
    <w:rsid w:val="0049035D"/>
    <w:rsid w:val="00491B39"/>
    <w:rsid w:val="00493078"/>
    <w:rsid w:val="00493D98"/>
    <w:rsid w:val="00497287"/>
    <w:rsid w:val="004A1040"/>
    <w:rsid w:val="004A4FA4"/>
    <w:rsid w:val="004A5610"/>
    <w:rsid w:val="004A7E4E"/>
    <w:rsid w:val="004B45FD"/>
    <w:rsid w:val="004B5355"/>
    <w:rsid w:val="004C7F1A"/>
    <w:rsid w:val="004D7AF5"/>
    <w:rsid w:val="004E4D71"/>
    <w:rsid w:val="004E57D7"/>
    <w:rsid w:val="004E7F16"/>
    <w:rsid w:val="00500633"/>
    <w:rsid w:val="0050342F"/>
    <w:rsid w:val="0050761C"/>
    <w:rsid w:val="00512C0E"/>
    <w:rsid w:val="005202EE"/>
    <w:rsid w:val="00521A1E"/>
    <w:rsid w:val="00530F7F"/>
    <w:rsid w:val="0053171A"/>
    <w:rsid w:val="00533DCC"/>
    <w:rsid w:val="00544E36"/>
    <w:rsid w:val="00545516"/>
    <w:rsid w:val="00547C35"/>
    <w:rsid w:val="00556E5D"/>
    <w:rsid w:val="0056022D"/>
    <w:rsid w:val="005611A5"/>
    <w:rsid w:val="0056352B"/>
    <w:rsid w:val="00570151"/>
    <w:rsid w:val="005728CC"/>
    <w:rsid w:val="00573C22"/>
    <w:rsid w:val="0057481D"/>
    <w:rsid w:val="00574AA7"/>
    <w:rsid w:val="00575C20"/>
    <w:rsid w:val="00576164"/>
    <w:rsid w:val="00576329"/>
    <w:rsid w:val="005767DF"/>
    <w:rsid w:val="00577BE1"/>
    <w:rsid w:val="00580BF6"/>
    <w:rsid w:val="005A053A"/>
    <w:rsid w:val="005A0B6A"/>
    <w:rsid w:val="005A2C27"/>
    <w:rsid w:val="005A5068"/>
    <w:rsid w:val="005B09E0"/>
    <w:rsid w:val="005B2300"/>
    <w:rsid w:val="005B32E0"/>
    <w:rsid w:val="005B55D0"/>
    <w:rsid w:val="005B6256"/>
    <w:rsid w:val="005B7E2D"/>
    <w:rsid w:val="005C0CB2"/>
    <w:rsid w:val="005C1BCF"/>
    <w:rsid w:val="005C289F"/>
    <w:rsid w:val="005C5169"/>
    <w:rsid w:val="005C6B9E"/>
    <w:rsid w:val="005C6E76"/>
    <w:rsid w:val="005C7F7C"/>
    <w:rsid w:val="005D471B"/>
    <w:rsid w:val="005D75B7"/>
    <w:rsid w:val="005E2C55"/>
    <w:rsid w:val="005E2E9B"/>
    <w:rsid w:val="005E410A"/>
    <w:rsid w:val="005E4270"/>
    <w:rsid w:val="005E499F"/>
    <w:rsid w:val="005E53DD"/>
    <w:rsid w:val="005F2C47"/>
    <w:rsid w:val="005F6F24"/>
    <w:rsid w:val="005F7914"/>
    <w:rsid w:val="00601C43"/>
    <w:rsid w:val="00601E1B"/>
    <w:rsid w:val="00601FF1"/>
    <w:rsid w:val="006053BF"/>
    <w:rsid w:val="006140B7"/>
    <w:rsid w:val="006168B2"/>
    <w:rsid w:val="00617EAD"/>
    <w:rsid w:val="00617F17"/>
    <w:rsid w:val="00626948"/>
    <w:rsid w:val="00630198"/>
    <w:rsid w:val="00636968"/>
    <w:rsid w:val="00642612"/>
    <w:rsid w:val="0065330A"/>
    <w:rsid w:val="006537DD"/>
    <w:rsid w:val="0066371A"/>
    <w:rsid w:val="006639B8"/>
    <w:rsid w:val="006642B9"/>
    <w:rsid w:val="00665DC7"/>
    <w:rsid w:val="00671A83"/>
    <w:rsid w:val="00672827"/>
    <w:rsid w:val="006734E9"/>
    <w:rsid w:val="006742F5"/>
    <w:rsid w:val="00685EFF"/>
    <w:rsid w:val="00687298"/>
    <w:rsid w:val="006944B9"/>
    <w:rsid w:val="006A1E7C"/>
    <w:rsid w:val="006A26DD"/>
    <w:rsid w:val="006A3523"/>
    <w:rsid w:val="006A4DAE"/>
    <w:rsid w:val="006B079E"/>
    <w:rsid w:val="006B104F"/>
    <w:rsid w:val="006B4AA2"/>
    <w:rsid w:val="006B697B"/>
    <w:rsid w:val="006B77E1"/>
    <w:rsid w:val="006C40AD"/>
    <w:rsid w:val="006C65B3"/>
    <w:rsid w:val="006E0C07"/>
    <w:rsid w:val="006E1C17"/>
    <w:rsid w:val="006E2A61"/>
    <w:rsid w:val="006E7B0A"/>
    <w:rsid w:val="006F15C9"/>
    <w:rsid w:val="006F2255"/>
    <w:rsid w:val="006F5BA9"/>
    <w:rsid w:val="006F5FF3"/>
    <w:rsid w:val="007000AE"/>
    <w:rsid w:val="00701F36"/>
    <w:rsid w:val="00703636"/>
    <w:rsid w:val="0070565B"/>
    <w:rsid w:val="0070588A"/>
    <w:rsid w:val="00705A85"/>
    <w:rsid w:val="00707BEF"/>
    <w:rsid w:val="00714140"/>
    <w:rsid w:val="00717E0B"/>
    <w:rsid w:val="007203D1"/>
    <w:rsid w:val="007306E4"/>
    <w:rsid w:val="00740089"/>
    <w:rsid w:val="00743020"/>
    <w:rsid w:val="007444B1"/>
    <w:rsid w:val="00747253"/>
    <w:rsid w:val="007520E3"/>
    <w:rsid w:val="007558EF"/>
    <w:rsid w:val="00755C0E"/>
    <w:rsid w:val="0076069D"/>
    <w:rsid w:val="00764AFA"/>
    <w:rsid w:val="00766412"/>
    <w:rsid w:val="00771220"/>
    <w:rsid w:val="00773331"/>
    <w:rsid w:val="00774182"/>
    <w:rsid w:val="00775F95"/>
    <w:rsid w:val="00777236"/>
    <w:rsid w:val="00780630"/>
    <w:rsid w:val="00790621"/>
    <w:rsid w:val="007913A7"/>
    <w:rsid w:val="007939AB"/>
    <w:rsid w:val="00793EB7"/>
    <w:rsid w:val="00795660"/>
    <w:rsid w:val="007B098E"/>
    <w:rsid w:val="007B365D"/>
    <w:rsid w:val="007B5DE9"/>
    <w:rsid w:val="007C0205"/>
    <w:rsid w:val="007C0F43"/>
    <w:rsid w:val="007C28AD"/>
    <w:rsid w:val="007D1EF7"/>
    <w:rsid w:val="007D4AAA"/>
    <w:rsid w:val="007D523E"/>
    <w:rsid w:val="007E412D"/>
    <w:rsid w:val="007E5537"/>
    <w:rsid w:val="007E7B4D"/>
    <w:rsid w:val="00805D51"/>
    <w:rsid w:val="0080713E"/>
    <w:rsid w:val="008074EC"/>
    <w:rsid w:val="008118D4"/>
    <w:rsid w:val="00812464"/>
    <w:rsid w:val="00815308"/>
    <w:rsid w:val="008179C0"/>
    <w:rsid w:val="00820557"/>
    <w:rsid w:val="00823C95"/>
    <w:rsid w:val="00824BAA"/>
    <w:rsid w:val="00830B9E"/>
    <w:rsid w:val="008334CC"/>
    <w:rsid w:val="008354B8"/>
    <w:rsid w:val="008424AE"/>
    <w:rsid w:val="008431C5"/>
    <w:rsid w:val="00843BE5"/>
    <w:rsid w:val="00847222"/>
    <w:rsid w:val="00851246"/>
    <w:rsid w:val="00851783"/>
    <w:rsid w:val="00855E6E"/>
    <w:rsid w:val="00860813"/>
    <w:rsid w:val="00862C76"/>
    <w:rsid w:val="0086325F"/>
    <w:rsid w:val="00863825"/>
    <w:rsid w:val="0086421B"/>
    <w:rsid w:val="008644E6"/>
    <w:rsid w:val="008709DC"/>
    <w:rsid w:val="008750D3"/>
    <w:rsid w:val="00880283"/>
    <w:rsid w:val="00883953"/>
    <w:rsid w:val="00884403"/>
    <w:rsid w:val="00884F22"/>
    <w:rsid w:val="00891CDE"/>
    <w:rsid w:val="008A16DA"/>
    <w:rsid w:val="008B09FA"/>
    <w:rsid w:val="008B2DE4"/>
    <w:rsid w:val="008B41FB"/>
    <w:rsid w:val="008B6429"/>
    <w:rsid w:val="008B67F0"/>
    <w:rsid w:val="008C265D"/>
    <w:rsid w:val="008C30B6"/>
    <w:rsid w:val="008C7E94"/>
    <w:rsid w:val="008D08E3"/>
    <w:rsid w:val="008D17E7"/>
    <w:rsid w:val="008D2685"/>
    <w:rsid w:val="008D61D4"/>
    <w:rsid w:val="008D74A7"/>
    <w:rsid w:val="008E0F31"/>
    <w:rsid w:val="008F1339"/>
    <w:rsid w:val="008F479C"/>
    <w:rsid w:val="009001AF"/>
    <w:rsid w:val="00901A40"/>
    <w:rsid w:val="00904EFF"/>
    <w:rsid w:val="0090769E"/>
    <w:rsid w:val="00912601"/>
    <w:rsid w:val="00913EB0"/>
    <w:rsid w:val="0091550A"/>
    <w:rsid w:val="00915873"/>
    <w:rsid w:val="009174B5"/>
    <w:rsid w:val="009214B5"/>
    <w:rsid w:val="009221C2"/>
    <w:rsid w:val="00923740"/>
    <w:rsid w:val="00923FEF"/>
    <w:rsid w:val="00924C9D"/>
    <w:rsid w:val="009305BF"/>
    <w:rsid w:val="00933C74"/>
    <w:rsid w:val="00935416"/>
    <w:rsid w:val="00935579"/>
    <w:rsid w:val="009417F9"/>
    <w:rsid w:val="00944E65"/>
    <w:rsid w:val="0095183C"/>
    <w:rsid w:val="00960887"/>
    <w:rsid w:val="009636F4"/>
    <w:rsid w:val="00963C44"/>
    <w:rsid w:val="0096407F"/>
    <w:rsid w:val="00965679"/>
    <w:rsid w:val="00967B73"/>
    <w:rsid w:val="00971136"/>
    <w:rsid w:val="00976163"/>
    <w:rsid w:val="00976FB3"/>
    <w:rsid w:val="00980CDF"/>
    <w:rsid w:val="00981B26"/>
    <w:rsid w:val="00990122"/>
    <w:rsid w:val="009957F8"/>
    <w:rsid w:val="00997A63"/>
    <w:rsid w:val="009A172F"/>
    <w:rsid w:val="009A2D22"/>
    <w:rsid w:val="009A6FCF"/>
    <w:rsid w:val="009A7600"/>
    <w:rsid w:val="009B1E94"/>
    <w:rsid w:val="009C0B6A"/>
    <w:rsid w:val="009C1B4C"/>
    <w:rsid w:val="009D0068"/>
    <w:rsid w:val="009D1654"/>
    <w:rsid w:val="009D36EC"/>
    <w:rsid w:val="009D3A06"/>
    <w:rsid w:val="009D5899"/>
    <w:rsid w:val="009E1C86"/>
    <w:rsid w:val="009E1DD0"/>
    <w:rsid w:val="009E25FB"/>
    <w:rsid w:val="009E5AD2"/>
    <w:rsid w:val="009E6202"/>
    <w:rsid w:val="009E7234"/>
    <w:rsid w:val="009E7FD3"/>
    <w:rsid w:val="009F0F93"/>
    <w:rsid w:val="009F4AAD"/>
    <w:rsid w:val="009F578F"/>
    <w:rsid w:val="009F6CD1"/>
    <w:rsid w:val="009F7291"/>
    <w:rsid w:val="00A0244B"/>
    <w:rsid w:val="00A04DA6"/>
    <w:rsid w:val="00A055E2"/>
    <w:rsid w:val="00A0589C"/>
    <w:rsid w:val="00A07FDD"/>
    <w:rsid w:val="00A12425"/>
    <w:rsid w:val="00A12727"/>
    <w:rsid w:val="00A205E6"/>
    <w:rsid w:val="00A24046"/>
    <w:rsid w:val="00A3007C"/>
    <w:rsid w:val="00A302A0"/>
    <w:rsid w:val="00A31B26"/>
    <w:rsid w:val="00A33E5E"/>
    <w:rsid w:val="00A356FF"/>
    <w:rsid w:val="00A371C1"/>
    <w:rsid w:val="00A43906"/>
    <w:rsid w:val="00A4568C"/>
    <w:rsid w:val="00A459FD"/>
    <w:rsid w:val="00A45F59"/>
    <w:rsid w:val="00A51428"/>
    <w:rsid w:val="00A6270D"/>
    <w:rsid w:val="00A63858"/>
    <w:rsid w:val="00A73155"/>
    <w:rsid w:val="00A736FB"/>
    <w:rsid w:val="00A86777"/>
    <w:rsid w:val="00A87522"/>
    <w:rsid w:val="00A92319"/>
    <w:rsid w:val="00A929A9"/>
    <w:rsid w:val="00AA0AD1"/>
    <w:rsid w:val="00AA35DC"/>
    <w:rsid w:val="00AA66B3"/>
    <w:rsid w:val="00AA6AE6"/>
    <w:rsid w:val="00AA6B5F"/>
    <w:rsid w:val="00AB238D"/>
    <w:rsid w:val="00AB371E"/>
    <w:rsid w:val="00AB6727"/>
    <w:rsid w:val="00AB794D"/>
    <w:rsid w:val="00AC30D5"/>
    <w:rsid w:val="00AC34CC"/>
    <w:rsid w:val="00AC6538"/>
    <w:rsid w:val="00AD27D6"/>
    <w:rsid w:val="00AE2253"/>
    <w:rsid w:val="00AE506A"/>
    <w:rsid w:val="00AE5EF4"/>
    <w:rsid w:val="00AF3C9D"/>
    <w:rsid w:val="00AF3ECE"/>
    <w:rsid w:val="00AF7AFA"/>
    <w:rsid w:val="00B10E63"/>
    <w:rsid w:val="00B12908"/>
    <w:rsid w:val="00B14623"/>
    <w:rsid w:val="00B16C9D"/>
    <w:rsid w:val="00B20F1E"/>
    <w:rsid w:val="00B23452"/>
    <w:rsid w:val="00B23FB3"/>
    <w:rsid w:val="00B242C3"/>
    <w:rsid w:val="00B24E11"/>
    <w:rsid w:val="00B265C4"/>
    <w:rsid w:val="00B26B52"/>
    <w:rsid w:val="00B27A4D"/>
    <w:rsid w:val="00B3161C"/>
    <w:rsid w:val="00B32561"/>
    <w:rsid w:val="00B36142"/>
    <w:rsid w:val="00B43176"/>
    <w:rsid w:val="00B43921"/>
    <w:rsid w:val="00B47605"/>
    <w:rsid w:val="00B5178C"/>
    <w:rsid w:val="00B54AB1"/>
    <w:rsid w:val="00B566DD"/>
    <w:rsid w:val="00B62DB2"/>
    <w:rsid w:val="00B746D7"/>
    <w:rsid w:val="00B755E3"/>
    <w:rsid w:val="00B814ED"/>
    <w:rsid w:val="00B81D9E"/>
    <w:rsid w:val="00B83B74"/>
    <w:rsid w:val="00B90898"/>
    <w:rsid w:val="00B90CC2"/>
    <w:rsid w:val="00B92204"/>
    <w:rsid w:val="00B93AD1"/>
    <w:rsid w:val="00BA0B72"/>
    <w:rsid w:val="00BA0CC1"/>
    <w:rsid w:val="00BB3E33"/>
    <w:rsid w:val="00BC7AD5"/>
    <w:rsid w:val="00BD069F"/>
    <w:rsid w:val="00BD1310"/>
    <w:rsid w:val="00BD1B56"/>
    <w:rsid w:val="00BD1F1E"/>
    <w:rsid w:val="00BD32A1"/>
    <w:rsid w:val="00BD3B71"/>
    <w:rsid w:val="00BD5003"/>
    <w:rsid w:val="00BD5306"/>
    <w:rsid w:val="00BD6BBC"/>
    <w:rsid w:val="00BE21E9"/>
    <w:rsid w:val="00BE3B49"/>
    <w:rsid w:val="00BF095F"/>
    <w:rsid w:val="00BF0CB3"/>
    <w:rsid w:val="00BF2837"/>
    <w:rsid w:val="00BF2DC4"/>
    <w:rsid w:val="00C013A2"/>
    <w:rsid w:val="00C0595C"/>
    <w:rsid w:val="00C10954"/>
    <w:rsid w:val="00C11566"/>
    <w:rsid w:val="00C12A03"/>
    <w:rsid w:val="00C144BB"/>
    <w:rsid w:val="00C159A0"/>
    <w:rsid w:val="00C16390"/>
    <w:rsid w:val="00C209F5"/>
    <w:rsid w:val="00C24BC6"/>
    <w:rsid w:val="00C345DC"/>
    <w:rsid w:val="00C349CD"/>
    <w:rsid w:val="00C3507E"/>
    <w:rsid w:val="00C37CCC"/>
    <w:rsid w:val="00C4020E"/>
    <w:rsid w:val="00C444E5"/>
    <w:rsid w:val="00C5020B"/>
    <w:rsid w:val="00C55FDF"/>
    <w:rsid w:val="00C62B03"/>
    <w:rsid w:val="00C7074E"/>
    <w:rsid w:val="00C71656"/>
    <w:rsid w:val="00C76CDD"/>
    <w:rsid w:val="00C801E4"/>
    <w:rsid w:val="00C806A4"/>
    <w:rsid w:val="00C84C8D"/>
    <w:rsid w:val="00C84F9E"/>
    <w:rsid w:val="00C8552A"/>
    <w:rsid w:val="00C9145C"/>
    <w:rsid w:val="00C91464"/>
    <w:rsid w:val="00C94436"/>
    <w:rsid w:val="00CA29E8"/>
    <w:rsid w:val="00CB18BD"/>
    <w:rsid w:val="00CB224B"/>
    <w:rsid w:val="00CB4EDC"/>
    <w:rsid w:val="00CB63F0"/>
    <w:rsid w:val="00CB73B7"/>
    <w:rsid w:val="00CB7825"/>
    <w:rsid w:val="00CC4A04"/>
    <w:rsid w:val="00CC4F38"/>
    <w:rsid w:val="00CC5BD0"/>
    <w:rsid w:val="00CD03D5"/>
    <w:rsid w:val="00CD04CF"/>
    <w:rsid w:val="00CE1544"/>
    <w:rsid w:val="00CE578E"/>
    <w:rsid w:val="00CE7CC4"/>
    <w:rsid w:val="00CF0608"/>
    <w:rsid w:val="00CF5107"/>
    <w:rsid w:val="00D01DBC"/>
    <w:rsid w:val="00D03895"/>
    <w:rsid w:val="00D1156D"/>
    <w:rsid w:val="00D13349"/>
    <w:rsid w:val="00D14E9C"/>
    <w:rsid w:val="00D20582"/>
    <w:rsid w:val="00D21534"/>
    <w:rsid w:val="00D22C73"/>
    <w:rsid w:val="00D244EC"/>
    <w:rsid w:val="00D24561"/>
    <w:rsid w:val="00D25C1F"/>
    <w:rsid w:val="00D26C57"/>
    <w:rsid w:val="00D2770C"/>
    <w:rsid w:val="00D313C8"/>
    <w:rsid w:val="00D33188"/>
    <w:rsid w:val="00D3320B"/>
    <w:rsid w:val="00D3464F"/>
    <w:rsid w:val="00D416C9"/>
    <w:rsid w:val="00D44C13"/>
    <w:rsid w:val="00D474D8"/>
    <w:rsid w:val="00D47CB2"/>
    <w:rsid w:val="00D50AE0"/>
    <w:rsid w:val="00D545A1"/>
    <w:rsid w:val="00D579E6"/>
    <w:rsid w:val="00D66A71"/>
    <w:rsid w:val="00D71D69"/>
    <w:rsid w:val="00D744A3"/>
    <w:rsid w:val="00D76C4E"/>
    <w:rsid w:val="00D815A3"/>
    <w:rsid w:val="00D82BD5"/>
    <w:rsid w:val="00D867F6"/>
    <w:rsid w:val="00D87B44"/>
    <w:rsid w:val="00D90A5D"/>
    <w:rsid w:val="00D937F5"/>
    <w:rsid w:val="00D94814"/>
    <w:rsid w:val="00D949C0"/>
    <w:rsid w:val="00D97E51"/>
    <w:rsid w:val="00DA2B8E"/>
    <w:rsid w:val="00DA5DC1"/>
    <w:rsid w:val="00DA770E"/>
    <w:rsid w:val="00DB30E7"/>
    <w:rsid w:val="00DB577C"/>
    <w:rsid w:val="00DC12B4"/>
    <w:rsid w:val="00DC43CE"/>
    <w:rsid w:val="00DC5B1F"/>
    <w:rsid w:val="00DC7DA5"/>
    <w:rsid w:val="00DD0158"/>
    <w:rsid w:val="00DD1C8C"/>
    <w:rsid w:val="00DD3B39"/>
    <w:rsid w:val="00DD4D7C"/>
    <w:rsid w:val="00DD7C95"/>
    <w:rsid w:val="00DE276B"/>
    <w:rsid w:val="00DE3A99"/>
    <w:rsid w:val="00DE5914"/>
    <w:rsid w:val="00DE6733"/>
    <w:rsid w:val="00DE70E4"/>
    <w:rsid w:val="00DE7245"/>
    <w:rsid w:val="00DE766A"/>
    <w:rsid w:val="00DE7831"/>
    <w:rsid w:val="00DF4CBD"/>
    <w:rsid w:val="00DF67B6"/>
    <w:rsid w:val="00E005C5"/>
    <w:rsid w:val="00E01AA9"/>
    <w:rsid w:val="00E07D93"/>
    <w:rsid w:val="00E308D4"/>
    <w:rsid w:val="00E31979"/>
    <w:rsid w:val="00E3571A"/>
    <w:rsid w:val="00E400C3"/>
    <w:rsid w:val="00E400C9"/>
    <w:rsid w:val="00E41E70"/>
    <w:rsid w:val="00E47ECA"/>
    <w:rsid w:val="00E523EA"/>
    <w:rsid w:val="00E5495C"/>
    <w:rsid w:val="00E54E5D"/>
    <w:rsid w:val="00E62F09"/>
    <w:rsid w:val="00E63B96"/>
    <w:rsid w:val="00E82855"/>
    <w:rsid w:val="00E8456C"/>
    <w:rsid w:val="00E847F3"/>
    <w:rsid w:val="00E876C5"/>
    <w:rsid w:val="00E87E11"/>
    <w:rsid w:val="00E905ED"/>
    <w:rsid w:val="00E909F3"/>
    <w:rsid w:val="00E9269E"/>
    <w:rsid w:val="00EA7BC9"/>
    <w:rsid w:val="00EB1100"/>
    <w:rsid w:val="00EB1848"/>
    <w:rsid w:val="00EB3FE4"/>
    <w:rsid w:val="00EC120D"/>
    <w:rsid w:val="00EC1AA0"/>
    <w:rsid w:val="00EC272C"/>
    <w:rsid w:val="00ED187D"/>
    <w:rsid w:val="00ED3F2C"/>
    <w:rsid w:val="00ED6749"/>
    <w:rsid w:val="00EE762A"/>
    <w:rsid w:val="00EF2B68"/>
    <w:rsid w:val="00EF3447"/>
    <w:rsid w:val="00EF379D"/>
    <w:rsid w:val="00F03AF0"/>
    <w:rsid w:val="00F049BB"/>
    <w:rsid w:val="00F04A14"/>
    <w:rsid w:val="00F07080"/>
    <w:rsid w:val="00F105DC"/>
    <w:rsid w:val="00F11AE5"/>
    <w:rsid w:val="00F14927"/>
    <w:rsid w:val="00F152F0"/>
    <w:rsid w:val="00F16934"/>
    <w:rsid w:val="00F2050E"/>
    <w:rsid w:val="00F21C39"/>
    <w:rsid w:val="00F22016"/>
    <w:rsid w:val="00F222A8"/>
    <w:rsid w:val="00F32A71"/>
    <w:rsid w:val="00F35FF1"/>
    <w:rsid w:val="00F45BCD"/>
    <w:rsid w:val="00F50A33"/>
    <w:rsid w:val="00F52BCD"/>
    <w:rsid w:val="00F56F08"/>
    <w:rsid w:val="00F57C51"/>
    <w:rsid w:val="00F63CBF"/>
    <w:rsid w:val="00F67ED2"/>
    <w:rsid w:val="00F70182"/>
    <w:rsid w:val="00F71C7A"/>
    <w:rsid w:val="00F7240C"/>
    <w:rsid w:val="00F7654F"/>
    <w:rsid w:val="00F77880"/>
    <w:rsid w:val="00F814F9"/>
    <w:rsid w:val="00F853BC"/>
    <w:rsid w:val="00F907A4"/>
    <w:rsid w:val="00FA6771"/>
    <w:rsid w:val="00FA7206"/>
    <w:rsid w:val="00FB0C78"/>
    <w:rsid w:val="00FB26C0"/>
    <w:rsid w:val="00FB336F"/>
    <w:rsid w:val="00FB6169"/>
    <w:rsid w:val="00FC0BA3"/>
    <w:rsid w:val="00FC2639"/>
    <w:rsid w:val="00FC2C26"/>
    <w:rsid w:val="00FC53A2"/>
    <w:rsid w:val="00FC59CA"/>
    <w:rsid w:val="00FC7649"/>
    <w:rsid w:val="00FD0F99"/>
    <w:rsid w:val="00FD2175"/>
    <w:rsid w:val="00FE19D2"/>
    <w:rsid w:val="00FE1E5B"/>
    <w:rsid w:val="00FE467D"/>
    <w:rsid w:val="00FE5940"/>
    <w:rsid w:val="00FF298B"/>
    <w:rsid w:val="00FF45DB"/>
    <w:rsid w:val="00FF4B08"/>
    <w:rsid w:val="00FF4F72"/>
    <w:rsid w:val="00FF6F9F"/>
    <w:rsid w:val="00FF75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1DC4"/>
  <w15:chartTrackingRefBased/>
  <w15:docId w15:val="{AD5DDB22-CF68-4C47-872E-631D7867A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0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50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50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0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0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0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0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D50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0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0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003"/>
    <w:rPr>
      <w:rFonts w:eastAsiaTheme="majorEastAsia" w:cstheme="majorBidi"/>
      <w:color w:val="272727" w:themeColor="text1" w:themeTint="D8"/>
    </w:rPr>
  </w:style>
  <w:style w:type="paragraph" w:styleId="Title">
    <w:name w:val="Title"/>
    <w:basedOn w:val="Normal"/>
    <w:next w:val="Normal"/>
    <w:link w:val="TitleChar"/>
    <w:uiPriority w:val="10"/>
    <w:qFormat/>
    <w:rsid w:val="00BD5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003"/>
    <w:pPr>
      <w:spacing w:before="160"/>
      <w:jc w:val="center"/>
    </w:pPr>
    <w:rPr>
      <w:i/>
      <w:iCs/>
      <w:color w:val="404040" w:themeColor="text1" w:themeTint="BF"/>
    </w:rPr>
  </w:style>
  <w:style w:type="character" w:customStyle="1" w:styleId="QuoteChar">
    <w:name w:val="Quote Char"/>
    <w:basedOn w:val="DefaultParagraphFont"/>
    <w:link w:val="Quote"/>
    <w:uiPriority w:val="29"/>
    <w:rsid w:val="00BD5003"/>
    <w:rPr>
      <w:i/>
      <w:iCs/>
      <w:color w:val="404040" w:themeColor="text1" w:themeTint="BF"/>
    </w:rPr>
  </w:style>
  <w:style w:type="paragraph" w:styleId="ListParagraph">
    <w:name w:val="List Paragraph"/>
    <w:basedOn w:val="Normal"/>
    <w:uiPriority w:val="34"/>
    <w:qFormat/>
    <w:rsid w:val="00BD5003"/>
    <w:pPr>
      <w:ind w:left="720"/>
      <w:contextualSpacing/>
    </w:pPr>
  </w:style>
  <w:style w:type="character" w:styleId="IntenseEmphasis">
    <w:name w:val="Intense Emphasis"/>
    <w:basedOn w:val="DefaultParagraphFont"/>
    <w:uiPriority w:val="21"/>
    <w:qFormat/>
    <w:rsid w:val="00BD5003"/>
    <w:rPr>
      <w:i/>
      <w:iCs/>
      <w:color w:val="0F4761" w:themeColor="accent1" w:themeShade="BF"/>
    </w:rPr>
  </w:style>
  <w:style w:type="paragraph" w:styleId="IntenseQuote">
    <w:name w:val="Intense Quote"/>
    <w:basedOn w:val="Normal"/>
    <w:next w:val="Normal"/>
    <w:link w:val="IntenseQuoteChar"/>
    <w:uiPriority w:val="30"/>
    <w:qFormat/>
    <w:rsid w:val="00BD50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003"/>
    <w:rPr>
      <w:i/>
      <w:iCs/>
      <w:color w:val="0F4761" w:themeColor="accent1" w:themeShade="BF"/>
    </w:rPr>
  </w:style>
  <w:style w:type="character" w:styleId="IntenseReference">
    <w:name w:val="Intense Reference"/>
    <w:basedOn w:val="DefaultParagraphFont"/>
    <w:uiPriority w:val="32"/>
    <w:qFormat/>
    <w:rsid w:val="00BD5003"/>
    <w:rPr>
      <w:b/>
      <w:bCs/>
      <w:smallCaps/>
      <w:color w:val="0F4761" w:themeColor="accent1" w:themeShade="BF"/>
      <w:spacing w:val="5"/>
    </w:rPr>
  </w:style>
  <w:style w:type="paragraph" w:customStyle="1" w:styleId="p1">
    <w:name w:val="p1"/>
    <w:basedOn w:val="Normal"/>
    <w:rsid w:val="00BD500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BD5003"/>
  </w:style>
  <w:style w:type="paragraph" w:customStyle="1" w:styleId="p2">
    <w:name w:val="p2"/>
    <w:basedOn w:val="Normal"/>
    <w:rsid w:val="00BD500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BD5003"/>
  </w:style>
  <w:style w:type="paragraph" w:customStyle="1" w:styleId="p3">
    <w:name w:val="p3"/>
    <w:basedOn w:val="Normal"/>
    <w:rsid w:val="00BD5003"/>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BD5003"/>
  </w:style>
  <w:style w:type="character" w:customStyle="1" w:styleId="s4">
    <w:name w:val="s4"/>
    <w:basedOn w:val="DefaultParagraphFont"/>
    <w:rsid w:val="00BD5003"/>
  </w:style>
  <w:style w:type="character" w:customStyle="1" w:styleId="bumpedfont15">
    <w:name w:val="bumpedfont15"/>
    <w:basedOn w:val="DefaultParagraphFont"/>
    <w:rsid w:val="00E41E70"/>
  </w:style>
  <w:style w:type="paragraph" w:customStyle="1" w:styleId="s7">
    <w:name w:val="s7"/>
    <w:basedOn w:val="Normal"/>
    <w:rsid w:val="00E41E7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C502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556</TotalTime>
  <Pages>1</Pages>
  <Words>5628</Words>
  <Characters>32080</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438</cp:revision>
  <dcterms:created xsi:type="dcterms:W3CDTF">2026-03-03T22:13:00Z</dcterms:created>
  <dcterms:modified xsi:type="dcterms:W3CDTF">2026-03-19T02:41:00Z</dcterms:modified>
</cp:coreProperties>
</file>