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F7B963" w14:textId="77777777" w:rsidR="00052AFC" w:rsidRPr="00052AFC" w:rsidRDefault="00052AFC" w:rsidP="007D1FD5">
      <w:pPr>
        <w:spacing w:line="360" w:lineRule="auto"/>
        <w:jc w:val="both"/>
        <w:rPr>
          <w:rFonts w:asciiTheme="minorBidi" w:hAnsiTheme="minorBidi"/>
          <w:b/>
          <w:bCs/>
          <w:sz w:val="32"/>
          <w:szCs w:val="32"/>
        </w:rPr>
      </w:pPr>
      <w:r w:rsidRPr="00052AFC">
        <w:rPr>
          <w:rFonts w:asciiTheme="minorBidi" w:hAnsiTheme="minorBidi"/>
          <w:b/>
          <w:bCs/>
          <w:sz w:val="32"/>
          <w:szCs w:val="32"/>
        </w:rPr>
        <w:t>Document 1: Company Performance Overview</w:t>
      </w:r>
    </w:p>
    <w:p w14:paraId="118FD0F3" w14:textId="77777777" w:rsidR="00052AFC" w:rsidRPr="00052AFC" w:rsidRDefault="00052AFC" w:rsidP="007D1FD5">
      <w:pPr>
        <w:spacing w:line="360" w:lineRule="auto"/>
        <w:jc w:val="both"/>
        <w:rPr>
          <w:rFonts w:asciiTheme="minorBidi" w:hAnsiTheme="minorBidi"/>
        </w:rPr>
      </w:pPr>
      <w:r w:rsidRPr="00052AFC">
        <w:rPr>
          <w:rFonts w:asciiTheme="minorBidi" w:hAnsiTheme="minorBidi"/>
        </w:rPr>
        <w:t>The company has shown steady growth over the past fiscal year, with revenue increasing by 15%. The expansion into new markets has driven sales and improved profitability. Investors have responded positively, leading to a 10% rise in the stock price. The strategic investments in technology have strengthened the company’s competitive position.</w:t>
      </w:r>
    </w:p>
    <w:p w14:paraId="689A0C17" w14:textId="77777777" w:rsidR="00D825B0" w:rsidRDefault="00D825B0" w:rsidP="007D1FD5">
      <w:pPr>
        <w:spacing w:line="360" w:lineRule="auto"/>
        <w:jc w:val="both"/>
        <w:rPr>
          <w:rFonts w:asciiTheme="minorBidi" w:hAnsiTheme="minorBidi"/>
        </w:rPr>
      </w:pPr>
    </w:p>
    <w:p w14:paraId="4C37E7B6" w14:textId="0805FBD0" w:rsidR="00052AFC" w:rsidRPr="00052AFC" w:rsidRDefault="00052AFC" w:rsidP="007D1FD5">
      <w:pPr>
        <w:spacing w:line="360" w:lineRule="auto"/>
        <w:jc w:val="both"/>
        <w:rPr>
          <w:rFonts w:asciiTheme="minorBidi" w:hAnsiTheme="minorBidi"/>
        </w:rPr>
      </w:pPr>
      <w:r w:rsidRPr="00052AFC">
        <w:rPr>
          <w:rFonts w:asciiTheme="minorBidi" w:hAnsiTheme="minorBidi"/>
        </w:rPr>
        <w:t>Despite the positive outlook, there are challenges ahead. Rising costs and supply chain disruptions could impact profit margins. However, the company remains committed to cost efficiency and innovation. Analysts recommend a cautious "buy" as future growth potential remains solid, albeit with some risks.</w:t>
      </w:r>
    </w:p>
    <w:p w14:paraId="599C2131" w14:textId="77777777" w:rsidR="00052AFC" w:rsidRPr="00052AFC" w:rsidRDefault="00052AFC" w:rsidP="007D1FD5">
      <w:pPr>
        <w:spacing w:line="360" w:lineRule="auto"/>
        <w:jc w:val="both"/>
        <w:rPr>
          <w:rFonts w:asciiTheme="minorBidi" w:hAnsiTheme="minorBidi"/>
        </w:rPr>
      </w:pPr>
      <w:r w:rsidRPr="00052AFC">
        <w:rPr>
          <w:rFonts w:asciiTheme="minorBidi" w:hAnsiTheme="minorBidi"/>
        </w:rPr>
        <w:br w:type="page"/>
      </w:r>
    </w:p>
    <w:p w14:paraId="1C977938" w14:textId="77777777" w:rsidR="00052AFC" w:rsidRPr="00052AFC" w:rsidRDefault="00052AFC" w:rsidP="007D1FD5">
      <w:pPr>
        <w:spacing w:line="360" w:lineRule="auto"/>
        <w:jc w:val="both"/>
        <w:rPr>
          <w:rFonts w:asciiTheme="minorBidi" w:hAnsiTheme="minorBidi"/>
          <w:b/>
          <w:bCs/>
          <w:sz w:val="32"/>
          <w:szCs w:val="32"/>
        </w:rPr>
      </w:pPr>
      <w:r w:rsidRPr="00052AFC">
        <w:rPr>
          <w:rFonts w:asciiTheme="minorBidi" w:hAnsiTheme="minorBidi"/>
          <w:b/>
          <w:bCs/>
          <w:sz w:val="32"/>
          <w:szCs w:val="32"/>
        </w:rPr>
        <w:lastRenderedPageBreak/>
        <w:t>Document 2: Industry Analysis and Positioning</w:t>
      </w:r>
    </w:p>
    <w:p w14:paraId="7A121CED" w14:textId="77777777" w:rsidR="00052AFC" w:rsidRPr="00052AFC" w:rsidRDefault="00052AFC" w:rsidP="007D1FD5">
      <w:pPr>
        <w:spacing w:line="360" w:lineRule="auto"/>
        <w:jc w:val="both"/>
        <w:rPr>
          <w:rFonts w:asciiTheme="minorBidi" w:hAnsiTheme="minorBidi"/>
        </w:rPr>
      </w:pPr>
      <w:r w:rsidRPr="00052AFC">
        <w:rPr>
          <w:rFonts w:asciiTheme="minorBidi" w:hAnsiTheme="minorBidi"/>
        </w:rPr>
        <w:t>The broader industry has faced significant headwinds this year, including economic uncertainty and changing regulatory frameworks. However, this company has managed to outperform its peers, driven by strong management and strategic alliances. The firm’s innovative product line has captured market share despite the competitive landscape.</w:t>
      </w:r>
    </w:p>
    <w:p w14:paraId="23ECAA28" w14:textId="77777777" w:rsidR="00052AFC" w:rsidRPr="00052AFC" w:rsidRDefault="00052AFC" w:rsidP="007D1FD5">
      <w:pPr>
        <w:spacing w:line="360" w:lineRule="auto"/>
        <w:jc w:val="both"/>
        <w:rPr>
          <w:rFonts w:asciiTheme="minorBidi" w:hAnsiTheme="minorBidi"/>
        </w:rPr>
      </w:pPr>
    </w:p>
    <w:p w14:paraId="501E0C2B" w14:textId="7B668C81" w:rsidR="00052AFC" w:rsidRPr="00052AFC" w:rsidRDefault="00052AFC" w:rsidP="007D1FD5">
      <w:pPr>
        <w:spacing w:line="360" w:lineRule="auto"/>
        <w:jc w:val="both"/>
        <w:rPr>
          <w:rFonts w:asciiTheme="minorBidi" w:hAnsiTheme="minorBidi"/>
        </w:rPr>
      </w:pPr>
      <w:r w:rsidRPr="00052AFC">
        <w:rPr>
          <w:rFonts w:asciiTheme="minorBidi" w:hAnsiTheme="minorBidi"/>
        </w:rPr>
        <w:t>Analysts are optimistic about long-term prospects but highlight near-term volatility. The focus on sustainability initiatives is expected to attract environmentally conscious investors. While some view the current valuation as high, the growth trajectory justifies maintaining an "invest" rating with potential for future upside.</w:t>
      </w:r>
    </w:p>
    <w:p w14:paraId="28292CCC" w14:textId="77777777" w:rsidR="00052AFC" w:rsidRPr="00052AFC" w:rsidRDefault="00052AFC" w:rsidP="007D1FD5">
      <w:pPr>
        <w:spacing w:line="360" w:lineRule="auto"/>
        <w:jc w:val="both"/>
        <w:rPr>
          <w:rFonts w:asciiTheme="minorBidi" w:hAnsiTheme="minorBidi"/>
        </w:rPr>
      </w:pPr>
      <w:r w:rsidRPr="00052AFC">
        <w:rPr>
          <w:rFonts w:asciiTheme="minorBidi" w:hAnsiTheme="minorBidi"/>
        </w:rPr>
        <w:br w:type="page"/>
      </w:r>
    </w:p>
    <w:p w14:paraId="38B2277D" w14:textId="77777777" w:rsidR="00052AFC" w:rsidRPr="00052AFC" w:rsidRDefault="00052AFC" w:rsidP="007D1FD5">
      <w:pPr>
        <w:spacing w:line="360" w:lineRule="auto"/>
        <w:jc w:val="both"/>
        <w:rPr>
          <w:rFonts w:asciiTheme="minorBidi" w:hAnsiTheme="minorBidi"/>
          <w:b/>
          <w:bCs/>
          <w:sz w:val="32"/>
          <w:szCs w:val="32"/>
        </w:rPr>
      </w:pPr>
      <w:r w:rsidRPr="00052AFC">
        <w:rPr>
          <w:rFonts w:asciiTheme="minorBidi" w:hAnsiTheme="minorBidi"/>
          <w:b/>
          <w:bCs/>
          <w:sz w:val="32"/>
          <w:szCs w:val="32"/>
        </w:rPr>
        <w:lastRenderedPageBreak/>
        <w:t>Document 3: Risks and Opportunities</w:t>
      </w:r>
    </w:p>
    <w:p w14:paraId="25A1A67A" w14:textId="77777777" w:rsidR="00052AFC" w:rsidRPr="00052AFC" w:rsidRDefault="00052AFC" w:rsidP="007D1FD5">
      <w:pPr>
        <w:spacing w:line="360" w:lineRule="auto"/>
        <w:jc w:val="both"/>
        <w:rPr>
          <w:rFonts w:asciiTheme="minorBidi" w:hAnsiTheme="minorBidi"/>
        </w:rPr>
      </w:pPr>
      <w:r w:rsidRPr="00052AFC">
        <w:rPr>
          <w:rFonts w:asciiTheme="minorBidi" w:hAnsiTheme="minorBidi"/>
        </w:rPr>
        <w:t>The company operates in a sector known for rapid technological advancements, presenting both risks and opportunities. On the positive side, the firm’s R&amp;D investments have led to groundbreaking products that appeal to a global market. Revenue growth has been consistent, with annual gains of over 12%.</w:t>
      </w:r>
    </w:p>
    <w:p w14:paraId="457C5569" w14:textId="77777777" w:rsidR="00052AFC" w:rsidRPr="00052AFC" w:rsidRDefault="00052AFC" w:rsidP="007D1FD5">
      <w:pPr>
        <w:spacing w:line="360" w:lineRule="auto"/>
        <w:jc w:val="both"/>
        <w:rPr>
          <w:rFonts w:asciiTheme="minorBidi" w:hAnsiTheme="minorBidi"/>
        </w:rPr>
      </w:pPr>
    </w:p>
    <w:p w14:paraId="3ED48E5E" w14:textId="1F600884" w:rsidR="00052AFC" w:rsidRPr="00052AFC" w:rsidRDefault="00052AFC" w:rsidP="007D1FD5">
      <w:pPr>
        <w:spacing w:line="360" w:lineRule="auto"/>
        <w:jc w:val="both"/>
        <w:rPr>
          <w:rFonts w:asciiTheme="minorBidi" w:hAnsiTheme="minorBidi"/>
        </w:rPr>
      </w:pPr>
      <w:r w:rsidRPr="00052AFC">
        <w:rPr>
          <w:rFonts w:asciiTheme="minorBidi" w:hAnsiTheme="minorBidi"/>
        </w:rPr>
        <w:t>However, potential obstacles include geopolitical tensions and fluctuating commodity prices, which could pressure operating margins. Management has acknowledged these challenges but remains confident in the company's strategic direction. The report suggests holding current positions while monitoring for further developments.</w:t>
      </w:r>
    </w:p>
    <w:p w14:paraId="4233793C" w14:textId="77777777" w:rsidR="00052AFC" w:rsidRPr="00052AFC" w:rsidRDefault="00052AFC" w:rsidP="007D1FD5">
      <w:pPr>
        <w:spacing w:line="360" w:lineRule="auto"/>
        <w:jc w:val="both"/>
        <w:rPr>
          <w:rFonts w:asciiTheme="minorBidi" w:hAnsiTheme="minorBidi"/>
        </w:rPr>
      </w:pPr>
      <w:r w:rsidRPr="00052AFC">
        <w:rPr>
          <w:rFonts w:asciiTheme="minorBidi" w:hAnsiTheme="minorBidi"/>
        </w:rPr>
        <w:br w:type="page"/>
      </w:r>
    </w:p>
    <w:p w14:paraId="54DD8E78" w14:textId="77777777" w:rsidR="00052AFC" w:rsidRPr="00052AFC" w:rsidRDefault="00052AFC" w:rsidP="007D1FD5">
      <w:pPr>
        <w:spacing w:line="360" w:lineRule="auto"/>
        <w:jc w:val="both"/>
        <w:rPr>
          <w:rFonts w:asciiTheme="minorBidi" w:hAnsiTheme="minorBidi"/>
          <w:b/>
          <w:bCs/>
          <w:sz w:val="32"/>
          <w:szCs w:val="32"/>
        </w:rPr>
      </w:pPr>
      <w:r w:rsidRPr="00052AFC">
        <w:rPr>
          <w:rFonts w:asciiTheme="minorBidi" w:hAnsiTheme="minorBidi"/>
          <w:b/>
          <w:bCs/>
          <w:sz w:val="32"/>
          <w:szCs w:val="32"/>
        </w:rPr>
        <w:lastRenderedPageBreak/>
        <w:t>Document 4: Financial Metrics and Valuation</w:t>
      </w:r>
    </w:p>
    <w:p w14:paraId="52AF63B7" w14:textId="77777777" w:rsidR="00052AFC" w:rsidRPr="00052AFC" w:rsidRDefault="00052AFC" w:rsidP="007D1FD5">
      <w:pPr>
        <w:spacing w:line="360" w:lineRule="auto"/>
        <w:jc w:val="both"/>
        <w:rPr>
          <w:rFonts w:asciiTheme="minorBidi" w:hAnsiTheme="minorBidi"/>
        </w:rPr>
      </w:pPr>
      <w:r w:rsidRPr="00052AFC">
        <w:rPr>
          <w:rFonts w:asciiTheme="minorBidi" w:hAnsiTheme="minorBidi"/>
        </w:rPr>
        <w:t>The company’s financial metrics remain robust, with a debt-to-equity ratio well below industry averages. The consistent earnings growth and healthy cash flow have supported dividend payments, which appeal to income-focused investors. Recent quarterly results exceeded expectations, reinforcing the positive sentiment around the stock.</w:t>
      </w:r>
    </w:p>
    <w:p w14:paraId="2D914051" w14:textId="77777777" w:rsidR="00052AFC" w:rsidRPr="00052AFC" w:rsidRDefault="00052AFC" w:rsidP="007D1FD5">
      <w:pPr>
        <w:spacing w:line="360" w:lineRule="auto"/>
        <w:jc w:val="both"/>
        <w:rPr>
          <w:rFonts w:asciiTheme="minorBidi" w:hAnsiTheme="minorBidi"/>
        </w:rPr>
      </w:pPr>
    </w:p>
    <w:p w14:paraId="2D9A9C04" w14:textId="1CE6B6E1" w:rsidR="00545FD6" w:rsidRDefault="00052AFC" w:rsidP="007D1FD5">
      <w:pPr>
        <w:spacing w:line="360" w:lineRule="auto"/>
        <w:jc w:val="both"/>
        <w:rPr>
          <w:rFonts w:asciiTheme="minorBidi" w:hAnsiTheme="minorBidi"/>
        </w:rPr>
      </w:pPr>
      <w:r w:rsidRPr="00052AFC">
        <w:rPr>
          <w:rFonts w:asciiTheme="minorBidi" w:hAnsiTheme="minorBidi"/>
        </w:rPr>
        <w:t>Despite strong performance, valuation metrics indicate that the stock may be nearing fair value. The price-to-earnings ratio suggests limited upside potential unless new growth drivers are identified. Analysts are divided on their recommendations, with a "hold" rating being the consensus until clearer signals of expansion emerge.</w:t>
      </w:r>
    </w:p>
    <w:p w14:paraId="1880B684" w14:textId="639C3ADF" w:rsidR="00052AFC" w:rsidRPr="00052AFC" w:rsidRDefault="00052AFC" w:rsidP="007D1FD5">
      <w:pPr>
        <w:jc w:val="both"/>
        <w:rPr>
          <w:rFonts w:asciiTheme="minorBidi" w:hAnsiTheme="minorBidi"/>
        </w:rPr>
      </w:pPr>
    </w:p>
    <w:sectPr w:rsidR="00052AFC" w:rsidRPr="00052A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8"/>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2AFC"/>
    <w:rsid w:val="00052AFC"/>
    <w:rsid w:val="002B5232"/>
    <w:rsid w:val="003A7517"/>
    <w:rsid w:val="00545FD6"/>
    <w:rsid w:val="007603FF"/>
    <w:rsid w:val="007D1FD5"/>
    <w:rsid w:val="00915AC7"/>
    <w:rsid w:val="00AD029C"/>
    <w:rsid w:val="00CE5400"/>
    <w:rsid w:val="00D825B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78E10"/>
  <w15:chartTrackingRefBased/>
  <w15:docId w15:val="{15D56E2F-7A9C-4373-9408-38BE1DE1A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2A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52A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2A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2A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2A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2A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2A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2A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2A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2A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52A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2A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2A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2A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2A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2A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2A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2AFC"/>
    <w:rPr>
      <w:rFonts w:eastAsiaTheme="majorEastAsia" w:cstheme="majorBidi"/>
      <w:color w:val="272727" w:themeColor="text1" w:themeTint="D8"/>
    </w:rPr>
  </w:style>
  <w:style w:type="paragraph" w:styleId="Title">
    <w:name w:val="Title"/>
    <w:basedOn w:val="Normal"/>
    <w:next w:val="Normal"/>
    <w:link w:val="TitleChar"/>
    <w:uiPriority w:val="10"/>
    <w:qFormat/>
    <w:rsid w:val="00052A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2A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2A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2A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2AFC"/>
    <w:pPr>
      <w:spacing w:before="160"/>
      <w:jc w:val="center"/>
    </w:pPr>
    <w:rPr>
      <w:i/>
      <w:iCs/>
      <w:color w:val="404040" w:themeColor="text1" w:themeTint="BF"/>
    </w:rPr>
  </w:style>
  <w:style w:type="character" w:customStyle="1" w:styleId="QuoteChar">
    <w:name w:val="Quote Char"/>
    <w:basedOn w:val="DefaultParagraphFont"/>
    <w:link w:val="Quote"/>
    <w:uiPriority w:val="29"/>
    <w:rsid w:val="00052AFC"/>
    <w:rPr>
      <w:i/>
      <w:iCs/>
      <w:color w:val="404040" w:themeColor="text1" w:themeTint="BF"/>
    </w:rPr>
  </w:style>
  <w:style w:type="paragraph" w:styleId="ListParagraph">
    <w:name w:val="List Paragraph"/>
    <w:basedOn w:val="Normal"/>
    <w:uiPriority w:val="34"/>
    <w:qFormat/>
    <w:rsid w:val="00052AFC"/>
    <w:pPr>
      <w:ind w:left="720"/>
      <w:contextualSpacing/>
    </w:pPr>
  </w:style>
  <w:style w:type="character" w:styleId="IntenseEmphasis">
    <w:name w:val="Intense Emphasis"/>
    <w:basedOn w:val="DefaultParagraphFont"/>
    <w:uiPriority w:val="21"/>
    <w:qFormat/>
    <w:rsid w:val="00052AFC"/>
    <w:rPr>
      <w:i/>
      <w:iCs/>
      <w:color w:val="0F4761" w:themeColor="accent1" w:themeShade="BF"/>
    </w:rPr>
  </w:style>
  <w:style w:type="paragraph" w:styleId="IntenseQuote">
    <w:name w:val="Intense Quote"/>
    <w:basedOn w:val="Normal"/>
    <w:next w:val="Normal"/>
    <w:link w:val="IntenseQuoteChar"/>
    <w:uiPriority w:val="30"/>
    <w:qFormat/>
    <w:rsid w:val="00052A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2AFC"/>
    <w:rPr>
      <w:i/>
      <w:iCs/>
      <w:color w:val="0F4761" w:themeColor="accent1" w:themeShade="BF"/>
    </w:rPr>
  </w:style>
  <w:style w:type="character" w:styleId="IntenseReference">
    <w:name w:val="Intense Reference"/>
    <w:basedOn w:val="DefaultParagraphFont"/>
    <w:uiPriority w:val="32"/>
    <w:qFormat/>
    <w:rsid w:val="00052AFC"/>
    <w:rPr>
      <w:b/>
      <w:bCs/>
      <w:smallCaps/>
      <w:color w:val="0F4761" w:themeColor="accent1" w:themeShade="BF"/>
      <w:spacing w:val="5"/>
    </w:rPr>
  </w:style>
  <w:style w:type="table" w:styleId="TableGrid">
    <w:name w:val="Table Grid"/>
    <w:basedOn w:val="TableNormal"/>
    <w:uiPriority w:val="39"/>
    <w:rsid w:val="007603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4969566">
      <w:bodyDiv w:val="1"/>
      <w:marLeft w:val="0"/>
      <w:marRight w:val="0"/>
      <w:marTop w:val="0"/>
      <w:marBottom w:val="0"/>
      <w:divBdr>
        <w:top w:val="none" w:sz="0" w:space="0" w:color="auto"/>
        <w:left w:val="none" w:sz="0" w:space="0" w:color="auto"/>
        <w:bottom w:val="none" w:sz="0" w:space="0" w:color="auto"/>
        <w:right w:val="none" w:sz="0" w:space="0" w:color="auto"/>
      </w:divBdr>
    </w:div>
    <w:div w:id="1559316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416</Words>
  <Characters>2376</Characters>
  <Application>Microsoft Office Word</Application>
  <DocSecurity>4</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Shengfeng Mei</dc:creator>
  <cp:keywords/>
  <dc:description/>
  <cp:lastModifiedBy>Anupam Mazumdar</cp:lastModifiedBy>
  <cp:revision>2</cp:revision>
  <dcterms:created xsi:type="dcterms:W3CDTF">2024-11-25T10:40:00Z</dcterms:created>
  <dcterms:modified xsi:type="dcterms:W3CDTF">2024-11-25T10:40:00Z</dcterms:modified>
</cp:coreProperties>
</file>