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A7821E" w14:textId="1DA50A04" w:rsidR="00427425" w:rsidRPr="000401D7" w:rsidRDefault="00427425" w:rsidP="00427425">
      <w:pPr>
        <w:jc w:val="center"/>
        <w:rPr>
          <w:rFonts w:ascii="Calibri" w:hAnsi="Calibri" w:cs="Calibri"/>
          <w:sz w:val="36"/>
          <w:szCs w:val="36"/>
        </w:rPr>
      </w:pPr>
      <w:r w:rsidRPr="000401D7">
        <w:rPr>
          <w:rFonts w:ascii="Calibri" w:hAnsi="Calibri" w:cs="Calibri"/>
          <w:sz w:val="36"/>
          <w:szCs w:val="36"/>
        </w:rPr>
        <w:t>Part 2 of ECAD4009</w:t>
      </w:r>
    </w:p>
    <w:p w14:paraId="678A5329" w14:textId="316B1D74" w:rsidR="000401D7" w:rsidRPr="000401D7" w:rsidRDefault="000401D7" w:rsidP="000401D7">
      <w:pPr>
        <w:jc w:val="center"/>
        <w:rPr>
          <w:rFonts w:ascii="Calibri" w:hAnsi="Calibri" w:cs="Calibri"/>
          <w:sz w:val="36"/>
          <w:szCs w:val="36"/>
        </w:rPr>
      </w:pPr>
      <w:r w:rsidRPr="000401D7">
        <w:rPr>
          <w:rFonts w:ascii="Calibri" w:hAnsi="Calibri" w:cs="Calibri"/>
          <w:sz w:val="36"/>
          <w:szCs w:val="36"/>
        </w:rPr>
        <w:t>Hollie Jones</w:t>
      </w:r>
    </w:p>
    <w:p w14:paraId="7555BDA2" w14:textId="43FC5E0F" w:rsidR="000401D7" w:rsidRPr="000401D7" w:rsidRDefault="000401D7" w:rsidP="000401D7">
      <w:pPr>
        <w:jc w:val="center"/>
        <w:rPr>
          <w:rFonts w:ascii="Calibri" w:hAnsi="Calibri" w:cs="Calibri"/>
          <w:sz w:val="36"/>
          <w:szCs w:val="36"/>
        </w:rPr>
      </w:pPr>
      <w:r w:rsidRPr="000401D7">
        <w:rPr>
          <w:rFonts w:ascii="Calibri" w:hAnsi="Calibri" w:cs="Calibri"/>
          <w:sz w:val="36"/>
          <w:szCs w:val="36"/>
        </w:rPr>
        <w:t>1905098</w:t>
      </w:r>
    </w:p>
    <w:p w14:paraId="43B13E9D" w14:textId="0FB69185" w:rsidR="000401D7" w:rsidRPr="000401D7" w:rsidRDefault="000401D7" w:rsidP="000401D7">
      <w:pPr>
        <w:jc w:val="center"/>
        <w:rPr>
          <w:rFonts w:ascii="Calibri" w:hAnsi="Calibri" w:cs="Calibri"/>
          <w:sz w:val="36"/>
          <w:szCs w:val="36"/>
        </w:rPr>
      </w:pPr>
    </w:p>
    <w:p w14:paraId="0A424101" w14:textId="72D34700" w:rsidR="00427425" w:rsidRPr="000401D7" w:rsidRDefault="00427425" w:rsidP="00427425">
      <w:pPr>
        <w:jc w:val="center"/>
        <w:rPr>
          <w:rFonts w:ascii="Calibri" w:hAnsi="Calibri" w:cs="Calibri"/>
          <w:color w:val="000000"/>
          <w:sz w:val="36"/>
          <w:szCs w:val="36"/>
        </w:rPr>
      </w:pPr>
      <w:r w:rsidRPr="000401D7">
        <w:rPr>
          <w:rFonts w:ascii="Calibri" w:hAnsi="Calibri" w:cs="Calibri"/>
          <w:color w:val="000000"/>
          <w:sz w:val="36"/>
          <w:szCs w:val="36"/>
        </w:rPr>
        <w:t>A reflective account: how has literature and professional experience challenged your beliefs and assumptions about how schools respond to opportunities and challenges in their community</w:t>
      </w:r>
      <w:r w:rsidR="000401D7" w:rsidRPr="000401D7">
        <w:rPr>
          <w:rFonts w:ascii="Calibri" w:hAnsi="Calibri" w:cs="Calibri"/>
          <w:color w:val="000000"/>
          <w:sz w:val="36"/>
          <w:szCs w:val="36"/>
        </w:rPr>
        <w:t>?</w:t>
      </w:r>
    </w:p>
    <w:p w14:paraId="74A5F496" w14:textId="2FD66355" w:rsidR="000401D7" w:rsidRDefault="000401D7" w:rsidP="000401D7">
      <w:pPr>
        <w:rPr>
          <w:rFonts w:ascii="Calibri" w:hAnsi="Calibri" w:cs="Calibri"/>
          <w:sz w:val="28"/>
          <w:szCs w:val="28"/>
        </w:rPr>
      </w:pPr>
    </w:p>
    <w:p w14:paraId="4EAD6FD2" w14:textId="6EA7B11D" w:rsidR="00D76D46" w:rsidRDefault="00D76D46" w:rsidP="000401D7">
      <w:pPr>
        <w:rPr>
          <w:rFonts w:ascii="Calibri" w:hAnsi="Calibri" w:cs="Calibri"/>
          <w:sz w:val="28"/>
          <w:szCs w:val="28"/>
        </w:rPr>
      </w:pPr>
    </w:p>
    <w:p w14:paraId="32429FF8" w14:textId="04CBF556" w:rsidR="00D76D46" w:rsidRPr="00E96C44" w:rsidRDefault="0097261B" w:rsidP="000401D7">
      <w:pPr>
        <w:rPr>
          <w:rFonts w:ascii="Calibri" w:hAnsi="Calibri" w:cs="Calibri"/>
          <w:sz w:val="28"/>
          <w:szCs w:val="28"/>
        </w:rPr>
      </w:pPr>
      <w:r w:rsidRPr="00E96C44">
        <w:rPr>
          <w:rFonts w:ascii="Calibri" w:hAnsi="Calibri" w:cs="Calibri"/>
          <w:sz w:val="28"/>
          <w:szCs w:val="28"/>
        </w:rPr>
        <w:t>Targets from previous assignment:</w:t>
      </w:r>
    </w:p>
    <w:p w14:paraId="1F8FA26F" w14:textId="57B290C9" w:rsidR="0097261B" w:rsidRPr="00E96C44" w:rsidRDefault="0097261B" w:rsidP="0097261B">
      <w:pPr>
        <w:rPr>
          <w:rFonts w:ascii="Calibri" w:hAnsi="Calibri" w:cs="Calibri"/>
          <w:sz w:val="28"/>
          <w:szCs w:val="28"/>
        </w:rPr>
      </w:pPr>
    </w:p>
    <w:p w14:paraId="4202A9C5" w14:textId="1F2E8342" w:rsidR="00E96C44" w:rsidRPr="00E96C44" w:rsidRDefault="00E96C44" w:rsidP="00E96C44">
      <w:pPr>
        <w:pStyle w:val="NormalWeb"/>
        <w:numPr>
          <w:ilvl w:val="0"/>
          <w:numId w:val="2"/>
        </w:numPr>
        <w:spacing w:before="0" w:beforeAutospacing="0" w:after="0" w:afterAutospacing="0"/>
        <w:rPr>
          <w:rFonts w:asciiTheme="minorHAnsi" w:hAnsiTheme="minorHAnsi" w:cstheme="minorHAnsi"/>
          <w:color w:val="283041"/>
          <w:sz w:val="28"/>
          <w:szCs w:val="28"/>
        </w:rPr>
      </w:pPr>
      <w:r w:rsidRPr="00E96C44">
        <w:rPr>
          <w:rFonts w:asciiTheme="minorHAnsi" w:hAnsiTheme="minorHAnsi" w:cstheme="minorHAnsi"/>
          <w:color w:val="283041"/>
          <w:sz w:val="28"/>
          <w:szCs w:val="28"/>
        </w:rPr>
        <w:t xml:space="preserve">To select all reading with a developing awareness of </w:t>
      </w:r>
      <w:r w:rsidRPr="00E96C44">
        <w:rPr>
          <w:rFonts w:asciiTheme="minorHAnsi" w:hAnsiTheme="minorHAnsi" w:cstheme="minorHAnsi"/>
          <w:color w:val="283041"/>
          <w:sz w:val="28"/>
          <w:szCs w:val="28"/>
        </w:rPr>
        <w:t>its</w:t>
      </w:r>
      <w:r w:rsidRPr="00E96C44">
        <w:rPr>
          <w:rFonts w:asciiTheme="minorHAnsi" w:hAnsiTheme="minorHAnsi" w:cstheme="minorHAnsi"/>
          <w:color w:val="283041"/>
          <w:sz w:val="28"/>
          <w:szCs w:val="28"/>
        </w:rPr>
        <w:t xml:space="preserve"> usefulness as evidence.</w:t>
      </w:r>
      <w:r w:rsidRPr="00E96C44">
        <w:rPr>
          <w:rStyle w:val="apple-converted-space"/>
          <w:rFonts w:asciiTheme="minorHAnsi" w:hAnsiTheme="minorHAnsi" w:cstheme="minorHAnsi"/>
          <w:color w:val="283041"/>
          <w:sz w:val="28"/>
          <w:szCs w:val="28"/>
        </w:rPr>
        <w:t> </w:t>
      </w:r>
    </w:p>
    <w:p w14:paraId="7B37B352" w14:textId="77777777" w:rsidR="00E96C44" w:rsidRPr="00E96C44" w:rsidRDefault="00E96C44" w:rsidP="00E96C44">
      <w:pPr>
        <w:pStyle w:val="NormalWeb"/>
        <w:spacing w:before="0" w:beforeAutospacing="0" w:after="0" w:afterAutospacing="0"/>
        <w:ind w:left="720"/>
        <w:rPr>
          <w:rFonts w:asciiTheme="minorHAnsi" w:hAnsiTheme="minorHAnsi" w:cstheme="minorHAnsi"/>
          <w:color w:val="283041"/>
          <w:sz w:val="28"/>
          <w:szCs w:val="28"/>
        </w:rPr>
      </w:pPr>
    </w:p>
    <w:p w14:paraId="22E738F1" w14:textId="77777777" w:rsidR="00E96C44" w:rsidRPr="00E96C44" w:rsidRDefault="00E96C44" w:rsidP="00E96C44">
      <w:pPr>
        <w:pStyle w:val="NormalWeb"/>
        <w:numPr>
          <w:ilvl w:val="0"/>
          <w:numId w:val="2"/>
        </w:numPr>
        <w:spacing w:before="0" w:beforeAutospacing="0" w:after="0" w:afterAutospacing="0"/>
        <w:rPr>
          <w:rFonts w:asciiTheme="minorHAnsi" w:hAnsiTheme="minorHAnsi" w:cstheme="minorHAnsi"/>
          <w:color w:val="283041"/>
          <w:sz w:val="28"/>
          <w:szCs w:val="28"/>
        </w:rPr>
      </w:pPr>
      <w:r w:rsidRPr="00E96C44">
        <w:rPr>
          <w:rFonts w:asciiTheme="minorHAnsi" w:hAnsiTheme="minorHAnsi" w:cstheme="minorHAnsi"/>
          <w:color w:val="283041"/>
          <w:sz w:val="28"/>
          <w:szCs w:val="28"/>
        </w:rPr>
        <w:t>To ensure engagement with appropriate curricular (e.g. Estyn, Welsh Government) documents as part of background reading.</w:t>
      </w:r>
    </w:p>
    <w:p w14:paraId="786947E2" w14:textId="77777777" w:rsidR="0097261B" w:rsidRPr="0097261B" w:rsidRDefault="0097261B" w:rsidP="00E96C44">
      <w:pPr>
        <w:pStyle w:val="ListParagraph"/>
        <w:rPr>
          <w:rFonts w:ascii="Calibri" w:hAnsi="Calibri" w:cs="Calibri"/>
          <w:sz w:val="28"/>
          <w:szCs w:val="28"/>
        </w:rPr>
      </w:pPr>
    </w:p>
    <w:p w14:paraId="2E601D6E" w14:textId="3855D476" w:rsidR="00D76D46" w:rsidRDefault="00D76D46" w:rsidP="000401D7">
      <w:pPr>
        <w:rPr>
          <w:rFonts w:ascii="Calibri" w:hAnsi="Calibri" w:cs="Calibri"/>
          <w:sz w:val="28"/>
          <w:szCs w:val="28"/>
        </w:rPr>
      </w:pPr>
    </w:p>
    <w:p w14:paraId="4FC481FE" w14:textId="40BBBFEB" w:rsidR="00D76D46" w:rsidRDefault="00D76D46" w:rsidP="000401D7">
      <w:pPr>
        <w:rPr>
          <w:rFonts w:ascii="Calibri" w:hAnsi="Calibri" w:cs="Calibri"/>
          <w:sz w:val="28"/>
          <w:szCs w:val="28"/>
        </w:rPr>
      </w:pPr>
    </w:p>
    <w:p w14:paraId="7DBE819E" w14:textId="107F9625" w:rsidR="00D76D46" w:rsidRDefault="00D76D46" w:rsidP="000401D7">
      <w:pPr>
        <w:rPr>
          <w:rFonts w:ascii="Calibri" w:hAnsi="Calibri" w:cs="Calibri"/>
          <w:sz w:val="28"/>
          <w:szCs w:val="28"/>
        </w:rPr>
      </w:pPr>
    </w:p>
    <w:p w14:paraId="09AFB3C8" w14:textId="3490A4D2" w:rsidR="00D76D46" w:rsidRDefault="00D76D46" w:rsidP="000401D7">
      <w:pPr>
        <w:rPr>
          <w:rFonts w:ascii="Calibri" w:hAnsi="Calibri" w:cs="Calibri"/>
          <w:sz w:val="28"/>
          <w:szCs w:val="28"/>
        </w:rPr>
      </w:pPr>
    </w:p>
    <w:p w14:paraId="2C0FE9BA" w14:textId="79864B73" w:rsidR="00D76D46" w:rsidRDefault="00D76D46" w:rsidP="000401D7">
      <w:pPr>
        <w:rPr>
          <w:rFonts w:ascii="Calibri" w:hAnsi="Calibri" w:cs="Calibri"/>
          <w:sz w:val="28"/>
          <w:szCs w:val="28"/>
        </w:rPr>
      </w:pPr>
    </w:p>
    <w:p w14:paraId="3009748A" w14:textId="75C88C0D" w:rsidR="00D76D46" w:rsidRDefault="00D76D46" w:rsidP="000401D7">
      <w:pPr>
        <w:rPr>
          <w:rFonts w:ascii="Calibri" w:hAnsi="Calibri" w:cs="Calibri"/>
          <w:sz w:val="28"/>
          <w:szCs w:val="28"/>
        </w:rPr>
      </w:pPr>
    </w:p>
    <w:p w14:paraId="29B1B839" w14:textId="21F532F5" w:rsidR="00D76D46" w:rsidRDefault="00D76D46" w:rsidP="000401D7">
      <w:pPr>
        <w:rPr>
          <w:rFonts w:ascii="Calibri" w:hAnsi="Calibri" w:cs="Calibri"/>
          <w:sz w:val="28"/>
          <w:szCs w:val="28"/>
        </w:rPr>
      </w:pPr>
    </w:p>
    <w:p w14:paraId="56B0A915" w14:textId="525380CA" w:rsidR="00D76D46" w:rsidRDefault="00D76D46" w:rsidP="000401D7">
      <w:pPr>
        <w:rPr>
          <w:rFonts w:ascii="Calibri" w:hAnsi="Calibri" w:cs="Calibri"/>
          <w:sz w:val="28"/>
          <w:szCs w:val="28"/>
        </w:rPr>
      </w:pPr>
    </w:p>
    <w:p w14:paraId="6880B061" w14:textId="2BFB61C4" w:rsidR="00D76D46" w:rsidRDefault="00D76D46" w:rsidP="000401D7">
      <w:pPr>
        <w:rPr>
          <w:rFonts w:ascii="Calibri" w:hAnsi="Calibri" w:cs="Calibri"/>
          <w:sz w:val="28"/>
          <w:szCs w:val="28"/>
        </w:rPr>
      </w:pPr>
    </w:p>
    <w:p w14:paraId="65E25E96" w14:textId="38539E26" w:rsidR="00D76D46" w:rsidRDefault="00D76D46" w:rsidP="000401D7">
      <w:pPr>
        <w:rPr>
          <w:rFonts w:ascii="Calibri" w:hAnsi="Calibri" w:cs="Calibri"/>
          <w:sz w:val="28"/>
          <w:szCs w:val="28"/>
        </w:rPr>
      </w:pPr>
    </w:p>
    <w:p w14:paraId="7AE6E2BB" w14:textId="0695125A" w:rsidR="00D76D46" w:rsidRDefault="00D76D46" w:rsidP="000401D7">
      <w:pPr>
        <w:rPr>
          <w:rFonts w:ascii="Calibri" w:hAnsi="Calibri" w:cs="Calibri"/>
          <w:sz w:val="28"/>
          <w:szCs w:val="28"/>
        </w:rPr>
      </w:pPr>
    </w:p>
    <w:p w14:paraId="1FEDC843" w14:textId="00286359" w:rsidR="00D76D46" w:rsidRDefault="00D76D46" w:rsidP="000401D7">
      <w:pPr>
        <w:rPr>
          <w:rFonts w:ascii="Calibri" w:hAnsi="Calibri" w:cs="Calibri"/>
          <w:sz w:val="28"/>
          <w:szCs w:val="28"/>
        </w:rPr>
      </w:pPr>
    </w:p>
    <w:p w14:paraId="2877F8DE" w14:textId="1D932495" w:rsidR="00D76D46" w:rsidRDefault="00D76D46" w:rsidP="000401D7">
      <w:pPr>
        <w:rPr>
          <w:rFonts w:ascii="Calibri" w:hAnsi="Calibri" w:cs="Calibri"/>
          <w:sz w:val="28"/>
          <w:szCs w:val="28"/>
        </w:rPr>
      </w:pPr>
    </w:p>
    <w:p w14:paraId="30EF3861" w14:textId="6452A951" w:rsidR="00D76D46" w:rsidRDefault="00D76D46" w:rsidP="000401D7">
      <w:pPr>
        <w:rPr>
          <w:rFonts w:ascii="Calibri" w:hAnsi="Calibri" w:cs="Calibri"/>
          <w:sz w:val="28"/>
          <w:szCs w:val="28"/>
        </w:rPr>
      </w:pPr>
    </w:p>
    <w:p w14:paraId="52367E96" w14:textId="0FA32B7E" w:rsidR="00D76D46" w:rsidRDefault="00D76D46" w:rsidP="000401D7">
      <w:pPr>
        <w:rPr>
          <w:rFonts w:ascii="Calibri" w:hAnsi="Calibri" w:cs="Calibri"/>
          <w:sz w:val="28"/>
          <w:szCs w:val="28"/>
        </w:rPr>
      </w:pPr>
    </w:p>
    <w:p w14:paraId="01C842F0" w14:textId="7ABCB392" w:rsidR="00D76D46" w:rsidRDefault="00D76D46" w:rsidP="000401D7">
      <w:pPr>
        <w:rPr>
          <w:rFonts w:ascii="Calibri" w:hAnsi="Calibri" w:cs="Calibri"/>
          <w:sz w:val="28"/>
          <w:szCs w:val="28"/>
        </w:rPr>
      </w:pPr>
    </w:p>
    <w:p w14:paraId="3441E5B2" w14:textId="5F15BF98" w:rsidR="00D76D46" w:rsidRDefault="00D76D46" w:rsidP="000401D7">
      <w:pPr>
        <w:rPr>
          <w:rFonts w:ascii="Calibri" w:hAnsi="Calibri" w:cs="Calibri"/>
          <w:sz w:val="28"/>
          <w:szCs w:val="28"/>
        </w:rPr>
      </w:pPr>
    </w:p>
    <w:p w14:paraId="7F3C0DA3" w14:textId="3DE41376" w:rsidR="00D76D46" w:rsidRDefault="00D76D46" w:rsidP="000401D7">
      <w:pPr>
        <w:rPr>
          <w:rFonts w:ascii="Calibri" w:hAnsi="Calibri" w:cs="Calibri"/>
          <w:sz w:val="28"/>
          <w:szCs w:val="28"/>
        </w:rPr>
      </w:pPr>
    </w:p>
    <w:p w14:paraId="55A1D5C0" w14:textId="77777777" w:rsidR="00C973DC" w:rsidRDefault="00C973DC" w:rsidP="002C17E2">
      <w:pPr>
        <w:spacing w:line="360" w:lineRule="auto"/>
        <w:rPr>
          <w:rFonts w:ascii="Calibri" w:hAnsi="Calibri" w:cs="Calibri"/>
          <w:sz w:val="28"/>
          <w:szCs w:val="28"/>
        </w:rPr>
      </w:pPr>
    </w:p>
    <w:p w14:paraId="3570AB1C" w14:textId="76B695E8" w:rsidR="000D2EC1" w:rsidRDefault="002C17E2" w:rsidP="002C17E2">
      <w:pPr>
        <w:spacing w:line="360" w:lineRule="auto"/>
        <w:rPr>
          <w:rFonts w:ascii="Calibri" w:hAnsi="Calibri" w:cs="Calibri"/>
          <w:sz w:val="22"/>
          <w:szCs w:val="22"/>
        </w:rPr>
      </w:pPr>
      <w:r w:rsidRPr="00147C99">
        <w:rPr>
          <w:rFonts w:ascii="Calibri" w:hAnsi="Calibri" w:cs="Calibri"/>
          <w:sz w:val="22"/>
          <w:szCs w:val="22"/>
        </w:rPr>
        <w:lastRenderedPageBreak/>
        <w:t>Currently, I feel like I have a few relatively established beliefs about teaching within the foundation phase.</w:t>
      </w:r>
      <w:r w:rsidR="00671156" w:rsidRPr="00147C99">
        <w:rPr>
          <w:rFonts w:ascii="Calibri" w:hAnsi="Calibri" w:cs="Calibri"/>
          <w:sz w:val="22"/>
          <w:szCs w:val="22"/>
        </w:rPr>
        <w:t xml:space="preserve"> My first belief is that children will</w:t>
      </w:r>
      <w:r w:rsidR="007E00E4" w:rsidRPr="00147C99">
        <w:rPr>
          <w:rFonts w:ascii="Calibri" w:hAnsi="Calibri" w:cs="Calibri"/>
          <w:sz w:val="22"/>
          <w:szCs w:val="22"/>
        </w:rPr>
        <w:t xml:space="preserve"> learn in the most effective way by solving problems on their own</w:t>
      </w:r>
      <w:r w:rsidR="00A0131C" w:rsidRPr="00147C99">
        <w:rPr>
          <w:rFonts w:ascii="Calibri" w:hAnsi="Calibri" w:cs="Calibri"/>
          <w:sz w:val="22"/>
          <w:szCs w:val="22"/>
        </w:rPr>
        <w:t xml:space="preserve"> first</w:t>
      </w:r>
      <w:r w:rsidR="007E00E4" w:rsidRPr="00147C99">
        <w:rPr>
          <w:rFonts w:ascii="Calibri" w:hAnsi="Calibri" w:cs="Calibri"/>
          <w:sz w:val="22"/>
          <w:szCs w:val="22"/>
        </w:rPr>
        <w:t xml:space="preserve">, then </w:t>
      </w:r>
      <w:r w:rsidR="00900FDA" w:rsidRPr="00147C99">
        <w:rPr>
          <w:rFonts w:ascii="Calibri" w:hAnsi="Calibri" w:cs="Calibri"/>
          <w:sz w:val="22"/>
          <w:szCs w:val="22"/>
        </w:rPr>
        <w:t xml:space="preserve">if they are really struggling, a teacher should intervene. I </w:t>
      </w:r>
      <w:r w:rsidR="002F66C3" w:rsidRPr="00147C99">
        <w:rPr>
          <w:rFonts w:ascii="Calibri" w:hAnsi="Calibri" w:cs="Calibri"/>
          <w:sz w:val="22"/>
          <w:szCs w:val="22"/>
        </w:rPr>
        <w:t xml:space="preserve">think that they’ll only learn if they have the experience of making the mistake by </w:t>
      </w:r>
      <w:r w:rsidR="00A0131C" w:rsidRPr="00147C99">
        <w:rPr>
          <w:rFonts w:ascii="Calibri" w:hAnsi="Calibri" w:cs="Calibri"/>
          <w:sz w:val="22"/>
          <w:szCs w:val="22"/>
        </w:rPr>
        <w:t>themselves and</w:t>
      </w:r>
      <w:r w:rsidR="002F66C3" w:rsidRPr="00147C99">
        <w:rPr>
          <w:rFonts w:ascii="Calibri" w:hAnsi="Calibri" w:cs="Calibri"/>
          <w:sz w:val="22"/>
          <w:szCs w:val="22"/>
        </w:rPr>
        <w:t xml:space="preserve"> </w:t>
      </w:r>
      <w:r w:rsidR="00A26A65" w:rsidRPr="00147C99">
        <w:rPr>
          <w:rFonts w:ascii="Calibri" w:hAnsi="Calibri" w:cs="Calibri"/>
          <w:sz w:val="22"/>
          <w:szCs w:val="22"/>
        </w:rPr>
        <w:t>investigating</w:t>
      </w:r>
      <w:r w:rsidR="002F66C3" w:rsidRPr="00147C99">
        <w:rPr>
          <w:rFonts w:ascii="Calibri" w:hAnsi="Calibri" w:cs="Calibri"/>
          <w:sz w:val="22"/>
          <w:szCs w:val="22"/>
        </w:rPr>
        <w:t xml:space="preserve"> how to overcome it.</w:t>
      </w:r>
      <w:r w:rsidR="00A0131C" w:rsidRPr="00147C99">
        <w:rPr>
          <w:rFonts w:ascii="Calibri" w:hAnsi="Calibri" w:cs="Calibri"/>
          <w:sz w:val="22"/>
          <w:szCs w:val="22"/>
        </w:rPr>
        <w:t xml:space="preserve"> </w:t>
      </w:r>
      <w:r w:rsidR="00D043EF" w:rsidRPr="00147C99">
        <w:rPr>
          <w:rFonts w:ascii="Calibri" w:hAnsi="Calibri" w:cs="Calibri"/>
          <w:sz w:val="22"/>
          <w:szCs w:val="22"/>
        </w:rPr>
        <w:t>This belief has come from a personal standpoint as I feel that that’s how I</w:t>
      </w:r>
      <w:r w:rsidR="00BE592C" w:rsidRPr="00147C99">
        <w:rPr>
          <w:rFonts w:ascii="Calibri" w:hAnsi="Calibri" w:cs="Calibri"/>
          <w:sz w:val="22"/>
          <w:szCs w:val="22"/>
        </w:rPr>
        <w:t xml:space="preserve">’ve </w:t>
      </w:r>
      <w:r w:rsidR="00D043EF" w:rsidRPr="00147C99">
        <w:rPr>
          <w:rFonts w:ascii="Calibri" w:hAnsi="Calibri" w:cs="Calibri"/>
          <w:sz w:val="22"/>
          <w:szCs w:val="22"/>
        </w:rPr>
        <w:t xml:space="preserve">learned </w:t>
      </w:r>
      <w:r w:rsidR="00B27AC5" w:rsidRPr="00147C99">
        <w:rPr>
          <w:rFonts w:ascii="Calibri" w:hAnsi="Calibri" w:cs="Calibri"/>
          <w:sz w:val="22"/>
          <w:szCs w:val="22"/>
        </w:rPr>
        <w:t xml:space="preserve">the best growing up. I </w:t>
      </w:r>
      <w:r w:rsidR="00A76150" w:rsidRPr="00147C99">
        <w:rPr>
          <w:rFonts w:ascii="Calibri" w:hAnsi="Calibri" w:cs="Calibri"/>
          <w:sz w:val="22"/>
          <w:szCs w:val="22"/>
        </w:rPr>
        <w:t>f</w:t>
      </w:r>
      <w:r w:rsidR="00BE592C" w:rsidRPr="00147C99">
        <w:rPr>
          <w:rFonts w:ascii="Calibri" w:hAnsi="Calibri" w:cs="Calibri"/>
          <w:sz w:val="22"/>
          <w:szCs w:val="22"/>
        </w:rPr>
        <w:t>eel</w:t>
      </w:r>
      <w:r w:rsidR="00A76150" w:rsidRPr="00147C99">
        <w:rPr>
          <w:rFonts w:ascii="Calibri" w:hAnsi="Calibri" w:cs="Calibri"/>
          <w:sz w:val="22"/>
          <w:szCs w:val="22"/>
        </w:rPr>
        <w:t xml:space="preserve"> that I’d never learn if a teacher didn’t let me make a mistake first and t</w:t>
      </w:r>
      <w:r w:rsidR="00BE592C" w:rsidRPr="00147C99">
        <w:rPr>
          <w:rFonts w:ascii="Calibri" w:hAnsi="Calibri" w:cs="Calibri"/>
          <w:sz w:val="22"/>
          <w:szCs w:val="22"/>
        </w:rPr>
        <w:t>ell</w:t>
      </w:r>
      <w:r w:rsidR="00A76150" w:rsidRPr="00147C99">
        <w:rPr>
          <w:rFonts w:ascii="Calibri" w:hAnsi="Calibri" w:cs="Calibri"/>
          <w:sz w:val="22"/>
          <w:szCs w:val="22"/>
        </w:rPr>
        <w:t xml:space="preserve"> me the answer straight away.</w:t>
      </w:r>
      <w:r w:rsidR="00BE592C" w:rsidRPr="00147C99">
        <w:rPr>
          <w:rFonts w:ascii="Calibri" w:hAnsi="Calibri" w:cs="Calibri"/>
          <w:sz w:val="22"/>
          <w:szCs w:val="22"/>
        </w:rPr>
        <w:t xml:space="preserve"> </w:t>
      </w:r>
      <w:r w:rsidR="00416FFE" w:rsidRPr="00147C99">
        <w:rPr>
          <w:rFonts w:ascii="Calibri" w:hAnsi="Calibri" w:cs="Calibri"/>
          <w:sz w:val="22"/>
          <w:szCs w:val="22"/>
        </w:rPr>
        <w:t>This would be considered a constructivist’s way of teaching</w:t>
      </w:r>
      <w:r w:rsidR="000E67D2" w:rsidRPr="00147C99">
        <w:rPr>
          <w:rFonts w:ascii="Calibri" w:hAnsi="Calibri" w:cs="Calibri"/>
          <w:sz w:val="22"/>
          <w:szCs w:val="22"/>
        </w:rPr>
        <w:t>, and falls in line with Piaget’s theory of constructivism</w:t>
      </w:r>
      <w:r w:rsidR="00DA66A8" w:rsidRPr="00147C99">
        <w:rPr>
          <w:rFonts w:ascii="Calibri" w:hAnsi="Calibri" w:cs="Calibri"/>
          <w:sz w:val="22"/>
          <w:szCs w:val="22"/>
        </w:rPr>
        <w:t xml:space="preserve">, saying that </w:t>
      </w:r>
      <w:r w:rsidR="003346A4" w:rsidRPr="00147C99">
        <w:rPr>
          <w:rFonts w:ascii="Calibri" w:hAnsi="Calibri" w:cs="Calibri"/>
          <w:sz w:val="22"/>
          <w:szCs w:val="22"/>
        </w:rPr>
        <w:t xml:space="preserve">knowledge and understanding </w:t>
      </w:r>
      <w:r w:rsidR="009B54A7" w:rsidRPr="00147C99">
        <w:rPr>
          <w:rFonts w:ascii="Calibri" w:hAnsi="Calibri" w:cs="Calibri"/>
          <w:sz w:val="22"/>
          <w:szCs w:val="22"/>
        </w:rPr>
        <w:t xml:space="preserve">doesn’t come through direct instruction, but </w:t>
      </w:r>
      <w:r w:rsidR="009C234C" w:rsidRPr="00147C99">
        <w:rPr>
          <w:rFonts w:ascii="Calibri" w:hAnsi="Calibri" w:cs="Calibri"/>
          <w:sz w:val="22"/>
          <w:szCs w:val="22"/>
        </w:rPr>
        <w:t>active adaptation of children. (</w:t>
      </w:r>
      <w:r w:rsidR="007E5C74" w:rsidRPr="00147C99">
        <w:rPr>
          <w:rFonts w:ascii="Calibri" w:hAnsi="Calibri" w:cs="Calibri"/>
          <w:sz w:val="22"/>
          <w:szCs w:val="22"/>
        </w:rPr>
        <w:t>Gregory</w:t>
      </w:r>
      <w:r w:rsidR="002226A1" w:rsidRPr="00147C99">
        <w:rPr>
          <w:rFonts w:ascii="Calibri" w:hAnsi="Calibri" w:cs="Calibri"/>
          <w:sz w:val="22"/>
          <w:szCs w:val="22"/>
        </w:rPr>
        <w:t>, 200</w:t>
      </w:r>
      <w:r w:rsidR="001C3CA5" w:rsidRPr="00147C99">
        <w:rPr>
          <w:rFonts w:ascii="Calibri" w:hAnsi="Calibri" w:cs="Calibri"/>
          <w:sz w:val="22"/>
          <w:szCs w:val="22"/>
        </w:rPr>
        <w:t xml:space="preserve">4). </w:t>
      </w:r>
      <w:r w:rsidR="00211D37" w:rsidRPr="00147C99">
        <w:rPr>
          <w:rFonts w:ascii="Calibri" w:hAnsi="Calibri" w:cs="Calibri"/>
          <w:sz w:val="22"/>
          <w:szCs w:val="22"/>
        </w:rPr>
        <w:t xml:space="preserve"> </w:t>
      </w:r>
    </w:p>
    <w:p w14:paraId="5F086920" w14:textId="03728823" w:rsidR="005F67FE" w:rsidRDefault="0089580A" w:rsidP="002C17E2">
      <w:pPr>
        <w:spacing w:line="360" w:lineRule="auto"/>
        <w:rPr>
          <w:rFonts w:ascii="Calibri" w:hAnsi="Calibri" w:cs="Calibri"/>
          <w:sz w:val="22"/>
          <w:szCs w:val="22"/>
        </w:rPr>
      </w:pPr>
      <w:r w:rsidRPr="00147C99">
        <w:rPr>
          <w:rFonts w:ascii="Calibri" w:hAnsi="Calibri" w:cs="Calibri"/>
          <w:sz w:val="22"/>
          <w:szCs w:val="22"/>
        </w:rPr>
        <w:t>It’s important to remember that a teacher’s beliefs or assumptions will affect the teaching and learning within that class</w:t>
      </w:r>
      <w:r w:rsidR="00BA59CD" w:rsidRPr="00147C99">
        <w:rPr>
          <w:rFonts w:ascii="Calibri" w:hAnsi="Calibri" w:cs="Calibri"/>
          <w:sz w:val="22"/>
          <w:szCs w:val="22"/>
        </w:rPr>
        <w:t xml:space="preserve">. </w:t>
      </w:r>
      <w:r w:rsidR="000966F1" w:rsidRPr="00147C99">
        <w:rPr>
          <w:rFonts w:ascii="Calibri" w:hAnsi="Calibri" w:cs="Calibri"/>
          <w:sz w:val="22"/>
          <w:szCs w:val="22"/>
        </w:rPr>
        <w:t xml:space="preserve">As </w:t>
      </w:r>
      <w:r w:rsidR="002255C0" w:rsidRPr="00147C99">
        <w:rPr>
          <w:rFonts w:ascii="Calibri" w:hAnsi="Calibri" w:cs="Calibri"/>
          <w:sz w:val="22"/>
          <w:szCs w:val="22"/>
        </w:rPr>
        <w:t>(</w:t>
      </w:r>
      <w:r w:rsidR="00F3127C" w:rsidRPr="00147C99">
        <w:rPr>
          <w:rFonts w:ascii="Calibri" w:hAnsi="Calibri" w:cs="Calibri"/>
          <w:sz w:val="22"/>
          <w:szCs w:val="22"/>
        </w:rPr>
        <w:t>Ročā</w:t>
      </w:r>
      <w:r w:rsidR="00215329" w:rsidRPr="00147C99">
        <w:rPr>
          <w:rFonts w:ascii="Calibri" w:hAnsi="Calibri" w:cs="Calibri"/>
          <w:sz w:val="22"/>
          <w:szCs w:val="22"/>
        </w:rPr>
        <w:t>ne, 2015)</w:t>
      </w:r>
      <w:r w:rsidR="000966F1" w:rsidRPr="00147C99">
        <w:rPr>
          <w:rFonts w:ascii="Calibri" w:hAnsi="Calibri" w:cs="Calibri"/>
          <w:sz w:val="22"/>
          <w:szCs w:val="22"/>
        </w:rPr>
        <w:t xml:space="preserve"> says, </w:t>
      </w:r>
      <w:r w:rsidR="00CC0C9C" w:rsidRPr="00147C99">
        <w:rPr>
          <w:rFonts w:ascii="Calibri" w:hAnsi="Calibri" w:cs="Calibri"/>
          <w:sz w:val="22"/>
          <w:szCs w:val="22"/>
        </w:rPr>
        <w:t xml:space="preserve">“Teacher’s beliefs can influence the way knowledge is acquired, </w:t>
      </w:r>
      <w:r w:rsidR="00A77425" w:rsidRPr="00147C99">
        <w:rPr>
          <w:rFonts w:ascii="Calibri" w:hAnsi="Calibri" w:cs="Calibri"/>
          <w:sz w:val="22"/>
          <w:szCs w:val="22"/>
        </w:rPr>
        <w:t>the students’ actions, as well as the way of thinking and behaviour.</w:t>
      </w:r>
      <w:r w:rsidR="00CD0AD3" w:rsidRPr="00147C99">
        <w:rPr>
          <w:rFonts w:ascii="Calibri" w:hAnsi="Calibri" w:cs="Calibri"/>
          <w:sz w:val="22"/>
          <w:szCs w:val="22"/>
        </w:rPr>
        <w:t xml:space="preserve">” </w:t>
      </w:r>
      <w:r w:rsidR="005E0F99" w:rsidRPr="00147C99">
        <w:rPr>
          <w:rFonts w:ascii="Calibri" w:hAnsi="Calibri" w:cs="Calibri"/>
          <w:sz w:val="22"/>
          <w:szCs w:val="22"/>
        </w:rPr>
        <w:t xml:space="preserve">I </w:t>
      </w:r>
      <w:r w:rsidR="00AA11F2">
        <w:rPr>
          <w:rFonts w:ascii="Calibri" w:hAnsi="Calibri" w:cs="Calibri"/>
          <w:sz w:val="22"/>
          <w:szCs w:val="22"/>
        </w:rPr>
        <w:t>postulate</w:t>
      </w:r>
      <w:r w:rsidR="005E0F99" w:rsidRPr="00147C99">
        <w:rPr>
          <w:rFonts w:ascii="Calibri" w:hAnsi="Calibri" w:cs="Calibri"/>
          <w:sz w:val="22"/>
          <w:szCs w:val="22"/>
        </w:rPr>
        <w:t xml:space="preserve"> that b</w:t>
      </w:r>
      <w:r w:rsidR="005F67FE" w:rsidRPr="00147C99">
        <w:rPr>
          <w:rFonts w:ascii="Calibri" w:hAnsi="Calibri" w:cs="Calibri"/>
          <w:sz w:val="22"/>
          <w:szCs w:val="22"/>
        </w:rPr>
        <w:t xml:space="preserve">eliefs and assumptions will arise </w:t>
      </w:r>
      <w:r w:rsidR="005E0F99" w:rsidRPr="00147C99">
        <w:rPr>
          <w:rFonts w:ascii="Calibri" w:hAnsi="Calibri" w:cs="Calibri"/>
          <w:sz w:val="22"/>
          <w:szCs w:val="22"/>
        </w:rPr>
        <w:t xml:space="preserve">and change </w:t>
      </w:r>
      <w:r w:rsidR="005F67FE" w:rsidRPr="00147C99">
        <w:rPr>
          <w:rFonts w:ascii="Calibri" w:hAnsi="Calibri" w:cs="Calibri"/>
          <w:sz w:val="22"/>
          <w:szCs w:val="22"/>
        </w:rPr>
        <w:t>due to various experience within a teacher’s life/career</w:t>
      </w:r>
      <w:r w:rsidR="005E0F99" w:rsidRPr="00147C99">
        <w:rPr>
          <w:rFonts w:ascii="Calibri" w:hAnsi="Calibri" w:cs="Calibri"/>
          <w:sz w:val="22"/>
          <w:szCs w:val="22"/>
        </w:rPr>
        <w:t>. Huang (2019)</w:t>
      </w:r>
      <w:r w:rsidR="007162C1" w:rsidRPr="00147C99">
        <w:rPr>
          <w:rFonts w:ascii="Calibri" w:hAnsi="Calibri" w:cs="Calibri"/>
          <w:sz w:val="22"/>
          <w:szCs w:val="22"/>
        </w:rPr>
        <w:t xml:space="preserve"> constructed a case study</w:t>
      </w:r>
      <w:r w:rsidR="005E0F99" w:rsidRPr="00147C99">
        <w:rPr>
          <w:rFonts w:ascii="Calibri" w:hAnsi="Calibri" w:cs="Calibri"/>
          <w:sz w:val="22"/>
          <w:szCs w:val="22"/>
        </w:rPr>
        <w:t xml:space="preserve"> </w:t>
      </w:r>
      <w:r w:rsidR="007162C1" w:rsidRPr="00147C99">
        <w:rPr>
          <w:rFonts w:ascii="Calibri" w:hAnsi="Calibri" w:cs="Calibri"/>
          <w:sz w:val="22"/>
          <w:szCs w:val="22"/>
        </w:rPr>
        <w:t>and concluded that</w:t>
      </w:r>
      <w:r w:rsidR="00AB5660" w:rsidRPr="00147C99">
        <w:rPr>
          <w:rFonts w:ascii="Calibri" w:hAnsi="Calibri" w:cs="Calibri"/>
          <w:sz w:val="22"/>
          <w:szCs w:val="22"/>
        </w:rPr>
        <w:t xml:space="preserve"> while teacher’s initial beliefs were shaped </w:t>
      </w:r>
      <w:r w:rsidR="009B35BF" w:rsidRPr="00147C99">
        <w:rPr>
          <w:rFonts w:ascii="Calibri" w:hAnsi="Calibri" w:cs="Calibri"/>
          <w:sz w:val="22"/>
          <w:szCs w:val="22"/>
        </w:rPr>
        <w:t xml:space="preserve">before </w:t>
      </w:r>
      <w:r w:rsidR="00774672" w:rsidRPr="00147C99">
        <w:rPr>
          <w:rFonts w:ascii="Calibri" w:hAnsi="Calibri" w:cs="Calibri"/>
          <w:sz w:val="22"/>
          <w:szCs w:val="22"/>
        </w:rPr>
        <w:t xml:space="preserve">learning to teach, the beliefs changed </w:t>
      </w:r>
      <w:r w:rsidR="00843E40" w:rsidRPr="00147C99">
        <w:rPr>
          <w:rFonts w:ascii="Calibri" w:hAnsi="Calibri" w:cs="Calibri"/>
          <w:sz w:val="22"/>
          <w:szCs w:val="22"/>
        </w:rPr>
        <w:t xml:space="preserve">and reshaped when </w:t>
      </w:r>
      <w:r w:rsidR="00536AE3" w:rsidRPr="00147C99">
        <w:rPr>
          <w:rFonts w:ascii="Calibri" w:hAnsi="Calibri" w:cs="Calibri"/>
          <w:sz w:val="22"/>
          <w:szCs w:val="22"/>
        </w:rPr>
        <w:t>they</w:t>
      </w:r>
      <w:r w:rsidR="00A00FAA" w:rsidRPr="00147C99">
        <w:rPr>
          <w:rFonts w:ascii="Calibri" w:hAnsi="Calibri" w:cs="Calibri"/>
          <w:sz w:val="22"/>
          <w:szCs w:val="22"/>
        </w:rPr>
        <w:t xml:space="preserve"> were confronted with contextual realities</w:t>
      </w:r>
      <w:r w:rsidR="00147C99" w:rsidRPr="00147C99">
        <w:rPr>
          <w:rFonts w:ascii="Calibri" w:hAnsi="Calibri" w:cs="Calibri"/>
          <w:sz w:val="22"/>
          <w:szCs w:val="22"/>
        </w:rPr>
        <w:t xml:space="preserve">. </w:t>
      </w:r>
    </w:p>
    <w:p w14:paraId="0D139CBD" w14:textId="1A445671" w:rsidR="00533425" w:rsidRDefault="000D2EC1" w:rsidP="002C17E2">
      <w:pPr>
        <w:spacing w:line="360" w:lineRule="auto"/>
        <w:rPr>
          <w:rFonts w:ascii="Calibri" w:hAnsi="Calibri" w:cs="Calibri"/>
          <w:sz w:val="22"/>
          <w:szCs w:val="22"/>
        </w:rPr>
      </w:pPr>
      <w:r>
        <w:rPr>
          <w:rFonts w:ascii="Calibri" w:hAnsi="Calibri" w:cs="Calibri"/>
          <w:sz w:val="22"/>
          <w:szCs w:val="22"/>
        </w:rPr>
        <w:t xml:space="preserve">Another belief of mine currently is that </w:t>
      </w:r>
      <w:r w:rsidR="00D90ECA">
        <w:rPr>
          <w:rFonts w:ascii="Calibri" w:hAnsi="Calibri" w:cs="Calibri"/>
          <w:sz w:val="22"/>
          <w:szCs w:val="22"/>
        </w:rPr>
        <w:t xml:space="preserve">children within the foundation phase, especially the younger years, will learn </w:t>
      </w:r>
      <w:r w:rsidR="00CF5969">
        <w:rPr>
          <w:rFonts w:ascii="Calibri" w:hAnsi="Calibri" w:cs="Calibri"/>
          <w:sz w:val="22"/>
          <w:szCs w:val="22"/>
        </w:rPr>
        <w:t xml:space="preserve">much more </w:t>
      </w:r>
      <w:r w:rsidR="000D68B0">
        <w:rPr>
          <w:rFonts w:ascii="Calibri" w:hAnsi="Calibri" w:cs="Calibri"/>
          <w:sz w:val="22"/>
          <w:szCs w:val="22"/>
        </w:rPr>
        <w:t xml:space="preserve">productively </w:t>
      </w:r>
      <w:r w:rsidR="00CF5969">
        <w:rPr>
          <w:rFonts w:ascii="Calibri" w:hAnsi="Calibri" w:cs="Calibri"/>
          <w:sz w:val="22"/>
          <w:szCs w:val="22"/>
        </w:rPr>
        <w:t>through play</w:t>
      </w:r>
      <w:r w:rsidR="000D68B0">
        <w:rPr>
          <w:rFonts w:ascii="Calibri" w:hAnsi="Calibri" w:cs="Calibri"/>
          <w:sz w:val="22"/>
          <w:szCs w:val="22"/>
        </w:rPr>
        <w:t xml:space="preserve">, </w:t>
      </w:r>
      <w:r w:rsidR="00F919B4">
        <w:rPr>
          <w:rFonts w:ascii="Calibri" w:hAnsi="Calibri" w:cs="Calibri"/>
          <w:sz w:val="22"/>
          <w:szCs w:val="22"/>
        </w:rPr>
        <w:t xml:space="preserve">rather </w:t>
      </w:r>
      <w:r w:rsidR="000D68B0">
        <w:rPr>
          <w:rFonts w:ascii="Calibri" w:hAnsi="Calibri" w:cs="Calibri"/>
          <w:sz w:val="22"/>
          <w:szCs w:val="22"/>
        </w:rPr>
        <w:t>than sitting on the carpet/desks for a prolonged amount of time</w:t>
      </w:r>
      <w:r w:rsidR="00F919B4">
        <w:rPr>
          <w:rFonts w:ascii="Calibri" w:hAnsi="Calibri" w:cs="Calibri"/>
          <w:sz w:val="22"/>
          <w:szCs w:val="22"/>
        </w:rPr>
        <w:t>,</w:t>
      </w:r>
      <w:r w:rsidR="000D68B0">
        <w:rPr>
          <w:rFonts w:ascii="Calibri" w:hAnsi="Calibri" w:cs="Calibri"/>
          <w:sz w:val="22"/>
          <w:szCs w:val="22"/>
        </w:rPr>
        <w:t xml:space="preserve"> listening to the teacher feed information to them.</w:t>
      </w:r>
      <w:r w:rsidR="00D47B8F">
        <w:rPr>
          <w:rFonts w:ascii="Calibri" w:hAnsi="Calibri" w:cs="Calibri"/>
          <w:sz w:val="22"/>
          <w:szCs w:val="22"/>
        </w:rPr>
        <w:t xml:space="preserve"> I’m really passionate about the idea of learning through play as I believe it </w:t>
      </w:r>
      <w:r w:rsidR="001A7369">
        <w:rPr>
          <w:rFonts w:ascii="Calibri" w:hAnsi="Calibri" w:cs="Calibri"/>
          <w:sz w:val="22"/>
          <w:szCs w:val="22"/>
        </w:rPr>
        <w:t xml:space="preserve">entails </w:t>
      </w:r>
      <w:r w:rsidR="00D47B8F">
        <w:rPr>
          <w:rFonts w:ascii="Calibri" w:hAnsi="Calibri" w:cs="Calibri"/>
          <w:sz w:val="22"/>
          <w:szCs w:val="22"/>
        </w:rPr>
        <w:t>so many different</w:t>
      </w:r>
      <w:r w:rsidR="005C1723">
        <w:rPr>
          <w:rFonts w:ascii="Calibri" w:hAnsi="Calibri" w:cs="Calibri"/>
          <w:sz w:val="22"/>
          <w:szCs w:val="22"/>
        </w:rPr>
        <w:t xml:space="preserve"> key aspects of learning</w:t>
      </w:r>
      <w:r w:rsidR="001A7369">
        <w:rPr>
          <w:rFonts w:ascii="Calibri" w:hAnsi="Calibri" w:cs="Calibri"/>
          <w:sz w:val="22"/>
          <w:szCs w:val="22"/>
        </w:rPr>
        <w:t xml:space="preserve"> such as sharing</w:t>
      </w:r>
      <w:r w:rsidR="00580ED5">
        <w:rPr>
          <w:rFonts w:ascii="Calibri" w:hAnsi="Calibri" w:cs="Calibri"/>
          <w:sz w:val="22"/>
          <w:szCs w:val="22"/>
        </w:rPr>
        <w:t xml:space="preserve">, problem solving, the development of a creative imagination and so many more. </w:t>
      </w:r>
      <w:r w:rsidR="004B381D">
        <w:rPr>
          <w:rFonts w:ascii="Calibri" w:hAnsi="Calibri" w:cs="Calibri"/>
          <w:sz w:val="22"/>
          <w:szCs w:val="22"/>
        </w:rPr>
        <w:t>Ginsburg (</w:t>
      </w:r>
      <w:r w:rsidR="00153953">
        <w:rPr>
          <w:rFonts w:ascii="Calibri" w:hAnsi="Calibri" w:cs="Calibri"/>
          <w:sz w:val="22"/>
          <w:szCs w:val="22"/>
        </w:rPr>
        <w:t xml:space="preserve">2007) agrees, stating that </w:t>
      </w:r>
      <w:r w:rsidR="000033AD">
        <w:rPr>
          <w:rFonts w:ascii="Calibri" w:hAnsi="Calibri" w:cs="Calibri"/>
          <w:sz w:val="22"/>
          <w:szCs w:val="22"/>
        </w:rPr>
        <w:t xml:space="preserve">“play helps children develop </w:t>
      </w:r>
      <w:r w:rsidR="00CE79D1">
        <w:rPr>
          <w:rFonts w:ascii="Calibri" w:hAnsi="Calibri" w:cs="Calibri"/>
          <w:sz w:val="22"/>
          <w:szCs w:val="22"/>
        </w:rPr>
        <w:t>new competencies that lead to enhanced confidence</w:t>
      </w:r>
      <w:r w:rsidR="00007801">
        <w:rPr>
          <w:rFonts w:ascii="Calibri" w:hAnsi="Calibri" w:cs="Calibri"/>
          <w:sz w:val="22"/>
          <w:szCs w:val="22"/>
        </w:rPr>
        <w:t xml:space="preserve"> and the resilience they will need to face future challenges.”</w:t>
      </w:r>
      <w:r w:rsidR="00006A2D">
        <w:rPr>
          <w:rFonts w:ascii="Calibri" w:hAnsi="Calibri" w:cs="Calibri"/>
          <w:sz w:val="22"/>
          <w:szCs w:val="22"/>
        </w:rPr>
        <w:t xml:space="preserve"> </w:t>
      </w:r>
      <w:r w:rsidR="00B46CB0">
        <w:rPr>
          <w:rFonts w:ascii="Calibri" w:hAnsi="Calibri" w:cs="Calibri"/>
          <w:sz w:val="22"/>
          <w:szCs w:val="22"/>
        </w:rPr>
        <w:t xml:space="preserve">I </w:t>
      </w:r>
      <w:r w:rsidR="003B6D6C">
        <w:rPr>
          <w:rFonts w:ascii="Calibri" w:hAnsi="Calibri" w:cs="Calibri"/>
          <w:sz w:val="22"/>
          <w:szCs w:val="22"/>
        </w:rPr>
        <w:t xml:space="preserve">presume that </w:t>
      </w:r>
      <w:r w:rsidR="00B46CB0">
        <w:rPr>
          <w:rFonts w:ascii="Calibri" w:hAnsi="Calibri" w:cs="Calibri"/>
          <w:sz w:val="22"/>
          <w:szCs w:val="22"/>
        </w:rPr>
        <w:t xml:space="preserve">this belief comes from </w:t>
      </w:r>
      <w:r w:rsidR="00493F49">
        <w:rPr>
          <w:rFonts w:ascii="Calibri" w:hAnsi="Calibri" w:cs="Calibri"/>
          <w:sz w:val="22"/>
          <w:szCs w:val="22"/>
        </w:rPr>
        <w:t>having a younger sibling</w:t>
      </w:r>
      <w:r w:rsidR="003B6D6C">
        <w:rPr>
          <w:rFonts w:ascii="Calibri" w:hAnsi="Calibri" w:cs="Calibri"/>
          <w:sz w:val="22"/>
          <w:szCs w:val="22"/>
        </w:rPr>
        <w:t xml:space="preserve"> and watching him grow up</w:t>
      </w:r>
      <w:r w:rsidR="00A50FC9">
        <w:rPr>
          <w:rFonts w:ascii="Calibri" w:hAnsi="Calibri" w:cs="Calibri"/>
          <w:sz w:val="22"/>
          <w:szCs w:val="22"/>
        </w:rPr>
        <w:t xml:space="preserve">, learning and overcoming challenges whilst playing. </w:t>
      </w:r>
      <w:r w:rsidR="004779D8">
        <w:rPr>
          <w:rFonts w:ascii="Calibri" w:hAnsi="Calibri" w:cs="Calibri"/>
          <w:sz w:val="22"/>
          <w:szCs w:val="22"/>
        </w:rPr>
        <w:t xml:space="preserve">For instance, when we play games such as ‘Operation,’ he learns that he has to be careful when lifting the piece out so that </w:t>
      </w:r>
      <w:r w:rsidR="00125E00">
        <w:rPr>
          <w:rFonts w:ascii="Calibri" w:hAnsi="Calibri" w:cs="Calibri"/>
          <w:sz w:val="22"/>
          <w:szCs w:val="22"/>
        </w:rPr>
        <w:t>it doesn’t buzz, so he adapts and changes his strategy</w:t>
      </w:r>
      <w:r w:rsidR="00E708FE">
        <w:rPr>
          <w:rFonts w:ascii="Calibri" w:hAnsi="Calibri" w:cs="Calibri"/>
          <w:sz w:val="22"/>
          <w:szCs w:val="22"/>
        </w:rPr>
        <w:t xml:space="preserve"> so that he doesn’t receive the negative outcome.</w:t>
      </w:r>
      <w:r w:rsidR="00593820">
        <w:rPr>
          <w:rFonts w:ascii="Calibri" w:hAnsi="Calibri" w:cs="Calibri"/>
          <w:sz w:val="22"/>
          <w:szCs w:val="22"/>
        </w:rPr>
        <w:t xml:space="preserve"> He can then apply this to everyday life; if he wants a positive outcome</w:t>
      </w:r>
      <w:r w:rsidR="000F317C">
        <w:rPr>
          <w:rFonts w:ascii="Calibri" w:hAnsi="Calibri" w:cs="Calibri"/>
          <w:sz w:val="22"/>
          <w:szCs w:val="22"/>
        </w:rPr>
        <w:t xml:space="preserve"> </w:t>
      </w:r>
      <w:r w:rsidR="00593820">
        <w:rPr>
          <w:rFonts w:ascii="Calibri" w:hAnsi="Calibri" w:cs="Calibri"/>
          <w:sz w:val="22"/>
          <w:szCs w:val="22"/>
        </w:rPr>
        <w:t xml:space="preserve">but isn’t </w:t>
      </w:r>
      <w:r w:rsidR="000F317C">
        <w:rPr>
          <w:rFonts w:ascii="Calibri" w:hAnsi="Calibri" w:cs="Calibri"/>
          <w:sz w:val="22"/>
          <w:szCs w:val="22"/>
        </w:rPr>
        <w:t xml:space="preserve">acquiring it, </w:t>
      </w:r>
      <w:r w:rsidR="00593820">
        <w:rPr>
          <w:rFonts w:ascii="Calibri" w:hAnsi="Calibri" w:cs="Calibri"/>
          <w:sz w:val="22"/>
          <w:szCs w:val="22"/>
        </w:rPr>
        <w:t xml:space="preserve">he may have to adapt and change his strategy. </w:t>
      </w:r>
    </w:p>
    <w:p w14:paraId="4AB4ED7E" w14:textId="77777777" w:rsidR="00DD553E" w:rsidRPr="00DD553E" w:rsidRDefault="00DD553E" w:rsidP="002C17E2">
      <w:pPr>
        <w:spacing w:line="360" w:lineRule="auto"/>
        <w:rPr>
          <w:rFonts w:ascii="Calibri" w:hAnsi="Calibri" w:cs="Calibri"/>
          <w:sz w:val="22"/>
          <w:szCs w:val="22"/>
        </w:rPr>
      </w:pPr>
    </w:p>
    <w:p w14:paraId="175EB489" w14:textId="115FB6A8" w:rsidR="003A7347" w:rsidRDefault="000B5FEB" w:rsidP="002C17E2">
      <w:pPr>
        <w:spacing w:line="360" w:lineRule="auto"/>
        <w:rPr>
          <w:rFonts w:ascii="Calibri" w:hAnsi="Calibri" w:cs="Calibri"/>
          <w:sz w:val="22"/>
          <w:szCs w:val="22"/>
        </w:rPr>
      </w:pPr>
      <w:r w:rsidRPr="00044F87">
        <w:rPr>
          <w:rFonts w:ascii="Calibri" w:hAnsi="Calibri" w:cs="Calibri"/>
          <w:sz w:val="22"/>
          <w:szCs w:val="22"/>
        </w:rPr>
        <w:t xml:space="preserve">During my bridging experience, I’ve learned so much </w:t>
      </w:r>
      <w:r w:rsidR="00D5302D">
        <w:rPr>
          <w:rFonts w:ascii="Calibri" w:hAnsi="Calibri" w:cs="Calibri"/>
          <w:sz w:val="22"/>
          <w:szCs w:val="22"/>
        </w:rPr>
        <w:t xml:space="preserve">regarding </w:t>
      </w:r>
      <w:r w:rsidR="00DB0061">
        <w:rPr>
          <w:rFonts w:ascii="Calibri" w:hAnsi="Calibri" w:cs="Calibri"/>
          <w:sz w:val="22"/>
          <w:szCs w:val="22"/>
        </w:rPr>
        <w:t>how I feel about being a teacher in the foundation phase</w:t>
      </w:r>
      <w:r w:rsidR="000E6BBF">
        <w:rPr>
          <w:rFonts w:ascii="Calibri" w:hAnsi="Calibri" w:cs="Calibri"/>
          <w:sz w:val="22"/>
          <w:szCs w:val="22"/>
        </w:rPr>
        <w:t>. I now have new beliefs based on this experience</w:t>
      </w:r>
      <w:r w:rsidR="000D16BF">
        <w:rPr>
          <w:rFonts w:ascii="Calibri" w:hAnsi="Calibri" w:cs="Calibri"/>
          <w:sz w:val="22"/>
          <w:szCs w:val="22"/>
        </w:rPr>
        <w:t>,</w:t>
      </w:r>
      <w:r w:rsidR="000E6BBF">
        <w:rPr>
          <w:rFonts w:ascii="Calibri" w:hAnsi="Calibri" w:cs="Calibri"/>
          <w:sz w:val="22"/>
          <w:szCs w:val="22"/>
        </w:rPr>
        <w:t xml:space="preserve"> and </w:t>
      </w:r>
      <w:r w:rsidR="006660D9">
        <w:rPr>
          <w:rFonts w:ascii="Calibri" w:hAnsi="Calibri" w:cs="Calibri"/>
          <w:sz w:val="22"/>
          <w:szCs w:val="22"/>
        </w:rPr>
        <w:t>from what I’ve read</w:t>
      </w:r>
      <w:r w:rsidR="000D16BF">
        <w:rPr>
          <w:rFonts w:ascii="Calibri" w:hAnsi="Calibri" w:cs="Calibri"/>
          <w:sz w:val="22"/>
          <w:szCs w:val="22"/>
        </w:rPr>
        <w:t xml:space="preserve"> during the module</w:t>
      </w:r>
      <w:r w:rsidR="009A29AF">
        <w:rPr>
          <w:rFonts w:ascii="Calibri" w:hAnsi="Calibri" w:cs="Calibri"/>
          <w:sz w:val="22"/>
          <w:szCs w:val="22"/>
        </w:rPr>
        <w:t>. My prior beliefs have been reinforced by this experience and by the research I’ve undertaken</w:t>
      </w:r>
      <w:r w:rsidR="00DC13F8">
        <w:rPr>
          <w:rFonts w:ascii="Calibri" w:hAnsi="Calibri" w:cs="Calibri"/>
          <w:sz w:val="22"/>
          <w:szCs w:val="22"/>
        </w:rPr>
        <w:t xml:space="preserve">- especially by belief regarding learning through play. </w:t>
      </w:r>
      <w:r w:rsidR="00033158">
        <w:rPr>
          <w:rFonts w:ascii="Calibri" w:hAnsi="Calibri" w:cs="Calibri"/>
          <w:sz w:val="22"/>
          <w:szCs w:val="22"/>
        </w:rPr>
        <w:t>I saw so much of this occurring amongst the children</w:t>
      </w:r>
      <w:r w:rsidR="00995F25">
        <w:rPr>
          <w:rFonts w:ascii="Calibri" w:hAnsi="Calibri" w:cs="Calibri"/>
          <w:sz w:val="22"/>
          <w:szCs w:val="22"/>
        </w:rPr>
        <w:t xml:space="preserve">. I was placed in nursery, so for the most part, they do just play all day. In the </w:t>
      </w:r>
      <w:r w:rsidR="00995F25">
        <w:rPr>
          <w:rFonts w:ascii="Calibri" w:hAnsi="Calibri" w:cs="Calibri"/>
          <w:sz w:val="22"/>
          <w:szCs w:val="22"/>
        </w:rPr>
        <w:lastRenderedPageBreak/>
        <w:t>mornings when they first come in, they would do the register and answer in Welsh</w:t>
      </w:r>
      <w:r w:rsidR="00007FD6">
        <w:rPr>
          <w:rFonts w:ascii="Calibri" w:hAnsi="Calibri" w:cs="Calibri"/>
          <w:sz w:val="22"/>
          <w:szCs w:val="22"/>
        </w:rPr>
        <w:t xml:space="preserve"> and maybe talk about how they’re feeling using Welsh vocabulary, but this is as much </w:t>
      </w:r>
      <w:r w:rsidR="009000CE">
        <w:rPr>
          <w:rFonts w:ascii="Calibri" w:hAnsi="Calibri" w:cs="Calibri"/>
          <w:sz w:val="22"/>
          <w:szCs w:val="22"/>
        </w:rPr>
        <w:t>arranged</w:t>
      </w:r>
      <w:r w:rsidR="00C55241">
        <w:rPr>
          <w:rFonts w:ascii="Calibri" w:hAnsi="Calibri" w:cs="Calibri"/>
          <w:sz w:val="22"/>
          <w:szCs w:val="22"/>
        </w:rPr>
        <w:t xml:space="preserve"> ‘learning’ as they would do.</w:t>
      </w:r>
      <w:r w:rsidR="009000CE">
        <w:rPr>
          <w:rFonts w:ascii="Calibri" w:hAnsi="Calibri" w:cs="Calibri"/>
          <w:sz w:val="22"/>
          <w:szCs w:val="22"/>
        </w:rPr>
        <w:t xml:space="preserve"> They’d then be split into their colour groups and they’d work in a rotation. While one group </w:t>
      </w:r>
      <w:r w:rsidR="00422DDA">
        <w:rPr>
          <w:rFonts w:ascii="Calibri" w:hAnsi="Calibri" w:cs="Calibri"/>
          <w:sz w:val="22"/>
          <w:szCs w:val="22"/>
        </w:rPr>
        <w:t>would be</w:t>
      </w:r>
      <w:r w:rsidR="009000CE">
        <w:rPr>
          <w:rFonts w:ascii="Calibri" w:hAnsi="Calibri" w:cs="Calibri"/>
          <w:sz w:val="22"/>
          <w:szCs w:val="22"/>
        </w:rPr>
        <w:t xml:space="preserve"> having snack time, another group would be in the role play area</w:t>
      </w:r>
      <w:r w:rsidR="000C4E9F">
        <w:rPr>
          <w:rFonts w:ascii="Calibri" w:hAnsi="Calibri" w:cs="Calibri"/>
          <w:sz w:val="22"/>
          <w:szCs w:val="22"/>
        </w:rPr>
        <w:t xml:space="preserve">, </w:t>
      </w:r>
      <w:r w:rsidR="00422DDA">
        <w:rPr>
          <w:rFonts w:ascii="Calibri" w:hAnsi="Calibri" w:cs="Calibri"/>
          <w:sz w:val="22"/>
          <w:szCs w:val="22"/>
        </w:rPr>
        <w:t xml:space="preserve">or </w:t>
      </w:r>
      <w:r w:rsidR="000C4E9F">
        <w:rPr>
          <w:rFonts w:ascii="Calibri" w:hAnsi="Calibri" w:cs="Calibri"/>
          <w:sz w:val="22"/>
          <w:szCs w:val="22"/>
        </w:rPr>
        <w:t xml:space="preserve">the carpet area where there’d be </w:t>
      </w:r>
      <w:r w:rsidR="004F0CD8">
        <w:rPr>
          <w:rFonts w:ascii="Calibri" w:hAnsi="Calibri" w:cs="Calibri"/>
          <w:sz w:val="22"/>
          <w:szCs w:val="22"/>
        </w:rPr>
        <w:t>Lego</w:t>
      </w:r>
      <w:r w:rsidR="000C4E9F">
        <w:rPr>
          <w:rFonts w:ascii="Calibri" w:hAnsi="Calibri" w:cs="Calibri"/>
          <w:sz w:val="22"/>
          <w:szCs w:val="22"/>
        </w:rPr>
        <w:t>, unifix or multilink</w:t>
      </w:r>
      <w:r w:rsidR="00CF4D47">
        <w:rPr>
          <w:rFonts w:ascii="Calibri" w:hAnsi="Calibri" w:cs="Calibri"/>
          <w:sz w:val="22"/>
          <w:szCs w:val="22"/>
        </w:rPr>
        <w:t xml:space="preserve">, </w:t>
      </w:r>
      <w:r w:rsidR="000044A1">
        <w:rPr>
          <w:rFonts w:ascii="Calibri" w:hAnsi="Calibri" w:cs="Calibri"/>
          <w:sz w:val="22"/>
          <w:szCs w:val="22"/>
        </w:rPr>
        <w:t xml:space="preserve">or maybe </w:t>
      </w:r>
      <w:r w:rsidR="002C6162">
        <w:rPr>
          <w:rFonts w:ascii="Calibri" w:hAnsi="Calibri" w:cs="Calibri"/>
          <w:sz w:val="22"/>
          <w:szCs w:val="22"/>
        </w:rPr>
        <w:t xml:space="preserve">they’d be using the </w:t>
      </w:r>
      <w:r w:rsidR="004F0CD8">
        <w:rPr>
          <w:rFonts w:ascii="Calibri" w:hAnsi="Calibri" w:cs="Calibri"/>
          <w:sz w:val="22"/>
          <w:szCs w:val="22"/>
        </w:rPr>
        <w:t xml:space="preserve">tuff tray. Once 10 minutes was up, they’d then all swap around so that every group got a chance at every activity. Each activity had a different purpose and challenged a different area of learning for them. For instance, </w:t>
      </w:r>
      <w:r w:rsidR="00F34DBF">
        <w:rPr>
          <w:rFonts w:ascii="Calibri" w:hAnsi="Calibri" w:cs="Calibri"/>
          <w:sz w:val="22"/>
          <w:szCs w:val="22"/>
        </w:rPr>
        <w:t xml:space="preserve">the role play area would be teaching them about the importance of expressive arts within the curriculum. They get to become someone else and </w:t>
      </w:r>
      <w:r w:rsidR="00C31BA6">
        <w:rPr>
          <w:rFonts w:ascii="Calibri" w:hAnsi="Calibri" w:cs="Calibri"/>
          <w:sz w:val="22"/>
          <w:szCs w:val="22"/>
        </w:rPr>
        <w:t>play from this person’s perspective. This is important for the growth of their egotistical minds</w:t>
      </w:r>
      <w:r w:rsidR="00241F79">
        <w:rPr>
          <w:rFonts w:ascii="Calibri" w:hAnsi="Calibri" w:cs="Calibri"/>
          <w:sz w:val="22"/>
          <w:szCs w:val="22"/>
        </w:rPr>
        <w:t xml:space="preserve">, and their creative growth. </w:t>
      </w:r>
      <w:r w:rsidR="002C56D4">
        <w:rPr>
          <w:rFonts w:ascii="Calibri" w:hAnsi="Calibri" w:cs="Calibri"/>
          <w:sz w:val="22"/>
          <w:szCs w:val="22"/>
        </w:rPr>
        <w:t>Kalyan-</w:t>
      </w:r>
      <w:r w:rsidR="00A740AD">
        <w:rPr>
          <w:rFonts w:ascii="Calibri" w:hAnsi="Calibri" w:cs="Calibri"/>
          <w:sz w:val="22"/>
          <w:szCs w:val="22"/>
        </w:rPr>
        <w:t xml:space="preserve">Masih (1973) says </w:t>
      </w:r>
      <w:r w:rsidR="002E27F5">
        <w:rPr>
          <w:rFonts w:ascii="Calibri" w:hAnsi="Calibri" w:cs="Calibri"/>
          <w:sz w:val="22"/>
          <w:szCs w:val="22"/>
        </w:rPr>
        <w:t xml:space="preserve">that children are egocentric because they can’t position themselves in the viewpoint of another person. </w:t>
      </w:r>
      <w:r w:rsidR="00C14578">
        <w:rPr>
          <w:rFonts w:ascii="Calibri" w:hAnsi="Calibri" w:cs="Calibri"/>
          <w:sz w:val="22"/>
          <w:szCs w:val="22"/>
        </w:rPr>
        <w:t xml:space="preserve">Therefore, just taking on the role of a </w:t>
      </w:r>
      <w:r w:rsidR="007748C2">
        <w:rPr>
          <w:rFonts w:ascii="Calibri" w:hAnsi="Calibri" w:cs="Calibri"/>
          <w:sz w:val="22"/>
          <w:szCs w:val="22"/>
        </w:rPr>
        <w:t>‘</w:t>
      </w:r>
      <w:r w:rsidR="00C14578">
        <w:rPr>
          <w:rFonts w:ascii="Calibri" w:hAnsi="Calibri" w:cs="Calibri"/>
          <w:sz w:val="22"/>
          <w:szCs w:val="22"/>
        </w:rPr>
        <w:t>cashier</w:t>
      </w:r>
      <w:r w:rsidR="007748C2">
        <w:rPr>
          <w:rFonts w:ascii="Calibri" w:hAnsi="Calibri" w:cs="Calibri"/>
          <w:sz w:val="22"/>
          <w:szCs w:val="22"/>
        </w:rPr>
        <w:t>’</w:t>
      </w:r>
      <w:r w:rsidR="00C14578">
        <w:rPr>
          <w:rFonts w:ascii="Calibri" w:hAnsi="Calibri" w:cs="Calibri"/>
          <w:sz w:val="22"/>
          <w:szCs w:val="22"/>
        </w:rPr>
        <w:t xml:space="preserve"> during role play will really help the</w:t>
      </w:r>
      <w:r w:rsidR="007748C2">
        <w:rPr>
          <w:rFonts w:ascii="Calibri" w:hAnsi="Calibri" w:cs="Calibri"/>
          <w:sz w:val="22"/>
          <w:szCs w:val="22"/>
        </w:rPr>
        <w:t xml:space="preserve">ir </w:t>
      </w:r>
      <w:r w:rsidR="00C14578">
        <w:rPr>
          <w:rFonts w:ascii="Calibri" w:hAnsi="Calibri" w:cs="Calibri"/>
          <w:sz w:val="22"/>
          <w:szCs w:val="22"/>
        </w:rPr>
        <w:t xml:space="preserve">egocentric development as they’re </w:t>
      </w:r>
      <w:r w:rsidR="006068A5">
        <w:rPr>
          <w:rFonts w:ascii="Calibri" w:hAnsi="Calibri" w:cs="Calibri"/>
          <w:sz w:val="22"/>
          <w:szCs w:val="22"/>
        </w:rPr>
        <w:t xml:space="preserve">playing from another perspective. </w:t>
      </w:r>
      <w:r w:rsidR="003A7347">
        <w:rPr>
          <w:rFonts w:ascii="Calibri" w:hAnsi="Calibri" w:cs="Calibri"/>
          <w:sz w:val="22"/>
          <w:szCs w:val="22"/>
        </w:rPr>
        <w:t xml:space="preserve">Then the </w:t>
      </w:r>
      <w:r w:rsidR="004E7F22">
        <w:rPr>
          <w:rFonts w:ascii="Calibri" w:hAnsi="Calibri" w:cs="Calibri"/>
          <w:sz w:val="22"/>
          <w:szCs w:val="22"/>
        </w:rPr>
        <w:t xml:space="preserve">carpet area with the Lego etc on it, would </w:t>
      </w:r>
      <w:r w:rsidR="00F5681C">
        <w:rPr>
          <w:rFonts w:ascii="Calibri" w:hAnsi="Calibri" w:cs="Calibri"/>
          <w:sz w:val="22"/>
          <w:szCs w:val="22"/>
        </w:rPr>
        <w:t>be challenging their problem solving skills as the teacher would maybe give enhanced provision and tell them to try and build the tallest tower, so they’d have to work together to try and figure out how to build a tower so tall, that doesn’t fall down.</w:t>
      </w:r>
    </w:p>
    <w:p w14:paraId="16AA2B7A" w14:textId="57DFE7C5" w:rsidR="000B5FEB" w:rsidRDefault="007748C2" w:rsidP="002C17E2">
      <w:pPr>
        <w:spacing w:line="360" w:lineRule="auto"/>
        <w:rPr>
          <w:rFonts w:ascii="Calibri" w:hAnsi="Calibri" w:cs="Calibri"/>
          <w:sz w:val="22"/>
          <w:szCs w:val="22"/>
        </w:rPr>
      </w:pPr>
      <w:r>
        <w:rPr>
          <w:rFonts w:ascii="Calibri" w:hAnsi="Calibri" w:cs="Calibri"/>
          <w:sz w:val="22"/>
          <w:szCs w:val="22"/>
        </w:rPr>
        <w:t xml:space="preserve">My other belief I mentioned previously </w:t>
      </w:r>
      <w:r w:rsidR="00394C1F">
        <w:rPr>
          <w:rFonts w:ascii="Calibri" w:hAnsi="Calibri" w:cs="Calibri"/>
          <w:sz w:val="22"/>
          <w:szCs w:val="22"/>
        </w:rPr>
        <w:t>about children making mistakes before teacher intervention, wasn’t reinforced and neither was it challenged.</w:t>
      </w:r>
      <w:r w:rsidR="005B52A9">
        <w:rPr>
          <w:rFonts w:ascii="Calibri" w:hAnsi="Calibri" w:cs="Calibri"/>
          <w:sz w:val="22"/>
          <w:szCs w:val="22"/>
        </w:rPr>
        <w:t xml:space="preserve"> The children in my class didn’t really get an opportunity to make a mistake because they weren’t </w:t>
      </w:r>
      <w:r w:rsidR="000211D7">
        <w:rPr>
          <w:rFonts w:ascii="Calibri" w:hAnsi="Calibri" w:cs="Calibri"/>
          <w:sz w:val="22"/>
          <w:szCs w:val="22"/>
        </w:rPr>
        <w:t xml:space="preserve">directly </w:t>
      </w:r>
      <w:r w:rsidR="005B52A9">
        <w:rPr>
          <w:rFonts w:ascii="Calibri" w:hAnsi="Calibri" w:cs="Calibri"/>
          <w:sz w:val="22"/>
          <w:szCs w:val="22"/>
        </w:rPr>
        <w:t xml:space="preserve">challenged in anything, they were just playing on their own accord. </w:t>
      </w:r>
      <w:r w:rsidR="005C78C2">
        <w:rPr>
          <w:rFonts w:ascii="Calibri" w:hAnsi="Calibri" w:cs="Calibri"/>
          <w:sz w:val="22"/>
          <w:szCs w:val="22"/>
        </w:rPr>
        <w:t>It would’ve been interesting to see if my belief was reinforced in an older age group maybe</w:t>
      </w:r>
      <w:r w:rsidR="006D4F83">
        <w:rPr>
          <w:rFonts w:ascii="Calibri" w:hAnsi="Calibri" w:cs="Calibri"/>
          <w:sz w:val="22"/>
          <w:szCs w:val="22"/>
        </w:rPr>
        <w:t xml:space="preserve">, as I think nursery students are too young. </w:t>
      </w:r>
      <w:r w:rsidR="00A65166">
        <w:rPr>
          <w:rFonts w:ascii="Calibri" w:hAnsi="Calibri" w:cs="Calibri"/>
          <w:sz w:val="22"/>
          <w:szCs w:val="22"/>
        </w:rPr>
        <w:t xml:space="preserve">This </w:t>
      </w:r>
      <w:r w:rsidR="002C56D4">
        <w:rPr>
          <w:rFonts w:ascii="Calibri" w:hAnsi="Calibri" w:cs="Calibri"/>
          <w:sz w:val="22"/>
          <w:szCs w:val="22"/>
        </w:rPr>
        <w:t>belief,</w:t>
      </w:r>
      <w:r w:rsidR="00A65166">
        <w:rPr>
          <w:rFonts w:ascii="Calibri" w:hAnsi="Calibri" w:cs="Calibri"/>
          <w:sz w:val="22"/>
          <w:szCs w:val="22"/>
        </w:rPr>
        <w:t xml:space="preserve"> however, was reinforced by the research I’ve conducted. </w:t>
      </w:r>
      <w:r w:rsidR="00D37DC8">
        <w:rPr>
          <w:rFonts w:ascii="Calibri" w:hAnsi="Calibri" w:cs="Calibri"/>
          <w:sz w:val="22"/>
          <w:szCs w:val="22"/>
        </w:rPr>
        <w:t>Carol Dweck</w:t>
      </w:r>
      <w:r w:rsidR="004822F0">
        <w:rPr>
          <w:rFonts w:ascii="Calibri" w:hAnsi="Calibri" w:cs="Calibri"/>
          <w:sz w:val="22"/>
          <w:szCs w:val="22"/>
        </w:rPr>
        <w:t xml:space="preserve">’s research stresses the importance of challenging children and showing </w:t>
      </w:r>
      <w:r w:rsidR="00AE0833">
        <w:rPr>
          <w:rFonts w:ascii="Calibri" w:hAnsi="Calibri" w:cs="Calibri"/>
          <w:sz w:val="22"/>
          <w:szCs w:val="22"/>
        </w:rPr>
        <w:t xml:space="preserve">that if they’re praised for intelligence rather than challenging themselves and giving it a go, </w:t>
      </w:r>
      <w:r w:rsidR="00E61475">
        <w:rPr>
          <w:rFonts w:ascii="Calibri" w:hAnsi="Calibri" w:cs="Calibri"/>
          <w:sz w:val="22"/>
          <w:szCs w:val="22"/>
        </w:rPr>
        <w:t xml:space="preserve">they’ll be less likely </w:t>
      </w:r>
      <w:r w:rsidR="00EC6CE8">
        <w:rPr>
          <w:rFonts w:ascii="Calibri" w:hAnsi="Calibri" w:cs="Calibri"/>
          <w:sz w:val="22"/>
          <w:szCs w:val="22"/>
        </w:rPr>
        <w:t xml:space="preserve">to </w:t>
      </w:r>
      <w:r w:rsidR="006E6427">
        <w:rPr>
          <w:rFonts w:ascii="Calibri" w:hAnsi="Calibri" w:cs="Calibri"/>
          <w:sz w:val="22"/>
          <w:szCs w:val="22"/>
        </w:rPr>
        <w:t>persevere in future when faced with a challenge.</w:t>
      </w:r>
      <w:r w:rsidR="007C4871">
        <w:rPr>
          <w:rFonts w:ascii="Calibri" w:hAnsi="Calibri" w:cs="Calibri"/>
          <w:sz w:val="22"/>
          <w:szCs w:val="22"/>
        </w:rPr>
        <w:t xml:space="preserve"> Price</w:t>
      </w:r>
      <w:r w:rsidR="00E74F8B">
        <w:rPr>
          <w:rFonts w:ascii="Calibri" w:hAnsi="Calibri" w:cs="Calibri"/>
          <w:sz w:val="22"/>
          <w:szCs w:val="22"/>
        </w:rPr>
        <w:t>-</w:t>
      </w:r>
      <w:r w:rsidR="007C4871">
        <w:rPr>
          <w:rFonts w:ascii="Calibri" w:hAnsi="Calibri" w:cs="Calibri"/>
          <w:sz w:val="22"/>
          <w:szCs w:val="22"/>
        </w:rPr>
        <w:t>Mitchell</w:t>
      </w:r>
      <w:r w:rsidR="00E74F8B">
        <w:rPr>
          <w:rFonts w:ascii="Calibri" w:hAnsi="Calibri" w:cs="Calibri"/>
          <w:sz w:val="22"/>
          <w:szCs w:val="22"/>
        </w:rPr>
        <w:t xml:space="preserve"> (</w:t>
      </w:r>
      <w:r w:rsidR="0054442B">
        <w:rPr>
          <w:rFonts w:ascii="Calibri" w:hAnsi="Calibri" w:cs="Calibri"/>
          <w:sz w:val="22"/>
          <w:szCs w:val="22"/>
        </w:rPr>
        <w:t xml:space="preserve">2011). </w:t>
      </w:r>
      <w:r w:rsidR="004954B8">
        <w:rPr>
          <w:rFonts w:ascii="Calibri" w:hAnsi="Calibri" w:cs="Calibri"/>
          <w:sz w:val="22"/>
          <w:szCs w:val="22"/>
        </w:rPr>
        <w:t xml:space="preserve"> </w:t>
      </w:r>
      <w:r w:rsidR="0083723C">
        <w:rPr>
          <w:rFonts w:ascii="Calibri" w:hAnsi="Calibri" w:cs="Calibri"/>
          <w:sz w:val="22"/>
          <w:szCs w:val="22"/>
        </w:rPr>
        <w:t xml:space="preserve">One of Dweck’s most famous theories, the ‘Growth Mindset’ </w:t>
      </w:r>
      <w:r w:rsidR="009F56EF">
        <w:rPr>
          <w:rFonts w:ascii="Calibri" w:hAnsi="Calibri" w:cs="Calibri"/>
          <w:sz w:val="22"/>
          <w:szCs w:val="22"/>
        </w:rPr>
        <w:t>was enforced a lot during my bridging experience</w:t>
      </w:r>
      <w:r w:rsidR="00705A70">
        <w:rPr>
          <w:rFonts w:ascii="Calibri" w:hAnsi="Calibri" w:cs="Calibri"/>
          <w:sz w:val="22"/>
          <w:szCs w:val="22"/>
        </w:rPr>
        <w:t xml:space="preserve">, even in my nursery setting. </w:t>
      </w:r>
      <w:r w:rsidR="00E54794">
        <w:rPr>
          <w:rFonts w:ascii="Calibri" w:hAnsi="Calibri" w:cs="Calibri"/>
          <w:sz w:val="22"/>
          <w:szCs w:val="22"/>
        </w:rPr>
        <w:t xml:space="preserve">This </w:t>
      </w:r>
      <w:r w:rsidR="00BA6995">
        <w:rPr>
          <w:rFonts w:ascii="Calibri" w:hAnsi="Calibri" w:cs="Calibri"/>
          <w:sz w:val="22"/>
          <w:szCs w:val="22"/>
        </w:rPr>
        <w:t xml:space="preserve">theory </w:t>
      </w:r>
      <w:r w:rsidR="00FF5264">
        <w:rPr>
          <w:rFonts w:ascii="Calibri" w:hAnsi="Calibri" w:cs="Calibri"/>
          <w:sz w:val="22"/>
          <w:szCs w:val="22"/>
        </w:rPr>
        <w:t xml:space="preserve">is the idea that </w:t>
      </w:r>
      <w:r w:rsidR="0091513C">
        <w:rPr>
          <w:rFonts w:ascii="Calibri" w:hAnsi="Calibri" w:cs="Calibri"/>
          <w:sz w:val="22"/>
          <w:szCs w:val="22"/>
        </w:rPr>
        <w:t>you can get smarter</w:t>
      </w:r>
      <w:r w:rsidR="00F868E3">
        <w:rPr>
          <w:rFonts w:ascii="Calibri" w:hAnsi="Calibri" w:cs="Calibri"/>
          <w:sz w:val="22"/>
          <w:szCs w:val="22"/>
        </w:rPr>
        <w:t>, you might not be able to do it yet, but if you put in hard work and commitment, you will learn to do it.</w:t>
      </w:r>
      <w:r w:rsidR="00CC60FD">
        <w:rPr>
          <w:rFonts w:ascii="Calibri" w:hAnsi="Calibri" w:cs="Calibri"/>
          <w:sz w:val="22"/>
          <w:szCs w:val="22"/>
        </w:rPr>
        <w:t xml:space="preserve"> “When students</w:t>
      </w:r>
      <w:r w:rsidR="00E45289">
        <w:rPr>
          <w:rFonts w:ascii="Calibri" w:hAnsi="Calibri" w:cs="Calibri"/>
          <w:sz w:val="22"/>
          <w:szCs w:val="22"/>
        </w:rPr>
        <w:t xml:space="preserve"> believe they can get smarter, they understand that effort makes them stronger.” </w:t>
      </w:r>
      <w:r w:rsidR="00E27DBC">
        <w:rPr>
          <w:rFonts w:ascii="Calibri" w:hAnsi="Calibri" w:cs="Calibri"/>
          <w:sz w:val="22"/>
          <w:szCs w:val="22"/>
        </w:rPr>
        <w:t>(MindsetWorks</w:t>
      </w:r>
      <w:r w:rsidR="006C2F7F">
        <w:rPr>
          <w:rFonts w:ascii="Calibri" w:hAnsi="Calibri" w:cs="Calibri"/>
          <w:sz w:val="22"/>
          <w:szCs w:val="22"/>
        </w:rPr>
        <w:t xml:space="preserve">.com, </w:t>
      </w:r>
      <w:r w:rsidR="00CF50D6">
        <w:rPr>
          <w:rFonts w:ascii="Calibri" w:hAnsi="Calibri" w:cs="Calibri"/>
          <w:sz w:val="22"/>
          <w:szCs w:val="22"/>
        </w:rPr>
        <w:t>n.d</w:t>
      </w:r>
      <w:r w:rsidR="00E27DBC">
        <w:rPr>
          <w:rFonts w:ascii="Calibri" w:hAnsi="Calibri" w:cs="Calibri"/>
          <w:sz w:val="22"/>
          <w:szCs w:val="22"/>
        </w:rPr>
        <w:t>)</w:t>
      </w:r>
      <w:r w:rsidR="00CF50D6">
        <w:rPr>
          <w:rFonts w:ascii="Calibri" w:hAnsi="Calibri" w:cs="Calibri"/>
          <w:sz w:val="22"/>
          <w:szCs w:val="22"/>
        </w:rPr>
        <w:t xml:space="preserve">. </w:t>
      </w:r>
      <w:r w:rsidR="00DF7BE1">
        <w:rPr>
          <w:rFonts w:ascii="Calibri" w:hAnsi="Calibri" w:cs="Calibri"/>
          <w:sz w:val="22"/>
          <w:szCs w:val="22"/>
        </w:rPr>
        <w:t xml:space="preserve">For instance, while the children were building a tower of unifix, they might’ve uttered the words, “I can’t </w:t>
      </w:r>
      <w:r w:rsidR="00AA3D24">
        <w:rPr>
          <w:rFonts w:ascii="Calibri" w:hAnsi="Calibri" w:cs="Calibri"/>
          <w:sz w:val="22"/>
          <w:szCs w:val="22"/>
        </w:rPr>
        <w:t xml:space="preserve">do it,” and the teacher would reply with, “you can’t do it yet, keep trying!” Which is a perfect example of enforcing a growth mindset. </w:t>
      </w:r>
    </w:p>
    <w:p w14:paraId="3712402D" w14:textId="7AABB2B6" w:rsidR="00DD553E" w:rsidRDefault="006C49BA" w:rsidP="002C17E2">
      <w:pPr>
        <w:spacing w:line="360" w:lineRule="auto"/>
        <w:rPr>
          <w:rFonts w:ascii="Calibri" w:hAnsi="Calibri" w:cs="Calibri"/>
          <w:sz w:val="22"/>
          <w:szCs w:val="22"/>
        </w:rPr>
      </w:pPr>
      <w:r>
        <w:rPr>
          <w:rFonts w:ascii="Calibri" w:hAnsi="Calibri" w:cs="Calibri"/>
          <w:sz w:val="22"/>
          <w:szCs w:val="22"/>
        </w:rPr>
        <w:t xml:space="preserve">Since completing my bridging experience, I’ve developed a new belief. This is the belief that </w:t>
      </w:r>
      <w:r w:rsidR="00603E69">
        <w:rPr>
          <w:rFonts w:ascii="Calibri" w:hAnsi="Calibri" w:cs="Calibri"/>
          <w:sz w:val="22"/>
          <w:szCs w:val="22"/>
        </w:rPr>
        <w:t xml:space="preserve">children who go to </w:t>
      </w:r>
      <w:r w:rsidR="00681763">
        <w:rPr>
          <w:rFonts w:ascii="Calibri" w:hAnsi="Calibri" w:cs="Calibri"/>
          <w:sz w:val="22"/>
          <w:szCs w:val="22"/>
        </w:rPr>
        <w:t xml:space="preserve">part time </w:t>
      </w:r>
      <w:r w:rsidR="00603E69">
        <w:rPr>
          <w:rFonts w:ascii="Calibri" w:hAnsi="Calibri" w:cs="Calibri"/>
          <w:sz w:val="22"/>
          <w:szCs w:val="22"/>
        </w:rPr>
        <w:t>nursery</w:t>
      </w:r>
      <w:r w:rsidR="00681763">
        <w:rPr>
          <w:rFonts w:ascii="Calibri" w:hAnsi="Calibri" w:cs="Calibri"/>
          <w:sz w:val="22"/>
          <w:szCs w:val="22"/>
        </w:rPr>
        <w:t>/</w:t>
      </w:r>
      <w:r w:rsidR="0084387B">
        <w:rPr>
          <w:rFonts w:ascii="Calibri" w:hAnsi="Calibri" w:cs="Calibri"/>
          <w:sz w:val="22"/>
          <w:szCs w:val="22"/>
        </w:rPr>
        <w:t>playgroup before</w:t>
      </w:r>
      <w:r w:rsidR="00603E69">
        <w:rPr>
          <w:rFonts w:ascii="Calibri" w:hAnsi="Calibri" w:cs="Calibri"/>
          <w:sz w:val="22"/>
          <w:szCs w:val="22"/>
        </w:rPr>
        <w:t xml:space="preserve"> the age of 5, as a general rule will </w:t>
      </w:r>
      <w:r w:rsidR="00066B1D">
        <w:rPr>
          <w:rFonts w:ascii="Calibri" w:hAnsi="Calibri" w:cs="Calibri"/>
          <w:sz w:val="22"/>
          <w:szCs w:val="22"/>
        </w:rPr>
        <w:t xml:space="preserve">be </w:t>
      </w:r>
      <w:r w:rsidR="0084387B">
        <w:rPr>
          <w:rFonts w:ascii="Calibri" w:hAnsi="Calibri" w:cs="Calibri"/>
          <w:sz w:val="22"/>
          <w:szCs w:val="22"/>
        </w:rPr>
        <w:t xml:space="preserve">further developed with social skills such as sharing, and academic skills such as counting, reciting the </w:t>
      </w:r>
      <w:r w:rsidR="0084387B">
        <w:rPr>
          <w:rFonts w:ascii="Calibri" w:hAnsi="Calibri" w:cs="Calibri"/>
          <w:sz w:val="22"/>
          <w:szCs w:val="22"/>
        </w:rPr>
        <w:lastRenderedPageBreak/>
        <w:t xml:space="preserve">alphabet etc. I also think that their behaviour is slightly better as they’ve been in the classroom setting before becoming full time, they know to cross their legs on the carpet whereas children who go straight into full time nursery won’t have that discipline. </w:t>
      </w:r>
      <w:r w:rsidR="0090103F">
        <w:rPr>
          <w:rFonts w:ascii="Calibri" w:hAnsi="Calibri" w:cs="Calibri"/>
          <w:sz w:val="22"/>
          <w:szCs w:val="22"/>
        </w:rPr>
        <w:t>Ristic (</w:t>
      </w:r>
      <w:r w:rsidR="006B6BEB">
        <w:rPr>
          <w:rFonts w:ascii="Calibri" w:hAnsi="Calibri" w:cs="Calibri"/>
          <w:sz w:val="22"/>
          <w:szCs w:val="22"/>
        </w:rPr>
        <w:t xml:space="preserve">2016) agrees with my belief, saying that there are 6 </w:t>
      </w:r>
      <w:r w:rsidR="00FA51ED">
        <w:rPr>
          <w:rFonts w:ascii="Calibri" w:hAnsi="Calibri" w:cs="Calibri"/>
          <w:sz w:val="22"/>
          <w:szCs w:val="22"/>
        </w:rPr>
        <w:t>viable reasons to send your child to ‘preschool,’ 2 of them being, “</w:t>
      </w:r>
      <w:r w:rsidR="00E445AB">
        <w:rPr>
          <w:rFonts w:ascii="Calibri" w:hAnsi="Calibri" w:cs="Calibri"/>
          <w:sz w:val="22"/>
          <w:szCs w:val="22"/>
        </w:rPr>
        <w:t>preschool provides a foundation for learning, both socially and academically,” and “preschool is an opportunity for kids to be in a structured setting.”</w:t>
      </w:r>
      <w:r w:rsidR="00EE698B">
        <w:rPr>
          <w:rFonts w:ascii="Calibri" w:hAnsi="Calibri" w:cs="Calibri"/>
          <w:sz w:val="22"/>
          <w:szCs w:val="22"/>
        </w:rPr>
        <w:t xml:space="preserve"> </w:t>
      </w:r>
    </w:p>
    <w:p w14:paraId="27F3F4D1" w14:textId="1A8BA708" w:rsidR="00A61BAC" w:rsidRDefault="00A61BAC" w:rsidP="002C17E2">
      <w:pPr>
        <w:spacing w:line="360" w:lineRule="auto"/>
        <w:rPr>
          <w:rFonts w:ascii="Calibri" w:hAnsi="Calibri" w:cs="Calibri"/>
          <w:sz w:val="22"/>
          <w:szCs w:val="22"/>
        </w:rPr>
      </w:pPr>
      <w:r>
        <w:rPr>
          <w:rFonts w:ascii="Calibri" w:hAnsi="Calibri" w:cs="Calibri"/>
          <w:sz w:val="22"/>
          <w:szCs w:val="22"/>
        </w:rPr>
        <w:t>What I’ve learnt mainly from this module and bridging experience is tha</w:t>
      </w:r>
      <w:r w:rsidR="009D50E3">
        <w:rPr>
          <w:rFonts w:ascii="Calibri" w:hAnsi="Calibri" w:cs="Calibri"/>
          <w:sz w:val="22"/>
          <w:szCs w:val="22"/>
        </w:rPr>
        <w:t>t</w:t>
      </w:r>
      <w:r>
        <w:rPr>
          <w:rFonts w:ascii="Calibri" w:hAnsi="Calibri" w:cs="Calibri"/>
          <w:sz w:val="22"/>
          <w:szCs w:val="22"/>
        </w:rPr>
        <w:t xml:space="preserve"> all teachers have beliefs</w:t>
      </w:r>
      <w:r w:rsidR="009D50E3">
        <w:rPr>
          <w:rFonts w:ascii="Calibri" w:hAnsi="Calibri" w:cs="Calibri"/>
          <w:sz w:val="22"/>
          <w:szCs w:val="22"/>
        </w:rPr>
        <w:t xml:space="preserve">, but we have to remember that these beliefs and assumptions will not necessarily apply to all children. Every child is different from the next, and that’s why it’s so important to differentiate </w:t>
      </w:r>
      <w:r w:rsidR="00D76750">
        <w:rPr>
          <w:rFonts w:ascii="Calibri" w:hAnsi="Calibri" w:cs="Calibri"/>
          <w:sz w:val="22"/>
          <w:szCs w:val="22"/>
        </w:rPr>
        <w:t xml:space="preserve">when it comes to lesson planning and giving instructions for example. What we believe about the way one child learns, may be completely contradicted by the way another child learns, and we need to adapt to their needs, which may mean adapting our beliefs. </w:t>
      </w:r>
    </w:p>
    <w:p w14:paraId="200BFB8D" w14:textId="77777777" w:rsidR="00704A27" w:rsidRDefault="00704A27" w:rsidP="002C17E2">
      <w:pPr>
        <w:spacing w:line="360" w:lineRule="auto"/>
        <w:rPr>
          <w:rFonts w:ascii="Calibri" w:hAnsi="Calibri" w:cs="Calibri"/>
          <w:sz w:val="22"/>
          <w:szCs w:val="22"/>
        </w:rPr>
      </w:pPr>
    </w:p>
    <w:p w14:paraId="67454B57" w14:textId="04F158B1" w:rsidR="001526E6" w:rsidRPr="001526E6" w:rsidRDefault="001526E6" w:rsidP="002C17E2">
      <w:pPr>
        <w:spacing w:line="360" w:lineRule="auto"/>
        <w:rPr>
          <w:rFonts w:ascii="Calibri" w:hAnsi="Calibri" w:cs="Calibri"/>
          <w:sz w:val="22"/>
          <w:szCs w:val="22"/>
        </w:rPr>
      </w:pPr>
      <w:r>
        <w:rPr>
          <w:rFonts w:ascii="Calibri" w:hAnsi="Calibri" w:cs="Calibri"/>
          <w:sz w:val="22"/>
          <w:szCs w:val="22"/>
        </w:rPr>
        <w:t>In conclusion, my prior beliefs</w:t>
      </w:r>
      <w:r w:rsidR="00AE3153">
        <w:rPr>
          <w:rFonts w:ascii="Calibri" w:hAnsi="Calibri" w:cs="Calibri"/>
          <w:sz w:val="22"/>
          <w:szCs w:val="22"/>
        </w:rPr>
        <w:t xml:space="preserve"> that I mentioned previously </w:t>
      </w:r>
      <w:r>
        <w:rPr>
          <w:rFonts w:ascii="Calibri" w:hAnsi="Calibri" w:cs="Calibri"/>
          <w:sz w:val="22"/>
          <w:szCs w:val="22"/>
        </w:rPr>
        <w:t xml:space="preserve">have been reinforced </w:t>
      </w:r>
      <w:r w:rsidR="00031A91">
        <w:rPr>
          <w:rFonts w:ascii="Calibri" w:hAnsi="Calibri" w:cs="Calibri"/>
          <w:sz w:val="22"/>
          <w:szCs w:val="22"/>
        </w:rPr>
        <w:t xml:space="preserve">and I’ve also adopted a new belief based on my bridging experience and the research I’ve conducted throughout the module. </w:t>
      </w:r>
      <w:r w:rsidR="00872F38">
        <w:rPr>
          <w:rFonts w:ascii="Calibri" w:hAnsi="Calibri" w:cs="Calibri"/>
          <w:sz w:val="22"/>
          <w:szCs w:val="22"/>
        </w:rPr>
        <w:t>These beliefs will be carried with me throughout my career</w:t>
      </w:r>
      <w:r w:rsidR="001031AA">
        <w:rPr>
          <w:rFonts w:ascii="Calibri" w:hAnsi="Calibri" w:cs="Calibri"/>
          <w:sz w:val="22"/>
          <w:szCs w:val="22"/>
        </w:rPr>
        <w:t xml:space="preserve"> and hopefully I will adopt many more beliefs meanwhile. </w:t>
      </w:r>
      <w:r w:rsidR="00D338C2">
        <w:rPr>
          <w:rFonts w:ascii="Calibri" w:hAnsi="Calibri" w:cs="Calibri"/>
          <w:sz w:val="22"/>
          <w:szCs w:val="22"/>
        </w:rPr>
        <w:t xml:space="preserve">To put what I’ve learned throughout the module into practice, I will </w:t>
      </w:r>
      <w:r w:rsidR="003A0328">
        <w:rPr>
          <w:rFonts w:ascii="Calibri" w:hAnsi="Calibri" w:cs="Calibri"/>
          <w:sz w:val="22"/>
          <w:szCs w:val="22"/>
        </w:rPr>
        <w:t xml:space="preserve">set personal targets based on the QTS standards, to make sure that </w:t>
      </w:r>
      <w:r w:rsidR="00E81329">
        <w:rPr>
          <w:rFonts w:ascii="Calibri" w:hAnsi="Calibri" w:cs="Calibri"/>
          <w:sz w:val="22"/>
          <w:szCs w:val="22"/>
        </w:rPr>
        <w:t>my progress remains</w:t>
      </w:r>
      <w:r w:rsidR="00704A27">
        <w:rPr>
          <w:rFonts w:ascii="Calibri" w:hAnsi="Calibri" w:cs="Calibri"/>
          <w:sz w:val="22"/>
          <w:szCs w:val="22"/>
        </w:rPr>
        <w:t xml:space="preserve"> relevant and direct. My first target is </w:t>
      </w:r>
      <w:r w:rsidR="00E81329">
        <w:rPr>
          <w:rFonts w:ascii="Calibri" w:hAnsi="Calibri" w:cs="Calibri"/>
          <w:sz w:val="22"/>
          <w:szCs w:val="22"/>
        </w:rPr>
        <w:t xml:space="preserve">to always </w:t>
      </w:r>
      <w:r w:rsidR="000B729C">
        <w:rPr>
          <w:rFonts w:ascii="Calibri" w:hAnsi="Calibri" w:cs="Calibri"/>
          <w:sz w:val="22"/>
          <w:szCs w:val="22"/>
        </w:rPr>
        <w:t xml:space="preserve">consider differentiation within a lesson plan, for children who may need things set out or explained in a certain way. </w:t>
      </w:r>
      <w:r w:rsidR="007F0A57">
        <w:rPr>
          <w:rFonts w:ascii="Calibri" w:hAnsi="Calibri" w:cs="Calibri"/>
          <w:sz w:val="22"/>
          <w:szCs w:val="22"/>
        </w:rPr>
        <w:t>This links to the QTS standard</w:t>
      </w:r>
      <w:r w:rsidR="00BB78AB">
        <w:rPr>
          <w:rFonts w:ascii="Calibri" w:hAnsi="Calibri" w:cs="Calibri"/>
          <w:sz w:val="22"/>
          <w:szCs w:val="22"/>
        </w:rPr>
        <w:t>, “adapt teaching to respond to the strengths and needs of all pupils.”</w:t>
      </w:r>
      <w:r w:rsidR="00AA536B">
        <w:rPr>
          <w:rFonts w:ascii="Calibri" w:hAnsi="Calibri" w:cs="Calibri"/>
          <w:sz w:val="22"/>
          <w:szCs w:val="22"/>
        </w:rPr>
        <w:t xml:space="preserve"> (Geography.org.uk, n.d). My second target is </w:t>
      </w:r>
      <w:r w:rsidR="00AB4502">
        <w:rPr>
          <w:rFonts w:ascii="Calibri" w:hAnsi="Calibri" w:cs="Calibri"/>
          <w:sz w:val="22"/>
          <w:szCs w:val="22"/>
        </w:rPr>
        <w:t>to make sure that the children I teach have a growth mindset</w:t>
      </w:r>
      <w:r w:rsidR="006A45A7">
        <w:rPr>
          <w:rFonts w:ascii="Calibri" w:hAnsi="Calibri" w:cs="Calibri"/>
          <w:sz w:val="22"/>
          <w:szCs w:val="22"/>
        </w:rPr>
        <w:t>,</w:t>
      </w:r>
      <w:r w:rsidR="00AB4502">
        <w:rPr>
          <w:rFonts w:ascii="Calibri" w:hAnsi="Calibri" w:cs="Calibri"/>
          <w:sz w:val="22"/>
          <w:szCs w:val="22"/>
        </w:rPr>
        <w:t xml:space="preserve"> realise their potential</w:t>
      </w:r>
      <w:r w:rsidR="006A45A7">
        <w:rPr>
          <w:rFonts w:ascii="Calibri" w:hAnsi="Calibri" w:cs="Calibri"/>
          <w:sz w:val="22"/>
          <w:szCs w:val="22"/>
        </w:rPr>
        <w:t xml:space="preserve">, and always challenge and push themselves to work harder or maybe try a </w:t>
      </w:r>
      <w:r w:rsidR="00C00537">
        <w:rPr>
          <w:rFonts w:ascii="Calibri" w:hAnsi="Calibri" w:cs="Calibri"/>
          <w:sz w:val="22"/>
          <w:szCs w:val="22"/>
        </w:rPr>
        <w:t xml:space="preserve">more complex task. This links to the QTS standard, “set high expectations which inspire, motivate and </w:t>
      </w:r>
      <w:r w:rsidR="00D61ADF">
        <w:rPr>
          <w:rFonts w:ascii="Calibri" w:hAnsi="Calibri" w:cs="Calibri"/>
          <w:sz w:val="22"/>
          <w:szCs w:val="22"/>
        </w:rPr>
        <w:t xml:space="preserve">challenge pupils.” (Geography.org.uk, n.d). </w:t>
      </w:r>
      <w:r w:rsidR="003A359A">
        <w:rPr>
          <w:rFonts w:ascii="Calibri" w:hAnsi="Calibri" w:cs="Calibri"/>
          <w:sz w:val="22"/>
          <w:szCs w:val="22"/>
        </w:rPr>
        <w:t xml:space="preserve">My last target </w:t>
      </w:r>
      <w:r w:rsidR="00036845">
        <w:rPr>
          <w:rFonts w:ascii="Calibri" w:hAnsi="Calibri" w:cs="Calibri"/>
          <w:sz w:val="22"/>
          <w:szCs w:val="22"/>
        </w:rPr>
        <w:t xml:space="preserve">is to ensure that I </w:t>
      </w:r>
      <w:r w:rsidR="00BE7606">
        <w:rPr>
          <w:rFonts w:ascii="Calibri" w:hAnsi="Calibri" w:cs="Calibri"/>
          <w:sz w:val="22"/>
          <w:szCs w:val="22"/>
        </w:rPr>
        <w:t>assess every aspect of a child’s progress</w:t>
      </w:r>
      <w:r w:rsidR="00F21086">
        <w:rPr>
          <w:rFonts w:ascii="Calibri" w:hAnsi="Calibri" w:cs="Calibri"/>
          <w:sz w:val="22"/>
          <w:szCs w:val="22"/>
        </w:rPr>
        <w:t xml:space="preserve"> effectively and fairly</w:t>
      </w:r>
      <w:r w:rsidR="00412856">
        <w:rPr>
          <w:rFonts w:ascii="Calibri" w:hAnsi="Calibri" w:cs="Calibri"/>
          <w:sz w:val="22"/>
          <w:szCs w:val="22"/>
        </w:rPr>
        <w:t xml:space="preserve">, </w:t>
      </w:r>
      <w:r w:rsidR="00F21086">
        <w:rPr>
          <w:rFonts w:ascii="Calibri" w:hAnsi="Calibri" w:cs="Calibri"/>
          <w:sz w:val="22"/>
          <w:szCs w:val="22"/>
        </w:rPr>
        <w:t xml:space="preserve">and </w:t>
      </w:r>
      <w:r w:rsidR="00412856">
        <w:rPr>
          <w:rFonts w:ascii="Calibri" w:hAnsi="Calibri" w:cs="Calibri"/>
          <w:sz w:val="22"/>
          <w:szCs w:val="22"/>
        </w:rPr>
        <w:t xml:space="preserve">not just consider </w:t>
      </w:r>
      <w:r w:rsidR="0026507E">
        <w:rPr>
          <w:rFonts w:ascii="Calibri" w:hAnsi="Calibri" w:cs="Calibri"/>
          <w:sz w:val="22"/>
          <w:szCs w:val="22"/>
        </w:rPr>
        <w:t xml:space="preserve">their academic ability. I want to </w:t>
      </w:r>
      <w:r w:rsidR="00F21086">
        <w:rPr>
          <w:rFonts w:ascii="Calibri" w:hAnsi="Calibri" w:cs="Calibri"/>
          <w:sz w:val="22"/>
          <w:szCs w:val="22"/>
        </w:rPr>
        <w:t xml:space="preserve">consider </w:t>
      </w:r>
      <w:r w:rsidR="00FB3FB0">
        <w:rPr>
          <w:rFonts w:ascii="Calibri" w:hAnsi="Calibri" w:cs="Calibri"/>
          <w:sz w:val="22"/>
          <w:szCs w:val="22"/>
        </w:rPr>
        <w:t xml:space="preserve">things such as their social progress, their creative progress, and their </w:t>
      </w:r>
      <w:r w:rsidR="000340AF">
        <w:rPr>
          <w:rFonts w:ascii="Calibri" w:hAnsi="Calibri" w:cs="Calibri"/>
          <w:sz w:val="22"/>
          <w:szCs w:val="22"/>
        </w:rPr>
        <w:t xml:space="preserve">emotional progress. </w:t>
      </w:r>
      <w:r w:rsidR="00273E01">
        <w:rPr>
          <w:rFonts w:ascii="Calibri" w:hAnsi="Calibri" w:cs="Calibri"/>
          <w:sz w:val="22"/>
          <w:szCs w:val="22"/>
        </w:rPr>
        <w:t>This links to the QTS standard, “</w:t>
      </w:r>
      <w:r w:rsidR="00C20096">
        <w:rPr>
          <w:rFonts w:ascii="Calibri" w:hAnsi="Calibri" w:cs="Calibri"/>
          <w:sz w:val="22"/>
          <w:szCs w:val="22"/>
        </w:rPr>
        <w:t xml:space="preserve">make accurate and productive use of assessment.” (Geography.org.uk, n.d). </w:t>
      </w:r>
      <w:r w:rsidR="00233A14">
        <w:rPr>
          <w:rFonts w:ascii="Calibri" w:hAnsi="Calibri" w:cs="Calibri"/>
          <w:sz w:val="22"/>
          <w:szCs w:val="22"/>
        </w:rPr>
        <w:t xml:space="preserve">It’s important as a teacher to stay in line with the QTS standards as they </w:t>
      </w:r>
      <w:r w:rsidR="008F065E">
        <w:rPr>
          <w:rFonts w:ascii="Calibri" w:hAnsi="Calibri" w:cs="Calibri"/>
          <w:sz w:val="22"/>
          <w:szCs w:val="22"/>
        </w:rPr>
        <w:t xml:space="preserve">create a framework for student teachers, and newly qualified teachers </w:t>
      </w:r>
      <w:r w:rsidR="00A94E97">
        <w:rPr>
          <w:rFonts w:ascii="Calibri" w:hAnsi="Calibri" w:cs="Calibri"/>
          <w:sz w:val="22"/>
          <w:szCs w:val="22"/>
        </w:rPr>
        <w:t xml:space="preserve">to follow throughout their career. They also state what is expected of them professionally </w:t>
      </w:r>
      <w:r w:rsidR="00867210">
        <w:rPr>
          <w:rFonts w:ascii="Calibri" w:hAnsi="Calibri" w:cs="Calibri"/>
          <w:sz w:val="22"/>
          <w:szCs w:val="22"/>
        </w:rPr>
        <w:t>and personally. (</w:t>
      </w:r>
      <w:r w:rsidR="00FF3CE7">
        <w:rPr>
          <w:rFonts w:ascii="Calibri" w:hAnsi="Calibri" w:cs="Calibri"/>
          <w:sz w:val="22"/>
          <w:szCs w:val="22"/>
        </w:rPr>
        <w:t xml:space="preserve">App.croneri.co.uk, 2020). </w:t>
      </w:r>
    </w:p>
    <w:p w14:paraId="3E681BC5" w14:textId="77777777" w:rsidR="00CB40F4" w:rsidRDefault="00CB40F4" w:rsidP="00C04ED9">
      <w:pPr>
        <w:spacing w:line="360" w:lineRule="auto"/>
        <w:rPr>
          <w:rFonts w:ascii="Calibri" w:hAnsi="Calibri" w:cs="Calibri"/>
          <w:u w:val="single"/>
        </w:rPr>
      </w:pPr>
    </w:p>
    <w:p w14:paraId="4717FE98" w14:textId="77777777" w:rsidR="00A20A94" w:rsidRDefault="00A20A94" w:rsidP="00EE4021">
      <w:pPr>
        <w:spacing w:line="360" w:lineRule="auto"/>
        <w:rPr>
          <w:rFonts w:ascii="Calibri" w:hAnsi="Calibri" w:cs="Calibri"/>
          <w:u w:val="single"/>
        </w:rPr>
      </w:pPr>
    </w:p>
    <w:p w14:paraId="4DE0BDFD" w14:textId="77777777" w:rsidR="00A20A94" w:rsidRDefault="00A20A94" w:rsidP="00EE4021">
      <w:pPr>
        <w:spacing w:line="360" w:lineRule="auto"/>
        <w:rPr>
          <w:rFonts w:ascii="Calibri" w:hAnsi="Calibri" w:cs="Calibri"/>
          <w:u w:val="single"/>
        </w:rPr>
      </w:pPr>
    </w:p>
    <w:p w14:paraId="5969AF0B" w14:textId="7E8EF883" w:rsidR="00EE4021" w:rsidRDefault="004F680D" w:rsidP="00EE4021">
      <w:pPr>
        <w:spacing w:line="360" w:lineRule="auto"/>
        <w:rPr>
          <w:rFonts w:ascii="Calibri" w:hAnsi="Calibri" w:cs="Calibri"/>
          <w:u w:val="single"/>
        </w:rPr>
      </w:pPr>
      <w:r w:rsidRPr="00147C99">
        <w:rPr>
          <w:rFonts w:ascii="Calibri" w:hAnsi="Calibri" w:cs="Calibri"/>
          <w:u w:val="single"/>
        </w:rPr>
        <w:lastRenderedPageBreak/>
        <w:t>Reference List</w:t>
      </w:r>
    </w:p>
    <w:p w14:paraId="4148C72C" w14:textId="77777777" w:rsidR="00A20A94" w:rsidRPr="00A20A94" w:rsidRDefault="00A20A94" w:rsidP="00A20A94">
      <w:pPr>
        <w:spacing w:line="360" w:lineRule="auto"/>
        <w:rPr>
          <w:rFonts w:eastAsia="Times New Roman" w:cstheme="minorHAnsi"/>
          <w:sz w:val="32"/>
          <w:szCs w:val="32"/>
          <w:lang w:eastAsia="en-GB"/>
        </w:rPr>
      </w:pPr>
      <w:r w:rsidRPr="00A20A94">
        <w:rPr>
          <w:rFonts w:eastAsia="Times New Roman" w:cstheme="minorHAnsi"/>
          <w:color w:val="000000"/>
          <w:sz w:val="22"/>
          <w:szCs w:val="22"/>
          <w:shd w:val="clear" w:color="auto" w:fill="FFFFFF"/>
          <w:lang w:eastAsia="en-GB"/>
        </w:rPr>
        <w:t>App.croneri.co.uk. (2020). </w:t>
      </w:r>
      <w:r w:rsidRPr="00A20A94">
        <w:rPr>
          <w:rFonts w:eastAsia="Times New Roman" w:cstheme="minorHAnsi"/>
          <w:i/>
          <w:iCs/>
          <w:color w:val="000000"/>
          <w:sz w:val="22"/>
          <w:szCs w:val="22"/>
          <w:lang w:eastAsia="en-GB"/>
        </w:rPr>
        <w:t>The Teachers’ Standards: In-depth | Croner-</w:t>
      </w:r>
      <w:proofErr w:type="spellStart"/>
      <w:r w:rsidRPr="00A20A94">
        <w:rPr>
          <w:rFonts w:eastAsia="Times New Roman" w:cstheme="minorHAnsi"/>
          <w:i/>
          <w:iCs/>
          <w:color w:val="000000"/>
          <w:sz w:val="22"/>
          <w:szCs w:val="22"/>
          <w:lang w:eastAsia="en-GB"/>
        </w:rPr>
        <w:t>i</w:t>
      </w:r>
      <w:proofErr w:type="spellEnd"/>
      <w:r w:rsidRPr="00A20A94">
        <w:rPr>
          <w:rFonts w:eastAsia="Times New Roman" w:cstheme="minorHAnsi"/>
          <w:color w:val="000000"/>
          <w:sz w:val="22"/>
          <w:szCs w:val="22"/>
          <w:shd w:val="clear" w:color="auto" w:fill="FFFFFF"/>
          <w:lang w:eastAsia="en-GB"/>
        </w:rPr>
        <w:t>. [online] Available at: https://app.croneri.co.uk/topics/teachers-standards/indepth?product=144 [Accessed 11 Feb. 2020].</w:t>
      </w:r>
    </w:p>
    <w:p w14:paraId="37EC8181" w14:textId="77777777" w:rsidR="00A20A94" w:rsidRPr="00CF50D6" w:rsidRDefault="00A20A94" w:rsidP="00EE4021">
      <w:pPr>
        <w:spacing w:line="360" w:lineRule="auto"/>
        <w:rPr>
          <w:rFonts w:ascii="Calibri" w:hAnsi="Calibri" w:cs="Calibri"/>
          <w:u w:val="single"/>
        </w:rPr>
      </w:pPr>
    </w:p>
    <w:p w14:paraId="43FEE653" w14:textId="77777777" w:rsidR="00D46AFF" w:rsidRPr="00D46AFF" w:rsidRDefault="00D46AFF" w:rsidP="00D46AFF">
      <w:pPr>
        <w:spacing w:line="360" w:lineRule="auto"/>
        <w:rPr>
          <w:rFonts w:ascii="Calibri" w:eastAsia="Times New Roman" w:hAnsi="Calibri" w:cs="Calibri"/>
          <w:sz w:val="32"/>
          <w:szCs w:val="32"/>
          <w:lang w:eastAsia="en-GB"/>
        </w:rPr>
      </w:pPr>
      <w:r w:rsidRPr="00D46AFF">
        <w:rPr>
          <w:rFonts w:ascii="Calibri" w:eastAsia="Times New Roman" w:hAnsi="Calibri" w:cs="Calibri"/>
          <w:color w:val="000000"/>
          <w:sz w:val="22"/>
          <w:szCs w:val="22"/>
          <w:shd w:val="clear" w:color="auto" w:fill="FFFFFF"/>
          <w:lang w:eastAsia="en-GB"/>
        </w:rPr>
        <w:t>Geography.org.uk. (n.d.). </w:t>
      </w:r>
      <w:r w:rsidRPr="00D46AFF">
        <w:rPr>
          <w:rFonts w:ascii="Calibri" w:eastAsia="Times New Roman" w:hAnsi="Calibri" w:cs="Calibri"/>
          <w:i/>
          <w:iCs/>
          <w:color w:val="000000"/>
          <w:sz w:val="22"/>
          <w:szCs w:val="22"/>
          <w:lang w:eastAsia="en-GB"/>
        </w:rPr>
        <w:t>Standards for QTS and initial teacher training criteria</w:t>
      </w:r>
      <w:r w:rsidRPr="00D46AFF">
        <w:rPr>
          <w:rFonts w:ascii="Calibri" w:eastAsia="Times New Roman" w:hAnsi="Calibri" w:cs="Calibri"/>
          <w:color w:val="000000"/>
          <w:sz w:val="22"/>
          <w:szCs w:val="22"/>
          <w:shd w:val="clear" w:color="auto" w:fill="FFFFFF"/>
          <w:lang w:eastAsia="en-GB"/>
        </w:rPr>
        <w:t xml:space="preserve">. [online] Available at: https://www.geography.org.uk/Standards-for-QTS-and-initial-teacher-training-criteria [Accessed 10 </w:t>
      </w:r>
      <w:bookmarkStart w:id="0" w:name="_GoBack"/>
      <w:bookmarkEnd w:id="0"/>
      <w:r w:rsidRPr="00D46AFF">
        <w:rPr>
          <w:rFonts w:ascii="Calibri" w:eastAsia="Times New Roman" w:hAnsi="Calibri" w:cs="Calibri"/>
          <w:color w:val="000000"/>
          <w:sz w:val="22"/>
          <w:szCs w:val="22"/>
          <w:shd w:val="clear" w:color="auto" w:fill="FFFFFF"/>
          <w:lang w:eastAsia="en-GB"/>
        </w:rPr>
        <w:t>Feb. 2020].</w:t>
      </w:r>
    </w:p>
    <w:p w14:paraId="466D2E69" w14:textId="77777777" w:rsidR="00EE4021" w:rsidRPr="00283F51" w:rsidRDefault="00EE4021" w:rsidP="00EE4021">
      <w:pPr>
        <w:spacing w:line="360" w:lineRule="auto"/>
        <w:rPr>
          <w:rFonts w:eastAsia="Times New Roman" w:cstheme="minorHAnsi"/>
          <w:sz w:val="22"/>
          <w:szCs w:val="22"/>
          <w:lang w:eastAsia="en-GB"/>
        </w:rPr>
      </w:pPr>
    </w:p>
    <w:p w14:paraId="659A3DD2" w14:textId="77777777" w:rsidR="00EE4021" w:rsidRPr="00EE4021" w:rsidRDefault="00EE4021" w:rsidP="00EE4021">
      <w:pPr>
        <w:spacing w:line="360" w:lineRule="auto"/>
        <w:rPr>
          <w:rFonts w:eastAsia="Times New Roman" w:cstheme="minorHAnsi"/>
          <w:color w:val="000000"/>
          <w:sz w:val="22"/>
          <w:szCs w:val="22"/>
          <w:shd w:val="clear" w:color="auto" w:fill="FFFFFF"/>
          <w:lang w:eastAsia="en-GB"/>
        </w:rPr>
      </w:pPr>
      <w:r w:rsidRPr="00EE4021">
        <w:rPr>
          <w:rFonts w:eastAsia="Times New Roman" w:cstheme="minorHAnsi"/>
          <w:color w:val="000000"/>
          <w:sz w:val="22"/>
          <w:szCs w:val="22"/>
          <w:shd w:val="clear" w:color="auto" w:fill="FFFFFF"/>
          <w:lang w:eastAsia="en-GB"/>
        </w:rPr>
        <w:t>Ginsburg, K. (2007). The Importance of Play in Promoting Healthy Child Development and Maintaining Strong Parent-Child Bonds. </w:t>
      </w:r>
      <w:r w:rsidRPr="00EE4021">
        <w:rPr>
          <w:rFonts w:eastAsia="Times New Roman" w:cstheme="minorHAnsi"/>
          <w:i/>
          <w:iCs/>
          <w:color w:val="000000"/>
          <w:sz w:val="22"/>
          <w:szCs w:val="22"/>
          <w:lang w:eastAsia="en-GB"/>
        </w:rPr>
        <w:t>PEDIATRICS</w:t>
      </w:r>
      <w:r w:rsidRPr="00EE4021">
        <w:rPr>
          <w:rFonts w:eastAsia="Times New Roman" w:cstheme="minorHAnsi"/>
          <w:color w:val="000000"/>
          <w:sz w:val="22"/>
          <w:szCs w:val="22"/>
          <w:shd w:val="clear" w:color="auto" w:fill="FFFFFF"/>
          <w:lang w:eastAsia="en-GB"/>
        </w:rPr>
        <w:t>, [online] 119(1), pp.182-191. Available at: https://pediatrics.aappublications.org/content/119/1/182 [Accessed 7 Feb. 2020].</w:t>
      </w:r>
    </w:p>
    <w:p w14:paraId="684B733F" w14:textId="77777777" w:rsidR="00EE4021" w:rsidRDefault="00EE4021" w:rsidP="00EE4021">
      <w:pPr>
        <w:spacing w:line="360" w:lineRule="auto"/>
        <w:rPr>
          <w:rFonts w:eastAsia="Times New Roman" w:cstheme="minorHAnsi"/>
          <w:color w:val="000000"/>
          <w:sz w:val="22"/>
          <w:szCs w:val="22"/>
          <w:shd w:val="clear" w:color="auto" w:fill="FFFFFF"/>
          <w:lang w:eastAsia="en-GB"/>
        </w:rPr>
      </w:pPr>
    </w:p>
    <w:p w14:paraId="69428CA9" w14:textId="5A6ED0C1" w:rsidR="00EE4021" w:rsidRPr="00EE4021" w:rsidRDefault="00EE4021" w:rsidP="00EE4021">
      <w:pPr>
        <w:spacing w:line="360" w:lineRule="auto"/>
        <w:rPr>
          <w:rFonts w:eastAsia="Times New Roman" w:cstheme="minorHAnsi"/>
          <w:color w:val="000000"/>
          <w:sz w:val="22"/>
          <w:szCs w:val="22"/>
          <w:shd w:val="clear" w:color="auto" w:fill="FFFFFF"/>
          <w:lang w:eastAsia="en-GB"/>
        </w:rPr>
      </w:pPr>
      <w:r w:rsidRPr="00EE4021">
        <w:rPr>
          <w:rFonts w:eastAsia="Times New Roman" w:cstheme="minorHAnsi"/>
          <w:color w:val="000000"/>
          <w:sz w:val="22"/>
          <w:szCs w:val="22"/>
          <w:shd w:val="clear" w:color="auto" w:fill="FFFFFF"/>
          <w:lang w:eastAsia="en-GB"/>
        </w:rPr>
        <w:t>Gregory, R. (2004). </w:t>
      </w:r>
      <w:r w:rsidRPr="00EE4021">
        <w:rPr>
          <w:rFonts w:eastAsia="Times New Roman" w:cstheme="minorHAnsi"/>
          <w:i/>
          <w:iCs/>
          <w:color w:val="000000"/>
          <w:sz w:val="22"/>
          <w:szCs w:val="22"/>
          <w:lang w:eastAsia="en-GB"/>
        </w:rPr>
        <w:t>Piaget and Education</w:t>
      </w:r>
      <w:r w:rsidRPr="00EE4021">
        <w:rPr>
          <w:rFonts w:eastAsia="Times New Roman" w:cstheme="minorHAnsi"/>
          <w:color w:val="000000"/>
          <w:sz w:val="22"/>
          <w:szCs w:val="22"/>
          <w:shd w:val="clear" w:color="auto" w:fill="FFFFFF"/>
          <w:lang w:eastAsia="en-GB"/>
        </w:rPr>
        <w:t xml:space="preserve">. 2nd ed. [ebook] Oxford University Press. Available at: https://www-oxfordreference-com.ezproxy.uwtsd.ac.uk/view/10.1093/acref/9780198662242.001.0001/acref-9780198662242-e-677 [Accessed 7 Feb. 2020]. </w:t>
      </w:r>
    </w:p>
    <w:p w14:paraId="2A07E8B4" w14:textId="77777777" w:rsidR="00EE4021" w:rsidRDefault="00EE4021" w:rsidP="00EE4021">
      <w:pPr>
        <w:spacing w:line="360" w:lineRule="auto"/>
        <w:rPr>
          <w:rFonts w:eastAsia="Times New Roman" w:cstheme="minorHAnsi"/>
          <w:color w:val="000000"/>
          <w:sz w:val="22"/>
          <w:szCs w:val="22"/>
          <w:shd w:val="clear" w:color="auto" w:fill="FFFFFF"/>
          <w:lang w:eastAsia="en-GB"/>
        </w:rPr>
      </w:pPr>
    </w:p>
    <w:p w14:paraId="391B1466" w14:textId="319130BF" w:rsidR="00EE4021" w:rsidRPr="00EE4021" w:rsidRDefault="00EE4021" w:rsidP="00EE4021">
      <w:pPr>
        <w:spacing w:line="360" w:lineRule="auto"/>
        <w:rPr>
          <w:rFonts w:eastAsia="Times New Roman" w:cstheme="minorHAnsi"/>
          <w:color w:val="000000"/>
          <w:sz w:val="22"/>
          <w:szCs w:val="22"/>
          <w:shd w:val="clear" w:color="auto" w:fill="FFFFFF"/>
          <w:lang w:eastAsia="en-GB"/>
        </w:rPr>
      </w:pPr>
      <w:r w:rsidRPr="00EE4021">
        <w:rPr>
          <w:rFonts w:eastAsia="Times New Roman" w:cstheme="minorHAnsi"/>
          <w:color w:val="000000"/>
          <w:sz w:val="22"/>
          <w:szCs w:val="22"/>
          <w:shd w:val="clear" w:color="auto" w:fill="FFFFFF"/>
          <w:lang w:eastAsia="en-GB"/>
        </w:rPr>
        <w:t>Huang, J., Wang, Y. and Teng, F. (2019). Understanding changes in teacher beliefs and identity formation: A case study of three novice teachers in Hong Kong. </w:t>
      </w:r>
      <w:r w:rsidRPr="00EE4021">
        <w:rPr>
          <w:rFonts w:eastAsia="Times New Roman" w:cstheme="minorHAnsi"/>
          <w:i/>
          <w:iCs/>
          <w:color w:val="000000"/>
          <w:sz w:val="22"/>
          <w:szCs w:val="22"/>
          <w:lang w:eastAsia="en-GB"/>
        </w:rPr>
        <w:t>Teaching Education</w:t>
      </w:r>
      <w:r w:rsidRPr="00EE4021">
        <w:rPr>
          <w:rFonts w:eastAsia="Times New Roman" w:cstheme="minorHAnsi"/>
          <w:color w:val="000000"/>
          <w:sz w:val="22"/>
          <w:szCs w:val="22"/>
          <w:shd w:val="clear" w:color="auto" w:fill="FFFFFF"/>
          <w:lang w:eastAsia="en-GB"/>
        </w:rPr>
        <w:t>, [online] pp.1-15. Available at: https://www.tandfonline.com/doi/abs/10.1080/10476210.2019.1693535?journalCode=cted20 [Accessed 7 Feb. 2020].</w:t>
      </w:r>
    </w:p>
    <w:p w14:paraId="4D93982E" w14:textId="77777777" w:rsidR="00EE4021" w:rsidRDefault="00EE4021" w:rsidP="00EE4021">
      <w:pPr>
        <w:spacing w:line="360" w:lineRule="auto"/>
        <w:rPr>
          <w:rFonts w:eastAsia="Times New Roman" w:cstheme="minorHAnsi"/>
          <w:color w:val="000000"/>
          <w:sz w:val="22"/>
          <w:szCs w:val="22"/>
          <w:shd w:val="clear" w:color="auto" w:fill="FFFFFF"/>
          <w:lang w:eastAsia="en-GB"/>
        </w:rPr>
      </w:pPr>
    </w:p>
    <w:p w14:paraId="5EEA6133" w14:textId="0C7708A7" w:rsidR="00EE4021" w:rsidRPr="00EE4021" w:rsidRDefault="00EE4021" w:rsidP="00EE4021">
      <w:pPr>
        <w:spacing w:line="360" w:lineRule="auto"/>
        <w:rPr>
          <w:rFonts w:eastAsia="Times New Roman" w:cstheme="minorHAnsi"/>
          <w:color w:val="000000"/>
          <w:sz w:val="22"/>
          <w:szCs w:val="22"/>
          <w:shd w:val="clear" w:color="auto" w:fill="FFFFFF"/>
          <w:lang w:eastAsia="en-GB"/>
        </w:rPr>
      </w:pPr>
      <w:r w:rsidRPr="0097495F">
        <w:rPr>
          <w:rFonts w:eastAsia="Times New Roman" w:cstheme="minorHAnsi"/>
          <w:color w:val="000000"/>
          <w:sz w:val="22"/>
          <w:szCs w:val="22"/>
          <w:shd w:val="clear" w:color="auto" w:fill="FFFFFF"/>
          <w:lang w:eastAsia="en-GB"/>
        </w:rPr>
        <w:t>Kalyan-Masih, V. (1973). Cognitive Egocentricity of the Child within Piagetian Developmental Theory. </w:t>
      </w:r>
      <w:r w:rsidRPr="0097495F">
        <w:rPr>
          <w:rFonts w:eastAsia="Times New Roman" w:cstheme="minorHAnsi"/>
          <w:i/>
          <w:iCs/>
          <w:color w:val="000000"/>
          <w:sz w:val="22"/>
          <w:szCs w:val="22"/>
          <w:lang w:eastAsia="en-GB"/>
        </w:rPr>
        <w:t>Transactions of the Nebraska Academy of Sciences and Affiliated Societies</w:t>
      </w:r>
      <w:r w:rsidRPr="0097495F">
        <w:rPr>
          <w:rFonts w:eastAsia="Times New Roman" w:cstheme="minorHAnsi"/>
          <w:color w:val="000000"/>
          <w:sz w:val="22"/>
          <w:szCs w:val="22"/>
          <w:shd w:val="clear" w:color="auto" w:fill="FFFFFF"/>
          <w:lang w:eastAsia="en-GB"/>
        </w:rPr>
        <w:t>, [online] 2. Available at: https://digitalcommons.unl.edu/cgi/viewcontent.cgi?article=1382&amp;context=tnas [Accessed 8 Feb. 2020].</w:t>
      </w:r>
    </w:p>
    <w:p w14:paraId="257A2978" w14:textId="77777777" w:rsidR="00EE4021" w:rsidRDefault="00EE4021" w:rsidP="00EE4021">
      <w:pPr>
        <w:spacing w:line="360" w:lineRule="auto"/>
        <w:rPr>
          <w:rFonts w:eastAsia="Times New Roman" w:cstheme="minorHAnsi"/>
          <w:color w:val="000000"/>
          <w:sz w:val="22"/>
          <w:szCs w:val="22"/>
          <w:shd w:val="clear" w:color="auto" w:fill="FFFFFF"/>
          <w:lang w:eastAsia="en-GB"/>
        </w:rPr>
      </w:pPr>
    </w:p>
    <w:p w14:paraId="609FBAB1" w14:textId="3241E851" w:rsidR="00EE4021" w:rsidRPr="00EE4021" w:rsidRDefault="00EE4021" w:rsidP="00EE4021">
      <w:pPr>
        <w:spacing w:line="360" w:lineRule="auto"/>
        <w:rPr>
          <w:rFonts w:eastAsia="Times New Roman" w:cstheme="minorHAnsi"/>
          <w:color w:val="000000"/>
          <w:sz w:val="22"/>
          <w:szCs w:val="22"/>
          <w:shd w:val="clear" w:color="auto" w:fill="FFFFFF"/>
          <w:lang w:eastAsia="en-GB"/>
        </w:rPr>
      </w:pPr>
      <w:r w:rsidRPr="00CF50D6">
        <w:rPr>
          <w:rFonts w:eastAsia="Times New Roman" w:cstheme="minorHAnsi"/>
          <w:color w:val="000000"/>
          <w:sz w:val="22"/>
          <w:szCs w:val="22"/>
          <w:shd w:val="clear" w:color="auto" w:fill="FFFFFF"/>
          <w:lang w:eastAsia="en-GB"/>
        </w:rPr>
        <w:t>Mindsetworks.com. (n.d.). </w:t>
      </w:r>
      <w:r w:rsidRPr="00CF50D6">
        <w:rPr>
          <w:rFonts w:eastAsia="Times New Roman" w:cstheme="minorHAnsi"/>
          <w:i/>
          <w:iCs/>
          <w:color w:val="000000"/>
          <w:sz w:val="22"/>
          <w:szCs w:val="22"/>
          <w:lang w:eastAsia="en-GB"/>
        </w:rPr>
        <w:t>The Growth Mindset - What is Growth Mindset - Mindset Works</w:t>
      </w:r>
      <w:r w:rsidRPr="00CF50D6">
        <w:rPr>
          <w:rFonts w:eastAsia="Times New Roman" w:cstheme="minorHAnsi"/>
          <w:color w:val="000000"/>
          <w:sz w:val="22"/>
          <w:szCs w:val="22"/>
          <w:shd w:val="clear" w:color="auto" w:fill="FFFFFF"/>
          <w:lang w:eastAsia="en-GB"/>
        </w:rPr>
        <w:t>. [online] Available at: https://www.mindsetworks.com/science/ [Accessed 8 Feb. 2020].</w:t>
      </w:r>
    </w:p>
    <w:p w14:paraId="7A4C92A8" w14:textId="77777777" w:rsidR="00EE4021" w:rsidRDefault="00EE4021" w:rsidP="00EE4021">
      <w:pPr>
        <w:spacing w:line="360" w:lineRule="auto"/>
        <w:rPr>
          <w:rFonts w:eastAsia="Times New Roman" w:cstheme="minorHAnsi"/>
          <w:color w:val="000000"/>
          <w:sz w:val="22"/>
          <w:szCs w:val="22"/>
          <w:shd w:val="clear" w:color="auto" w:fill="FFFFFF"/>
          <w:lang w:eastAsia="en-GB"/>
        </w:rPr>
      </w:pPr>
    </w:p>
    <w:p w14:paraId="6AC9F7FB" w14:textId="46710EAB" w:rsidR="00EE4021" w:rsidRPr="00EE4021" w:rsidRDefault="00EE4021" w:rsidP="00EE4021">
      <w:pPr>
        <w:spacing w:line="360" w:lineRule="auto"/>
        <w:rPr>
          <w:rFonts w:eastAsia="Times New Roman" w:cstheme="minorHAnsi"/>
          <w:color w:val="000000"/>
          <w:sz w:val="22"/>
          <w:szCs w:val="22"/>
          <w:shd w:val="clear" w:color="auto" w:fill="FFFFFF"/>
          <w:lang w:eastAsia="en-GB"/>
        </w:rPr>
      </w:pPr>
      <w:r w:rsidRPr="00283F51">
        <w:rPr>
          <w:rFonts w:eastAsia="Times New Roman" w:cstheme="minorHAnsi"/>
          <w:color w:val="000000"/>
          <w:sz w:val="22"/>
          <w:szCs w:val="22"/>
          <w:shd w:val="clear" w:color="auto" w:fill="FFFFFF"/>
          <w:lang w:eastAsia="en-GB"/>
        </w:rPr>
        <w:t>Price-Mitchell, M. (2011). </w:t>
      </w:r>
      <w:r w:rsidRPr="00283F51">
        <w:rPr>
          <w:rFonts w:eastAsia="Times New Roman" w:cstheme="minorHAnsi"/>
          <w:i/>
          <w:iCs/>
          <w:color w:val="000000"/>
          <w:sz w:val="22"/>
          <w:szCs w:val="22"/>
          <w:lang w:eastAsia="en-GB"/>
        </w:rPr>
        <w:t>Mistakes Improve Children's Learning</w:t>
      </w:r>
      <w:r w:rsidRPr="00283F51">
        <w:rPr>
          <w:rFonts w:eastAsia="Times New Roman" w:cstheme="minorHAnsi"/>
          <w:color w:val="000000"/>
          <w:sz w:val="22"/>
          <w:szCs w:val="22"/>
          <w:shd w:val="clear" w:color="auto" w:fill="FFFFFF"/>
          <w:lang w:eastAsia="en-GB"/>
        </w:rPr>
        <w:t>. [online] Psychology Today. Available at: https://www.psychologytoday.com/gb/blog/the-moment-youth/201109/mistakes-improve-childrens-learning [Accessed 8 Feb. 2020].</w:t>
      </w:r>
    </w:p>
    <w:p w14:paraId="39A8ADD4" w14:textId="77777777" w:rsidR="00EE4021" w:rsidRDefault="00EE4021" w:rsidP="00EE4021">
      <w:pPr>
        <w:spacing w:line="360" w:lineRule="auto"/>
        <w:rPr>
          <w:rFonts w:eastAsia="Times New Roman" w:cstheme="minorHAnsi"/>
          <w:color w:val="000000"/>
          <w:sz w:val="22"/>
          <w:szCs w:val="22"/>
          <w:shd w:val="clear" w:color="auto" w:fill="FFFFFF"/>
          <w:lang w:eastAsia="en-GB"/>
        </w:rPr>
      </w:pPr>
    </w:p>
    <w:p w14:paraId="613B56A9" w14:textId="5A95A35B" w:rsidR="00EE4021" w:rsidRPr="00EE698B" w:rsidRDefault="00EE4021" w:rsidP="00EE4021">
      <w:pPr>
        <w:spacing w:line="360" w:lineRule="auto"/>
        <w:rPr>
          <w:rFonts w:eastAsia="Times New Roman" w:cstheme="minorHAnsi"/>
          <w:sz w:val="22"/>
          <w:szCs w:val="22"/>
          <w:lang w:eastAsia="en-GB"/>
        </w:rPr>
      </w:pPr>
      <w:r w:rsidRPr="00EE698B">
        <w:rPr>
          <w:rFonts w:eastAsia="Times New Roman" w:cstheme="minorHAnsi"/>
          <w:color w:val="000000"/>
          <w:sz w:val="22"/>
          <w:szCs w:val="22"/>
          <w:shd w:val="clear" w:color="auto" w:fill="FFFFFF"/>
          <w:lang w:eastAsia="en-GB"/>
        </w:rPr>
        <w:t xml:space="preserve">Ristic, M. (2016). 6 Reasons Why Preschool is Good </w:t>
      </w:r>
      <w:r w:rsidRPr="00EE4021">
        <w:rPr>
          <w:rFonts w:eastAsia="Times New Roman" w:cstheme="minorHAnsi"/>
          <w:color w:val="000000"/>
          <w:sz w:val="22"/>
          <w:szCs w:val="22"/>
          <w:shd w:val="clear" w:color="auto" w:fill="FFFFFF"/>
          <w:lang w:eastAsia="en-GB"/>
        </w:rPr>
        <w:t>for</w:t>
      </w:r>
      <w:r w:rsidRPr="00EE698B">
        <w:rPr>
          <w:rFonts w:eastAsia="Times New Roman" w:cstheme="minorHAnsi"/>
          <w:color w:val="000000"/>
          <w:sz w:val="22"/>
          <w:szCs w:val="22"/>
          <w:shd w:val="clear" w:color="auto" w:fill="FFFFFF"/>
          <w:lang w:eastAsia="en-GB"/>
        </w:rPr>
        <w:t xml:space="preserve"> Your Child. [Blog] </w:t>
      </w:r>
      <w:r w:rsidRPr="00EE698B">
        <w:rPr>
          <w:rFonts w:eastAsia="Times New Roman" w:cstheme="minorHAnsi"/>
          <w:i/>
          <w:iCs/>
          <w:color w:val="000000"/>
          <w:sz w:val="22"/>
          <w:szCs w:val="22"/>
          <w:lang w:eastAsia="en-GB"/>
        </w:rPr>
        <w:t>Early childhood education</w:t>
      </w:r>
      <w:r w:rsidRPr="00EE698B">
        <w:rPr>
          <w:rFonts w:eastAsia="Times New Roman" w:cstheme="minorHAnsi"/>
          <w:color w:val="000000"/>
          <w:sz w:val="22"/>
          <w:szCs w:val="22"/>
          <w:shd w:val="clear" w:color="auto" w:fill="FFFFFF"/>
          <w:lang w:eastAsia="en-GB"/>
        </w:rPr>
        <w:t>. Available at: https://novakdjokovicfoundation.org/6-reasons-why-preschool-is-good-for-your-child/ [Accessed 9 Feb. 2020].</w:t>
      </w:r>
    </w:p>
    <w:p w14:paraId="7A6D1950" w14:textId="77777777" w:rsidR="00EE4021" w:rsidRDefault="00EE4021" w:rsidP="00EE4021">
      <w:pPr>
        <w:spacing w:line="360" w:lineRule="auto"/>
        <w:rPr>
          <w:rFonts w:eastAsia="Times New Roman" w:cstheme="minorHAnsi"/>
          <w:color w:val="000000"/>
          <w:sz w:val="22"/>
          <w:szCs w:val="22"/>
          <w:shd w:val="clear" w:color="auto" w:fill="FFFFFF"/>
          <w:lang w:eastAsia="en-GB"/>
        </w:rPr>
      </w:pPr>
    </w:p>
    <w:p w14:paraId="3C78829D" w14:textId="17217AB4" w:rsidR="00EE4021" w:rsidRPr="00EE4021" w:rsidRDefault="00EE4021" w:rsidP="00EE4021">
      <w:pPr>
        <w:spacing w:line="360" w:lineRule="auto"/>
        <w:rPr>
          <w:rFonts w:eastAsia="Times New Roman" w:cstheme="minorHAnsi"/>
          <w:color w:val="000000"/>
          <w:sz w:val="22"/>
          <w:szCs w:val="22"/>
          <w:shd w:val="clear" w:color="auto" w:fill="FFFFFF"/>
          <w:lang w:eastAsia="en-GB"/>
        </w:rPr>
      </w:pPr>
      <w:r w:rsidRPr="00EE4021">
        <w:rPr>
          <w:rFonts w:eastAsia="Times New Roman" w:cstheme="minorHAnsi"/>
          <w:color w:val="000000"/>
          <w:sz w:val="22"/>
          <w:szCs w:val="22"/>
          <w:shd w:val="clear" w:color="auto" w:fill="FFFFFF"/>
          <w:lang w:eastAsia="en-GB"/>
        </w:rPr>
        <w:t>Ročāne, M. (2015). The Significance of Teacher`s Beliefs in the Learning Process. </w:t>
      </w:r>
      <w:r w:rsidRPr="00EE4021">
        <w:rPr>
          <w:rFonts w:eastAsia="Times New Roman" w:cstheme="minorHAnsi"/>
          <w:i/>
          <w:iCs/>
          <w:color w:val="000000"/>
          <w:sz w:val="22"/>
          <w:szCs w:val="22"/>
          <w:lang w:eastAsia="en-GB"/>
        </w:rPr>
        <w:t>SOCIETY, INTEGRATION, EDUCATION. Proceedings of the International Scientific Conference</w:t>
      </w:r>
      <w:r w:rsidRPr="00EE4021">
        <w:rPr>
          <w:rFonts w:eastAsia="Times New Roman" w:cstheme="minorHAnsi"/>
          <w:color w:val="000000"/>
          <w:sz w:val="22"/>
          <w:szCs w:val="22"/>
          <w:shd w:val="clear" w:color="auto" w:fill="FFFFFF"/>
          <w:lang w:eastAsia="en-GB"/>
        </w:rPr>
        <w:t>, [online] 2. Available at: https://pdfs.semanticscholar.org/534a/29afa53fb66dac58a6e482bfe99ce38397d2.pdf [Accessed 7 Feb. 2020].</w:t>
      </w:r>
    </w:p>
    <w:p w14:paraId="73489666" w14:textId="77777777" w:rsidR="00283F51" w:rsidRPr="0097495F" w:rsidRDefault="00283F51" w:rsidP="002C56D4">
      <w:pPr>
        <w:spacing w:line="360" w:lineRule="auto"/>
        <w:rPr>
          <w:rFonts w:eastAsia="Times New Roman" w:cstheme="minorHAnsi"/>
          <w:color w:val="000000"/>
          <w:sz w:val="22"/>
          <w:szCs w:val="22"/>
          <w:shd w:val="clear" w:color="auto" w:fill="FFFFFF"/>
          <w:lang w:eastAsia="en-GB"/>
        </w:rPr>
      </w:pPr>
    </w:p>
    <w:p w14:paraId="5512B408" w14:textId="77777777" w:rsidR="004F680D" w:rsidRPr="004F680D" w:rsidRDefault="004F680D" w:rsidP="002C17E2">
      <w:pPr>
        <w:spacing w:line="360" w:lineRule="auto"/>
        <w:rPr>
          <w:rFonts w:ascii="Calibri" w:hAnsi="Calibri" w:cs="Calibri"/>
        </w:rPr>
      </w:pPr>
    </w:p>
    <w:sectPr w:rsidR="004F680D" w:rsidRPr="004F680D" w:rsidSect="00E1102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CB7171"/>
    <w:multiLevelType w:val="hybridMultilevel"/>
    <w:tmpl w:val="A1CA3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F629D9"/>
    <w:multiLevelType w:val="hybridMultilevel"/>
    <w:tmpl w:val="473C18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425"/>
    <w:rsid w:val="000033AD"/>
    <w:rsid w:val="000044A1"/>
    <w:rsid w:val="00006A2D"/>
    <w:rsid w:val="00007801"/>
    <w:rsid w:val="00007FD6"/>
    <w:rsid w:val="000211D7"/>
    <w:rsid w:val="00031A91"/>
    <w:rsid w:val="00033158"/>
    <w:rsid w:val="000340AF"/>
    <w:rsid w:val="00036845"/>
    <w:rsid w:val="000401D7"/>
    <w:rsid w:val="00044F87"/>
    <w:rsid w:val="00066B1D"/>
    <w:rsid w:val="000966F1"/>
    <w:rsid w:val="000B5FEB"/>
    <w:rsid w:val="000B729C"/>
    <w:rsid w:val="000C4E9F"/>
    <w:rsid w:val="000D16BF"/>
    <w:rsid w:val="000D2EC1"/>
    <w:rsid w:val="000D68B0"/>
    <w:rsid w:val="000E67D2"/>
    <w:rsid w:val="000E6BBF"/>
    <w:rsid w:val="000F317C"/>
    <w:rsid w:val="0010115D"/>
    <w:rsid w:val="001031AA"/>
    <w:rsid w:val="00125E00"/>
    <w:rsid w:val="00147C99"/>
    <w:rsid w:val="001526E6"/>
    <w:rsid w:val="00153953"/>
    <w:rsid w:val="00162100"/>
    <w:rsid w:val="001A7369"/>
    <w:rsid w:val="001C3CA5"/>
    <w:rsid w:val="00211D37"/>
    <w:rsid w:val="00215329"/>
    <w:rsid w:val="002226A1"/>
    <w:rsid w:val="002255C0"/>
    <w:rsid w:val="00233A14"/>
    <w:rsid w:val="00241F79"/>
    <w:rsid w:val="00247062"/>
    <w:rsid w:val="002558F1"/>
    <w:rsid w:val="0026507E"/>
    <w:rsid w:val="00273E01"/>
    <w:rsid w:val="00283F51"/>
    <w:rsid w:val="002C17E2"/>
    <w:rsid w:val="002C56D4"/>
    <w:rsid w:val="002C6162"/>
    <w:rsid w:val="002E27F5"/>
    <w:rsid w:val="002F66C3"/>
    <w:rsid w:val="003346A4"/>
    <w:rsid w:val="00342334"/>
    <w:rsid w:val="00394C1F"/>
    <w:rsid w:val="003A0328"/>
    <w:rsid w:val="003A359A"/>
    <w:rsid w:val="003A7347"/>
    <w:rsid w:val="003B6B5F"/>
    <w:rsid w:val="003B6D6C"/>
    <w:rsid w:val="003E1538"/>
    <w:rsid w:val="00412856"/>
    <w:rsid w:val="00416FFE"/>
    <w:rsid w:val="00422DDA"/>
    <w:rsid w:val="00427425"/>
    <w:rsid w:val="004779D8"/>
    <w:rsid w:val="004822F0"/>
    <w:rsid w:val="00493F49"/>
    <w:rsid w:val="004954B8"/>
    <w:rsid w:val="004B381D"/>
    <w:rsid w:val="004E7F22"/>
    <w:rsid w:val="004F0CD8"/>
    <w:rsid w:val="004F3154"/>
    <w:rsid w:val="004F680D"/>
    <w:rsid w:val="00533425"/>
    <w:rsid w:val="00536AE3"/>
    <w:rsid w:val="0054442B"/>
    <w:rsid w:val="00547C46"/>
    <w:rsid w:val="005501E2"/>
    <w:rsid w:val="00580ED5"/>
    <w:rsid w:val="00593820"/>
    <w:rsid w:val="005B52A9"/>
    <w:rsid w:val="005C1154"/>
    <w:rsid w:val="005C1723"/>
    <w:rsid w:val="005C78C2"/>
    <w:rsid w:val="005D424B"/>
    <w:rsid w:val="005E0F99"/>
    <w:rsid w:val="005F67FE"/>
    <w:rsid w:val="00603E69"/>
    <w:rsid w:val="006068A5"/>
    <w:rsid w:val="00644274"/>
    <w:rsid w:val="006660D9"/>
    <w:rsid w:val="00671156"/>
    <w:rsid w:val="00681763"/>
    <w:rsid w:val="006A45A7"/>
    <w:rsid w:val="006B6BEB"/>
    <w:rsid w:val="006C2F7F"/>
    <w:rsid w:val="006C49BA"/>
    <w:rsid w:val="006D4F83"/>
    <w:rsid w:val="006E6427"/>
    <w:rsid w:val="00704A27"/>
    <w:rsid w:val="00705A70"/>
    <w:rsid w:val="007162C1"/>
    <w:rsid w:val="00767DE5"/>
    <w:rsid w:val="00774672"/>
    <w:rsid w:val="007748C2"/>
    <w:rsid w:val="007C4871"/>
    <w:rsid w:val="007E00E4"/>
    <w:rsid w:val="007E5C74"/>
    <w:rsid w:val="007F0A57"/>
    <w:rsid w:val="007F4FC4"/>
    <w:rsid w:val="0083723C"/>
    <w:rsid w:val="0084387B"/>
    <w:rsid w:val="00843E40"/>
    <w:rsid w:val="0085001B"/>
    <w:rsid w:val="008548AE"/>
    <w:rsid w:val="00867210"/>
    <w:rsid w:val="00872F38"/>
    <w:rsid w:val="00876123"/>
    <w:rsid w:val="0089580A"/>
    <w:rsid w:val="008F065E"/>
    <w:rsid w:val="009000CE"/>
    <w:rsid w:val="00900FDA"/>
    <w:rsid w:val="0090103F"/>
    <w:rsid w:val="0091513C"/>
    <w:rsid w:val="0097261B"/>
    <w:rsid w:val="0097495F"/>
    <w:rsid w:val="00995F25"/>
    <w:rsid w:val="009A29AF"/>
    <w:rsid w:val="009B35BF"/>
    <w:rsid w:val="009B54A7"/>
    <w:rsid w:val="009C234C"/>
    <w:rsid w:val="009D50E3"/>
    <w:rsid w:val="009F56EF"/>
    <w:rsid w:val="00A00FAA"/>
    <w:rsid w:val="00A0131C"/>
    <w:rsid w:val="00A20A94"/>
    <w:rsid w:val="00A26A65"/>
    <w:rsid w:val="00A30078"/>
    <w:rsid w:val="00A50FC9"/>
    <w:rsid w:val="00A61BAC"/>
    <w:rsid w:val="00A65166"/>
    <w:rsid w:val="00A740AD"/>
    <w:rsid w:val="00A76150"/>
    <w:rsid w:val="00A77425"/>
    <w:rsid w:val="00A94E97"/>
    <w:rsid w:val="00AA11F2"/>
    <w:rsid w:val="00AA3D24"/>
    <w:rsid w:val="00AA536B"/>
    <w:rsid w:val="00AB4502"/>
    <w:rsid w:val="00AB5660"/>
    <w:rsid w:val="00AE0833"/>
    <w:rsid w:val="00AE3153"/>
    <w:rsid w:val="00B27AC5"/>
    <w:rsid w:val="00B46CB0"/>
    <w:rsid w:val="00BA59CD"/>
    <w:rsid w:val="00BA6995"/>
    <w:rsid w:val="00BB78AB"/>
    <w:rsid w:val="00BE592C"/>
    <w:rsid w:val="00BE7606"/>
    <w:rsid w:val="00C00537"/>
    <w:rsid w:val="00C04ED9"/>
    <w:rsid w:val="00C14578"/>
    <w:rsid w:val="00C20096"/>
    <w:rsid w:val="00C31BA6"/>
    <w:rsid w:val="00C55241"/>
    <w:rsid w:val="00C973DC"/>
    <w:rsid w:val="00CB40F4"/>
    <w:rsid w:val="00CC0C9C"/>
    <w:rsid w:val="00CC60FD"/>
    <w:rsid w:val="00CD0AD3"/>
    <w:rsid w:val="00CE79D1"/>
    <w:rsid w:val="00CF4D47"/>
    <w:rsid w:val="00CF50D6"/>
    <w:rsid w:val="00CF5969"/>
    <w:rsid w:val="00D043EF"/>
    <w:rsid w:val="00D338C2"/>
    <w:rsid w:val="00D37DC8"/>
    <w:rsid w:val="00D46AFF"/>
    <w:rsid w:val="00D47B8F"/>
    <w:rsid w:val="00D5302D"/>
    <w:rsid w:val="00D61ADF"/>
    <w:rsid w:val="00D76750"/>
    <w:rsid w:val="00D76D46"/>
    <w:rsid w:val="00D90ECA"/>
    <w:rsid w:val="00DA66A8"/>
    <w:rsid w:val="00DB0061"/>
    <w:rsid w:val="00DC13F8"/>
    <w:rsid w:val="00DD553E"/>
    <w:rsid w:val="00DF7A72"/>
    <w:rsid w:val="00DF7BE1"/>
    <w:rsid w:val="00E11024"/>
    <w:rsid w:val="00E26D2E"/>
    <w:rsid w:val="00E27DBC"/>
    <w:rsid w:val="00E445AB"/>
    <w:rsid w:val="00E45289"/>
    <w:rsid w:val="00E54794"/>
    <w:rsid w:val="00E573EB"/>
    <w:rsid w:val="00E61475"/>
    <w:rsid w:val="00E708FE"/>
    <w:rsid w:val="00E74F8B"/>
    <w:rsid w:val="00E81329"/>
    <w:rsid w:val="00E96C44"/>
    <w:rsid w:val="00EC6CE8"/>
    <w:rsid w:val="00ED0667"/>
    <w:rsid w:val="00EE4021"/>
    <w:rsid w:val="00EE698B"/>
    <w:rsid w:val="00F21086"/>
    <w:rsid w:val="00F26185"/>
    <w:rsid w:val="00F3127C"/>
    <w:rsid w:val="00F34DBF"/>
    <w:rsid w:val="00F51D69"/>
    <w:rsid w:val="00F5681C"/>
    <w:rsid w:val="00F868E3"/>
    <w:rsid w:val="00F919B4"/>
    <w:rsid w:val="00FA51ED"/>
    <w:rsid w:val="00FB3FB0"/>
    <w:rsid w:val="00FD6450"/>
    <w:rsid w:val="00FF3CE7"/>
    <w:rsid w:val="00FF5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0F007"/>
  <w15:chartTrackingRefBased/>
  <w15:docId w15:val="{F06DCA86-DF9F-944A-B8C3-6C0BA6D0D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F680D"/>
  </w:style>
  <w:style w:type="paragraph" w:styleId="ListParagraph">
    <w:name w:val="List Paragraph"/>
    <w:basedOn w:val="Normal"/>
    <w:uiPriority w:val="34"/>
    <w:qFormat/>
    <w:rsid w:val="0097261B"/>
    <w:pPr>
      <w:ind w:left="720"/>
      <w:contextualSpacing/>
    </w:pPr>
  </w:style>
  <w:style w:type="paragraph" w:styleId="NormalWeb">
    <w:name w:val="Normal (Web)"/>
    <w:basedOn w:val="Normal"/>
    <w:uiPriority w:val="99"/>
    <w:semiHidden/>
    <w:unhideWhenUsed/>
    <w:rsid w:val="00E96C4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619715">
      <w:bodyDiv w:val="1"/>
      <w:marLeft w:val="0"/>
      <w:marRight w:val="0"/>
      <w:marTop w:val="0"/>
      <w:marBottom w:val="0"/>
      <w:divBdr>
        <w:top w:val="none" w:sz="0" w:space="0" w:color="auto"/>
        <w:left w:val="none" w:sz="0" w:space="0" w:color="auto"/>
        <w:bottom w:val="none" w:sz="0" w:space="0" w:color="auto"/>
        <w:right w:val="none" w:sz="0" w:space="0" w:color="auto"/>
      </w:divBdr>
    </w:div>
    <w:div w:id="420375095">
      <w:bodyDiv w:val="1"/>
      <w:marLeft w:val="0"/>
      <w:marRight w:val="0"/>
      <w:marTop w:val="0"/>
      <w:marBottom w:val="0"/>
      <w:divBdr>
        <w:top w:val="none" w:sz="0" w:space="0" w:color="auto"/>
        <w:left w:val="none" w:sz="0" w:space="0" w:color="auto"/>
        <w:bottom w:val="none" w:sz="0" w:space="0" w:color="auto"/>
        <w:right w:val="none" w:sz="0" w:space="0" w:color="auto"/>
      </w:divBdr>
    </w:div>
    <w:div w:id="537543778">
      <w:bodyDiv w:val="1"/>
      <w:marLeft w:val="0"/>
      <w:marRight w:val="0"/>
      <w:marTop w:val="0"/>
      <w:marBottom w:val="0"/>
      <w:divBdr>
        <w:top w:val="none" w:sz="0" w:space="0" w:color="auto"/>
        <w:left w:val="none" w:sz="0" w:space="0" w:color="auto"/>
        <w:bottom w:val="none" w:sz="0" w:space="0" w:color="auto"/>
        <w:right w:val="none" w:sz="0" w:space="0" w:color="auto"/>
      </w:divBdr>
    </w:div>
    <w:div w:id="672412001">
      <w:bodyDiv w:val="1"/>
      <w:marLeft w:val="0"/>
      <w:marRight w:val="0"/>
      <w:marTop w:val="0"/>
      <w:marBottom w:val="0"/>
      <w:divBdr>
        <w:top w:val="none" w:sz="0" w:space="0" w:color="auto"/>
        <w:left w:val="none" w:sz="0" w:space="0" w:color="auto"/>
        <w:bottom w:val="none" w:sz="0" w:space="0" w:color="auto"/>
        <w:right w:val="none" w:sz="0" w:space="0" w:color="auto"/>
      </w:divBdr>
    </w:div>
    <w:div w:id="847643740">
      <w:bodyDiv w:val="1"/>
      <w:marLeft w:val="0"/>
      <w:marRight w:val="0"/>
      <w:marTop w:val="0"/>
      <w:marBottom w:val="0"/>
      <w:divBdr>
        <w:top w:val="none" w:sz="0" w:space="0" w:color="auto"/>
        <w:left w:val="none" w:sz="0" w:space="0" w:color="auto"/>
        <w:bottom w:val="none" w:sz="0" w:space="0" w:color="auto"/>
        <w:right w:val="none" w:sz="0" w:space="0" w:color="auto"/>
      </w:divBdr>
    </w:div>
    <w:div w:id="886333836">
      <w:bodyDiv w:val="1"/>
      <w:marLeft w:val="0"/>
      <w:marRight w:val="0"/>
      <w:marTop w:val="0"/>
      <w:marBottom w:val="0"/>
      <w:divBdr>
        <w:top w:val="none" w:sz="0" w:space="0" w:color="auto"/>
        <w:left w:val="none" w:sz="0" w:space="0" w:color="auto"/>
        <w:bottom w:val="none" w:sz="0" w:space="0" w:color="auto"/>
        <w:right w:val="none" w:sz="0" w:space="0" w:color="auto"/>
      </w:divBdr>
    </w:div>
    <w:div w:id="911475118">
      <w:bodyDiv w:val="1"/>
      <w:marLeft w:val="0"/>
      <w:marRight w:val="0"/>
      <w:marTop w:val="0"/>
      <w:marBottom w:val="0"/>
      <w:divBdr>
        <w:top w:val="none" w:sz="0" w:space="0" w:color="auto"/>
        <w:left w:val="none" w:sz="0" w:space="0" w:color="auto"/>
        <w:bottom w:val="none" w:sz="0" w:space="0" w:color="auto"/>
        <w:right w:val="none" w:sz="0" w:space="0" w:color="auto"/>
      </w:divBdr>
    </w:div>
    <w:div w:id="972053616">
      <w:bodyDiv w:val="1"/>
      <w:marLeft w:val="0"/>
      <w:marRight w:val="0"/>
      <w:marTop w:val="0"/>
      <w:marBottom w:val="0"/>
      <w:divBdr>
        <w:top w:val="none" w:sz="0" w:space="0" w:color="auto"/>
        <w:left w:val="none" w:sz="0" w:space="0" w:color="auto"/>
        <w:bottom w:val="none" w:sz="0" w:space="0" w:color="auto"/>
        <w:right w:val="none" w:sz="0" w:space="0" w:color="auto"/>
      </w:divBdr>
    </w:div>
    <w:div w:id="1447890921">
      <w:bodyDiv w:val="1"/>
      <w:marLeft w:val="0"/>
      <w:marRight w:val="0"/>
      <w:marTop w:val="0"/>
      <w:marBottom w:val="0"/>
      <w:divBdr>
        <w:top w:val="none" w:sz="0" w:space="0" w:color="auto"/>
        <w:left w:val="none" w:sz="0" w:space="0" w:color="auto"/>
        <w:bottom w:val="none" w:sz="0" w:space="0" w:color="auto"/>
        <w:right w:val="none" w:sz="0" w:space="0" w:color="auto"/>
      </w:divBdr>
    </w:div>
    <w:div w:id="1666938014">
      <w:bodyDiv w:val="1"/>
      <w:marLeft w:val="0"/>
      <w:marRight w:val="0"/>
      <w:marTop w:val="0"/>
      <w:marBottom w:val="0"/>
      <w:divBdr>
        <w:top w:val="none" w:sz="0" w:space="0" w:color="auto"/>
        <w:left w:val="none" w:sz="0" w:space="0" w:color="auto"/>
        <w:bottom w:val="none" w:sz="0" w:space="0" w:color="auto"/>
        <w:right w:val="none" w:sz="0" w:space="0" w:color="auto"/>
      </w:divBdr>
    </w:div>
    <w:div w:id="1942832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1837</Words>
  <Characters>10474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jones</dc:creator>
  <cp:keywords/>
  <dc:description/>
  <cp:lastModifiedBy>hollie jones</cp:lastModifiedBy>
  <cp:revision>2</cp:revision>
  <dcterms:created xsi:type="dcterms:W3CDTF">2020-02-13T23:09:00Z</dcterms:created>
  <dcterms:modified xsi:type="dcterms:W3CDTF">2020-02-13T23:09:00Z</dcterms:modified>
</cp:coreProperties>
</file>