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CA479" w14:textId="77777777" w:rsidR="00325F05" w:rsidRPr="001D2D54" w:rsidRDefault="00325F05" w:rsidP="00325F05">
      <w:pPr>
        <w:pStyle w:val="NoSpacing"/>
        <w:jc w:val="center"/>
        <w:rPr>
          <w:lang w:val="en-GB"/>
        </w:rPr>
      </w:pPr>
      <w:bookmarkStart w:id="0" w:name="_mhy2ro4hx80k" w:colFirst="0" w:colLast="0"/>
      <w:bookmarkEnd w:id="0"/>
      <w:r w:rsidRPr="001D2D54">
        <w:rPr>
          <w:noProof/>
          <w:lang w:val="en-IN" w:eastAsia="en-IN"/>
        </w:rPr>
        <w:drawing>
          <wp:inline distT="0" distB="0" distL="0" distR="0" wp14:anchorId="3FC8A020" wp14:editId="0EB3B941">
            <wp:extent cx="2390775" cy="90916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0926" cy="916831"/>
                    </a:xfrm>
                    <a:prstGeom prst="rect">
                      <a:avLst/>
                    </a:prstGeom>
                  </pic:spPr>
                </pic:pic>
              </a:graphicData>
            </a:graphic>
          </wp:inline>
        </w:drawing>
      </w:r>
    </w:p>
    <w:p w14:paraId="321E908C" w14:textId="77777777" w:rsidR="00325F05" w:rsidRPr="001D2D54" w:rsidRDefault="00325F05" w:rsidP="00325F05">
      <w:pPr>
        <w:pStyle w:val="NoSpacing"/>
        <w:spacing w:line="360" w:lineRule="auto"/>
        <w:rPr>
          <w:b/>
          <w:bCs/>
          <w:sz w:val="28"/>
          <w:lang w:val="en-GB"/>
        </w:rPr>
      </w:pPr>
    </w:p>
    <w:p w14:paraId="599C157D" w14:textId="77777777" w:rsidR="00325F05" w:rsidRPr="001D2D54" w:rsidRDefault="00325F05" w:rsidP="00325F05">
      <w:pPr>
        <w:pStyle w:val="NoSpacing"/>
        <w:spacing w:line="360" w:lineRule="auto"/>
        <w:jc w:val="center"/>
        <w:rPr>
          <w:b/>
          <w:bCs/>
          <w:sz w:val="28"/>
          <w:lang w:val="en-GB"/>
        </w:rPr>
      </w:pPr>
    </w:p>
    <w:p w14:paraId="53F132F4" w14:textId="77777777" w:rsidR="00325F05" w:rsidRPr="001D2D54" w:rsidRDefault="00325F05" w:rsidP="00325F05">
      <w:pPr>
        <w:pStyle w:val="NoSpacing"/>
        <w:spacing w:line="360" w:lineRule="auto"/>
        <w:jc w:val="center"/>
        <w:rPr>
          <w:b/>
          <w:bCs/>
          <w:sz w:val="28"/>
          <w:lang w:val="en-GB"/>
        </w:rPr>
      </w:pPr>
    </w:p>
    <w:p w14:paraId="673C8C9C" w14:textId="77777777" w:rsidR="00325F05" w:rsidRPr="001D2D54" w:rsidRDefault="00325F05" w:rsidP="00325F05">
      <w:pPr>
        <w:pStyle w:val="NoSpacing"/>
        <w:spacing w:line="360" w:lineRule="auto"/>
        <w:jc w:val="center"/>
        <w:rPr>
          <w:sz w:val="28"/>
          <w:lang w:val="en-GB"/>
        </w:rPr>
      </w:pPr>
      <w:r w:rsidRPr="001D2D54">
        <w:rPr>
          <w:b/>
          <w:bCs/>
          <w:sz w:val="28"/>
          <w:lang w:val="en-GB"/>
        </w:rPr>
        <w:t xml:space="preserve">Student Name: </w:t>
      </w:r>
      <w:r w:rsidRPr="001D2D54">
        <w:rPr>
          <w:bCs/>
          <w:sz w:val="28"/>
          <w:lang w:val="en-GB"/>
        </w:rPr>
        <w:t>J</w:t>
      </w:r>
      <w:r w:rsidRPr="001D2D54">
        <w:rPr>
          <w:sz w:val="28"/>
          <w:lang w:val="en-GB"/>
        </w:rPr>
        <w:t>acqueline Lawrence</w:t>
      </w:r>
    </w:p>
    <w:p w14:paraId="18EB31F0" w14:textId="77777777" w:rsidR="00325F05" w:rsidRPr="001D2D54" w:rsidRDefault="00325F05" w:rsidP="00325F05">
      <w:pPr>
        <w:pStyle w:val="NoSpacing"/>
        <w:spacing w:line="360" w:lineRule="auto"/>
        <w:jc w:val="center"/>
        <w:rPr>
          <w:b/>
          <w:bCs/>
          <w:sz w:val="28"/>
          <w:lang w:val="en-GB"/>
        </w:rPr>
      </w:pPr>
    </w:p>
    <w:p w14:paraId="11E781EE" w14:textId="53CE1CA3" w:rsidR="00325F05" w:rsidRDefault="00325F05" w:rsidP="00325F05">
      <w:pPr>
        <w:pStyle w:val="NoSpacing"/>
        <w:spacing w:line="360" w:lineRule="auto"/>
        <w:jc w:val="center"/>
        <w:rPr>
          <w:b/>
          <w:bCs/>
          <w:sz w:val="28"/>
          <w:lang w:val="en-GB"/>
        </w:rPr>
      </w:pPr>
      <w:r w:rsidRPr="001D2D54">
        <w:rPr>
          <w:b/>
          <w:bCs/>
          <w:sz w:val="28"/>
          <w:lang w:val="en-GB"/>
        </w:rPr>
        <w:t>Student number:</w:t>
      </w:r>
      <w:r w:rsidR="0012414E">
        <w:rPr>
          <w:b/>
          <w:bCs/>
          <w:sz w:val="28"/>
          <w:lang w:val="en-GB"/>
        </w:rPr>
        <w:t>2315750</w:t>
      </w:r>
    </w:p>
    <w:p w14:paraId="5C6728F6" w14:textId="5FA000FF" w:rsidR="0012414E" w:rsidRPr="001D2D54" w:rsidRDefault="0012414E" w:rsidP="00325F05">
      <w:pPr>
        <w:pStyle w:val="NoSpacing"/>
        <w:spacing w:line="360" w:lineRule="auto"/>
        <w:jc w:val="center"/>
        <w:rPr>
          <w:sz w:val="28"/>
          <w:lang w:val="en-GB"/>
        </w:rPr>
      </w:pPr>
      <w:r>
        <w:rPr>
          <w:sz w:val="28"/>
          <w:lang w:val="en-GB"/>
        </w:rPr>
        <w:t>Lecture</w:t>
      </w:r>
      <w:r w:rsidR="00E9493F">
        <w:rPr>
          <w:sz w:val="28"/>
          <w:lang w:val="en-GB"/>
        </w:rPr>
        <w:t>r</w:t>
      </w:r>
      <w:r>
        <w:rPr>
          <w:sz w:val="28"/>
          <w:lang w:val="en-GB"/>
        </w:rPr>
        <w:t xml:space="preserve"> Martin Svejd</w:t>
      </w:r>
      <w:r w:rsidR="00E9493F">
        <w:rPr>
          <w:sz w:val="28"/>
          <w:lang w:val="en-GB"/>
        </w:rPr>
        <w:t>a</w:t>
      </w:r>
      <w:r>
        <w:rPr>
          <w:sz w:val="28"/>
          <w:lang w:val="en-GB"/>
        </w:rPr>
        <w:t xml:space="preserve"> </w:t>
      </w:r>
    </w:p>
    <w:p w14:paraId="62244DD9" w14:textId="77777777" w:rsidR="00325F05" w:rsidRPr="001D2D54" w:rsidRDefault="00325F05" w:rsidP="00802731">
      <w:pPr>
        <w:pStyle w:val="NoSpacing"/>
        <w:spacing w:line="360" w:lineRule="auto"/>
        <w:rPr>
          <w:b/>
          <w:bCs/>
          <w:sz w:val="28"/>
          <w:lang w:val="en-GB"/>
        </w:rPr>
      </w:pPr>
    </w:p>
    <w:p w14:paraId="25CB67C8" w14:textId="77777777" w:rsidR="00325F05" w:rsidRPr="001D2D54" w:rsidRDefault="00325F05" w:rsidP="00325F05">
      <w:pPr>
        <w:pStyle w:val="NoSpacing"/>
        <w:spacing w:line="360" w:lineRule="auto"/>
        <w:jc w:val="center"/>
        <w:rPr>
          <w:sz w:val="28"/>
          <w:lang w:val="en-GB"/>
        </w:rPr>
      </w:pPr>
      <w:r w:rsidRPr="001D2D54">
        <w:rPr>
          <w:b/>
          <w:bCs/>
          <w:sz w:val="28"/>
          <w:lang w:val="en-GB"/>
        </w:rPr>
        <w:t xml:space="preserve">Module code: </w:t>
      </w:r>
      <w:r w:rsidRPr="001D2D54">
        <w:rPr>
          <w:sz w:val="28"/>
          <w:lang w:val="en-GB"/>
        </w:rPr>
        <w:t>BMHP6026</w:t>
      </w:r>
    </w:p>
    <w:p w14:paraId="0759375B" w14:textId="77777777" w:rsidR="00325F05" w:rsidRPr="001D2D54" w:rsidRDefault="00325F05" w:rsidP="00325F05">
      <w:pPr>
        <w:pStyle w:val="NoSpacing"/>
        <w:spacing w:line="360" w:lineRule="auto"/>
        <w:jc w:val="center"/>
        <w:rPr>
          <w:b/>
          <w:bCs/>
          <w:sz w:val="28"/>
          <w:lang w:val="en-GB"/>
        </w:rPr>
      </w:pPr>
    </w:p>
    <w:p w14:paraId="04AD4D6B" w14:textId="77777777" w:rsidR="00325F05" w:rsidRPr="001D2D54" w:rsidRDefault="00325F05" w:rsidP="00325F05">
      <w:pPr>
        <w:pStyle w:val="NoSpacing"/>
        <w:spacing w:line="360" w:lineRule="auto"/>
        <w:jc w:val="center"/>
        <w:rPr>
          <w:sz w:val="28"/>
          <w:lang w:val="en-GB"/>
        </w:rPr>
      </w:pPr>
      <w:r w:rsidRPr="001D2D54">
        <w:rPr>
          <w:b/>
          <w:bCs/>
          <w:sz w:val="28"/>
          <w:lang w:val="en-GB"/>
        </w:rPr>
        <w:t xml:space="preserve">Module title: </w:t>
      </w:r>
      <w:r w:rsidRPr="001D2D54">
        <w:rPr>
          <w:sz w:val="28"/>
          <w:lang w:val="en-GB"/>
        </w:rPr>
        <w:t>Digital Transformation in the Health and Care Professions</w:t>
      </w:r>
    </w:p>
    <w:p w14:paraId="077FAD8F" w14:textId="77777777" w:rsidR="00325F05" w:rsidRPr="001D2D54" w:rsidRDefault="00325F05" w:rsidP="00325F05">
      <w:pPr>
        <w:pStyle w:val="NoSpacing"/>
        <w:spacing w:line="360" w:lineRule="auto"/>
        <w:jc w:val="center"/>
        <w:rPr>
          <w:b/>
          <w:bCs/>
          <w:sz w:val="28"/>
          <w:lang w:val="en-GB"/>
        </w:rPr>
      </w:pPr>
    </w:p>
    <w:p w14:paraId="4831F674" w14:textId="77777777" w:rsidR="00325F05" w:rsidRPr="001D2D54" w:rsidRDefault="00325F05" w:rsidP="00325F05">
      <w:pPr>
        <w:pStyle w:val="NoSpacing"/>
        <w:spacing w:line="360" w:lineRule="auto"/>
        <w:jc w:val="center"/>
        <w:rPr>
          <w:sz w:val="28"/>
          <w:lang w:val="en-GB"/>
        </w:rPr>
      </w:pPr>
      <w:r w:rsidRPr="001D2D54">
        <w:rPr>
          <w:b/>
          <w:bCs/>
          <w:sz w:val="28"/>
          <w:lang w:val="en-GB"/>
        </w:rPr>
        <w:t xml:space="preserve">Assignment Title: </w:t>
      </w:r>
      <w:r w:rsidRPr="001D2D54">
        <w:rPr>
          <w:sz w:val="28"/>
          <w:lang w:val="en-GB"/>
        </w:rPr>
        <w:t>Component 1: Written Report</w:t>
      </w:r>
    </w:p>
    <w:p w14:paraId="48FBB316" w14:textId="77777777" w:rsidR="00415D26" w:rsidRDefault="00415D26">
      <w:pPr>
        <w:rPr>
          <w:b/>
          <w:bCs/>
          <w:sz w:val="24"/>
          <w:lang w:val="en-GB"/>
        </w:rPr>
      </w:pPr>
      <w:r>
        <w:rPr>
          <w:b/>
          <w:bCs/>
          <w:sz w:val="24"/>
          <w:lang w:val="en-GB"/>
        </w:rPr>
        <w:br w:type="page"/>
      </w:r>
    </w:p>
    <w:sdt>
      <w:sdtPr>
        <w:rPr>
          <w:rFonts w:ascii="Arial" w:eastAsia="Arial" w:hAnsi="Arial" w:cs="Arial"/>
          <w:color w:val="auto"/>
          <w:sz w:val="22"/>
          <w:szCs w:val="22"/>
          <w:lang w:val="en"/>
        </w:rPr>
        <w:id w:val="-1861046706"/>
        <w:docPartObj>
          <w:docPartGallery w:val="Table of Contents"/>
          <w:docPartUnique/>
        </w:docPartObj>
      </w:sdtPr>
      <w:sdtEndPr>
        <w:rPr>
          <w:b/>
          <w:bCs/>
          <w:noProof/>
        </w:rPr>
      </w:sdtEndPr>
      <w:sdtContent>
        <w:p w14:paraId="7498A8CF" w14:textId="4ACD6E27" w:rsidR="004B1328" w:rsidRPr="004B1328" w:rsidRDefault="004B1328" w:rsidP="004B1328">
          <w:pPr>
            <w:pStyle w:val="TOCHeading"/>
            <w:jc w:val="center"/>
            <w:rPr>
              <w:rFonts w:ascii="Arial" w:hAnsi="Arial" w:cs="Arial"/>
              <w:b/>
              <w:color w:val="000000" w:themeColor="text1"/>
              <w:sz w:val="28"/>
            </w:rPr>
          </w:pPr>
          <w:r w:rsidRPr="004B1328">
            <w:rPr>
              <w:rFonts w:ascii="Arial" w:hAnsi="Arial" w:cs="Arial"/>
              <w:b/>
              <w:color w:val="000000" w:themeColor="text1"/>
              <w:sz w:val="28"/>
            </w:rPr>
            <w:t>Table of Contents</w:t>
          </w:r>
        </w:p>
        <w:p w14:paraId="0C677CDD" w14:textId="09298E42" w:rsidR="00706FE2" w:rsidRDefault="004B1328">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\o "1-3" \h \z \u </w:instrText>
          </w:r>
          <w:r>
            <w:fldChar w:fldCharType="separate"/>
          </w:r>
          <w:hyperlink w:anchor="_Toc209688939" w:history="1">
            <w:r w:rsidR="00706FE2" w:rsidRPr="003338CD">
              <w:rPr>
                <w:rStyle w:val="Hyperlink"/>
                <w:noProof/>
              </w:rPr>
              <w:t>Introduction</w:t>
            </w:r>
            <w:r w:rsidR="00706FE2">
              <w:rPr>
                <w:noProof/>
                <w:webHidden/>
              </w:rPr>
              <w:tab/>
            </w:r>
            <w:r w:rsidR="00706FE2">
              <w:rPr>
                <w:noProof/>
                <w:webHidden/>
              </w:rPr>
              <w:fldChar w:fldCharType="begin"/>
            </w:r>
            <w:r w:rsidR="00706FE2">
              <w:rPr>
                <w:noProof/>
                <w:webHidden/>
              </w:rPr>
              <w:instrText xml:space="preserve"> PAGEREF _Toc209688939 \h </w:instrText>
            </w:r>
            <w:r w:rsidR="00706FE2">
              <w:rPr>
                <w:noProof/>
                <w:webHidden/>
              </w:rPr>
            </w:r>
            <w:r w:rsidR="00706FE2">
              <w:rPr>
                <w:noProof/>
                <w:webHidden/>
              </w:rPr>
              <w:fldChar w:fldCharType="separate"/>
            </w:r>
            <w:r w:rsidR="00706FE2">
              <w:rPr>
                <w:noProof/>
                <w:webHidden/>
              </w:rPr>
              <w:t>3</w:t>
            </w:r>
            <w:r w:rsidR="00706FE2">
              <w:rPr>
                <w:noProof/>
                <w:webHidden/>
              </w:rPr>
              <w:fldChar w:fldCharType="end"/>
            </w:r>
          </w:hyperlink>
        </w:p>
        <w:p w14:paraId="792DD4C4" w14:textId="4CC4CE62" w:rsidR="00706FE2" w:rsidRDefault="00706FE2">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40" w:history="1">
            <w:r w:rsidRPr="003338CD">
              <w:rPr>
                <w:rStyle w:val="Hyperlink"/>
                <w:noProof/>
              </w:rPr>
              <w:t>a. Workforce</w:t>
            </w:r>
            <w:r>
              <w:rPr>
                <w:noProof/>
                <w:webHidden/>
              </w:rPr>
              <w:tab/>
            </w:r>
            <w:r>
              <w:rPr>
                <w:noProof/>
                <w:webHidden/>
              </w:rPr>
              <w:fldChar w:fldCharType="begin"/>
            </w:r>
            <w:r>
              <w:rPr>
                <w:noProof/>
                <w:webHidden/>
              </w:rPr>
              <w:instrText xml:space="preserve"> PAGEREF _Toc209688940 \h </w:instrText>
            </w:r>
            <w:r>
              <w:rPr>
                <w:noProof/>
                <w:webHidden/>
              </w:rPr>
            </w:r>
            <w:r>
              <w:rPr>
                <w:noProof/>
                <w:webHidden/>
              </w:rPr>
              <w:fldChar w:fldCharType="separate"/>
            </w:r>
            <w:r>
              <w:rPr>
                <w:noProof/>
                <w:webHidden/>
              </w:rPr>
              <w:t>4</w:t>
            </w:r>
            <w:r>
              <w:rPr>
                <w:noProof/>
                <w:webHidden/>
              </w:rPr>
              <w:fldChar w:fldCharType="end"/>
            </w:r>
          </w:hyperlink>
        </w:p>
        <w:p w14:paraId="6E486307" w14:textId="6D7AFFBB"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41" w:history="1">
            <w:r w:rsidRPr="003338CD">
              <w:rPr>
                <w:rStyle w:val="Hyperlink"/>
                <w:noProof/>
              </w:rPr>
              <w:t>Role Changes and Training Needs: New Skills and Job Adjustments</w:t>
            </w:r>
            <w:r>
              <w:rPr>
                <w:noProof/>
                <w:webHidden/>
              </w:rPr>
              <w:tab/>
            </w:r>
            <w:r>
              <w:rPr>
                <w:noProof/>
                <w:webHidden/>
              </w:rPr>
              <w:fldChar w:fldCharType="begin"/>
            </w:r>
            <w:r>
              <w:rPr>
                <w:noProof/>
                <w:webHidden/>
              </w:rPr>
              <w:instrText xml:space="preserve"> PAGEREF _Toc209688941 \h </w:instrText>
            </w:r>
            <w:r>
              <w:rPr>
                <w:noProof/>
                <w:webHidden/>
              </w:rPr>
            </w:r>
            <w:r>
              <w:rPr>
                <w:noProof/>
                <w:webHidden/>
              </w:rPr>
              <w:fldChar w:fldCharType="separate"/>
            </w:r>
            <w:r>
              <w:rPr>
                <w:noProof/>
                <w:webHidden/>
              </w:rPr>
              <w:t>4</w:t>
            </w:r>
            <w:r>
              <w:rPr>
                <w:noProof/>
                <w:webHidden/>
              </w:rPr>
              <w:fldChar w:fldCharType="end"/>
            </w:r>
          </w:hyperlink>
        </w:p>
        <w:p w14:paraId="6A0BFF3F" w14:textId="52DB29DF"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42" w:history="1">
            <w:r w:rsidRPr="003338CD">
              <w:rPr>
                <w:rStyle w:val="Hyperlink"/>
                <w:noProof/>
              </w:rPr>
              <w:t>Operational Benefits: Efficiency Gains and Reduced Errors</w:t>
            </w:r>
            <w:r>
              <w:rPr>
                <w:noProof/>
                <w:webHidden/>
              </w:rPr>
              <w:tab/>
            </w:r>
            <w:r>
              <w:rPr>
                <w:noProof/>
                <w:webHidden/>
              </w:rPr>
              <w:fldChar w:fldCharType="begin"/>
            </w:r>
            <w:r>
              <w:rPr>
                <w:noProof/>
                <w:webHidden/>
              </w:rPr>
              <w:instrText xml:space="preserve"> PAGEREF _Toc209688942 \h </w:instrText>
            </w:r>
            <w:r>
              <w:rPr>
                <w:noProof/>
                <w:webHidden/>
              </w:rPr>
            </w:r>
            <w:r>
              <w:rPr>
                <w:noProof/>
                <w:webHidden/>
              </w:rPr>
              <w:fldChar w:fldCharType="separate"/>
            </w:r>
            <w:r>
              <w:rPr>
                <w:noProof/>
                <w:webHidden/>
              </w:rPr>
              <w:t>4</w:t>
            </w:r>
            <w:r>
              <w:rPr>
                <w:noProof/>
                <w:webHidden/>
              </w:rPr>
              <w:fldChar w:fldCharType="end"/>
            </w:r>
          </w:hyperlink>
        </w:p>
        <w:p w14:paraId="694C0FE4" w14:textId="545E564D"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43" w:history="1">
            <w:r w:rsidRPr="003338CD">
              <w:rPr>
                <w:rStyle w:val="Hyperlink"/>
                <w:noProof/>
              </w:rPr>
              <w:t>Implementation Challenges: Resistance to Change and Workload Pressures</w:t>
            </w:r>
            <w:r>
              <w:rPr>
                <w:noProof/>
                <w:webHidden/>
              </w:rPr>
              <w:tab/>
            </w:r>
            <w:r>
              <w:rPr>
                <w:noProof/>
                <w:webHidden/>
              </w:rPr>
              <w:fldChar w:fldCharType="begin"/>
            </w:r>
            <w:r>
              <w:rPr>
                <w:noProof/>
                <w:webHidden/>
              </w:rPr>
              <w:instrText xml:space="preserve"> PAGEREF _Toc209688943 \h </w:instrText>
            </w:r>
            <w:r>
              <w:rPr>
                <w:noProof/>
                <w:webHidden/>
              </w:rPr>
            </w:r>
            <w:r>
              <w:rPr>
                <w:noProof/>
                <w:webHidden/>
              </w:rPr>
              <w:fldChar w:fldCharType="separate"/>
            </w:r>
            <w:r>
              <w:rPr>
                <w:noProof/>
                <w:webHidden/>
              </w:rPr>
              <w:t>5</w:t>
            </w:r>
            <w:r>
              <w:rPr>
                <w:noProof/>
                <w:webHidden/>
              </w:rPr>
              <w:fldChar w:fldCharType="end"/>
            </w:r>
          </w:hyperlink>
        </w:p>
        <w:p w14:paraId="260A8F45" w14:textId="23DC9C64" w:rsidR="00706FE2" w:rsidRDefault="00706FE2">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44" w:history="1">
            <w:r w:rsidRPr="003338CD">
              <w:rPr>
                <w:rStyle w:val="Hyperlink"/>
                <w:noProof/>
                <w:shd w:val="clear" w:color="auto" w:fill="FFFFFF"/>
              </w:rPr>
              <w:t>b. Service delivery</w:t>
            </w:r>
            <w:r>
              <w:rPr>
                <w:noProof/>
                <w:webHidden/>
              </w:rPr>
              <w:tab/>
            </w:r>
            <w:r>
              <w:rPr>
                <w:noProof/>
                <w:webHidden/>
              </w:rPr>
              <w:fldChar w:fldCharType="begin"/>
            </w:r>
            <w:r>
              <w:rPr>
                <w:noProof/>
                <w:webHidden/>
              </w:rPr>
              <w:instrText xml:space="preserve"> PAGEREF _Toc209688944 \h </w:instrText>
            </w:r>
            <w:r>
              <w:rPr>
                <w:noProof/>
                <w:webHidden/>
              </w:rPr>
            </w:r>
            <w:r>
              <w:rPr>
                <w:noProof/>
                <w:webHidden/>
              </w:rPr>
              <w:fldChar w:fldCharType="separate"/>
            </w:r>
            <w:r>
              <w:rPr>
                <w:noProof/>
                <w:webHidden/>
              </w:rPr>
              <w:t>5</w:t>
            </w:r>
            <w:r>
              <w:rPr>
                <w:noProof/>
                <w:webHidden/>
              </w:rPr>
              <w:fldChar w:fldCharType="end"/>
            </w:r>
          </w:hyperlink>
        </w:p>
        <w:p w14:paraId="7E27240D" w14:textId="784EA298"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45" w:history="1">
            <w:r w:rsidRPr="003338CD">
              <w:rPr>
                <w:rStyle w:val="Hyperlink"/>
                <w:noProof/>
                <w:lang w:val="en-US"/>
              </w:rPr>
              <w:t>Daily Practice Transformation: Workflows, Communication, and Integration</w:t>
            </w:r>
            <w:r>
              <w:rPr>
                <w:noProof/>
                <w:webHidden/>
              </w:rPr>
              <w:tab/>
            </w:r>
            <w:r>
              <w:rPr>
                <w:noProof/>
                <w:webHidden/>
              </w:rPr>
              <w:fldChar w:fldCharType="begin"/>
            </w:r>
            <w:r>
              <w:rPr>
                <w:noProof/>
                <w:webHidden/>
              </w:rPr>
              <w:instrText xml:space="preserve"> PAGEREF _Toc209688945 \h </w:instrText>
            </w:r>
            <w:r>
              <w:rPr>
                <w:noProof/>
                <w:webHidden/>
              </w:rPr>
            </w:r>
            <w:r>
              <w:rPr>
                <w:noProof/>
                <w:webHidden/>
              </w:rPr>
              <w:fldChar w:fldCharType="separate"/>
            </w:r>
            <w:r>
              <w:rPr>
                <w:noProof/>
                <w:webHidden/>
              </w:rPr>
              <w:t>5</w:t>
            </w:r>
            <w:r>
              <w:rPr>
                <w:noProof/>
                <w:webHidden/>
              </w:rPr>
              <w:fldChar w:fldCharType="end"/>
            </w:r>
          </w:hyperlink>
        </w:p>
        <w:p w14:paraId="3E9F0CB2" w14:textId="3954724C"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46" w:history="1">
            <w:r w:rsidRPr="003338CD">
              <w:rPr>
                <w:rStyle w:val="Hyperlink"/>
                <w:noProof/>
                <w:lang w:val="en-US"/>
              </w:rPr>
              <w:t>Service Benefits: Faster Care Delivery and Improved Coordination</w:t>
            </w:r>
            <w:r>
              <w:rPr>
                <w:noProof/>
                <w:webHidden/>
              </w:rPr>
              <w:tab/>
            </w:r>
            <w:r>
              <w:rPr>
                <w:noProof/>
                <w:webHidden/>
              </w:rPr>
              <w:fldChar w:fldCharType="begin"/>
            </w:r>
            <w:r>
              <w:rPr>
                <w:noProof/>
                <w:webHidden/>
              </w:rPr>
              <w:instrText xml:space="preserve"> PAGEREF _Toc209688946 \h </w:instrText>
            </w:r>
            <w:r>
              <w:rPr>
                <w:noProof/>
                <w:webHidden/>
              </w:rPr>
            </w:r>
            <w:r>
              <w:rPr>
                <w:noProof/>
                <w:webHidden/>
              </w:rPr>
              <w:fldChar w:fldCharType="separate"/>
            </w:r>
            <w:r>
              <w:rPr>
                <w:noProof/>
                <w:webHidden/>
              </w:rPr>
              <w:t>5</w:t>
            </w:r>
            <w:r>
              <w:rPr>
                <w:noProof/>
                <w:webHidden/>
              </w:rPr>
              <w:fldChar w:fldCharType="end"/>
            </w:r>
          </w:hyperlink>
        </w:p>
        <w:p w14:paraId="76B6D9CF" w14:textId="2AAAD27A"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47" w:history="1">
            <w:r w:rsidRPr="003338CD">
              <w:rPr>
                <w:rStyle w:val="Hyperlink"/>
                <w:noProof/>
                <w:lang w:val="en-US"/>
              </w:rPr>
              <w:t>Implementation Barriers: High Costs and Technical Problems</w:t>
            </w:r>
            <w:r>
              <w:rPr>
                <w:noProof/>
                <w:webHidden/>
              </w:rPr>
              <w:tab/>
            </w:r>
            <w:r>
              <w:rPr>
                <w:noProof/>
                <w:webHidden/>
              </w:rPr>
              <w:fldChar w:fldCharType="begin"/>
            </w:r>
            <w:r>
              <w:rPr>
                <w:noProof/>
                <w:webHidden/>
              </w:rPr>
              <w:instrText xml:space="preserve"> PAGEREF _Toc209688947 \h </w:instrText>
            </w:r>
            <w:r>
              <w:rPr>
                <w:noProof/>
                <w:webHidden/>
              </w:rPr>
            </w:r>
            <w:r>
              <w:rPr>
                <w:noProof/>
                <w:webHidden/>
              </w:rPr>
              <w:fldChar w:fldCharType="separate"/>
            </w:r>
            <w:r>
              <w:rPr>
                <w:noProof/>
                <w:webHidden/>
              </w:rPr>
              <w:t>6</w:t>
            </w:r>
            <w:r>
              <w:rPr>
                <w:noProof/>
                <w:webHidden/>
              </w:rPr>
              <w:fldChar w:fldCharType="end"/>
            </w:r>
          </w:hyperlink>
        </w:p>
        <w:p w14:paraId="5FCECF89" w14:textId="1354FCE9"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48" w:history="1">
            <w:r w:rsidRPr="003338CD">
              <w:rPr>
                <w:rStyle w:val="Hyperlink"/>
                <w:noProof/>
                <w:lang w:val="en-US"/>
              </w:rPr>
              <w:t>UK Case Study Evidence: NHS Oximetry @home and Regional Pilots</w:t>
            </w:r>
            <w:r>
              <w:rPr>
                <w:noProof/>
                <w:webHidden/>
              </w:rPr>
              <w:tab/>
            </w:r>
            <w:r>
              <w:rPr>
                <w:noProof/>
                <w:webHidden/>
              </w:rPr>
              <w:fldChar w:fldCharType="begin"/>
            </w:r>
            <w:r>
              <w:rPr>
                <w:noProof/>
                <w:webHidden/>
              </w:rPr>
              <w:instrText xml:space="preserve"> PAGEREF _Toc209688948 \h </w:instrText>
            </w:r>
            <w:r>
              <w:rPr>
                <w:noProof/>
                <w:webHidden/>
              </w:rPr>
            </w:r>
            <w:r>
              <w:rPr>
                <w:noProof/>
                <w:webHidden/>
              </w:rPr>
              <w:fldChar w:fldCharType="separate"/>
            </w:r>
            <w:r>
              <w:rPr>
                <w:noProof/>
                <w:webHidden/>
              </w:rPr>
              <w:t>6</w:t>
            </w:r>
            <w:r>
              <w:rPr>
                <w:noProof/>
                <w:webHidden/>
              </w:rPr>
              <w:fldChar w:fldCharType="end"/>
            </w:r>
          </w:hyperlink>
        </w:p>
        <w:p w14:paraId="1BFCA5FF" w14:textId="2C0E6765" w:rsidR="00706FE2" w:rsidRDefault="00706FE2">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49" w:history="1">
            <w:r w:rsidRPr="003338CD">
              <w:rPr>
                <w:rStyle w:val="Hyperlink"/>
                <w:noProof/>
                <w:lang w:val="en-GB"/>
              </w:rPr>
              <w:t>c. Patient/Service User</w:t>
            </w:r>
            <w:r>
              <w:rPr>
                <w:noProof/>
                <w:webHidden/>
              </w:rPr>
              <w:tab/>
            </w:r>
            <w:r>
              <w:rPr>
                <w:noProof/>
                <w:webHidden/>
              </w:rPr>
              <w:fldChar w:fldCharType="begin"/>
            </w:r>
            <w:r>
              <w:rPr>
                <w:noProof/>
                <w:webHidden/>
              </w:rPr>
              <w:instrText xml:space="preserve"> PAGEREF _Toc209688949 \h </w:instrText>
            </w:r>
            <w:r>
              <w:rPr>
                <w:noProof/>
                <w:webHidden/>
              </w:rPr>
            </w:r>
            <w:r>
              <w:rPr>
                <w:noProof/>
                <w:webHidden/>
              </w:rPr>
              <w:fldChar w:fldCharType="separate"/>
            </w:r>
            <w:r>
              <w:rPr>
                <w:noProof/>
                <w:webHidden/>
              </w:rPr>
              <w:t>6</w:t>
            </w:r>
            <w:r>
              <w:rPr>
                <w:noProof/>
                <w:webHidden/>
              </w:rPr>
              <w:fldChar w:fldCharType="end"/>
            </w:r>
          </w:hyperlink>
        </w:p>
        <w:p w14:paraId="4678D857" w14:textId="675C0B77"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50" w:history="1">
            <w:r w:rsidRPr="003338CD">
              <w:rPr>
                <w:rStyle w:val="Hyperlink"/>
                <w:noProof/>
                <w:lang w:val="en-GB"/>
              </w:rPr>
              <w:t>Patient/service user experiences</w:t>
            </w:r>
            <w:r>
              <w:rPr>
                <w:noProof/>
                <w:webHidden/>
              </w:rPr>
              <w:tab/>
            </w:r>
            <w:r>
              <w:rPr>
                <w:noProof/>
                <w:webHidden/>
              </w:rPr>
              <w:fldChar w:fldCharType="begin"/>
            </w:r>
            <w:r>
              <w:rPr>
                <w:noProof/>
                <w:webHidden/>
              </w:rPr>
              <w:instrText xml:space="preserve"> PAGEREF _Toc209688950 \h </w:instrText>
            </w:r>
            <w:r>
              <w:rPr>
                <w:noProof/>
                <w:webHidden/>
              </w:rPr>
            </w:r>
            <w:r>
              <w:rPr>
                <w:noProof/>
                <w:webHidden/>
              </w:rPr>
              <w:fldChar w:fldCharType="separate"/>
            </w:r>
            <w:r>
              <w:rPr>
                <w:noProof/>
                <w:webHidden/>
              </w:rPr>
              <w:t>6</w:t>
            </w:r>
            <w:r>
              <w:rPr>
                <w:noProof/>
                <w:webHidden/>
              </w:rPr>
              <w:fldChar w:fldCharType="end"/>
            </w:r>
          </w:hyperlink>
        </w:p>
        <w:p w14:paraId="25105DFE" w14:textId="42AD2E07"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51" w:history="1">
            <w:r w:rsidRPr="003338CD">
              <w:rPr>
                <w:rStyle w:val="Hyperlink"/>
                <w:noProof/>
                <w:lang w:val="en-GB"/>
              </w:rPr>
              <w:t>Issues of privacy, digital literacy, or the fairness of access</w:t>
            </w:r>
            <w:r>
              <w:rPr>
                <w:noProof/>
                <w:webHidden/>
              </w:rPr>
              <w:tab/>
            </w:r>
            <w:r>
              <w:rPr>
                <w:noProof/>
                <w:webHidden/>
              </w:rPr>
              <w:fldChar w:fldCharType="begin"/>
            </w:r>
            <w:r>
              <w:rPr>
                <w:noProof/>
                <w:webHidden/>
              </w:rPr>
              <w:instrText xml:space="preserve"> PAGEREF _Toc209688951 \h </w:instrText>
            </w:r>
            <w:r>
              <w:rPr>
                <w:noProof/>
                <w:webHidden/>
              </w:rPr>
            </w:r>
            <w:r>
              <w:rPr>
                <w:noProof/>
                <w:webHidden/>
              </w:rPr>
              <w:fldChar w:fldCharType="separate"/>
            </w:r>
            <w:r>
              <w:rPr>
                <w:noProof/>
                <w:webHidden/>
              </w:rPr>
              <w:t>7</w:t>
            </w:r>
            <w:r>
              <w:rPr>
                <w:noProof/>
                <w:webHidden/>
              </w:rPr>
              <w:fldChar w:fldCharType="end"/>
            </w:r>
          </w:hyperlink>
        </w:p>
        <w:p w14:paraId="7FF2B1AF" w14:textId="683821D9"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52" w:history="1">
            <w:r w:rsidRPr="003338CD">
              <w:rPr>
                <w:rStyle w:val="Hyperlink"/>
                <w:noProof/>
                <w:lang w:val="en-GB"/>
              </w:rPr>
              <w:t>Evidence from studies or patient perspectives</w:t>
            </w:r>
            <w:r>
              <w:rPr>
                <w:noProof/>
                <w:webHidden/>
              </w:rPr>
              <w:tab/>
            </w:r>
            <w:r>
              <w:rPr>
                <w:noProof/>
                <w:webHidden/>
              </w:rPr>
              <w:fldChar w:fldCharType="begin"/>
            </w:r>
            <w:r>
              <w:rPr>
                <w:noProof/>
                <w:webHidden/>
              </w:rPr>
              <w:instrText xml:space="preserve"> PAGEREF _Toc209688952 \h </w:instrText>
            </w:r>
            <w:r>
              <w:rPr>
                <w:noProof/>
                <w:webHidden/>
              </w:rPr>
            </w:r>
            <w:r>
              <w:rPr>
                <w:noProof/>
                <w:webHidden/>
              </w:rPr>
              <w:fldChar w:fldCharType="separate"/>
            </w:r>
            <w:r>
              <w:rPr>
                <w:noProof/>
                <w:webHidden/>
              </w:rPr>
              <w:t>7</w:t>
            </w:r>
            <w:r>
              <w:rPr>
                <w:noProof/>
                <w:webHidden/>
              </w:rPr>
              <w:fldChar w:fldCharType="end"/>
            </w:r>
          </w:hyperlink>
        </w:p>
        <w:p w14:paraId="1C9793AB" w14:textId="4C80680C" w:rsidR="00706FE2" w:rsidRDefault="00706FE2">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53" w:history="1">
            <w:r w:rsidRPr="003338CD">
              <w:rPr>
                <w:rStyle w:val="Hyperlink"/>
                <w:noProof/>
                <w:lang w:val="en-GB"/>
              </w:rPr>
              <w:t>d. Community</w:t>
            </w:r>
            <w:r>
              <w:rPr>
                <w:noProof/>
                <w:webHidden/>
              </w:rPr>
              <w:tab/>
            </w:r>
            <w:r>
              <w:rPr>
                <w:noProof/>
                <w:webHidden/>
              </w:rPr>
              <w:fldChar w:fldCharType="begin"/>
            </w:r>
            <w:r>
              <w:rPr>
                <w:noProof/>
                <w:webHidden/>
              </w:rPr>
              <w:instrText xml:space="preserve"> PAGEREF _Toc209688953 \h </w:instrText>
            </w:r>
            <w:r>
              <w:rPr>
                <w:noProof/>
                <w:webHidden/>
              </w:rPr>
            </w:r>
            <w:r>
              <w:rPr>
                <w:noProof/>
                <w:webHidden/>
              </w:rPr>
              <w:fldChar w:fldCharType="separate"/>
            </w:r>
            <w:r>
              <w:rPr>
                <w:noProof/>
                <w:webHidden/>
              </w:rPr>
              <w:t>7</w:t>
            </w:r>
            <w:r>
              <w:rPr>
                <w:noProof/>
                <w:webHidden/>
              </w:rPr>
              <w:fldChar w:fldCharType="end"/>
            </w:r>
          </w:hyperlink>
        </w:p>
        <w:p w14:paraId="7E08BBCB" w14:textId="34A4F692"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54" w:history="1">
            <w:r w:rsidRPr="003338CD">
              <w:rPr>
                <w:rStyle w:val="Hyperlink"/>
                <w:noProof/>
                <w:lang w:val="en-GB"/>
              </w:rPr>
              <w:t>Impact on rural or underserved communities</w:t>
            </w:r>
            <w:r>
              <w:rPr>
                <w:noProof/>
                <w:webHidden/>
              </w:rPr>
              <w:tab/>
            </w:r>
            <w:r>
              <w:rPr>
                <w:noProof/>
                <w:webHidden/>
              </w:rPr>
              <w:fldChar w:fldCharType="begin"/>
            </w:r>
            <w:r>
              <w:rPr>
                <w:noProof/>
                <w:webHidden/>
              </w:rPr>
              <w:instrText xml:space="preserve"> PAGEREF _Toc209688954 \h </w:instrText>
            </w:r>
            <w:r>
              <w:rPr>
                <w:noProof/>
                <w:webHidden/>
              </w:rPr>
            </w:r>
            <w:r>
              <w:rPr>
                <w:noProof/>
                <w:webHidden/>
              </w:rPr>
              <w:fldChar w:fldCharType="separate"/>
            </w:r>
            <w:r>
              <w:rPr>
                <w:noProof/>
                <w:webHidden/>
              </w:rPr>
              <w:t>7</w:t>
            </w:r>
            <w:r>
              <w:rPr>
                <w:noProof/>
                <w:webHidden/>
              </w:rPr>
              <w:fldChar w:fldCharType="end"/>
            </w:r>
          </w:hyperlink>
        </w:p>
        <w:p w14:paraId="30194F30" w14:textId="7E0E6BA1"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55" w:history="1">
            <w:r w:rsidRPr="003338CD">
              <w:rPr>
                <w:rStyle w:val="Hyperlink"/>
                <w:noProof/>
                <w:lang w:val="en-GB"/>
              </w:rPr>
              <w:t>Effects on families, carers, and wider public health</w:t>
            </w:r>
            <w:r>
              <w:rPr>
                <w:noProof/>
                <w:webHidden/>
              </w:rPr>
              <w:tab/>
            </w:r>
            <w:r>
              <w:rPr>
                <w:noProof/>
                <w:webHidden/>
              </w:rPr>
              <w:fldChar w:fldCharType="begin"/>
            </w:r>
            <w:r>
              <w:rPr>
                <w:noProof/>
                <w:webHidden/>
              </w:rPr>
              <w:instrText xml:space="preserve"> PAGEREF _Toc209688955 \h </w:instrText>
            </w:r>
            <w:r>
              <w:rPr>
                <w:noProof/>
                <w:webHidden/>
              </w:rPr>
            </w:r>
            <w:r>
              <w:rPr>
                <w:noProof/>
                <w:webHidden/>
              </w:rPr>
              <w:fldChar w:fldCharType="separate"/>
            </w:r>
            <w:r>
              <w:rPr>
                <w:noProof/>
                <w:webHidden/>
              </w:rPr>
              <w:t>8</w:t>
            </w:r>
            <w:r>
              <w:rPr>
                <w:noProof/>
                <w:webHidden/>
              </w:rPr>
              <w:fldChar w:fldCharType="end"/>
            </w:r>
          </w:hyperlink>
        </w:p>
        <w:p w14:paraId="55FFA267" w14:textId="55733435"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56" w:history="1">
            <w:r w:rsidRPr="003338CD">
              <w:rPr>
                <w:rStyle w:val="Hyperlink"/>
                <w:noProof/>
                <w:lang w:val="en-GB"/>
              </w:rPr>
              <w:t>Evidence of co-production</w:t>
            </w:r>
            <w:r>
              <w:rPr>
                <w:noProof/>
                <w:webHidden/>
              </w:rPr>
              <w:tab/>
            </w:r>
            <w:r>
              <w:rPr>
                <w:noProof/>
                <w:webHidden/>
              </w:rPr>
              <w:fldChar w:fldCharType="begin"/>
            </w:r>
            <w:r>
              <w:rPr>
                <w:noProof/>
                <w:webHidden/>
              </w:rPr>
              <w:instrText xml:space="preserve"> PAGEREF _Toc209688956 \h </w:instrText>
            </w:r>
            <w:r>
              <w:rPr>
                <w:noProof/>
                <w:webHidden/>
              </w:rPr>
            </w:r>
            <w:r>
              <w:rPr>
                <w:noProof/>
                <w:webHidden/>
              </w:rPr>
              <w:fldChar w:fldCharType="separate"/>
            </w:r>
            <w:r>
              <w:rPr>
                <w:noProof/>
                <w:webHidden/>
              </w:rPr>
              <w:t>8</w:t>
            </w:r>
            <w:r>
              <w:rPr>
                <w:noProof/>
                <w:webHidden/>
              </w:rPr>
              <w:fldChar w:fldCharType="end"/>
            </w:r>
          </w:hyperlink>
        </w:p>
        <w:p w14:paraId="4B062B93" w14:textId="1316C7FB" w:rsidR="00706FE2" w:rsidRDefault="00706FE2">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57" w:history="1">
            <w:r w:rsidRPr="003338CD">
              <w:rPr>
                <w:rStyle w:val="Hyperlink"/>
                <w:noProof/>
                <w:lang w:val="en-GB"/>
              </w:rPr>
              <w:t>Inequalities or limitations</w:t>
            </w:r>
            <w:r>
              <w:rPr>
                <w:noProof/>
                <w:webHidden/>
              </w:rPr>
              <w:tab/>
            </w:r>
            <w:r>
              <w:rPr>
                <w:noProof/>
                <w:webHidden/>
              </w:rPr>
              <w:fldChar w:fldCharType="begin"/>
            </w:r>
            <w:r>
              <w:rPr>
                <w:noProof/>
                <w:webHidden/>
              </w:rPr>
              <w:instrText xml:space="preserve"> PAGEREF _Toc209688957 \h </w:instrText>
            </w:r>
            <w:r>
              <w:rPr>
                <w:noProof/>
                <w:webHidden/>
              </w:rPr>
            </w:r>
            <w:r>
              <w:rPr>
                <w:noProof/>
                <w:webHidden/>
              </w:rPr>
              <w:fldChar w:fldCharType="separate"/>
            </w:r>
            <w:r>
              <w:rPr>
                <w:noProof/>
                <w:webHidden/>
              </w:rPr>
              <w:t>8</w:t>
            </w:r>
            <w:r>
              <w:rPr>
                <w:noProof/>
                <w:webHidden/>
              </w:rPr>
              <w:fldChar w:fldCharType="end"/>
            </w:r>
          </w:hyperlink>
        </w:p>
        <w:p w14:paraId="46C27E4B" w14:textId="0EEE74A8" w:rsidR="00706FE2" w:rsidRDefault="00706FE2">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58" w:history="1">
            <w:r w:rsidRPr="003338CD">
              <w:rPr>
                <w:rStyle w:val="Hyperlink"/>
                <w:noProof/>
                <w:lang w:val="en-GB"/>
              </w:rPr>
              <w:t>Conclusion</w:t>
            </w:r>
            <w:r>
              <w:rPr>
                <w:noProof/>
                <w:webHidden/>
              </w:rPr>
              <w:tab/>
            </w:r>
            <w:r>
              <w:rPr>
                <w:noProof/>
                <w:webHidden/>
              </w:rPr>
              <w:fldChar w:fldCharType="begin"/>
            </w:r>
            <w:r>
              <w:rPr>
                <w:noProof/>
                <w:webHidden/>
              </w:rPr>
              <w:instrText xml:space="preserve"> PAGEREF _Toc209688958 \h </w:instrText>
            </w:r>
            <w:r>
              <w:rPr>
                <w:noProof/>
                <w:webHidden/>
              </w:rPr>
            </w:r>
            <w:r>
              <w:rPr>
                <w:noProof/>
                <w:webHidden/>
              </w:rPr>
              <w:fldChar w:fldCharType="separate"/>
            </w:r>
            <w:r>
              <w:rPr>
                <w:noProof/>
                <w:webHidden/>
              </w:rPr>
              <w:t>9</w:t>
            </w:r>
            <w:r>
              <w:rPr>
                <w:noProof/>
                <w:webHidden/>
              </w:rPr>
              <w:fldChar w:fldCharType="end"/>
            </w:r>
          </w:hyperlink>
        </w:p>
        <w:p w14:paraId="2E73DF8F" w14:textId="74D41B72" w:rsidR="00706FE2" w:rsidRDefault="00706FE2">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09688959" w:history="1">
            <w:r w:rsidRPr="003338CD">
              <w:rPr>
                <w:rStyle w:val="Hyperlink"/>
                <w:noProof/>
                <w:lang w:val="en-US"/>
              </w:rPr>
              <w:t>Reference List</w:t>
            </w:r>
            <w:r>
              <w:rPr>
                <w:noProof/>
                <w:webHidden/>
              </w:rPr>
              <w:tab/>
            </w:r>
            <w:r>
              <w:rPr>
                <w:noProof/>
                <w:webHidden/>
              </w:rPr>
              <w:fldChar w:fldCharType="begin"/>
            </w:r>
            <w:r>
              <w:rPr>
                <w:noProof/>
                <w:webHidden/>
              </w:rPr>
              <w:instrText xml:space="preserve"> PAGEREF _Toc209688959 \h </w:instrText>
            </w:r>
            <w:r>
              <w:rPr>
                <w:noProof/>
                <w:webHidden/>
              </w:rPr>
            </w:r>
            <w:r>
              <w:rPr>
                <w:noProof/>
                <w:webHidden/>
              </w:rPr>
              <w:fldChar w:fldCharType="separate"/>
            </w:r>
            <w:r>
              <w:rPr>
                <w:noProof/>
                <w:webHidden/>
              </w:rPr>
              <w:t>10</w:t>
            </w:r>
            <w:r>
              <w:rPr>
                <w:noProof/>
                <w:webHidden/>
              </w:rPr>
              <w:fldChar w:fldCharType="end"/>
            </w:r>
          </w:hyperlink>
        </w:p>
        <w:p w14:paraId="1F90F760" w14:textId="2E544266" w:rsidR="004B1328" w:rsidRDefault="004B1328">
          <w:r>
            <w:rPr>
              <w:b/>
              <w:bCs/>
              <w:noProof/>
            </w:rPr>
            <w:fldChar w:fldCharType="end"/>
          </w:r>
        </w:p>
      </w:sdtContent>
    </w:sdt>
    <w:p w14:paraId="24BD2F32" w14:textId="77777777" w:rsidR="004B1328" w:rsidRDefault="004B1328" w:rsidP="004B1328">
      <w:pPr>
        <w:rPr>
          <w:b/>
          <w:bCs/>
          <w:sz w:val="24"/>
          <w:lang w:val="en-GB"/>
        </w:rPr>
      </w:pPr>
      <w:r>
        <w:rPr>
          <w:b/>
          <w:bCs/>
          <w:sz w:val="24"/>
          <w:lang w:val="en-GB"/>
        </w:rPr>
        <w:br/>
      </w:r>
    </w:p>
    <w:p w14:paraId="09AA0EF7" w14:textId="77777777" w:rsidR="004B1328" w:rsidRDefault="004B1328">
      <w:pPr>
        <w:rPr>
          <w:b/>
          <w:bCs/>
          <w:sz w:val="24"/>
          <w:lang w:val="en-GB"/>
        </w:rPr>
      </w:pPr>
      <w:r>
        <w:rPr>
          <w:b/>
          <w:bCs/>
          <w:sz w:val="24"/>
          <w:lang w:val="en-GB"/>
        </w:rPr>
        <w:br w:type="page"/>
      </w:r>
    </w:p>
    <w:p w14:paraId="2062E326" w14:textId="08C85D25" w:rsidR="00825EA3" w:rsidRPr="00B21A62" w:rsidRDefault="00825EA3" w:rsidP="00FC7583">
      <w:pPr>
        <w:jc w:val="center"/>
        <w:rPr>
          <w:sz w:val="28"/>
          <w:lang w:val="en-GB"/>
        </w:rPr>
      </w:pPr>
      <w:r w:rsidRPr="00F80650">
        <w:rPr>
          <w:b/>
          <w:bCs/>
          <w:sz w:val="24"/>
          <w:lang w:val="en-GB"/>
        </w:rPr>
        <w:lastRenderedPageBreak/>
        <w:t>Digital Transformation in the Health and Care Professions</w:t>
      </w:r>
    </w:p>
    <w:p w14:paraId="50CAB71F" w14:textId="77777777" w:rsidR="00F80650" w:rsidRDefault="00F80650" w:rsidP="00024C70">
      <w:pPr>
        <w:pStyle w:val="Heading1"/>
      </w:pPr>
      <w:bookmarkStart w:id="1" w:name="_Toc209165840"/>
    </w:p>
    <w:p w14:paraId="1048EA6A" w14:textId="77777777" w:rsidR="00024C70" w:rsidRDefault="00024C70" w:rsidP="00024C70">
      <w:pPr>
        <w:pStyle w:val="Heading1"/>
      </w:pPr>
      <w:bookmarkStart w:id="2" w:name="_Toc209168922"/>
      <w:bookmarkStart w:id="3" w:name="_Toc209688939"/>
      <w:r>
        <w:t>Introduction</w:t>
      </w:r>
      <w:bookmarkEnd w:id="1"/>
      <w:bookmarkEnd w:id="2"/>
      <w:bookmarkEnd w:id="3"/>
    </w:p>
    <w:p w14:paraId="670AAC56" w14:textId="5677BA73" w:rsidR="00024C70" w:rsidRDefault="00DE022C" w:rsidP="00B541EE">
      <w:bookmarkStart w:id="4" w:name="_ut5rnfej5bll" w:colFirst="0" w:colLast="0"/>
      <w:bookmarkStart w:id="5" w:name="_Toc209165841"/>
      <w:bookmarkEnd w:id="4"/>
      <w:r w:rsidRPr="008A317E">
        <w:rPr>
          <w:color w:val="000000" w:themeColor="text1"/>
          <w:shd w:val="clear" w:color="auto" w:fill="FFFFFF"/>
        </w:rPr>
        <w:t xml:space="preserve">In this report, </w:t>
      </w:r>
      <w:r w:rsidRPr="008A317E">
        <w:rPr>
          <w:b/>
          <w:color w:val="000000" w:themeColor="text1"/>
          <w:shd w:val="clear" w:color="auto" w:fill="FFFFFF"/>
        </w:rPr>
        <w:t xml:space="preserve">pulse </w:t>
      </w:r>
      <w:r w:rsidR="00EA2936" w:rsidRPr="008A317E">
        <w:rPr>
          <w:b/>
          <w:color w:val="000000" w:themeColor="text1"/>
          <w:shd w:val="clear" w:color="auto" w:fill="FFFFFF"/>
        </w:rPr>
        <w:t>oximeter</w:t>
      </w:r>
      <w:r w:rsidR="00403CF4">
        <w:rPr>
          <w:b/>
          <w:color w:val="000000" w:themeColor="text1"/>
          <w:shd w:val="clear" w:color="auto" w:fill="FFFFFF"/>
        </w:rPr>
        <w:t xml:space="preserve"> </w:t>
      </w:r>
      <w:r w:rsidR="00403CF4" w:rsidRPr="00B3585B">
        <w:rPr>
          <w:b/>
          <w:color w:val="000000" w:themeColor="text1"/>
          <w:shd w:val="clear" w:color="auto" w:fill="FFFFFF"/>
        </w:rPr>
        <w:t>(</w:t>
      </w:r>
      <w:r w:rsidR="00403CF4" w:rsidRPr="00B3585B">
        <w:rPr>
          <w:b/>
          <w:shd w:val="clear" w:color="auto" w:fill="FFFFFF"/>
        </w:rPr>
        <w:t>Oximetry @home</w:t>
      </w:r>
      <w:r w:rsidR="00403CF4" w:rsidRPr="00B3585B">
        <w:rPr>
          <w:b/>
          <w:color w:val="000000" w:themeColor="text1"/>
          <w:shd w:val="clear" w:color="auto" w:fill="FFFFFF"/>
        </w:rPr>
        <w:t>)</w:t>
      </w:r>
      <w:r w:rsidRPr="00B3585B">
        <w:rPr>
          <w:b/>
          <w:color w:val="000000" w:themeColor="text1"/>
          <w:shd w:val="clear" w:color="auto" w:fill="FFFFFF"/>
        </w:rPr>
        <w:t>,</w:t>
      </w:r>
      <w:r w:rsidRPr="008A317E">
        <w:rPr>
          <w:color w:val="000000" w:themeColor="text1"/>
          <w:shd w:val="clear" w:color="auto" w:fill="FFFFFF"/>
        </w:rPr>
        <w:t xml:space="preserve"> one of the digital innovations that use non-invasive, real-time monitoring to measure pulse rate and blood oxygen saturation, will be discussed. Pulse oximeters, </w:t>
      </w:r>
      <w:r>
        <w:rPr>
          <w:shd w:val="clear" w:color="auto" w:fill="FFFFFF"/>
        </w:rPr>
        <w:t xml:space="preserve">which during the COVID-19 pandemic have become widespread throughout the NHS, were critical to the early identification of silent hypoxia, the avoidance of emergency admissions, and the delivery of care in the home environment, where it is </w:t>
      </w:r>
      <w:r w:rsidR="0012414E">
        <w:rPr>
          <w:shd w:val="clear" w:color="auto" w:fill="FFFFFF"/>
        </w:rPr>
        <w:t>safe</w:t>
      </w:r>
      <w:r>
        <w:rPr>
          <w:shd w:val="clear" w:color="auto" w:fill="FFFFFF"/>
        </w:rPr>
        <w:t xml:space="preserve"> practice. They are significant in the health and social care context as they enable patients to be empowered and enhance clinical </w:t>
      </w:r>
      <w:r w:rsidR="0012414E">
        <w:rPr>
          <w:shd w:val="clear" w:color="auto" w:fill="FFFFFF"/>
        </w:rPr>
        <w:t>decision-making and</w:t>
      </w:r>
      <w:r>
        <w:rPr>
          <w:shd w:val="clear" w:color="auto" w:fill="FFFFFF"/>
        </w:rPr>
        <w:t xml:space="preserve"> relieve overstretched hospital services. The report will assess role changes in the workforce, service delivery changes, patient and community effects, and the policy implications. It will also critically examine operational advantages, constraints, and opportunities in the future in terms of sustainable integration.</w:t>
      </w:r>
      <w:r w:rsidR="00E9493F">
        <w:rPr>
          <w:shd w:val="clear" w:color="auto" w:fill="FFFFFF"/>
        </w:rPr>
        <w:t xml:space="preserve"> </w:t>
      </w:r>
      <w:r w:rsidR="008A317E" w:rsidRPr="00B3585B">
        <w:t>This report will cover areas such as Workforce and User Delivery, focusing on how digital innovation through pulse oximeters has transformed professional practices.</w:t>
      </w:r>
      <w:r w:rsidR="00BC61CD" w:rsidRPr="008A317E">
        <w:br w:type="page"/>
      </w:r>
      <w:bookmarkStart w:id="6" w:name="_Toc209168923"/>
      <w:bookmarkStart w:id="7" w:name="_Toc209688940"/>
      <w:r w:rsidR="00024C70" w:rsidRPr="00692B04">
        <w:rPr>
          <w:color w:val="000000" w:themeColor="text1"/>
        </w:rPr>
        <w:lastRenderedPageBreak/>
        <w:t xml:space="preserve"> </w:t>
      </w:r>
      <w:r w:rsidR="00024C70">
        <w:t>Workforce</w:t>
      </w:r>
      <w:bookmarkEnd w:id="5"/>
      <w:bookmarkEnd w:id="6"/>
      <w:bookmarkEnd w:id="7"/>
    </w:p>
    <w:p w14:paraId="1F825675" w14:textId="24A04566" w:rsidR="00024C70" w:rsidRPr="00BC61CD" w:rsidRDefault="00347D39" w:rsidP="003F0CF5">
      <w:pPr>
        <w:pStyle w:val="Heading2"/>
      </w:pPr>
      <w:bookmarkStart w:id="8" w:name="_mty47wem9m9m" w:colFirst="0" w:colLast="0"/>
      <w:bookmarkStart w:id="9" w:name="_Toc209688941"/>
      <w:bookmarkEnd w:id="8"/>
      <w:r>
        <w:t>Role Changes and Training Needs: New Skills and Job Adjustments</w:t>
      </w:r>
      <w:bookmarkEnd w:id="9"/>
    </w:p>
    <w:p w14:paraId="52A40945" w14:textId="29243B85" w:rsidR="00E9493F" w:rsidRPr="00EA2936" w:rsidRDefault="00D45B4F" w:rsidP="00D45B4F">
      <w:pPr>
        <w:rPr>
          <w:rStyle w:val="Strong"/>
          <w:b w:val="0"/>
          <w:bCs w:val="0"/>
          <w:shd w:val="clear" w:color="auto" w:fill="FFFFFF"/>
        </w:rPr>
      </w:pPr>
      <w:bookmarkStart w:id="10" w:name="_7tna1fbqspso" w:colFirst="0" w:colLast="0"/>
      <w:bookmarkEnd w:id="10"/>
      <w:r w:rsidRPr="00325F05">
        <w:rPr>
          <w:shd w:val="clear" w:color="auto" w:fill="FFFFFF"/>
        </w:rPr>
        <w:t xml:space="preserve">With the introduction of pulse oximeters in health and social care, new competencies, such as digital monitoring, data interpretation, and escalation protocols, were necessary for clinicians, nurses, and community health workers. </w:t>
      </w:r>
      <w:r w:rsidR="0012414E" w:rsidRPr="00325F05">
        <w:rPr>
          <w:shd w:val="clear" w:color="auto" w:fill="FFFFFF"/>
        </w:rPr>
        <w:t>During</w:t>
      </w:r>
      <w:r w:rsidRPr="00325F05">
        <w:rPr>
          <w:shd w:val="clear" w:color="auto" w:fill="FFFFFF"/>
        </w:rPr>
        <w:t xml:space="preserve"> the NHS "Oximetry @home" </w:t>
      </w:r>
      <w:proofErr w:type="spellStart"/>
      <w:r w:rsidRPr="00325F05">
        <w:rPr>
          <w:shd w:val="clear" w:color="auto" w:fill="FFFFFF"/>
        </w:rPr>
        <w:t>programme</w:t>
      </w:r>
      <w:proofErr w:type="spellEnd"/>
      <w:r w:rsidRPr="00325F05">
        <w:rPr>
          <w:shd w:val="clear" w:color="auto" w:fill="FFFFFF"/>
        </w:rPr>
        <w:t>, more than 14000 employees were quickly trained to work with the device calibration and digital reporting systems. Community nurses became accustomed to the hybrid role, which combines distance monitoring with visits to the target population, whereas primary care professionals embraced the inclusion of real-time oxygen saturation information in the online consultation</w:t>
      </w:r>
      <w:r w:rsidR="00325F05" w:rsidRPr="00325F05">
        <w:rPr>
          <w:shd w:val="clear" w:color="auto" w:fill="FFFFFF"/>
        </w:rPr>
        <w:t xml:space="preserve"> </w:t>
      </w:r>
      <w:r w:rsidR="00325F05" w:rsidRPr="00325F05">
        <w:rPr>
          <w:rFonts w:eastAsia="Times New Roman"/>
          <w:lang w:val="en-US"/>
        </w:rPr>
        <w:t xml:space="preserve">(Paulson </w:t>
      </w:r>
      <w:r w:rsidR="00325F05" w:rsidRPr="00325F05">
        <w:rPr>
          <w:rFonts w:eastAsia="Times New Roman"/>
          <w:i/>
          <w:iCs/>
          <w:lang w:val="en-US"/>
        </w:rPr>
        <w:t>et al.</w:t>
      </w:r>
      <w:r w:rsidR="00325F05" w:rsidRPr="00325F05">
        <w:rPr>
          <w:rFonts w:eastAsia="Times New Roman"/>
          <w:lang w:val="en-US"/>
        </w:rPr>
        <w:t>, 2023)</w:t>
      </w:r>
      <w:r w:rsidRPr="00325F05">
        <w:rPr>
          <w:shd w:val="clear" w:color="auto" w:fill="FFFFFF"/>
        </w:rPr>
        <w:t xml:space="preserve">. Rapid decision-making and skilled teams were the strengths. The barriers were determined by steep learning curves, particularly among the older workforce </w:t>
      </w:r>
      <w:r w:rsidR="0012414E" w:rsidRPr="00325F05">
        <w:rPr>
          <w:shd w:val="clear" w:color="auto" w:fill="FFFFFF"/>
        </w:rPr>
        <w:t>and</w:t>
      </w:r>
      <w:r w:rsidRPr="00325F05">
        <w:rPr>
          <w:shd w:val="clear" w:color="auto" w:fill="FFFFFF"/>
        </w:rPr>
        <w:t xml:space="preserve"> unequal distribution of training facilities between the rural and urban NHS Trusts.</w:t>
      </w:r>
    </w:p>
    <w:p w14:paraId="0F669271" w14:textId="75C06356" w:rsidR="003F0CF5" w:rsidRDefault="003F0CF5" w:rsidP="003F0CF5">
      <w:pPr>
        <w:pStyle w:val="Heading2"/>
        <w:rPr>
          <w:rStyle w:val="Strong"/>
          <w:b/>
          <w:bCs w:val="0"/>
        </w:rPr>
      </w:pPr>
      <w:bookmarkStart w:id="11" w:name="_Toc209688942"/>
      <w:r w:rsidRPr="003F0CF5">
        <w:rPr>
          <w:rStyle w:val="Strong"/>
          <w:b/>
          <w:bCs w:val="0"/>
        </w:rPr>
        <w:t>Operational Benefits: Efficiency Gains and Reduced Errors</w:t>
      </w:r>
      <w:bookmarkEnd w:id="11"/>
    </w:p>
    <w:p w14:paraId="2E74D661" w14:textId="33926032" w:rsidR="003F0CF5" w:rsidRDefault="00D45B4F" w:rsidP="00D45B4F">
      <w:pPr>
        <w:rPr>
          <w:shd w:val="clear" w:color="auto" w:fill="FFFFFF"/>
        </w:rPr>
      </w:pPr>
      <w:r>
        <w:rPr>
          <w:shd w:val="clear" w:color="auto" w:fill="FFFFFF"/>
        </w:rPr>
        <w:t xml:space="preserve">Pulse oximetry simplified the work processes as it made it possible to identify silent hypoxia early, and 22,000 hospitalisations in the initial year of the pandemic were prevented. Automated notifications and an electronic dashboard </w:t>
      </w:r>
      <w:proofErr w:type="spellStart"/>
      <w:r>
        <w:rPr>
          <w:shd w:val="clear" w:color="auto" w:fill="FFFFFF"/>
        </w:rPr>
        <w:t>minimised</w:t>
      </w:r>
      <w:proofErr w:type="spellEnd"/>
      <w:r>
        <w:rPr>
          <w:shd w:val="clear" w:color="auto" w:fill="FFFFFF"/>
        </w:rPr>
        <w:t xml:space="preserve"> errors in </w:t>
      </w:r>
      <w:r w:rsidRPr="00325F05">
        <w:rPr>
          <w:shd w:val="clear" w:color="auto" w:fill="FFFFFF"/>
        </w:rPr>
        <w:t>manual charting and decreased the time spent in the emergency department triage by 15 minutes per patient</w:t>
      </w:r>
      <w:r w:rsidR="00325F05" w:rsidRPr="00325F05">
        <w:rPr>
          <w:shd w:val="clear" w:color="auto" w:fill="FFFFFF"/>
        </w:rPr>
        <w:t xml:space="preserve"> </w:t>
      </w:r>
      <w:r w:rsidR="00325F05" w:rsidRPr="00325F05">
        <w:rPr>
          <w:rFonts w:eastAsia="Times New Roman"/>
          <w:lang w:val="en-US"/>
        </w:rPr>
        <w:t>(Mostafa and El-</w:t>
      </w:r>
      <w:proofErr w:type="spellStart"/>
      <w:r w:rsidR="00325F05" w:rsidRPr="00325F05">
        <w:rPr>
          <w:rFonts w:eastAsia="Times New Roman"/>
          <w:lang w:val="en-US"/>
        </w:rPr>
        <w:t>Atawi</w:t>
      </w:r>
      <w:proofErr w:type="spellEnd"/>
      <w:r w:rsidR="00325F05" w:rsidRPr="00325F05">
        <w:rPr>
          <w:rFonts w:eastAsia="Times New Roman"/>
          <w:lang w:val="en-US"/>
        </w:rPr>
        <w:t>, 2024)</w:t>
      </w:r>
      <w:r w:rsidRPr="00325F05">
        <w:rPr>
          <w:shd w:val="clear" w:color="auto" w:fill="FFFFFF"/>
        </w:rPr>
        <w:t>. The primary care teams indicated that they had lower unw</w:t>
      </w:r>
      <w:r>
        <w:rPr>
          <w:shd w:val="clear" w:color="auto" w:fill="FFFFFF"/>
        </w:rPr>
        <w:t xml:space="preserve">arranted referrals, releasing 6,000 critical care beds during the COVID-19 high surges. Among the strengths were patient throughput improvement and improved clinical decision-making. </w:t>
      </w:r>
    </w:p>
    <w:p w14:paraId="118128B9" w14:textId="3F5A4857" w:rsidR="00BD4EFF" w:rsidRPr="00BD4EFF" w:rsidRDefault="00BD4EFF" w:rsidP="00BD4EFF">
      <w:pPr>
        <w:jc w:val="center"/>
        <w:rPr>
          <w:lang w:val="en-US"/>
        </w:rPr>
      </w:pPr>
      <w:r w:rsidRPr="00BD4EFF">
        <w:rPr>
          <w:noProof/>
          <w:lang w:val="en-IN" w:eastAsia="en-IN"/>
        </w:rPr>
        <w:drawing>
          <wp:inline distT="0" distB="0" distL="0" distR="0" wp14:anchorId="24E1B64C" wp14:editId="392A45E9">
            <wp:extent cx="4923692" cy="222828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38585" cy="2235026"/>
                    </a:xfrm>
                    <a:prstGeom prst="rect">
                      <a:avLst/>
                    </a:prstGeom>
                  </pic:spPr>
                </pic:pic>
              </a:graphicData>
            </a:graphic>
          </wp:inline>
        </w:drawing>
      </w:r>
    </w:p>
    <w:p w14:paraId="2BDFCC41" w14:textId="17566E10" w:rsidR="00BD4EFF" w:rsidRPr="00246FEC" w:rsidRDefault="00BD4EFF" w:rsidP="00BD4EFF">
      <w:pPr>
        <w:jc w:val="center"/>
        <w:rPr>
          <w:b/>
          <w:color w:val="000000" w:themeColor="text1"/>
          <w:lang w:val="en-US"/>
        </w:rPr>
      </w:pPr>
      <w:r w:rsidRPr="00B3585B">
        <w:rPr>
          <w:b/>
          <w:color w:val="000000" w:themeColor="text1"/>
          <w:lang w:val="en-US"/>
        </w:rPr>
        <w:t xml:space="preserve">Figure 1: </w:t>
      </w:r>
      <w:r w:rsidRPr="00B3585B">
        <w:rPr>
          <w:b/>
          <w:color w:val="000000" w:themeColor="text1"/>
          <w:spacing w:val="4"/>
          <w:shd w:val="clear" w:color="auto" w:fill="FFFFFF"/>
        </w:rPr>
        <w:t>Increasing Efficiency and Reducing Human Error</w:t>
      </w:r>
      <w:r w:rsidR="00E9493F" w:rsidRPr="00B3585B">
        <w:rPr>
          <w:b/>
          <w:color w:val="000000" w:themeColor="text1"/>
          <w:spacing w:val="4"/>
          <w:shd w:val="clear" w:color="auto" w:fill="FFFFFF"/>
        </w:rPr>
        <w:t xml:space="preserve"> </w:t>
      </w:r>
      <w:r w:rsidRPr="00B3585B">
        <w:rPr>
          <w:b/>
          <w:color w:val="000000" w:themeColor="text1"/>
          <w:spacing w:val="4"/>
          <w:shd w:val="clear" w:color="auto" w:fill="FFFFFF"/>
        </w:rPr>
        <w:t>(</w:t>
      </w:r>
      <w:r w:rsidRPr="00B3585B">
        <w:rPr>
          <w:b/>
          <w:color w:val="000000" w:themeColor="text1"/>
          <w:lang w:val="en-US"/>
        </w:rPr>
        <w:t>Mostafa and El-</w:t>
      </w:r>
      <w:proofErr w:type="spellStart"/>
      <w:r w:rsidRPr="00B3585B">
        <w:rPr>
          <w:b/>
          <w:color w:val="000000" w:themeColor="text1"/>
          <w:lang w:val="en-US"/>
        </w:rPr>
        <w:t>Atawi</w:t>
      </w:r>
      <w:proofErr w:type="spellEnd"/>
      <w:r w:rsidRPr="00B3585B">
        <w:rPr>
          <w:b/>
          <w:color w:val="000000" w:themeColor="text1"/>
          <w:lang w:val="en-US"/>
        </w:rPr>
        <w:t>, 2024</w:t>
      </w:r>
      <w:r w:rsidRPr="00B3585B">
        <w:rPr>
          <w:b/>
          <w:color w:val="000000" w:themeColor="text1"/>
          <w:spacing w:val="4"/>
          <w:shd w:val="clear" w:color="auto" w:fill="FFFFFF"/>
        </w:rPr>
        <w:t>)</w:t>
      </w:r>
    </w:p>
    <w:p w14:paraId="5DF35424" w14:textId="77777777" w:rsidR="00080910" w:rsidRDefault="00080910" w:rsidP="00FC7583">
      <w:pPr>
        <w:pStyle w:val="Heading2"/>
      </w:pPr>
      <w:bookmarkStart w:id="12" w:name="_Toc209688943"/>
    </w:p>
    <w:p w14:paraId="66940BFA" w14:textId="7F1F5F6E" w:rsidR="00FC7583" w:rsidRDefault="00FC7583" w:rsidP="00FC7583">
      <w:pPr>
        <w:pStyle w:val="Heading2"/>
      </w:pPr>
      <w:r>
        <w:t>Implementation Challenges: Resistance to Change and Workload Pressures</w:t>
      </w:r>
      <w:bookmarkEnd w:id="12"/>
    </w:p>
    <w:p w14:paraId="71939816" w14:textId="3F9D79CC" w:rsidR="00FC7583" w:rsidRDefault="00FC7583">
      <w:pPr>
        <w:rPr>
          <w:shd w:val="clear" w:color="auto" w:fill="FFFFFF"/>
        </w:rPr>
      </w:pPr>
      <w:r>
        <w:rPr>
          <w:shd w:val="clear" w:color="auto" w:fill="FFFFFF"/>
        </w:rPr>
        <w:t xml:space="preserve">Although pulse oximeters have obvious clinical </w:t>
      </w:r>
      <w:r w:rsidRPr="00325F05">
        <w:rPr>
          <w:shd w:val="clear" w:color="auto" w:fill="FFFFFF"/>
        </w:rPr>
        <w:t>value, their implementation in the workplace was met with resistance among the staff members who feared the possibility of being reduced in number and the volume of digital tasks. Other teams within the hospital had an extra 2-3 hours a week handling remote data, which led to burnout during pandemic spikes</w:t>
      </w:r>
      <w:r w:rsidR="00325F05" w:rsidRPr="00325F05">
        <w:rPr>
          <w:shd w:val="clear" w:color="auto" w:fill="FFFFFF"/>
        </w:rPr>
        <w:t xml:space="preserve"> </w:t>
      </w:r>
      <w:r w:rsidR="00325F05" w:rsidRPr="00325F05">
        <w:rPr>
          <w:rFonts w:eastAsia="Times New Roman"/>
          <w:lang w:val="en-US"/>
        </w:rPr>
        <w:t xml:space="preserve">(Cunningham </w:t>
      </w:r>
      <w:r w:rsidR="00325F05" w:rsidRPr="00325F05">
        <w:rPr>
          <w:rFonts w:eastAsia="Times New Roman"/>
          <w:i/>
          <w:iCs/>
          <w:lang w:val="en-US"/>
        </w:rPr>
        <w:t>et al.</w:t>
      </w:r>
      <w:r w:rsidR="00325F05" w:rsidRPr="00325F05">
        <w:rPr>
          <w:rFonts w:eastAsia="Times New Roman"/>
          <w:lang w:val="en-US"/>
        </w:rPr>
        <w:t>, 2023)</w:t>
      </w:r>
      <w:r w:rsidRPr="00325F05">
        <w:rPr>
          <w:shd w:val="clear" w:color="auto" w:fill="FFFFFF"/>
        </w:rPr>
        <w:t>. Preliminary doubts raised by senior clinicians</w:t>
      </w:r>
      <w:r>
        <w:rPr>
          <w:shd w:val="clear" w:color="auto" w:fill="FFFFFF"/>
        </w:rPr>
        <w:t xml:space="preserve"> on the reliability of the devices on dark-skinned patients, with slow pigmentation, led to slower adoption of the device in multicultural areas. Implementation strengths were good government funding and cross-sector cooperation that helped to accelerate implementation. Concerns about staff trust and particularly with older practitioners who are not digital </w:t>
      </w:r>
      <w:r w:rsidR="0012414E">
        <w:rPr>
          <w:shd w:val="clear" w:color="auto" w:fill="FFFFFF"/>
        </w:rPr>
        <w:t>citizens</w:t>
      </w:r>
      <w:r>
        <w:rPr>
          <w:shd w:val="clear" w:color="auto" w:fill="FFFFFF"/>
        </w:rPr>
        <w:t xml:space="preserve"> also remained, as staff confidence was ongoing, with clear-cut procedures to escalate concerns and even to redistribute workloads among multidisciplinary teams equally.</w:t>
      </w:r>
      <w:bookmarkStart w:id="13" w:name="_a41rwvtqu2wj" w:colFirst="0" w:colLast="0"/>
      <w:bookmarkStart w:id="14" w:name="_d28kbuup6qf7" w:colFirst="0" w:colLast="0"/>
      <w:bookmarkEnd w:id="13"/>
      <w:bookmarkEnd w:id="14"/>
    </w:p>
    <w:p w14:paraId="66B2EBDF" w14:textId="525FAD4C" w:rsidR="00FC7583" w:rsidRDefault="00FC7583" w:rsidP="00FC7583">
      <w:pPr>
        <w:pStyle w:val="Heading1"/>
        <w:rPr>
          <w:shd w:val="clear" w:color="auto" w:fill="FFFFFF"/>
        </w:rPr>
      </w:pPr>
      <w:bookmarkStart w:id="15" w:name="_Toc209688944"/>
      <w:r>
        <w:rPr>
          <w:shd w:val="clear" w:color="auto" w:fill="FFFFFF"/>
        </w:rPr>
        <w:t xml:space="preserve">b. </w:t>
      </w:r>
      <w:r w:rsidRPr="00FC7583">
        <w:rPr>
          <w:shd w:val="clear" w:color="auto" w:fill="FFFFFF"/>
        </w:rPr>
        <w:t xml:space="preserve">Service </w:t>
      </w:r>
      <w:r w:rsidR="00E9493F">
        <w:rPr>
          <w:shd w:val="clear" w:color="auto" w:fill="FFFFFF"/>
        </w:rPr>
        <w:t>D</w:t>
      </w:r>
      <w:r w:rsidRPr="00FC7583">
        <w:rPr>
          <w:shd w:val="clear" w:color="auto" w:fill="FFFFFF"/>
        </w:rPr>
        <w:t>elivery</w:t>
      </w:r>
      <w:bookmarkEnd w:id="15"/>
    </w:p>
    <w:p w14:paraId="7998DBC4" w14:textId="498321E7" w:rsidR="00FC7583" w:rsidRDefault="00FC7583" w:rsidP="00FC7583">
      <w:pPr>
        <w:pStyle w:val="Heading2"/>
        <w:rPr>
          <w:lang w:val="en-US"/>
        </w:rPr>
      </w:pPr>
      <w:bookmarkStart w:id="16" w:name="_Toc209688945"/>
      <w:r w:rsidRPr="00FC7583">
        <w:rPr>
          <w:lang w:val="en-US"/>
        </w:rPr>
        <w:t>Daily Practice Transformation: Workflows, Communication, and Integration</w:t>
      </w:r>
      <w:bookmarkEnd w:id="16"/>
    </w:p>
    <w:p w14:paraId="021E49B3" w14:textId="6E4EC05C" w:rsidR="00E9493F" w:rsidRPr="00246FEC" w:rsidRDefault="00FC7583" w:rsidP="00FC7583">
      <w:pPr>
        <w:rPr>
          <w:shd w:val="clear" w:color="auto" w:fill="FFFFFF"/>
        </w:rPr>
      </w:pPr>
      <w:r>
        <w:rPr>
          <w:shd w:val="clear" w:color="auto" w:fill="FFFFFF"/>
        </w:rPr>
        <w:t xml:space="preserve">The introduction of pulse oximeters transformed the clinical practice of everyday life, as it introduced the practice of continuous oxygen monitoring into the clinical workflow of the NHS hospitals and community services. In the </w:t>
      </w:r>
      <w:r w:rsidR="0012414E">
        <w:rPr>
          <w:shd w:val="clear" w:color="auto" w:fill="FFFFFF"/>
        </w:rPr>
        <w:t xml:space="preserve">Oximetry </w:t>
      </w:r>
      <w:r>
        <w:rPr>
          <w:shd w:val="clear" w:color="auto" w:fill="FFFFFF"/>
        </w:rPr>
        <w:t xml:space="preserve">home rollout, more than 300,000 patients sent </w:t>
      </w:r>
      <w:r w:rsidRPr="00325F05">
        <w:rPr>
          <w:shd w:val="clear" w:color="auto" w:fill="FFFFFF"/>
        </w:rPr>
        <w:t>readings via mobile dashboards, and clinicians were able to triage at home and prevent needless visits</w:t>
      </w:r>
      <w:r w:rsidR="00325F05" w:rsidRPr="00325F05">
        <w:rPr>
          <w:shd w:val="clear" w:color="auto" w:fill="FFFFFF"/>
        </w:rPr>
        <w:t xml:space="preserve"> </w:t>
      </w:r>
      <w:r w:rsidR="002F0383">
        <w:t>(</w:t>
      </w:r>
      <w:proofErr w:type="spellStart"/>
      <w:r w:rsidR="002F0383">
        <w:t>Bouhassira</w:t>
      </w:r>
      <w:proofErr w:type="spellEnd"/>
      <w:r w:rsidR="002F0383">
        <w:t xml:space="preserve"> </w:t>
      </w:r>
      <w:r w:rsidR="002F0383">
        <w:rPr>
          <w:i/>
          <w:iCs/>
        </w:rPr>
        <w:t>et al.</w:t>
      </w:r>
      <w:r w:rsidR="002F0383">
        <w:t>, 2024)</w:t>
      </w:r>
      <w:r w:rsidRPr="00325F05">
        <w:rPr>
          <w:shd w:val="clear" w:color="auto" w:fill="FFFFFF"/>
        </w:rPr>
        <w:t>.</w:t>
      </w:r>
      <w:r>
        <w:rPr>
          <w:shd w:val="clear" w:color="auto" w:fill="FFFFFF"/>
        </w:rPr>
        <w:t xml:space="preserve"> Shared data platforms enhanced communication between GPs, hospital </w:t>
      </w:r>
      <w:r w:rsidR="0012414E">
        <w:rPr>
          <w:shd w:val="clear" w:color="auto" w:fill="FFFFFF"/>
        </w:rPr>
        <w:t>teams</w:t>
      </w:r>
      <w:r>
        <w:rPr>
          <w:shd w:val="clear" w:color="auto" w:fill="FFFFFF"/>
        </w:rPr>
        <w:t xml:space="preserve"> and community nurses, which in turn facilitated quick escalation of worsening patients. Connection to NHS Digital records facilitated the decision-making process and </w:t>
      </w:r>
      <w:proofErr w:type="spellStart"/>
      <w:r>
        <w:rPr>
          <w:shd w:val="clear" w:color="auto" w:fill="FFFFFF"/>
        </w:rPr>
        <w:t>minimised</w:t>
      </w:r>
      <w:proofErr w:type="spellEnd"/>
      <w:r>
        <w:rPr>
          <w:shd w:val="clear" w:color="auto" w:fill="FFFFFF"/>
        </w:rPr>
        <w:t xml:space="preserve"> the duplication of documentation. Faster multidisciplinary coordination and proactive intervention were considered the strengths. There were certain constraints due to the lack of interoperability of systems and occasional delays in data, which delayed updates on electronic health records when it was active.</w:t>
      </w:r>
    </w:p>
    <w:p w14:paraId="7F5265C0" w14:textId="01DBB290" w:rsidR="00FC7583" w:rsidRPr="00FC7583" w:rsidRDefault="00FC7583" w:rsidP="00FC7583">
      <w:pPr>
        <w:pStyle w:val="Heading2"/>
        <w:rPr>
          <w:lang w:val="en-US"/>
        </w:rPr>
      </w:pPr>
      <w:bookmarkStart w:id="17" w:name="_Toc209688946"/>
      <w:r w:rsidRPr="00FC7583">
        <w:rPr>
          <w:lang w:val="en-US"/>
        </w:rPr>
        <w:t>Service Benefits: Faster Care Delivery and Improved Coordination</w:t>
      </w:r>
      <w:bookmarkEnd w:id="17"/>
    </w:p>
    <w:p w14:paraId="365E64DF" w14:textId="5DF0C387" w:rsidR="00CA063B" w:rsidRPr="00325F05" w:rsidRDefault="00FC7583" w:rsidP="00CA063B">
      <w:pPr>
        <w:rPr>
          <w:rFonts w:ascii="Times New Roman" w:eastAsia="Times New Roman" w:hAnsi="Times New Roman" w:cs="Times New Roman"/>
          <w:sz w:val="24"/>
          <w:szCs w:val="24"/>
          <w:lang w:val="en-US"/>
        </w:rPr>
      </w:pPr>
      <w:r w:rsidRPr="00FC7583">
        <w:t xml:space="preserve">Remote oximetry monitoring also improved the speed of assessing the patients and allowed preventing the 22,000 hospital admissions in the first wave of the pandemic, and early detection of hypoxia. NHS Trusts were reporting up to 15 minutes per triage reduction in emergency departments through the incorporation of readings into the electronic </w:t>
      </w:r>
      <w:r w:rsidRPr="00325F05">
        <w:t>dashboard</w:t>
      </w:r>
      <w:r w:rsidR="00325F05" w:rsidRPr="00325F05">
        <w:t xml:space="preserve"> </w:t>
      </w:r>
      <w:r w:rsidR="00325F05" w:rsidRPr="00325F05">
        <w:rPr>
          <w:rFonts w:eastAsia="Times New Roman"/>
          <w:lang w:val="en-US"/>
        </w:rPr>
        <w:t>(Sexton, 2023)</w:t>
      </w:r>
      <w:r w:rsidRPr="00325F05">
        <w:t>.</w:t>
      </w:r>
      <w:r w:rsidRPr="00FC7583">
        <w:t xml:space="preserve"> Primary care groups were used to establish a smooth blend with the hospital respiratory units, where timely interventions were done without any physical consultations. The </w:t>
      </w:r>
      <w:proofErr w:type="spellStart"/>
      <w:r w:rsidRPr="00FC7583">
        <w:t>optimised</w:t>
      </w:r>
      <w:proofErr w:type="spellEnd"/>
      <w:r w:rsidRPr="00FC7583">
        <w:t xml:space="preserve"> available bed space, faster discharging decisions, and improved continuity of care were regarded as </w:t>
      </w:r>
      <w:r w:rsidR="0012414E" w:rsidRPr="00FC7583">
        <w:lastRenderedPageBreak/>
        <w:t>strengths</w:t>
      </w:r>
      <w:r w:rsidRPr="00FC7583">
        <w:t xml:space="preserve">. Nevertheless, disadvantages were partly </w:t>
      </w:r>
      <w:proofErr w:type="spellStart"/>
      <w:r w:rsidRPr="00FC7583">
        <w:t>neutralised</w:t>
      </w:r>
      <w:proofErr w:type="spellEnd"/>
      <w:r w:rsidRPr="00FC7583">
        <w:t xml:space="preserve"> through the difference in the availability of broadband, which reduced real-time monitoring in rural communities, and in some cases, glitches in the calibration of the devices that had to be checked manually, thus delaying the decision-making process in emergencies.</w:t>
      </w:r>
    </w:p>
    <w:p w14:paraId="57F7FAF9" w14:textId="66BE93C2" w:rsidR="00CA063B" w:rsidRDefault="00CA063B" w:rsidP="00CA063B">
      <w:pPr>
        <w:pStyle w:val="Heading2"/>
        <w:rPr>
          <w:lang w:val="en-US"/>
        </w:rPr>
      </w:pPr>
      <w:bookmarkStart w:id="18" w:name="_Toc209688947"/>
      <w:r w:rsidRPr="00CA063B">
        <w:rPr>
          <w:lang w:val="en-US"/>
        </w:rPr>
        <w:t>Implementation Barriers: High Costs and Technical Problems</w:t>
      </w:r>
      <w:bookmarkEnd w:id="18"/>
    </w:p>
    <w:p w14:paraId="38375869" w14:textId="399BD593" w:rsidR="00CA063B" w:rsidRPr="00B61774" w:rsidRDefault="00CA063B" w:rsidP="00CA063B">
      <w:pPr>
        <w:rPr>
          <w:rFonts w:ascii="Times New Roman" w:eastAsia="Times New Roman" w:hAnsi="Times New Roman" w:cs="Times New Roman"/>
          <w:sz w:val="24"/>
          <w:szCs w:val="24"/>
          <w:lang w:val="en-US"/>
        </w:rPr>
      </w:pPr>
      <w:r>
        <w:rPr>
          <w:shd w:val="clear" w:color="auto" w:fill="FFFFFF"/>
        </w:rPr>
        <w:t xml:space="preserve">Introduction of pulse oximeters in large quantities in NHS services posed serious financial and operational strains. The national acquisition of 1.5 million devices has cost over £60 million, and repairs and sensor change </w:t>
      </w:r>
      <w:r w:rsidRPr="00B61774">
        <w:rPr>
          <w:shd w:val="clear" w:color="auto" w:fill="FFFFFF"/>
        </w:rPr>
        <w:t xml:space="preserve">maintenance cost £80 per unit, on average, in </w:t>
      </w:r>
      <w:r w:rsidR="0012414E" w:rsidRPr="00B61774">
        <w:rPr>
          <w:shd w:val="clear" w:color="auto" w:fill="FFFFFF"/>
        </w:rPr>
        <w:t>several</w:t>
      </w:r>
      <w:r w:rsidRPr="00B61774">
        <w:rPr>
          <w:shd w:val="clear" w:color="auto" w:fill="FFFFFF"/>
        </w:rPr>
        <w:t xml:space="preserve"> Trusts</w:t>
      </w:r>
      <w:r w:rsidR="00B61774" w:rsidRPr="00B61774">
        <w:rPr>
          <w:shd w:val="clear" w:color="auto" w:fill="FFFFFF"/>
        </w:rPr>
        <w:t xml:space="preserve"> </w:t>
      </w:r>
      <w:r w:rsidR="00B61774" w:rsidRPr="00B61774">
        <w:rPr>
          <w:rFonts w:eastAsia="Times New Roman"/>
          <w:lang w:val="en-US"/>
        </w:rPr>
        <w:t>(George and Baskar, 2024)</w:t>
      </w:r>
      <w:r w:rsidRPr="00B61774">
        <w:rPr>
          <w:shd w:val="clear" w:color="auto" w:fill="FFFFFF"/>
        </w:rPr>
        <w:t>. Technical</w:t>
      </w:r>
      <w:r>
        <w:rPr>
          <w:shd w:val="clear" w:color="auto" w:fill="FFFFFF"/>
        </w:rPr>
        <w:t xml:space="preserve"> problems were Bluetooth connectivity failure, slow data uploading and calibration error, especially for patients with darker pigmentation, which compromised clinical reliability. </w:t>
      </w:r>
      <w:r w:rsidR="007C7149" w:rsidRPr="007C7149">
        <w:rPr>
          <w:shd w:val="clear" w:color="auto" w:fill="FFFFFF"/>
        </w:rPr>
        <w:t xml:space="preserve">The investment's benefits were high national coverage and </w:t>
      </w:r>
      <w:r w:rsidR="007C7149">
        <w:rPr>
          <w:shd w:val="clear" w:color="auto" w:fill="FFFFFF"/>
        </w:rPr>
        <w:t xml:space="preserve">immediate benefits to patients </w:t>
      </w:r>
      <w:r w:rsidR="002406FF">
        <w:t xml:space="preserve">(Pearson </w:t>
      </w:r>
      <w:r w:rsidR="002406FF">
        <w:rPr>
          <w:i/>
        </w:rPr>
        <w:t>et al.,</w:t>
      </w:r>
      <w:r w:rsidR="002406FF">
        <w:t xml:space="preserve"> 2022)</w:t>
      </w:r>
      <w:r w:rsidRPr="003A4326">
        <w:rPr>
          <w:shd w:val="clear" w:color="auto" w:fill="FFFFFF"/>
        </w:rPr>
        <w:t>. Restrictions</w:t>
      </w:r>
      <w:r>
        <w:rPr>
          <w:shd w:val="clear" w:color="auto" w:fill="FFFFFF"/>
        </w:rPr>
        <w:t xml:space="preserve"> focused on continued funding requirements, data transmission vulnerability to cybercrime, and uneven technical maintenance, as the smaller Clinical Commissioning Groups were overstretched at times when the pandemic was at its most active.</w:t>
      </w:r>
    </w:p>
    <w:p w14:paraId="5F640895" w14:textId="1B717B20" w:rsidR="00CA063B" w:rsidRPr="00CA063B" w:rsidRDefault="00CA063B" w:rsidP="00CA063B">
      <w:pPr>
        <w:pStyle w:val="Heading2"/>
        <w:rPr>
          <w:lang w:val="en-US"/>
        </w:rPr>
      </w:pPr>
      <w:bookmarkStart w:id="19" w:name="_Toc209688948"/>
      <w:r w:rsidRPr="00CA063B">
        <w:rPr>
          <w:lang w:val="en-US"/>
        </w:rPr>
        <w:t>UK Case Study Evidence: NHS Oximetry @home and Regional Pilots</w:t>
      </w:r>
      <w:bookmarkEnd w:id="19"/>
    </w:p>
    <w:p w14:paraId="0329BDF7" w14:textId="252DA39E" w:rsidR="00BD4EFF" w:rsidRDefault="00CA063B" w:rsidP="00CA063B">
      <w:pPr>
        <w:rPr>
          <w:shd w:val="clear" w:color="auto" w:fill="FFFFFF"/>
        </w:rPr>
      </w:pPr>
      <w:r>
        <w:rPr>
          <w:shd w:val="clear" w:color="auto" w:fill="FFFFFF"/>
        </w:rPr>
        <w:t>NHSOximetry @home programme, which was introduced in 2020, remotely monitored over 300,000 patients with COVID-19 symptoms, which prevented an estimated 22,000 hospitalisations and saved over £68 million on treatment expenses. Greater Manchester, regional pilots provided community teams in the region with 10,000 devices, and the result was a decrease in emergency department attendances and a liberation of more than 6,000 critical care beds during peak surges</w:t>
      </w:r>
      <w:r w:rsidR="006622F0">
        <w:rPr>
          <w:shd w:val="clear" w:color="auto" w:fill="FFFFFF"/>
        </w:rPr>
        <w:t xml:space="preserve"> </w:t>
      </w:r>
      <w:r w:rsidR="006622F0" w:rsidRPr="006622F0">
        <w:rPr>
          <w:rFonts w:eastAsia="Times New Roman"/>
          <w:lang w:val="en-US"/>
        </w:rPr>
        <w:t xml:space="preserve">(Library </w:t>
      </w:r>
      <w:r w:rsidR="006622F0" w:rsidRPr="006622F0">
        <w:rPr>
          <w:rFonts w:eastAsia="Times New Roman"/>
          <w:i/>
          <w:iCs/>
          <w:lang w:val="en-US"/>
        </w:rPr>
        <w:t>et al.</w:t>
      </w:r>
      <w:r w:rsidR="006622F0" w:rsidRPr="006622F0">
        <w:rPr>
          <w:rFonts w:eastAsia="Times New Roman"/>
          <w:lang w:val="en-US"/>
        </w:rPr>
        <w:t>, 2025)</w:t>
      </w:r>
      <w:r w:rsidRPr="006622F0">
        <w:rPr>
          <w:shd w:val="clear" w:color="auto" w:fill="FFFFFF"/>
        </w:rPr>
        <w:t>.</w:t>
      </w:r>
      <w:r>
        <w:rPr>
          <w:shd w:val="clear" w:color="auto" w:fill="FFFFFF"/>
        </w:rPr>
        <w:t xml:space="preserve"> Among strengths, one can distinguish high-speed patient triage, successful home isolation and low mortality. There were also limitations in digitally excluded regions, where poor internet connectivity and poor health literacy blocked data transfer or meant that more face-to-face visits were needed, which temporarily work-loaded already overstretched community nursing teams.</w:t>
      </w:r>
    </w:p>
    <w:p w14:paraId="24BA4655" w14:textId="77777777" w:rsidR="00C4599B" w:rsidRPr="0071675A" w:rsidRDefault="00C4599B" w:rsidP="00C4599B">
      <w:pPr>
        <w:pStyle w:val="Heading1"/>
        <w:rPr>
          <w:lang w:val="en-GB"/>
        </w:rPr>
      </w:pPr>
      <w:bookmarkStart w:id="20" w:name="_dbgl7ux3ez9v" w:colFirst="0" w:colLast="0"/>
      <w:bookmarkStart w:id="21" w:name="_Toc209688949"/>
      <w:bookmarkEnd w:id="20"/>
      <w:r>
        <w:rPr>
          <w:lang w:val="en-GB"/>
        </w:rPr>
        <w:t xml:space="preserve">c. </w:t>
      </w:r>
      <w:r w:rsidRPr="0071675A">
        <w:rPr>
          <w:lang w:val="en-GB"/>
        </w:rPr>
        <w:t>Patient/Service User</w:t>
      </w:r>
      <w:bookmarkEnd w:id="21"/>
      <w:r w:rsidRPr="0071675A">
        <w:rPr>
          <w:lang w:val="en-GB"/>
        </w:rPr>
        <w:t xml:space="preserve">  </w:t>
      </w:r>
    </w:p>
    <w:p w14:paraId="1928FF40" w14:textId="77777777" w:rsidR="00C4599B" w:rsidRPr="0071675A" w:rsidRDefault="00C4599B" w:rsidP="00C4599B">
      <w:pPr>
        <w:pStyle w:val="Heading2"/>
        <w:rPr>
          <w:lang w:val="en-GB"/>
        </w:rPr>
      </w:pPr>
      <w:bookmarkStart w:id="22" w:name="_ipy90ele744s" w:colFirst="0" w:colLast="0"/>
      <w:bookmarkStart w:id="23" w:name="_Toc209688950"/>
      <w:bookmarkEnd w:id="22"/>
      <w:r w:rsidRPr="0071675A">
        <w:rPr>
          <w:lang w:val="en-GB"/>
        </w:rPr>
        <w:t>Patient/service user experiences</w:t>
      </w:r>
      <w:bookmarkEnd w:id="23"/>
    </w:p>
    <w:p w14:paraId="54D501F5" w14:textId="77777777" w:rsidR="00C4599B" w:rsidRDefault="00C4599B" w:rsidP="00C4599B">
      <w:pPr>
        <w:rPr>
          <w:lang w:val="en-GB"/>
        </w:rPr>
      </w:pPr>
      <w:r w:rsidRPr="0071675A">
        <w:rPr>
          <w:lang w:val="en-GB"/>
        </w:rPr>
        <w:t xml:space="preserve">Home-based remote monitoring has significantly improved </w:t>
      </w:r>
      <w:r w:rsidRPr="0071675A">
        <w:rPr>
          <w:b/>
          <w:i/>
          <w:lang w:val="en-GB"/>
        </w:rPr>
        <w:t>access to care</w:t>
      </w:r>
      <w:r w:rsidRPr="0071675A">
        <w:rPr>
          <w:lang w:val="en-GB"/>
        </w:rPr>
        <w:t xml:space="preserve"> for patients. NHS COVID-19 Oximetry @home programme allowed individuals to self-monitor oxygen saturation at home to limit the number of visits to the clinic during the COVID-19 situation (NHS, 2023). </w:t>
      </w:r>
      <w:r w:rsidRPr="0071675A">
        <w:rPr>
          <w:b/>
          <w:i/>
          <w:lang w:val="en-GB"/>
        </w:rPr>
        <w:t>Convenience</w:t>
      </w:r>
      <w:r w:rsidRPr="0071675A">
        <w:rPr>
          <w:lang w:val="en-GB"/>
        </w:rPr>
        <w:t xml:space="preserve">-wise, in the surveys, patients and caregivers found it easy to interpret the information, take readings with oximeters, input the results, and file them. Approximately 72% of the respondents indicated that they were not experiencing issues when interacting with service </w:t>
      </w:r>
      <w:r w:rsidRPr="0071675A">
        <w:rPr>
          <w:lang w:val="en-GB"/>
        </w:rPr>
        <w:lastRenderedPageBreak/>
        <w:t xml:space="preserve">activities, 80% indicated that they were not facing obstacles while using this technology (Walton </w:t>
      </w:r>
      <w:r w:rsidRPr="0071675A">
        <w:rPr>
          <w:i/>
          <w:lang w:val="en-GB"/>
        </w:rPr>
        <w:t>et al.</w:t>
      </w:r>
      <w:r w:rsidRPr="0071675A">
        <w:rPr>
          <w:lang w:val="en-GB"/>
        </w:rPr>
        <w:t xml:space="preserve">, 2022). Meanwhile, in Sussex, patients using an Oximetry @Home service frontline with more than 2,000 referrals between Jan-May 2022 produced very positive feedback. In the aspect of </w:t>
      </w:r>
      <w:r w:rsidRPr="0071675A">
        <w:rPr>
          <w:b/>
          <w:i/>
          <w:lang w:val="en-GB"/>
        </w:rPr>
        <w:t>quicker diagnosis</w:t>
      </w:r>
      <w:r w:rsidRPr="0071675A">
        <w:rPr>
          <w:lang w:val="en-GB"/>
        </w:rPr>
        <w:t xml:space="preserve">, home Oximetry has allowed earlier detection of silent hypoxia. As an example, patients receiving </w:t>
      </w:r>
      <w:proofErr w:type="spellStart"/>
      <w:r w:rsidRPr="0071675A">
        <w:rPr>
          <w:lang w:val="en-GB"/>
        </w:rPr>
        <w:t>CO@h</w:t>
      </w:r>
      <w:proofErr w:type="spellEnd"/>
      <w:r w:rsidRPr="0071675A">
        <w:rPr>
          <w:lang w:val="en-GB"/>
        </w:rPr>
        <w:t xml:space="preserve"> in the context of Greater Manchester were less likely to die than non-monitored patients, and unplanned hospitalisations were timelier.</w:t>
      </w:r>
    </w:p>
    <w:p w14:paraId="6F02E940" w14:textId="77777777" w:rsidR="00E9493F" w:rsidRPr="0071675A" w:rsidRDefault="00E9493F" w:rsidP="00C4599B">
      <w:pPr>
        <w:rPr>
          <w:lang w:val="en-GB"/>
        </w:rPr>
      </w:pPr>
    </w:p>
    <w:p w14:paraId="0AB8E754" w14:textId="77777777" w:rsidR="00C4599B" w:rsidRPr="0071675A" w:rsidRDefault="00C4599B" w:rsidP="00C4599B">
      <w:pPr>
        <w:pStyle w:val="Heading2"/>
        <w:rPr>
          <w:lang w:val="en-GB"/>
        </w:rPr>
      </w:pPr>
      <w:bookmarkStart w:id="24" w:name="_td1qdvkz5jl8" w:colFirst="0" w:colLast="0"/>
      <w:bookmarkStart w:id="25" w:name="_Toc209688951"/>
      <w:bookmarkEnd w:id="24"/>
      <w:r w:rsidRPr="0071675A">
        <w:rPr>
          <w:lang w:val="en-GB"/>
        </w:rPr>
        <w:t>Issues of privacy, digital literacy, or the fairness of access</w:t>
      </w:r>
      <w:bookmarkEnd w:id="25"/>
    </w:p>
    <w:p w14:paraId="728F3464" w14:textId="77777777" w:rsidR="00C4599B" w:rsidRDefault="00C4599B" w:rsidP="00C4599B">
      <w:pPr>
        <w:rPr>
          <w:lang w:val="en-GB"/>
        </w:rPr>
      </w:pPr>
      <w:r w:rsidRPr="0071675A">
        <w:rPr>
          <w:lang w:val="en-GB"/>
        </w:rPr>
        <w:t xml:space="preserve">In the adoption of pulse oximetry in England, the staff indicated that the app-only monitoring had a risk of low </w:t>
      </w:r>
      <w:r w:rsidRPr="0071675A">
        <w:rPr>
          <w:b/>
          <w:i/>
          <w:lang w:val="en-GB"/>
        </w:rPr>
        <w:t>digital literacy</w:t>
      </w:r>
      <w:r w:rsidRPr="0071675A">
        <w:rPr>
          <w:lang w:val="en-GB"/>
        </w:rPr>
        <w:t xml:space="preserve"> among patients. Specifically, older patients, those with low socioeconomic status, or those with less technological expertise struggled to use digital technologies (</w:t>
      </w:r>
      <w:proofErr w:type="spellStart"/>
      <w:r w:rsidRPr="0071675A">
        <w:rPr>
          <w:lang w:val="en-GB"/>
        </w:rPr>
        <w:t>Vindrola-Padros</w:t>
      </w:r>
      <w:proofErr w:type="spellEnd"/>
      <w:r w:rsidRPr="0071675A">
        <w:rPr>
          <w:lang w:val="en-GB"/>
        </w:rPr>
        <w:t xml:space="preserve"> </w:t>
      </w:r>
      <w:r w:rsidRPr="0071675A">
        <w:rPr>
          <w:i/>
          <w:lang w:val="en-GB"/>
        </w:rPr>
        <w:t>et al.</w:t>
      </w:r>
      <w:r w:rsidRPr="0071675A">
        <w:rPr>
          <w:lang w:val="en-GB"/>
        </w:rPr>
        <w:t xml:space="preserve">, 2022). Based on the </w:t>
      </w:r>
      <w:r w:rsidRPr="0071675A">
        <w:rPr>
          <w:b/>
          <w:i/>
          <w:lang w:val="en-GB"/>
        </w:rPr>
        <w:t xml:space="preserve">fairness </w:t>
      </w:r>
      <w:r w:rsidRPr="0071675A">
        <w:rPr>
          <w:lang w:val="en-GB"/>
        </w:rPr>
        <w:t>aspect, the remote pulse oximetry programme (</w:t>
      </w:r>
      <w:proofErr w:type="spellStart"/>
      <w:r w:rsidRPr="0071675A">
        <w:rPr>
          <w:lang w:val="en-GB"/>
        </w:rPr>
        <w:t>CO@h</w:t>
      </w:r>
      <w:proofErr w:type="spellEnd"/>
      <w:r w:rsidRPr="0071675A">
        <w:rPr>
          <w:lang w:val="en-GB"/>
        </w:rPr>
        <w:t xml:space="preserve">) was more actively used among patients known to have an increased clinical risk, which implies that higher-risk groups were targeted; however, some groups may have been underutilised. The NHS has protocols to maintain patient confidentiality for </w:t>
      </w:r>
      <w:r w:rsidRPr="0071675A">
        <w:rPr>
          <w:b/>
          <w:i/>
          <w:lang w:val="en-GB"/>
        </w:rPr>
        <w:t>privacy</w:t>
      </w:r>
      <w:r w:rsidRPr="0071675A">
        <w:rPr>
          <w:lang w:val="en-GB"/>
        </w:rPr>
        <w:t>. The NHS England policy has it that only those who require access to the data as part of their role may do so, and it is governed by the Data Protection Act 2018 or UK GDPR (NHS England, 2025). In this way, the privacy policy for this technology has been maintained.</w:t>
      </w:r>
    </w:p>
    <w:p w14:paraId="6E39D771" w14:textId="77777777" w:rsidR="00E9493F" w:rsidRPr="0071675A" w:rsidRDefault="00E9493F" w:rsidP="00C4599B">
      <w:pPr>
        <w:rPr>
          <w:lang w:val="en-GB"/>
        </w:rPr>
      </w:pPr>
    </w:p>
    <w:p w14:paraId="7AD9C6FA" w14:textId="77777777" w:rsidR="00C4599B" w:rsidRPr="0071675A" w:rsidRDefault="00C4599B" w:rsidP="00C4599B">
      <w:pPr>
        <w:pStyle w:val="Heading2"/>
        <w:rPr>
          <w:lang w:val="en-GB"/>
        </w:rPr>
      </w:pPr>
      <w:bookmarkStart w:id="26" w:name="_dnyaqjnwhkba" w:colFirst="0" w:colLast="0"/>
      <w:bookmarkStart w:id="27" w:name="_Toc209688952"/>
      <w:bookmarkEnd w:id="26"/>
      <w:r w:rsidRPr="0071675A">
        <w:rPr>
          <w:lang w:val="en-GB"/>
        </w:rPr>
        <w:t>Evidence from studies or patient perspectives</w:t>
      </w:r>
      <w:bookmarkEnd w:id="27"/>
    </w:p>
    <w:p w14:paraId="0FB35F55" w14:textId="77777777" w:rsidR="00C4599B" w:rsidRPr="0071675A" w:rsidRDefault="00C4599B" w:rsidP="00C4599B">
      <w:pPr>
        <w:rPr>
          <w:lang w:val="en-GB"/>
        </w:rPr>
      </w:pPr>
      <w:r w:rsidRPr="0071675A">
        <w:rPr>
          <w:lang w:val="en-GB"/>
        </w:rPr>
        <w:t xml:space="preserve">The UK research demonstrates that pulse oximetry is positively rated by patients. The review of the NHS COVID-19 Oximetry at home programme detected that 90% of patients were reassured with the support of home monitoring, and 95% were convinced that the service allowed patients to manage themselves (Walton </w:t>
      </w:r>
      <w:r w:rsidRPr="0071675A">
        <w:rPr>
          <w:i/>
          <w:lang w:val="en-GB"/>
        </w:rPr>
        <w:t>et al.</w:t>
      </w:r>
      <w:r w:rsidRPr="0071675A">
        <w:rPr>
          <w:lang w:val="en-GB"/>
        </w:rPr>
        <w:t>, 2022). Interviews with the patients showed that oximeters provided a safety net in the isolation period and relieved anxiety. It was also rated as easy to use, with digital exclusion and confidence in technology.</w:t>
      </w:r>
    </w:p>
    <w:p w14:paraId="6F5CF2C1" w14:textId="77777777" w:rsidR="00C4599B" w:rsidRPr="0071675A" w:rsidRDefault="00C4599B" w:rsidP="00C4599B">
      <w:pPr>
        <w:pStyle w:val="Heading1"/>
        <w:rPr>
          <w:lang w:val="en-GB"/>
        </w:rPr>
      </w:pPr>
      <w:bookmarkStart w:id="28" w:name="_crkwgqawqicy" w:colFirst="0" w:colLast="0"/>
      <w:bookmarkStart w:id="29" w:name="_Toc209688953"/>
      <w:bookmarkEnd w:id="28"/>
      <w:r>
        <w:rPr>
          <w:lang w:val="en-GB"/>
        </w:rPr>
        <w:t xml:space="preserve">d. </w:t>
      </w:r>
      <w:r w:rsidRPr="0071675A">
        <w:rPr>
          <w:lang w:val="en-GB"/>
        </w:rPr>
        <w:t>Community</w:t>
      </w:r>
      <w:bookmarkEnd w:id="29"/>
    </w:p>
    <w:p w14:paraId="5BD9BCC4" w14:textId="77777777" w:rsidR="00C4599B" w:rsidRPr="0071675A" w:rsidRDefault="00C4599B" w:rsidP="00C4599B">
      <w:pPr>
        <w:pStyle w:val="Heading2"/>
        <w:rPr>
          <w:lang w:val="en-GB"/>
        </w:rPr>
      </w:pPr>
      <w:bookmarkStart w:id="30" w:name="_u77a7da21w0v" w:colFirst="0" w:colLast="0"/>
      <w:bookmarkStart w:id="31" w:name="_Toc209688954"/>
      <w:bookmarkEnd w:id="30"/>
      <w:r w:rsidRPr="0071675A">
        <w:rPr>
          <w:lang w:val="en-GB"/>
        </w:rPr>
        <w:t>Impact on rural or underserved communities</w:t>
      </w:r>
      <w:bookmarkEnd w:id="31"/>
    </w:p>
    <w:p w14:paraId="4B2B7F59" w14:textId="77777777" w:rsidR="00C4599B" w:rsidRPr="0071675A" w:rsidRDefault="00C4599B" w:rsidP="00C4599B">
      <w:pPr>
        <w:rPr>
          <w:lang w:val="en-GB"/>
        </w:rPr>
      </w:pPr>
      <w:r w:rsidRPr="0071675A">
        <w:rPr>
          <w:lang w:val="en-GB"/>
        </w:rPr>
        <w:t xml:space="preserve">Pulse oximetry had a significant effect on rural and underserved communities in the UK. Remote monitoring helped patients save the time of hospital admission, which was important in regions with inadequate transportation or health facilities. A scheme of analysis by the NHS showed a decrease in unnecessary admissions and prompt escalation of care among rural patients (NHS England, 2025). Despite that, there were still differences in deprived areas, such as the chances of having access to reliable internet, distributed devices, and having digital skills were lower, </w:t>
      </w:r>
      <w:r w:rsidRPr="0071675A">
        <w:rPr>
          <w:lang w:val="en-GB"/>
        </w:rPr>
        <w:lastRenderedPageBreak/>
        <w:t>which created a concern about health disparities and the necessity of specific support and fair distribution of resources.</w:t>
      </w:r>
    </w:p>
    <w:p w14:paraId="5EC1527F" w14:textId="77777777" w:rsidR="00C4599B" w:rsidRPr="0071675A" w:rsidRDefault="00C4599B" w:rsidP="00C4599B">
      <w:pPr>
        <w:pStyle w:val="Heading2"/>
        <w:rPr>
          <w:lang w:val="en-GB"/>
        </w:rPr>
      </w:pPr>
      <w:bookmarkStart w:id="32" w:name="_qhfd3o94phn7" w:colFirst="0" w:colLast="0"/>
      <w:bookmarkStart w:id="33" w:name="_Toc209688955"/>
      <w:bookmarkEnd w:id="32"/>
      <w:r w:rsidRPr="0071675A">
        <w:rPr>
          <w:lang w:val="en-GB"/>
        </w:rPr>
        <w:t>Effects on families, carers, and wider public health</w:t>
      </w:r>
      <w:bookmarkEnd w:id="33"/>
    </w:p>
    <w:p w14:paraId="3986B1D2" w14:textId="77777777" w:rsidR="00C4599B" w:rsidRPr="0071675A" w:rsidRDefault="00C4599B" w:rsidP="00C4599B">
      <w:pPr>
        <w:rPr>
          <w:lang w:val="en-GB"/>
        </w:rPr>
      </w:pPr>
      <w:r w:rsidRPr="0071675A">
        <w:rPr>
          <w:lang w:val="en-GB"/>
        </w:rPr>
        <w:t xml:space="preserve">Pulse oximetry helped families and carers by enabling them to engage in monitoring patients in the home, which removed anxiety during COVID-19 isolation (Rosic </w:t>
      </w:r>
      <w:r w:rsidRPr="0071675A">
        <w:rPr>
          <w:i/>
          <w:lang w:val="en-GB"/>
        </w:rPr>
        <w:t>et al.</w:t>
      </w:r>
      <w:r w:rsidRPr="0071675A">
        <w:rPr>
          <w:lang w:val="en-GB"/>
        </w:rPr>
        <w:t xml:space="preserve">, 2022).  Families felt more capable of detecting deterioration at an early stage and receiving assistance in time, reducing stress in emergencies. In the case of carers, oximeter training enhanced the confidence of the carers in managing chronic conditions, including COPD (Tekin </w:t>
      </w:r>
      <w:r w:rsidRPr="0071675A">
        <w:rPr>
          <w:i/>
          <w:lang w:val="en-GB"/>
        </w:rPr>
        <w:t>et al.</w:t>
      </w:r>
      <w:r w:rsidRPr="0071675A">
        <w:rPr>
          <w:lang w:val="en-GB"/>
        </w:rPr>
        <w:t>, 2023). At the level of public health, remote monitoring minimised unjustified visits to hospitals, saved NHS capacity at peak times of the pandemic, and helped with the overall infection control through exposure minimisation in hospitals.</w:t>
      </w:r>
    </w:p>
    <w:p w14:paraId="7F609D67" w14:textId="77777777" w:rsidR="00C4599B" w:rsidRPr="0071675A" w:rsidRDefault="00C4599B" w:rsidP="00C4599B">
      <w:pPr>
        <w:pStyle w:val="Heading2"/>
        <w:rPr>
          <w:lang w:val="en-GB"/>
        </w:rPr>
      </w:pPr>
      <w:bookmarkStart w:id="34" w:name="_1vb0k1boxbhv" w:colFirst="0" w:colLast="0"/>
      <w:bookmarkStart w:id="35" w:name="_Toc209688956"/>
      <w:bookmarkEnd w:id="34"/>
      <w:r w:rsidRPr="0071675A">
        <w:rPr>
          <w:lang w:val="en-GB"/>
        </w:rPr>
        <w:t>Evidence of co-production</w:t>
      </w:r>
      <w:bookmarkEnd w:id="35"/>
    </w:p>
    <w:p w14:paraId="388369A3" w14:textId="77777777" w:rsidR="00C4599B" w:rsidRPr="0071675A" w:rsidRDefault="00C4599B" w:rsidP="00C4599B">
      <w:pPr>
        <w:rPr>
          <w:lang w:val="en-GB"/>
        </w:rPr>
      </w:pPr>
      <w:r w:rsidRPr="0071675A">
        <w:rPr>
          <w:lang w:val="en-GB"/>
        </w:rPr>
        <w:t xml:space="preserve">In the UK, it is evident that co-production played the key role in the implementation of pulse oximetry services. NHS COVID-19 Oximetry monitoring at home programme was clinician, patient, and carer-driven, with the monitoring pathways being realistic and sensible. The assessment process has indicated that patients participated actively in recording readings as professionals offered them escalation guidance, making it a collective effort toward care (Moore </w:t>
      </w:r>
      <w:r w:rsidRPr="0071675A">
        <w:rPr>
          <w:i/>
          <w:lang w:val="en-GB"/>
        </w:rPr>
        <w:t>et al.</w:t>
      </w:r>
      <w:r w:rsidRPr="0071675A">
        <w:rPr>
          <w:lang w:val="en-GB"/>
        </w:rPr>
        <w:t>, 2022). Service models were also further developed through patient feedback, including simplification of instructions and offering telephone alternatives to those who were not as digitally confident. This partnership strategy enhanced confidence, participation and efficiency of home surveillance within various communities in the UK.</w:t>
      </w:r>
    </w:p>
    <w:p w14:paraId="24785760" w14:textId="77777777" w:rsidR="00C4599B" w:rsidRPr="0071675A" w:rsidRDefault="00C4599B" w:rsidP="00C4599B">
      <w:pPr>
        <w:pStyle w:val="Heading2"/>
        <w:rPr>
          <w:lang w:val="en-GB"/>
        </w:rPr>
      </w:pPr>
      <w:bookmarkStart w:id="36" w:name="_okm3ppm4s443" w:colFirst="0" w:colLast="0"/>
      <w:bookmarkStart w:id="37" w:name="_Toc209688957"/>
      <w:bookmarkEnd w:id="36"/>
      <w:r w:rsidRPr="0071675A">
        <w:rPr>
          <w:lang w:val="en-GB"/>
        </w:rPr>
        <w:t>Inequalities or limitations</w:t>
      </w:r>
      <w:bookmarkEnd w:id="37"/>
    </w:p>
    <w:p w14:paraId="37BCCA74" w14:textId="5EFFC534" w:rsidR="00C4599B" w:rsidRPr="0071675A" w:rsidRDefault="00C4599B" w:rsidP="00C4599B">
      <w:pPr>
        <w:rPr>
          <w:lang w:val="en-GB"/>
        </w:rPr>
      </w:pPr>
      <w:r w:rsidRPr="0071675A">
        <w:rPr>
          <w:lang w:val="en-GB"/>
        </w:rPr>
        <w:t xml:space="preserve">Although pulse oximetry has been successfully implemented in the healthcare of the UK. Despite </w:t>
      </w:r>
      <w:r w:rsidR="0012414E" w:rsidRPr="0071675A">
        <w:rPr>
          <w:lang w:val="en-GB"/>
        </w:rPr>
        <w:t>that, certain</w:t>
      </w:r>
      <w:r w:rsidRPr="0071675A">
        <w:rPr>
          <w:lang w:val="en-GB"/>
        </w:rPr>
        <w:t xml:space="preserve"> rural and deprived regions experienced delays in receiving devices or lacked digital infrastructure to facilitate remote reporting. It was identified that older adults, individuals with poor English skills, or poor digital competence were more likely to have issues with app-based systems and get marginalised (Padula </w:t>
      </w:r>
      <w:r w:rsidRPr="0071675A">
        <w:rPr>
          <w:i/>
          <w:lang w:val="en-GB"/>
        </w:rPr>
        <w:t>et al.</w:t>
      </w:r>
      <w:r w:rsidRPr="0071675A">
        <w:rPr>
          <w:lang w:val="en-GB"/>
        </w:rPr>
        <w:t>, 2022). There were also differences in clinical accuracy, and it has been raised that reliability is lower in patients with darker pigmentation. Such constraints lead to the necessity of equal allocation, inclusive design, and constant assessment of digital health tools.</w:t>
      </w:r>
    </w:p>
    <w:p w14:paraId="12D32BF9" w14:textId="77777777" w:rsidR="005A171D" w:rsidRDefault="005A171D">
      <w:pPr>
        <w:rPr>
          <w:b/>
          <w:sz w:val="24"/>
          <w:szCs w:val="24"/>
          <w:lang w:val="en-GB"/>
        </w:rPr>
      </w:pPr>
      <w:bookmarkStart w:id="38" w:name="_2geg7ycx9y6b" w:colFirst="0" w:colLast="0"/>
      <w:bookmarkEnd w:id="38"/>
      <w:r>
        <w:rPr>
          <w:lang w:val="en-GB"/>
        </w:rPr>
        <w:br w:type="page"/>
      </w:r>
    </w:p>
    <w:p w14:paraId="60AF900B" w14:textId="68E0CADB" w:rsidR="00C4599B" w:rsidRPr="0071675A" w:rsidRDefault="00C4599B" w:rsidP="00C4599B">
      <w:pPr>
        <w:pStyle w:val="Heading1"/>
        <w:rPr>
          <w:lang w:val="en-GB"/>
        </w:rPr>
      </w:pPr>
      <w:bookmarkStart w:id="39" w:name="_Toc209688958"/>
      <w:r w:rsidRPr="0071675A">
        <w:rPr>
          <w:lang w:val="en-GB"/>
        </w:rPr>
        <w:lastRenderedPageBreak/>
        <w:t>Conclusion</w:t>
      </w:r>
      <w:bookmarkEnd w:id="39"/>
      <w:r w:rsidRPr="0071675A">
        <w:rPr>
          <w:lang w:val="en-GB"/>
        </w:rPr>
        <w:t xml:space="preserve"> </w:t>
      </w:r>
    </w:p>
    <w:p w14:paraId="4A35CFE9" w14:textId="77777777" w:rsidR="00C4599B" w:rsidRPr="0071675A" w:rsidRDefault="00C4599B" w:rsidP="00C4599B">
      <w:pPr>
        <w:rPr>
          <w:b/>
          <w:i/>
          <w:lang w:val="en-GB"/>
        </w:rPr>
      </w:pPr>
      <w:r w:rsidRPr="0071675A">
        <w:rPr>
          <w:b/>
          <w:i/>
          <w:lang w:val="en-GB"/>
        </w:rPr>
        <w:t>Key findings</w:t>
      </w:r>
    </w:p>
    <w:p w14:paraId="0D75F64A" w14:textId="77777777" w:rsidR="00C4599B" w:rsidRPr="0071675A" w:rsidRDefault="00C4599B" w:rsidP="00C4599B">
      <w:pPr>
        <w:rPr>
          <w:lang w:val="en-GB"/>
        </w:rPr>
      </w:pPr>
      <w:r w:rsidRPr="0071675A">
        <w:rPr>
          <w:lang w:val="en-GB"/>
        </w:rPr>
        <w:t>It can be concluded that pulse oximeters in the UK healthcare system enhanced patient access, convenience, and early diagnosis, especially during COVID-19. They assisted families, carers and community health, and decreased the strain on the hospitals. But such problems as digital exclusion, disparities in access, and the issue of accuracy exist. Co-production improved service design, in that equal distribution and continuous assessment are necessary.</w:t>
      </w:r>
    </w:p>
    <w:p w14:paraId="017623CB" w14:textId="77777777" w:rsidR="00C4599B" w:rsidRPr="0071675A" w:rsidRDefault="00C4599B" w:rsidP="00C4599B">
      <w:pPr>
        <w:rPr>
          <w:b/>
          <w:i/>
          <w:lang w:val="en-GB"/>
        </w:rPr>
      </w:pPr>
      <w:r w:rsidRPr="0071675A">
        <w:rPr>
          <w:b/>
          <w:i/>
          <w:lang w:val="en-GB"/>
        </w:rPr>
        <w:t>The importance of choosing an innovation</w:t>
      </w:r>
    </w:p>
    <w:p w14:paraId="2C47CAFC" w14:textId="77777777" w:rsidR="00C4599B" w:rsidRPr="0071675A" w:rsidRDefault="00C4599B" w:rsidP="00C4599B">
      <w:pPr>
        <w:rPr>
          <w:lang w:val="en-GB"/>
        </w:rPr>
      </w:pPr>
      <w:r w:rsidRPr="0071675A">
        <w:rPr>
          <w:lang w:val="en-GB"/>
        </w:rPr>
        <w:t>Pulse oximeters are a digital innovation worth choosing due to their ability to change healthcare in the UK over the last ten years, mainly during COVID-19. Their involvement in remote health care, the ability to detect declining and assist with home-based patients, shows that recent innovations can result in better outcomes, efficiency, and resilience in contemporary health systems.</w:t>
      </w:r>
    </w:p>
    <w:p w14:paraId="5942EDC7" w14:textId="77777777" w:rsidR="00C4599B" w:rsidRPr="0071675A" w:rsidRDefault="00C4599B" w:rsidP="00C4599B">
      <w:pPr>
        <w:rPr>
          <w:b/>
          <w:i/>
          <w:lang w:val="en-GB"/>
        </w:rPr>
      </w:pPr>
      <w:r w:rsidRPr="0071675A">
        <w:rPr>
          <w:b/>
          <w:i/>
          <w:lang w:val="en-GB"/>
        </w:rPr>
        <w:t>Clear recommendations</w:t>
      </w:r>
    </w:p>
    <w:p w14:paraId="77A8D487" w14:textId="08462C03" w:rsidR="00C4599B" w:rsidRPr="0071675A" w:rsidRDefault="00230D39" w:rsidP="00C4599B">
      <w:pPr>
        <w:rPr>
          <w:lang w:val="en-GB"/>
        </w:rPr>
      </w:pPr>
      <w:r w:rsidRPr="00B3585B">
        <w:t>Workforce education is necessary to increase knowledge on the use of pulse oximetry to ensure</w:t>
      </w:r>
      <w:r w:rsidRPr="00B3585B">
        <w:br/>
        <w:t>that they can guide patients in using this device</w:t>
      </w:r>
      <w:r w:rsidRPr="00B3585B">
        <w:rPr>
          <w:lang w:val="en-GB"/>
        </w:rPr>
        <w:t>.</w:t>
      </w:r>
      <w:r w:rsidR="00C4599B" w:rsidRPr="0071675A">
        <w:rPr>
          <w:lang w:val="en-GB"/>
        </w:rPr>
        <w:t xml:space="preserve"> The policies on equitable distribution, overcoming the digital gaps, and achieving precision in the various populations with pulse oximetry service need to be improved.</w:t>
      </w:r>
    </w:p>
    <w:p w14:paraId="1EB18755" w14:textId="77777777" w:rsidR="00C4599B" w:rsidRDefault="00C4599B" w:rsidP="00CA063B">
      <w:pPr>
        <w:rPr>
          <w:shd w:val="clear" w:color="auto" w:fill="FFFFFF"/>
        </w:rPr>
      </w:pPr>
    </w:p>
    <w:p w14:paraId="62EAB159" w14:textId="77777777" w:rsidR="00BD4EFF" w:rsidRDefault="00BD4EFF">
      <w:pPr>
        <w:rPr>
          <w:shd w:val="clear" w:color="auto" w:fill="FFFFFF"/>
        </w:rPr>
      </w:pPr>
      <w:r>
        <w:rPr>
          <w:shd w:val="clear" w:color="auto" w:fill="FFFFFF"/>
        </w:rPr>
        <w:br w:type="page"/>
      </w:r>
    </w:p>
    <w:p w14:paraId="65A55311" w14:textId="446DD2D3" w:rsidR="002406FF" w:rsidRPr="002406FF" w:rsidRDefault="00BD4EFF" w:rsidP="002406FF">
      <w:pPr>
        <w:pStyle w:val="Heading1"/>
        <w:rPr>
          <w:lang w:val="en-US"/>
        </w:rPr>
      </w:pPr>
      <w:bookmarkStart w:id="40" w:name="_Toc209688959"/>
      <w:r>
        <w:rPr>
          <w:lang w:val="en-US"/>
        </w:rPr>
        <w:lastRenderedPageBreak/>
        <w:t>Reference List</w:t>
      </w:r>
      <w:bookmarkEnd w:id="40"/>
    </w:p>
    <w:p w14:paraId="12708D8B" w14:textId="77777777" w:rsidR="002406FF" w:rsidRPr="002406FF" w:rsidRDefault="002406FF" w:rsidP="002406FF">
      <w:pPr>
        <w:pStyle w:val="NormalWeb"/>
        <w:spacing w:before="0" w:beforeAutospacing="0" w:after="0" w:afterAutospacing="0" w:line="360" w:lineRule="auto"/>
        <w:jc w:val="both"/>
        <w:rPr>
          <w:rFonts w:ascii="Arial" w:hAnsi="Arial" w:cs="Arial"/>
          <w:sz w:val="22"/>
          <w:szCs w:val="22"/>
        </w:rPr>
      </w:pPr>
      <w:proofErr w:type="spellStart"/>
      <w:r w:rsidRPr="00B3585B">
        <w:rPr>
          <w:rFonts w:ascii="Arial" w:hAnsi="Arial" w:cs="Arial"/>
          <w:sz w:val="22"/>
          <w:szCs w:val="22"/>
        </w:rPr>
        <w:t>Bouhassira</w:t>
      </w:r>
      <w:proofErr w:type="spellEnd"/>
      <w:r w:rsidRPr="00B3585B">
        <w:rPr>
          <w:rFonts w:ascii="Arial" w:hAnsi="Arial" w:cs="Arial"/>
          <w:sz w:val="22"/>
          <w:szCs w:val="22"/>
        </w:rPr>
        <w:t xml:space="preserve">, D.C., Bernstein, T., Fawzy, A., </w:t>
      </w:r>
      <w:proofErr w:type="spellStart"/>
      <w:r w:rsidRPr="00B3585B">
        <w:rPr>
          <w:rFonts w:ascii="Arial" w:hAnsi="Arial" w:cs="Arial"/>
          <w:sz w:val="22"/>
          <w:szCs w:val="22"/>
        </w:rPr>
        <w:t>Iwashyna</w:t>
      </w:r>
      <w:proofErr w:type="spellEnd"/>
      <w:r w:rsidRPr="00B3585B">
        <w:rPr>
          <w:rFonts w:ascii="Arial" w:hAnsi="Arial" w:cs="Arial"/>
          <w:sz w:val="22"/>
          <w:szCs w:val="22"/>
        </w:rPr>
        <w:t xml:space="preserve">, T.J. and Robertson, M.L. (2024) ‘Association of Oxygen Saturation on Home Pulse Oximetry With Telephone Triage Decision: A Retrospective Single-Center Study’, </w:t>
      </w:r>
      <w:r w:rsidRPr="00B3585B">
        <w:rPr>
          <w:rFonts w:ascii="Arial" w:hAnsi="Arial" w:cs="Arial"/>
          <w:i/>
          <w:iCs/>
          <w:sz w:val="22"/>
          <w:szCs w:val="22"/>
        </w:rPr>
        <w:t>CHEST Pulmonary</w:t>
      </w:r>
      <w:r w:rsidRPr="00B3585B">
        <w:rPr>
          <w:rFonts w:ascii="Arial" w:hAnsi="Arial" w:cs="Arial"/>
          <w:sz w:val="22"/>
          <w:szCs w:val="22"/>
        </w:rPr>
        <w:t xml:space="preserve">, 3(1), p. 100129. Available at: </w:t>
      </w:r>
      <w:hyperlink r:id="rId10" w:history="1">
        <w:r w:rsidRPr="00B3585B">
          <w:rPr>
            <w:rStyle w:val="Hyperlink"/>
            <w:rFonts w:ascii="Arial" w:hAnsi="Arial" w:cs="Arial"/>
            <w:sz w:val="22"/>
            <w:szCs w:val="22"/>
          </w:rPr>
          <w:t>https://doi.org/10.1016/j.chpulm.2024.100129</w:t>
        </w:r>
      </w:hyperlink>
      <w:r w:rsidRPr="00B3585B">
        <w:rPr>
          <w:rFonts w:ascii="Arial" w:hAnsi="Arial" w:cs="Arial"/>
          <w:sz w:val="22"/>
          <w:szCs w:val="22"/>
        </w:rPr>
        <w:t>.</w:t>
      </w:r>
    </w:p>
    <w:p w14:paraId="02F2C339" w14:textId="77777777" w:rsidR="002406FF" w:rsidRPr="002406FF" w:rsidRDefault="002406FF" w:rsidP="002406FF">
      <w:pPr>
        <w:widowControl w:val="0"/>
        <w:autoSpaceDE w:val="0"/>
        <w:autoSpaceDN w:val="0"/>
        <w:adjustRightInd w:val="0"/>
      </w:pPr>
      <w:r w:rsidRPr="002406FF">
        <w:t xml:space="preserve">Cunningham, A.T., Felter, J., Smith, K.R., </w:t>
      </w:r>
      <w:proofErr w:type="spellStart"/>
      <w:r w:rsidRPr="002406FF">
        <w:t>Sifri</w:t>
      </w:r>
      <w:proofErr w:type="spellEnd"/>
      <w:r w:rsidRPr="002406FF">
        <w:t xml:space="preserve">, R., Arenson, C., Patel, A. and Kelly, E.L. (2023) ‘Burnout and Commitment After 18 Months of the COVID-19 Pandemic: A Follow-Up Qualitative Study with Primary Care Teams’, </w:t>
      </w:r>
      <w:r w:rsidRPr="002406FF">
        <w:rPr>
          <w:i/>
          <w:iCs/>
        </w:rPr>
        <w:t>The Journal of the American Board of Family Medicine</w:t>
      </w:r>
      <w:r w:rsidRPr="002406FF">
        <w:t xml:space="preserve">, 36(1), pp. 105–117. Available at: </w:t>
      </w:r>
      <w:hyperlink r:id="rId11" w:history="1">
        <w:r w:rsidRPr="002406FF">
          <w:t>https://doi.org/10.3122/jabfm.2022.220226r1</w:t>
        </w:r>
      </w:hyperlink>
      <w:r w:rsidRPr="002406FF">
        <w:t>.</w:t>
      </w:r>
    </w:p>
    <w:p w14:paraId="36381E40" w14:textId="77777777" w:rsidR="002406FF" w:rsidRPr="002406FF" w:rsidRDefault="002406FF" w:rsidP="002406FF">
      <w:pPr>
        <w:widowControl w:val="0"/>
        <w:autoSpaceDE w:val="0"/>
        <w:autoSpaceDN w:val="0"/>
        <w:adjustRightInd w:val="0"/>
      </w:pPr>
      <w:r w:rsidRPr="002406FF">
        <w:t xml:space="preserve">George, D.A.S. and Baskar, D.T. (2024) ‘Repairing the Future: The Global Fight for Accessible Fixes and Sustainable Tech’, </w:t>
      </w:r>
      <w:r w:rsidRPr="002406FF">
        <w:rPr>
          <w:i/>
          <w:iCs/>
        </w:rPr>
        <w:t>Partners Universal Innovative Research Publication</w:t>
      </w:r>
      <w:r w:rsidRPr="002406FF">
        <w:t xml:space="preserve">, 2(2), pp. 71–88. Available at: </w:t>
      </w:r>
      <w:hyperlink r:id="rId12" w:history="1">
        <w:r w:rsidRPr="002406FF">
          <w:t>https://doi.org/10.5281/zenodo.10953185</w:t>
        </w:r>
      </w:hyperlink>
      <w:r w:rsidRPr="002406FF">
        <w:t>.</w:t>
      </w:r>
    </w:p>
    <w:p w14:paraId="21ED4E1A" w14:textId="73CCD7BC" w:rsidR="002406FF" w:rsidRPr="002406FF" w:rsidRDefault="002406FF" w:rsidP="002406FF">
      <w:pPr>
        <w:widowControl w:val="0"/>
        <w:autoSpaceDE w:val="0"/>
        <w:autoSpaceDN w:val="0"/>
        <w:adjustRightInd w:val="0"/>
      </w:pPr>
      <w:r w:rsidRPr="002406FF">
        <w:t xml:space="preserve">Library, H., Leen, B., </w:t>
      </w:r>
      <w:proofErr w:type="spellStart"/>
      <w:r w:rsidRPr="002406FF">
        <w:t>Mckeown</w:t>
      </w:r>
      <w:proofErr w:type="spellEnd"/>
      <w:r w:rsidRPr="002406FF">
        <w:t xml:space="preserve">, D. and White, G. (2025) </w:t>
      </w:r>
      <w:r w:rsidRPr="002406FF">
        <w:rPr>
          <w:i/>
          <w:iCs/>
        </w:rPr>
        <w:t>[Evidence summary:] What strategies or interventions are effective in reducing the impact of seasonal/temporal surge in demand for unscheduled or urgent care in emergency departments or other acute hospital services? Item Type Other</w:t>
      </w:r>
      <w:r w:rsidRPr="002406FF">
        <w:t xml:space="preserve">. Available at: </w:t>
      </w:r>
      <w:hyperlink r:id="rId13" w:history="1">
        <w:r w:rsidRPr="002406FF">
          <w:t>https://hse.openrepository.com/bitstream/handle/10147/637200/2023.04__Evidence%20Summary__UnscheduledCare.pdf?sequence=1&amp;isAllowed=y</w:t>
        </w:r>
      </w:hyperlink>
      <w:r w:rsidRPr="002406FF">
        <w:t xml:space="preserve"> (Accessed: </w:t>
      </w:r>
      <w:r w:rsidR="00D015FB">
        <w:t xml:space="preserve">15 October </w:t>
      </w:r>
      <w:r w:rsidRPr="002406FF">
        <w:t>2025).</w:t>
      </w:r>
    </w:p>
    <w:p w14:paraId="27DA058D" w14:textId="77777777" w:rsidR="002406FF" w:rsidRPr="002406FF" w:rsidRDefault="002406FF" w:rsidP="002406FF">
      <w:pPr>
        <w:rPr>
          <w:lang w:val="en-GB"/>
        </w:rPr>
      </w:pPr>
      <w:r w:rsidRPr="002406FF">
        <w:rPr>
          <w:lang w:val="en-GB"/>
        </w:rPr>
        <w:t xml:space="preserve">Moore, K.L., Gudelunas, K., Lipnick, M.S., Bickler, P.E. and Hendrickson, C.M. (2022) ‘Pulse Oximeter Bias and Inequities in Retrospective Studies––Now What?’, </w:t>
      </w:r>
      <w:r w:rsidRPr="002406FF">
        <w:rPr>
          <w:i/>
          <w:lang w:val="en-GB"/>
        </w:rPr>
        <w:t>Respiratory Care</w:t>
      </w:r>
      <w:r w:rsidRPr="002406FF">
        <w:rPr>
          <w:lang w:val="en-GB"/>
        </w:rPr>
        <w:t>, 67(12), pp. 1633–1636. Available at: https://doi.org/10.4187/respcare.10654.</w:t>
      </w:r>
    </w:p>
    <w:p w14:paraId="7213BE59" w14:textId="77777777" w:rsidR="002406FF" w:rsidRPr="002406FF" w:rsidRDefault="002406FF" w:rsidP="002406FF">
      <w:pPr>
        <w:widowControl w:val="0"/>
        <w:autoSpaceDE w:val="0"/>
        <w:autoSpaceDN w:val="0"/>
        <w:adjustRightInd w:val="0"/>
      </w:pPr>
      <w:r w:rsidRPr="002406FF">
        <w:t>Mostafa, R. and El-</w:t>
      </w:r>
      <w:proofErr w:type="spellStart"/>
      <w:r w:rsidRPr="002406FF">
        <w:t>Atawi</w:t>
      </w:r>
      <w:proofErr w:type="spellEnd"/>
      <w:r w:rsidRPr="002406FF">
        <w:t xml:space="preserve">, K. (2024) ‘Strategies to measure and improve emergency department performance: A review’, </w:t>
      </w:r>
      <w:proofErr w:type="spellStart"/>
      <w:r w:rsidRPr="002406FF">
        <w:rPr>
          <w:i/>
          <w:iCs/>
        </w:rPr>
        <w:t>Cureus</w:t>
      </w:r>
      <w:proofErr w:type="spellEnd"/>
      <w:r w:rsidRPr="002406FF">
        <w:t xml:space="preserve">, 16(1), pp. 1–13. Available at: </w:t>
      </w:r>
      <w:hyperlink r:id="rId14" w:history="1">
        <w:r w:rsidRPr="002406FF">
          <w:t>https://doi.org/10.7759/cureus.52879</w:t>
        </w:r>
      </w:hyperlink>
      <w:r w:rsidRPr="002406FF">
        <w:t>.</w:t>
      </w:r>
    </w:p>
    <w:p w14:paraId="7A7A4B26" w14:textId="3F2601BC" w:rsidR="002406FF" w:rsidRPr="002406FF" w:rsidRDefault="002406FF" w:rsidP="002406FF">
      <w:pPr>
        <w:rPr>
          <w:lang w:val="en-GB"/>
        </w:rPr>
      </w:pPr>
      <w:r w:rsidRPr="002406FF">
        <w:rPr>
          <w:lang w:val="en-GB"/>
        </w:rPr>
        <w:t xml:space="preserve">NHS (2023) </w:t>
      </w:r>
      <w:r w:rsidRPr="002406FF">
        <w:rPr>
          <w:i/>
          <w:lang w:val="en-GB"/>
        </w:rPr>
        <w:t>COVID Oximetry @home - digital and data services</w:t>
      </w:r>
      <w:r w:rsidRPr="002406FF">
        <w:rPr>
          <w:lang w:val="en-GB"/>
        </w:rPr>
        <w:t xml:space="preserve">, </w:t>
      </w:r>
      <w:r w:rsidRPr="002406FF">
        <w:rPr>
          <w:i/>
          <w:lang w:val="en-GB"/>
        </w:rPr>
        <w:t>NHS England Digital</w:t>
      </w:r>
      <w:r w:rsidRPr="002406FF">
        <w:rPr>
          <w:lang w:val="en-GB"/>
        </w:rPr>
        <w:t xml:space="preserve">. Available at: https://digital.nhs.uk/services/covid-oximetry-at-home (Accessed: </w:t>
      </w:r>
      <w:r w:rsidR="00D015FB">
        <w:rPr>
          <w:lang w:val="en-GB"/>
        </w:rPr>
        <w:t>1</w:t>
      </w:r>
      <w:r w:rsidRPr="002406FF">
        <w:rPr>
          <w:lang w:val="en-GB"/>
        </w:rPr>
        <w:t xml:space="preserve">5 </w:t>
      </w:r>
      <w:r w:rsidR="00D015FB">
        <w:rPr>
          <w:lang w:val="en-GB"/>
        </w:rPr>
        <w:t>October</w:t>
      </w:r>
      <w:r w:rsidRPr="002406FF">
        <w:rPr>
          <w:lang w:val="en-GB"/>
        </w:rPr>
        <w:t xml:space="preserve"> 2025).</w:t>
      </w:r>
    </w:p>
    <w:p w14:paraId="40A1E385" w14:textId="0CE78F76" w:rsidR="002406FF" w:rsidRPr="002406FF" w:rsidRDefault="002406FF" w:rsidP="002406FF">
      <w:pPr>
        <w:rPr>
          <w:lang w:val="en-GB"/>
        </w:rPr>
      </w:pPr>
      <w:r w:rsidRPr="002406FF">
        <w:rPr>
          <w:lang w:val="en-GB"/>
        </w:rPr>
        <w:t xml:space="preserve">NHS England (2025) </w:t>
      </w:r>
      <w:r w:rsidRPr="002406FF">
        <w:rPr>
          <w:i/>
          <w:lang w:val="en-GB"/>
        </w:rPr>
        <w:t>NHS England» How we are protecting privacy and confidentiality</w:t>
      </w:r>
      <w:r w:rsidRPr="002406FF">
        <w:rPr>
          <w:lang w:val="en-GB"/>
        </w:rPr>
        <w:t xml:space="preserve">, </w:t>
      </w:r>
      <w:r w:rsidRPr="002406FF">
        <w:rPr>
          <w:i/>
          <w:lang w:val="en-GB"/>
        </w:rPr>
        <w:t>England.nhs.uk</w:t>
      </w:r>
      <w:r w:rsidRPr="002406FF">
        <w:rPr>
          <w:lang w:val="en-GB"/>
        </w:rPr>
        <w:t xml:space="preserve">. Available at: https://www.england.nhs.uk/digitaltechnology/nhs-federated-data-platform/security-privacy/how-we-are-protecting-privacy-and-confidentiality (Accessed: </w:t>
      </w:r>
      <w:r w:rsidR="00D015FB">
        <w:rPr>
          <w:lang w:val="en-GB"/>
        </w:rPr>
        <w:t>15 October</w:t>
      </w:r>
      <w:r w:rsidRPr="002406FF">
        <w:rPr>
          <w:lang w:val="en-GB"/>
        </w:rPr>
        <w:t xml:space="preserve"> 2025).</w:t>
      </w:r>
    </w:p>
    <w:p w14:paraId="1DA242C1" w14:textId="77777777" w:rsidR="002406FF" w:rsidRPr="002406FF" w:rsidRDefault="002406FF" w:rsidP="002406FF">
      <w:pPr>
        <w:rPr>
          <w:lang w:val="en-GB"/>
        </w:rPr>
      </w:pPr>
      <w:r w:rsidRPr="002406FF">
        <w:rPr>
          <w:lang w:val="en-GB"/>
        </w:rPr>
        <w:t xml:space="preserve">Padula, W.V., Miano, M.A., Kelley, M.A., Crawford, S.A., Choy, B.H., Hughes, R.M., Grosso, R. and Pronovost, P.J. (2022) ‘A Cost-Utility Analysis of Remote Pulse-Oximetry Monitoring of Patients With COVID-2019’, </w:t>
      </w:r>
      <w:r w:rsidRPr="002406FF">
        <w:rPr>
          <w:i/>
          <w:lang w:val="en-GB"/>
        </w:rPr>
        <w:t>Value in Health</w:t>
      </w:r>
      <w:r w:rsidRPr="002406FF">
        <w:rPr>
          <w:lang w:val="en-GB"/>
        </w:rPr>
        <w:t>, 31(9), pp. 11–60. Available at: https://doi.org/10.1016/j.jval.2021.09.008.</w:t>
      </w:r>
    </w:p>
    <w:p w14:paraId="74E7ACFE" w14:textId="77777777" w:rsidR="002406FF" w:rsidRPr="002406FF" w:rsidRDefault="002406FF" w:rsidP="002406FF">
      <w:pPr>
        <w:widowControl w:val="0"/>
        <w:autoSpaceDE w:val="0"/>
        <w:autoSpaceDN w:val="0"/>
        <w:adjustRightInd w:val="0"/>
      </w:pPr>
      <w:r w:rsidRPr="002406FF">
        <w:lastRenderedPageBreak/>
        <w:t xml:space="preserve">Paulson, M.R., Shulman, E.P., Dunn, A.N., Fazio, J.R., Habermann, E.B., Matcha, G.V., McCoy, R.G., Pagan, R.J. and Maniaci, M.J. (2023) ‘Implementation of a virtual and in-person hybrid hospital-at-home model in two geographically separate regions utilizing a single command center: a descriptive cohort study’, </w:t>
      </w:r>
      <w:r w:rsidRPr="002406FF">
        <w:rPr>
          <w:i/>
          <w:iCs/>
        </w:rPr>
        <w:t>BMC Health Services Research</w:t>
      </w:r>
      <w:r w:rsidRPr="002406FF">
        <w:t xml:space="preserve">, 23(1). Available at: </w:t>
      </w:r>
      <w:hyperlink r:id="rId15" w:history="1">
        <w:r w:rsidRPr="002406FF">
          <w:t>https://doi.org/10.1186/s12913-023-09144-w</w:t>
        </w:r>
      </w:hyperlink>
      <w:r w:rsidRPr="002406FF">
        <w:t>.</w:t>
      </w:r>
    </w:p>
    <w:p w14:paraId="76E48607" w14:textId="77777777" w:rsidR="002406FF" w:rsidRPr="002406FF" w:rsidRDefault="002406FF" w:rsidP="002406FF">
      <w:pPr>
        <w:pStyle w:val="NormalWeb"/>
        <w:spacing w:before="0" w:beforeAutospacing="0" w:after="0" w:afterAutospacing="0" w:line="360" w:lineRule="auto"/>
        <w:jc w:val="both"/>
        <w:rPr>
          <w:rFonts w:ascii="Arial" w:hAnsi="Arial" w:cs="Arial"/>
          <w:sz w:val="22"/>
          <w:szCs w:val="22"/>
        </w:rPr>
      </w:pPr>
      <w:r w:rsidRPr="00B3585B">
        <w:rPr>
          <w:rFonts w:ascii="Arial" w:hAnsi="Arial" w:cs="Arial"/>
          <w:sz w:val="22"/>
          <w:szCs w:val="22"/>
        </w:rPr>
        <w:t xml:space="preserve">Pearson, C., Schapiro, L. and Pearson, S.D. (2022) ‘The next generation of rare disease drug policy: ensuring both innovation and affordability’, </w:t>
      </w:r>
      <w:r w:rsidRPr="00B3585B">
        <w:rPr>
          <w:rFonts w:ascii="Arial" w:hAnsi="Arial" w:cs="Arial"/>
          <w:i/>
          <w:iCs/>
          <w:sz w:val="22"/>
          <w:szCs w:val="22"/>
        </w:rPr>
        <w:t>Journal of Comparative Effectiveness Research</w:t>
      </w:r>
      <w:r w:rsidRPr="00B3585B">
        <w:rPr>
          <w:rFonts w:ascii="Arial" w:hAnsi="Arial" w:cs="Arial"/>
          <w:sz w:val="22"/>
          <w:szCs w:val="22"/>
        </w:rPr>
        <w:t>, 11(14), pp. 999–1010. Available at: https://doi.org/10.2217/cer-2022-0120.</w:t>
      </w:r>
    </w:p>
    <w:p w14:paraId="37F6C131" w14:textId="77777777" w:rsidR="002406FF" w:rsidRPr="002406FF" w:rsidRDefault="002406FF" w:rsidP="002406FF">
      <w:pPr>
        <w:rPr>
          <w:lang w:val="en-GB"/>
        </w:rPr>
      </w:pPr>
      <w:r w:rsidRPr="002406FF">
        <w:rPr>
          <w:lang w:val="en-GB"/>
        </w:rPr>
        <w:t xml:space="preserve">Rosic, T., Petrina, N., </w:t>
      </w:r>
      <w:proofErr w:type="spellStart"/>
      <w:r w:rsidRPr="002406FF">
        <w:rPr>
          <w:lang w:val="en-GB"/>
        </w:rPr>
        <w:t>Baysari</w:t>
      </w:r>
      <w:proofErr w:type="spellEnd"/>
      <w:r w:rsidRPr="002406FF">
        <w:rPr>
          <w:lang w:val="en-GB"/>
        </w:rPr>
        <w:t xml:space="preserve">, M., Ritchie, A. and Poon, S.K. (2022) ‘Patient and clinician use characteristics and perceptions of pulse oximeter use: A scoping review’, </w:t>
      </w:r>
      <w:r w:rsidRPr="002406FF">
        <w:rPr>
          <w:i/>
          <w:lang w:val="en-GB"/>
        </w:rPr>
        <w:t>International Journal of Medical Informatics</w:t>
      </w:r>
      <w:r w:rsidRPr="002406FF">
        <w:rPr>
          <w:lang w:val="en-GB"/>
        </w:rPr>
        <w:t>, 162(2), pp. 104–735. Available at: https://doi.org/10.1016/j.ijmedinf.2022.104735.</w:t>
      </w:r>
    </w:p>
    <w:p w14:paraId="105E3804" w14:textId="77777777" w:rsidR="002406FF" w:rsidRPr="002406FF" w:rsidRDefault="002406FF" w:rsidP="002406FF">
      <w:pPr>
        <w:widowControl w:val="0"/>
        <w:autoSpaceDE w:val="0"/>
        <w:autoSpaceDN w:val="0"/>
        <w:adjustRightInd w:val="0"/>
      </w:pPr>
      <w:r w:rsidRPr="002406FF">
        <w:t xml:space="preserve">Sexton, V. (2023) ‘A mixed-methods evaluation of telephone based digital triage used in urgent care within the United Kingdom  - WRAP: Warwick Research Archive Portal’, </w:t>
      </w:r>
      <w:r w:rsidRPr="002406FF">
        <w:rPr>
          <w:i/>
          <w:iCs/>
        </w:rPr>
        <w:t>Warwick.ac.uk</w:t>
      </w:r>
      <w:r w:rsidRPr="002406FF">
        <w:t xml:space="preserve"> [Preprint]. Available at: </w:t>
      </w:r>
      <w:hyperlink r:id="rId16" w:history="1">
        <w:r w:rsidRPr="002406FF">
          <w:t>https://wrap.warwick.ac.uk/id/eprint/183154/1/WRAP_Theses_Sexton_2023.pdf</w:t>
        </w:r>
      </w:hyperlink>
      <w:r w:rsidRPr="002406FF">
        <w:t>.</w:t>
      </w:r>
    </w:p>
    <w:p w14:paraId="0997A24F" w14:textId="77777777" w:rsidR="002406FF" w:rsidRPr="002406FF" w:rsidRDefault="002406FF" w:rsidP="002406FF">
      <w:pPr>
        <w:rPr>
          <w:lang w:val="en-GB"/>
        </w:rPr>
      </w:pPr>
      <w:r w:rsidRPr="002406FF">
        <w:rPr>
          <w:lang w:val="en-GB"/>
        </w:rPr>
        <w:t xml:space="preserve">Tekin, K., </w:t>
      </w:r>
      <w:proofErr w:type="spellStart"/>
      <w:r w:rsidRPr="002406FF">
        <w:rPr>
          <w:lang w:val="en-GB"/>
        </w:rPr>
        <w:t>Karadoğan</w:t>
      </w:r>
      <w:proofErr w:type="spellEnd"/>
      <w:r w:rsidRPr="002406FF">
        <w:rPr>
          <w:lang w:val="en-GB"/>
        </w:rPr>
        <w:t xml:space="preserve">, M., Günaydın, S. and Kısmet, K. (2023) ‘Everything About Pulse Oximetry—Part 1: History, Principles, Advantages, Limitations, Inaccuracies, Cost Analysis, the Level of Knowledge About Pulse Oximeter Among Clinicians, and Pulse Oximetry Versus Tissue Oximetry’, </w:t>
      </w:r>
      <w:r w:rsidRPr="002406FF">
        <w:rPr>
          <w:i/>
          <w:lang w:val="en-GB"/>
        </w:rPr>
        <w:t>Journal of Intensive Care Medicine</w:t>
      </w:r>
      <w:r w:rsidRPr="002406FF">
        <w:rPr>
          <w:lang w:val="en-GB"/>
        </w:rPr>
        <w:t>, 38(9), pp. 775–784. Available at: https://doi.org/10.1177/08850666231185752.</w:t>
      </w:r>
    </w:p>
    <w:p w14:paraId="193A74A9" w14:textId="77777777" w:rsidR="002406FF" w:rsidRPr="002406FF" w:rsidRDefault="002406FF" w:rsidP="002406FF">
      <w:pPr>
        <w:rPr>
          <w:lang w:val="en-GB"/>
        </w:rPr>
      </w:pPr>
      <w:proofErr w:type="spellStart"/>
      <w:r w:rsidRPr="002406FF">
        <w:rPr>
          <w:lang w:val="en-GB"/>
        </w:rPr>
        <w:t>Vindrola-Padros</w:t>
      </w:r>
      <w:proofErr w:type="spellEnd"/>
      <w:r w:rsidRPr="002406FF">
        <w:rPr>
          <w:lang w:val="en-GB"/>
        </w:rPr>
        <w:t xml:space="preserve">, C., Sidhu, M.S., Georghiou, T., </w:t>
      </w:r>
      <w:proofErr w:type="spellStart"/>
      <w:r w:rsidRPr="002406FF">
        <w:rPr>
          <w:lang w:val="en-GB"/>
        </w:rPr>
        <w:t>Sherlaw</w:t>
      </w:r>
      <w:proofErr w:type="spellEnd"/>
      <w:r w:rsidRPr="002406FF">
        <w:rPr>
          <w:lang w:val="en-GB"/>
        </w:rPr>
        <w:t xml:space="preserve">-Johnson, C., Singh, K.E., Tomini, S.M., Ellins, J., Morris, S. and Fulop, N.J. (2022) ‘The implementation of remote home monitoring models during the COVID-19 pandemic in England’, </w:t>
      </w:r>
      <w:proofErr w:type="spellStart"/>
      <w:r w:rsidRPr="002406FF">
        <w:rPr>
          <w:i/>
          <w:lang w:val="en-GB"/>
        </w:rPr>
        <w:t>EClinicalMedicine</w:t>
      </w:r>
      <w:proofErr w:type="spellEnd"/>
      <w:r w:rsidRPr="002406FF">
        <w:rPr>
          <w:lang w:val="en-GB"/>
        </w:rPr>
        <w:t>, 34(1), pp. 100–799. Available at: https://doi.org/10.1016/j.eclinm.2021.100799.</w:t>
      </w:r>
    </w:p>
    <w:p w14:paraId="729A4791" w14:textId="77777777" w:rsidR="002406FF" w:rsidRPr="002406FF" w:rsidRDefault="002406FF" w:rsidP="002406FF">
      <w:pPr>
        <w:rPr>
          <w:lang w:val="en-GB"/>
        </w:rPr>
      </w:pPr>
      <w:r w:rsidRPr="002406FF">
        <w:rPr>
          <w:lang w:val="en-GB"/>
        </w:rPr>
        <w:t xml:space="preserve">Walton, H., </w:t>
      </w:r>
      <w:proofErr w:type="spellStart"/>
      <w:r w:rsidRPr="002406FF">
        <w:rPr>
          <w:lang w:val="en-GB"/>
        </w:rPr>
        <w:t>Vindrola</w:t>
      </w:r>
      <w:r w:rsidRPr="002406FF">
        <w:rPr>
          <w:rFonts w:ascii="Cambria Math" w:hAnsi="Cambria Math" w:cs="Cambria Math"/>
          <w:lang w:val="en-GB"/>
        </w:rPr>
        <w:t>‐</w:t>
      </w:r>
      <w:r w:rsidRPr="002406FF">
        <w:rPr>
          <w:lang w:val="en-GB"/>
        </w:rPr>
        <w:t>Padros</w:t>
      </w:r>
      <w:proofErr w:type="spellEnd"/>
      <w:r w:rsidRPr="002406FF">
        <w:rPr>
          <w:lang w:val="en-GB"/>
        </w:rPr>
        <w:t xml:space="preserve">, C., Crellin, N.E., Sidhu, M.S., Herlitz, L., Litchfield, I., Ellins, J., Ng, P.L., Massou, E., </w:t>
      </w:r>
      <w:proofErr w:type="spellStart"/>
      <w:r w:rsidRPr="002406FF">
        <w:rPr>
          <w:lang w:val="en-GB"/>
        </w:rPr>
        <w:t>Tomini</w:t>
      </w:r>
      <w:proofErr w:type="spellEnd"/>
      <w:r w:rsidRPr="002406FF">
        <w:rPr>
          <w:lang w:val="en-GB"/>
        </w:rPr>
        <w:t>, S.M. and Fulop, N.J. (2022) ‘Patients’ experiences of, and engagement with, remote home monitoring services for COVID</w:t>
      </w:r>
      <w:r w:rsidRPr="002406FF">
        <w:rPr>
          <w:rFonts w:ascii="Cambria Math" w:hAnsi="Cambria Math" w:cs="Cambria Math"/>
          <w:lang w:val="en-GB"/>
        </w:rPr>
        <w:t>‐</w:t>
      </w:r>
      <w:r w:rsidRPr="002406FF">
        <w:rPr>
          <w:lang w:val="en-GB"/>
        </w:rPr>
        <w:t>19 patients: A rapid mixed</w:t>
      </w:r>
      <w:r w:rsidRPr="002406FF">
        <w:rPr>
          <w:rFonts w:ascii="Cambria Math" w:hAnsi="Cambria Math" w:cs="Cambria Math"/>
          <w:lang w:val="en-GB"/>
        </w:rPr>
        <w:t>‐</w:t>
      </w:r>
      <w:r w:rsidRPr="002406FF">
        <w:rPr>
          <w:lang w:val="en-GB"/>
        </w:rPr>
        <w:t xml:space="preserve">methods study’, </w:t>
      </w:r>
      <w:r w:rsidRPr="002406FF">
        <w:rPr>
          <w:i/>
          <w:lang w:val="en-GB"/>
        </w:rPr>
        <w:t>Health Expectations</w:t>
      </w:r>
      <w:r w:rsidRPr="002406FF">
        <w:rPr>
          <w:lang w:val="en-GB"/>
        </w:rPr>
        <w:t>, 25(5), pp. 1–20. Available at: https://doi.org/10.1111/hex.13548.</w:t>
      </w:r>
    </w:p>
    <w:sectPr w:rsidR="002406FF" w:rsidRPr="002406FF">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2029D" w14:textId="77777777" w:rsidR="000506F7" w:rsidRDefault="000506F7" w:rsidP="00B01561">
      <w:pPr>
        <w:spacing w:line="240" w:lineRule="auto"/>
      </w:pPr>
      <w:r>
        <w:separator/>
      </w:r>
    </w:p>
  </w:endnote>
  <w:endnote w:type="continuationSeparator" w:id="0">
    <w:p w14:paraId="52C7D818" w14:textId="77777777" w:rsidR="000506F7" w:rsidRDefault="000506F7" w:rsidP="00B015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859698994"/>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45834C36" w14:textId="44DAD15D" w:rsidR="00AE627E" w:rsidRPr="00AE627E" w:rsidRDefault="00AE627E">
            <w:pPr>
              <w:pStyle w:val="Footer"/>
              <w:jc w:val="right"/>
              <w:rPr>
                <w:sz w:val="20"/>
                <w:szCs w:val="20"/>
              </w:rPr>
            </w:pPr>
            <w:r w:rsidRPr="00AE627E">
              <w:rPr>
                <w:sz w:val="20"/>
                <w:szCs w:val="20"/>
              </w:rPr>
              <w:t xml:space="preserve">Page </w:t>
            </w:r>
            <w:r w:rsidRPr="00AE627E">
              <w:rPr>
                <w:b/>
                <w:bCs/>
                <w:sz w:val="20"/>
                <w:szCs w:val="20"/>
              </w:rPr>
              <w:fldChar w:fldCharType="begin"/>
            </w:r>
            <w:r w:rsidRPr="00AE627E">
              <w:rPr>
                <w:b/>
                <w:bCs/>
                <w:sz w:val="20"/>
                <w:szCs w:val="20"/>
              </w:rPr>
              <w:instrText xml:space="preserve"> PAGE </w:instrText>
            </w:r>
            <w:r w:rsidRPr="00AE627E">
              <w:rPr>
                <w:b/>
                <w:bCs/>
                <w:sz w:val="20"/>
                <w:szCs w:val="20"/>
              </w:rPr>
              <w:fldChar w:fldCharType="separate"/>
            </w:r>
            <w:r w:rsidR="007C7149">
              <w:rPr>
                <w:b/>
                <w:bCs/>
                <w:noProof/>
                <w:sz w:val="20"/>
                <w:szCs w:val="20"/>
              </w:rPr>
              <w:t>6</w:t>
            </w:r>
            <w:r w:rsidRPr="00AE627E">
              <w:rPr>
                <w:b/>
                <w:bCs/>
                <w:sz w:val="20"/>
                <w:szCs w:val="20"/>
              </w:rPr>
              <w:fldChar w:fldCharType="end"/>
            </w:r>
            <w:r w:rsidRPr="00AE627E">
              <w:rPr>
                <w:sz w:val="20"/>
                <w:szCs w:val="20"/>
              </w:rPr>
              <w:t xml:space="preserve"> of </w:t>
            </w:r>
            <w:r w:rsidRPr="00AE627E">
              <w:rPr>
                <w:b/>
                <w:bCs/>
                <w:sz w:val="20"/>
                <w:szCs w:val="20"/>
              </w:rPr>
              <w:fldChar w:fldCharType="begin"/>
            </w:r>
            <w:r w:rsidRPr="00AE627E">
              <w:rPr>
                <w:b/>
                <w:bCs/>
                <w:sz w:val="20"/>
                <w:szCs w:val="20"/>
              </w:rPr>
              <w:instrText xml:space="preserve"> NUMPAGES  </w:instrText>
            </w:r>
            <w:r w:rsidRPr="00AE627E">
              <w:rPr>
                <w:b/>
                <w:bCs/>
                <w:sz w:val="20"/>
                <w:szCs w:val="20"/>
              </w:rPr>
              <w:fldChar w:fldCharType="separate"/>
            </w:r>
            <w:r w:rsidR="007C7149">
              <w:rPr>
                <w:b/>
                <w:bCs/>
                <w:noProof/>
                <w:sz w:val="20"/>
                <w:szCs w:val="20"/>
              </w:rPr>
              <w:t>11</w:t>
            </w:r>
            <w:r w:rsidRPr="00AE627E">
              <w:rPr>
                <w:b/>
                <w:bCs/>
                <w:sz w:val="20"/>
                <w:szCs w:val="20"/>
              </w:rPr>
              <w:fldChar w:fldCharType="end"/>
            </w:r>
          </w:p>
        </w:sdtContent>
      </w:sdt>
    </w:sdtContent>
  </w:sdt>
  <w:p w14:paraId="7428D854" w14:textId="77777777" w:rsidR="00B01561" w:rsidRDefault="00B01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EEB26" w14:textId="77777777" w:rsidR="000506F7" w:rsidRDefault="000506F7" w:rsidP="00B01561">
      <w:pPr>
        <w:spacing w:line="240" w:lineRule="auto"/>
      </w:pPr>
      <w:r>
        <w:separator/>
      </w:r>
    </w:p>
  </w:footnote>
  <w:footnote w:type="continuationSeparator" w:id="0">
    <w:p w14:paraId="3E3CC8C1" w14:textId="77777777" w:rsidR="000506F7" w:rsidRDefault="000506F7" w:rsidP="00B015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66AF6"/>
    <w:multiLevelType w:val="hybridMultilevel"/>
    <w:tmpl w:val="6EEA84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20189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1B7"/>
    <w:rsid w:val="0000415D"/>
    <w:rsid w:val="00024C70"/>
    <w:rsid w:val="0002508F"/>
    <w:rsid w:val="00025D3F"/>
    <w:rsid w:val="000334EC"/>
    <w:rsid w:val="000503DC"/>
    <w:rsid w:val="000506F7"/>
    <w:rsid w:val="00052811"/>
    <w:rsid w:val="000531B7"/>
    <w:rsid w:val="00080910"/>
    <w:rsid w:val="000C35D6"/>
    <w:rsid w:val="0012414E"/>
    <w:rsid w:val="00145A05"/>
    <w:rsid w:val="001558CB"/>
    <w:rsid w:val="00181E1C"/>
    <w:rsid w:val="001A31D4"/>
    <w:rsid w:val="001A6073"/>
    <w:rsid w:val="001D2D54"/>
    <w:rsid w:val="00230D39"/>
    <w:rsid w:val="00232215"/>
    <w:rsid w:val="002406FF"/>
    <w:rsid w:val="00245373"/>
    <w:rsid w:val="00246FEC"/>
    <w:rsid w:val="00254C0D"/>
    <w:rsid w:val="00271E11"/>
    <w:rsid w:val="00281791"/>
    <w:rsid w:val="00296E87"/>
    <w:rsid w:val="002B7BD8"/>
    <w:rsid w:val="002F0383"/>
    <w:rsid w:val="003241B3"/>
    <w:rsid w:val="00325F05"/>
    <w:rsid w:val="003311EF"/>
    <w:rsid w:val="00333EF7"/>
    <w:rsid w:val="003370FA"/>
    <w:rsid w:val="00347D39"/>
    <w:rsid w:val="00350011"/>
    <w:rsid w:val="00360C3F"/>
    <w:rsid w:val="003947CC"/>
    <w:rsid w:val="003A1C23"/>
    <w:rsid w:val="003A4326"/>
    <w:rsid w:val="003B378A"/>
    <w:rsid w:val="003F0CF5"/>
    <w:rsid w:val="003F4B21"/>
    <w:rsid w:val="00403CF4"/>
    <w:rsid w:val="00415D26"/>
    <w:rsid w:val="004612C2"/>
    <w:rsid w:val="00493179"/>
    <w:rsid w:val="004A642C"/>
    <w:rsid w:val="004B1328"/>
    <w:rsid w:val="004D560D"/>
    <w:rsid w:val="00531568"/>
    <w:rsid w:val="00542DB8"/>
    <w:rsid w:val="00577D56"/>
    <w:rsid w:val="005A171D"/>
    <w:rsid w:val="005A7868"/>
    <w:rsid w:val="005C14F1"/>
    <w:rsid w:val="005D7DCD"/>
    <w:rsid w:val="00612E06"/>
    <w:rsid w:val="006146D5"/>
    <w:rsid w:val="00622F7C"/>
    <w:rsid w:val="00636300"/>
    <w:rsid w:val="006622F0"/>
    <w:rsid w:val="006709EF"/>
    <w:rsid w:val="006714ED"/>
    <w:rsid w:val="00692B04"/>
    <w:rsid w:val="006C6727"/>
    <w:rsid w:val="006E72CB"/>
    <w:rsid w:val="006F5A60"/>
    <w:rsid w:val="00705E53"/>
    <w:rsid w:val="00706FE2"/>
    <w:rsid w:val="00707BAE"/>
    <w:rsid w:val="007345FA"/>
    <w:rsid w:val="0076071E"/>
    <w:rsid w:val="00773EE7"/>
    <w:rsid w:val="00776D0A"/>
    <w:rsid w:val="007B4EFB"/>
    <w:rsid w:val="007C7149"/>
    <w:rsid w:val="007E05B1"/>
    <w:rsid w:val="00802731"/>
    <w:rsid w:val="0082422A"/>
    <w:rsid w:val="00825EA3"/>
    <w:rsid w:val="00831A91"/>
    <w:rsid w:val="00844A27"/>
    <w:rsid w:val="00892A71"/>
    <w:rsid w:val="0089318B"/>
    <w:rsid w:val="008A317E"/>
    <w:rsid w:val="0092141A"/>
    <w:rsid w:val="009505F9"/>
    <w:rsid w:val="00954FEE"/>
    <w:rsid w:val="00971C37"/>
    <w:rsid w:val="00997F3D"/>
    <w:rsid w:val="009D2062"/>
    <w:rsid w:val="00A46672"/>
    <w:rsid w:val="00A56140"/>
    <w:rsid w:val="00A7252E"/>
    <w:rsid w:val="00AA4EB8"/>
    <w:rsid w:val="00AC12BA"/>
    <w:rsid w:val="00AE627E"/>
    <w:rsid w:val="00B01561"/>
    <w:rsid w:val="00B15171"/>
    <w:rsid w:val="00B1570C"/>
    <w:rsid w:val="00B21A62"/>
    <w:rsid w:val="00B30E38"/>
    <w:rsid w:val="00B3585B"/>
    <w:rsid w:val="00B541EE"/>
    <w:rsid w:val="00B61774"/>
    <w:rsid w:val="00B9500D"/>
    <w:rsid w:val="00BB1E54"/>
    <w:rsid w:val="00BC61CD"/>
    <w:rsid w:val="00BD4EFF"/>
    <w:rsid w:val="00C22EF7"/>
    <w:rsid w:val="00C34936"/>
    <w:rsid w:val="00C356C6"/>
    <w:rsid w:val="00C4599B"/>
    <w:rsid w:val="00C77FAB"/>
    <w:rsid w:val="00C8316C"/>
    <w:rsid w:val="00C85101"/>
    <w:rsid w:val="00CA063B"/>
    <w:rsid w:val="00CD0F35"/>
    <w:rsid w:val="00D015FB"/>
    <w:rsid w:val="00D10683"/>
    <w:rsid w:val="00D21A8B"/>
    <w:rsid w:val="00D33CFB"/>
    <w:rsid w:val="00D45B4F"/>
    <w:rsid w:val="00D555C8"/>
    <w:rsid w:val="00D66517"/>
    <w:rsid w:val="00D921F0"/>
    <w:rsid w:val="00DC4E1A"/>
    <w:rsid w:val="00DE022C"/>
    <w:rsid w:val="00E80EAD"/>
    <w:rsid w:val="00E9493F"/>
    <w:rsid w:val="00EA2936"/>
    <w:rsid w:val="00EB4B05"/>
    <w:rsid w:val="00EC6DFB"/>
    <w:rsid w:val="00ED33CD"/>
    <w:rsid w:val="00F5081E"/>
    <w:rsid w:val="00F80650"/>
    <w:rsid w:val="00F92B27"/>
    <w:rsid w:val="00FB1B75"/>
    <w:rsid w:val="00FC3E03"/>
    <w:rsid w:val="00FC75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B30A82"/>
  <w15:docId w15:val="{E7CD03BB-5649-4281-8724-CAB06685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outlineLvl w:val="0"/>
    </w:pPr>
    <w:rPr>
      <w:b/>
      <w:sz w:val="24"/>
      <w:szCs w:val="24"/>
    </w:rPr>
  </w:style>
  <w:style w:type="paragraph" w:styleId="Heading2">
    <w:name w:val="heading 2"/>
    <w:basedOn w:val="Normal"/>
    <w:next w:val="Normal"/>
    <w:qFormat/>
    <w:rsid w:val="003F0CF5"/>
    <w:pPr>
      <w:keepNext/>
      <w:keepLines/>
      <w:outlineLvl w:val="1"/>
    </w:pPr>
    <w:rPr>
      <w:b/>
      <w:i/>
      <w:color w:val="000000" w:themeColor="text1"/>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uiPriority w:val="1"/>
    <w:qFormat/>
    <w:rsid w:val="00ED33CD"/>
    <w:pPr>
      <w:spacing w:line="240" w:lineRule="auto"/>
    </w:pPr>
  </w:style>
  <w:style w:type="paragraph" w:styleId="TOCHeading">
    <w:name w:val="TOC Heading"/>
    <w:basedOn w:val="Heading1"/>
    <w:next w:val="Normal"/>
    <w:uiPriority w:val="39"/>
    <w:unhideWhenUsed/>
    <w:qFormat/>
    <w:rsid w:val="00B0156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01561"/>
    <w:pPr>
      <w:spacing w:after="100"/>
    </w:pPr>
  </w:style>
  <w:style w:type="character" w:styleId="Hyperlink">
    <w:name w:val="Hyperlink"/>
    <w:basedOn w:val="DefaultParagraphFont"/>
    <w:uiPriority w:val="99"/>
    <w:unhideWhenUsed/>
    <w:rsid w:val="00B01561"/>
    <w:rPr>
      <w:color w:val="0000FF" w:themeColor="hyperlink"/>
      <w:u w:val="single"/>
    </w:rPr>
  </w:style>
  <w:style w:type="paragraph" w:styleId="Header">
    <w:name w:val="header"/>
    <w:basedOn w:val="Normal"/>
    <w:link w:val="HeaderChar"/>
    <w:uiPriority w:val="99"/>
    <w:unhideWhenUsed/>
    <w:rsid w:val="00B01561"/>
    <w:pPr>
      <w:tabs>
        <w:tab w:val="center" w:pos="4513"/>
        <w:tab w:val="right" w:pos="9026"/>
      </w:tabs>
      <w:spacing w:line="240" w:lineRule="auto"/>
    </w:pPr>
  </w:style>
  <w:style w:type="character" w:customStyle="1" w:styleId="HeaderChar">
    <w:name w:val="Header Char"/>
    <w:basedOn w:val="DefaultParagraphFont"/>
    <w:link w:val="Header"/>
    <w:uiPriority w:val="99"/>
    <w:rsid w:val="00B01561"/>
  </w:style>
  <w:style w:type="paragraph" w:styleId="Footer">
    <w:name w:val="footer"/>
    <w:basedOn w:val="Normal"/>
    <w:link w:val="FooterChar"/>
    <w:uiPriority w:val="99"/>
    <w:unhideWhenUsed/>
    <w:rsid w:val="00B01561"/>
    <w:pPr>
      <w:tabs>
        <w:tab w:val="center" w:pos="4513"/>
        <w:tab w:val="right" w:pos="9026"/>
      </w:tabs>
      <w:spacing w:line="240" w:lineRule="auto"/>
    </w:pPr>
  </w:style>
  <w:style w:type="character" w:customStyle="1" w:styleId="FooterChar">
    <w:name w:val="Footer Char"/>
    <w:basedOn w:val="DefaultParagraphFont"/>
    <w:link w:val="Footer"/>
    <w:uiPriority w:val="99"/>
    <w:rsid w:val="00B01561"/>
  </w:style>
  <w:style w:type="paragraph" w:styleId="ListParagraph">
    <w:name w:val="List Paragraph"/>
    <w:basedOn w:val="Normal"/>
    <w:uiPriority w:val="34"/>
    <w:qFormat/>
    <w:rsid w:val="00D555C8"/>
    <w:pPr>
      <w:ind w:left="720"/>
      <w:contextualSpacing/>
    </w:pPr>
  </w:style>
  <w:style w:type="paragraph" w:styleId="BalloonText">
    <w:name w:val="Balloon Text"/>
    <w:basedOn w:val="Normal"/>
    <w:link w:val="BalloonTextChar"/>
    <w:uiPriority w:val="99"/>
    <w:semiHidden/>
    <w:unhideWhenUsed/>
    <w:rsid w:val="00347D3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7D39"/>
    <w:rPr>
      <w:rFonts w:ascii="Segoe UI" w:hAnsi="Segoe UI" w:cs="Segoe UI"/>
      <w:sz w:val="18"/>
      <w:szCs w:val="18"/>
    </w:rPr>
  </w:style>
  <w:style w:type="paragraph" w:styleId="NormalWeb">
    <w:name w:val="Normal (Web)"/>
    <w:basedOn w:val="Normal"/>
    <w:uiPriority w:val="99"/>
    <w:unhideWhenUsed/>
    <w:rsid w:val="003F0CF5"/>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F0CF5"/>
    <w:rPr>
      <w:b/>
      <w:bCs/>
    </w:rPr>
  </w:style>
  <w:style w:type="paragraph" w:styleId="TOC2">
    <w:name w:val="toc 2"/>
    <w:basedOn w:val="Normal"/>
    <w:next w:val="Normal"/>
    <w:autoRedefine/>
    <w:uiPriority w:val="39"/>
    <w:unhideWhenUsed/>
    <w:rsid w:val="004B132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5113">
      <w:bodyDiv w:val="1"/>
      <w:marLeft w:val="0"/>
      <w:marRight w:val="0"/>
      <w:marTop w:val="0"/>
      <w:marBottom w:val="0"/>
      <w:divBdr>
        <w:top w:val="none" w:sz="0" w:space="0" w:color="auto"/>
        <w:left w:val="none" w:sz="0" w:space="0" w:color="auto"/>
        <w:bottom w:val="none" w:sz="0" w:space="0" w:color="auto"/>
        <w:right w:val="none" w:sz="0" w:space="0" w:color="auto"/>
      </w:divBdr>
    </w:div>
    <w:div w:id="179586450">
      <w:bodyDiv w:val="1"/>
      <w:marLeft w:val="0"/>
      <w:marRight w:val="0"/>
      <w:marTop w:val="0"/>
      <w:marBottom w:val="0"/>
      <w:divBdr>
        <w:top w:val="none" w:sz="0" w:space="0" w:color="auto"/>
        <w:left w:val="none" w:sz="0" w:space="0" w:color="auto"/>
        <w:bottom w:val="none" w:sz="0" w:space="0" w:color="auto"/>
        <w:right w:val="none" w:sz="0" w:space="0" w:color="auto"/>
      </w:divBdr>
    </w:div>
    <w:div w:id="474956544">
      <w:bodyDiv w:val="1"/>
      <w:marLeft w:val="0"/>
      <w:marRight w:val="0"/>
      <w:marTop w:val="0"/>
      <w:marBottom w:val="0"/>
      <w:divBdr>
        <w:top w:val="none" w:sz="0" w:space="0" w:color="auto"/>
        <w:left w:val="none" w:sz="0" w:space="0" w:color="auto"/>
        <w:bottom w:val="none" w:sz="0" w:space="0" w:color="auto"/>
        <w:right w:val="none" w:sz="0" w:space="0" w:color="auto"/>
      </w:divBdr>
    </w:div>
    <w:div w:id="541138732">
      <w:bodyDiv w:val="1"/>
      <w:marLeft w:val="0"/>
      <w:marRight w:val="0"/>
      <w:marTop w:val="0"/>
      <w:marBottom w:val="0"/>
      <w:divBdr>
        <w:top w:val="none" w:sz="0" w:space="0" w:color="auto"/>
        <w:left w:val="none" w:sz="0" w:space="0" w:color="auto"/>
        <w:bottom w:val="none" w:sz="0" w:space="0" w:color="auto"/>
        <w:right w:val="none" w:sz="0" w:space="0" w:color="auto"/>
      </w:divBdr>
      <w:divsChild>
        <w:div w:id="214389633">
          <w:marLeft w:val="0"/>
          <w:marRight w:val="0"/>
          <w:marTop w:val="0"/>
          <w:marBottom w:val="0"/>
          <w:divBdr>
            <w:top w:val="none" w:sz="0" w:space="0" w:color="auto"/>
            <w:left w:val="none" w:sz="0" w:space="0" w:color="auto"/>
            <w:bottom w:val="none" w:sz="0" w:space="0" w:color="auto"/>
            <w:right w:val="none" w:sz="0" w:space="0" w:color="auto"/>
          </w:divBdr>
        </w:div>
      </w:divsChild>
    </w:div>
    <w:div w:id="660232211">
      <w:bodyDiv w:val="1"/>
      <w:marLeft w:val="0"/>
      <w:marRight w:val="0"/>
      <w:marTop w:val="0"/>
      <w:marBottom w:val="0"/>
      <w:divBdr>
        <w:top w:val="none" w:sz="0" w:space="0" w:color="auto"/>
        <w:left w:val="none" w:sz="0" w:space="0" w:color="auto"/>
        <w:bottom w:val="none" w:sz="0" w:space="0" w:color="auto"/>
        <w:right w:val="none" w:sz="0" w:space="0" w:color="auto"/>
      </w:divBdr>
    </w:div>
    <w:div w:id="868026076">
      <w:bodyDiv w:val="1"/>
      <w:marLeft w:val="0"/>
      <w:marRight w:val="0"/>
      <w:marTop w:val="0"/>
      <w:marBottom w:val="0"/>
      <w:divBdr>
        <w:top w:val="none" w:sz="0" w:space="0" w:color="auto"/>
        <w:left w:val="none" w:sz="0" w:space="0" w:color="auto"/>
        <w:bottom w:val="none" w:sz="0" w:space="0" w:color="auto"/>
        <w:right w:val="none" w:sz="0" w:space="0" w:color="auto"/>
      </w:divBdr>
    </w:div>
    <w:div w:id="909730021">
      <w:bodyDiv w:val="1"/>
      <w:marLeft w:val="0"/>
      <w:marRight w:val="0"/>
      <w:marTop w:val="0"/>
      <w:marBottom w:val="0"/>
      <w:divBdr>
        <w:top w:val="none" w:sz="0" w:space="0" w:color="auto"/>
        <w:left w:val="none" w:sz="0" w:space="0" w:color="auto"/>
        <w:bottom w:val="none" w:sz="0" w:space="0" w:color="auto"/>
        <w:right w:val="none" w:sz="0" w:space="0" w:color="auto"/>
      </w:divBdr>
    </w:div>
    <w:div w:id="1614240697">
      <w:bodyDiv w:val="1"/>
      <w:marLeft w:val="0"/>
      <w:marRight w:val="0"/>
      <w:marTop w:val="0"/>
      <w:marBottom w:val="0"/>
      <w:divBdr>
        <w:top w:val="none" w:sz="0" w:space="0" w:color="auto"/>
        <w:left w:val="none" w:sz="0" w:space="0" w:color="auto"/>
        <w:bottom w:val="none" w:sz="0" w:space="0" w:color="auto"/>
        <w:right w:val="none" w:sz="0" w:space="0" w:color="auto"/>
      </w:divBdr>
      <w:divsChild>
        <w:div w:id="674846088">
          <w:marLeft w:val="0"/>
          <w:marRight w:val="0"/>
          <w:marTop w:val="0"/>
          <w:marBottom w:val="0"/>
          <w:divBdr>
            <w:top w:val="none" w:sz="0" w:space="0" w:color="auto"/>
            <w:left w:val="none" w:sz="0" w:space="0" w:color="auto"/>
            <w:bottom w:val="none" w:sz="0" w:space="0" w:color="auto"/>
            <w:right w:val="none" w:sz="0" w:space="0" w:color="auto"/>
          </w:divBdr>
        </w:div>
      </w:divsChild>
    </w:div>
    <w:div w:id="1615987597">
      <w:bodyDiv w:val="1"/>
      <w:marLeft w:val="0"/>
      <w:marRight w:val="0"/>
      <w:marTop w:val="0"/>
      <w:marBottom w:val="0"/>
      <w:divBdr>
        <w:top w:val="none" w:sz="0" w:space="0" w:color="auto"/>
        <w:left w:val="none" w:sz="0" w:space="0" w:color="auto"/>
        <w:bottom w:val="none" w:sz="0" w:space="0" w:color="auto"/>
        <w:right w:val="none" w:sz="0" w:space="0" w:color="auto"/>
      </w:divBdr>
    </w:div>
    <w:div w:id="1622490285">
      <w:bodyDiv w:val="1"/>
      <w:marLeft w:val="0"/>
      <w:marRight w:val="0"/>
      <w:marTop w:val="0"/>
      <w:marBottom w:val="0"/>
      <w:divBdr>
        <w:top w:val="none" w:sz="0" w:space="0" w:color="auto"/>
        <w:left w:val="none" w:sz="0" w:space="0" w:color="auto"/>
        <w:bottom w:val="none" w:sz="0" w:space="0" w:color="auto"/>
        <w:right w:val="none" w:sz="0" w:space="0" w:color="auto"/>
      </w:divBdr>
    </w:div>
    <w:div w:id="1633949611">
      <w:bodyDiv w:val="1"/>
      <w:marLeft w:val="0"/>
      <w:marRight w:val="0"/>
      <w:marTop w:val="0"/>
      <w:marBottom w:val="0"/>
      <w:divBdr>
        <w:top w:val="none" w:sz="0" w:space="0" w:color="auto"/>
        <w:left w:val="none" w:sz="0" w:space="0" w:color="auto"/>
        <w:bottom w:val="none" w:sz="0" w:space="0" w:color="auto"/>
        <w:right w:val="none" w:sz="0" w:space="0" w:color="auto"/>
      </w:divBdr>
    </w:div>
    <w:div w:id="1765148878">
      <w:bodyDiv w:val="1"/>
      <w:marLeft w:val="0"/>
      <w:marRight w:val="0"/>
      <w:marTop w:val="0"/>
      <w:marBottom w:val="0"/>
      <w:divBdr>
        <w:top w:val="none" w:sz="0" w:space="0" w:color="auto"/>
        <w:left w:val="none" w:sz="0" w:space="0" w:color="auto"/>
        <w:bottom w:val="none" w:sz="0" w:space="0" w:color="auto"/>
        <w:right w:val="none" w:sz="0" w:space="0" w:color="auto"/>
      </w:divBdr>
      <w:divsChild>
        <w:div w:id="467823543">
          <w:marLeft w:val="0"/>
          <w:marRight w:val="0"/>
          <w:marTop w:val="0"/>
          <w:marBottom w:val="0"/>
          <w:divBdr>
            <w:top w:val="none" w:sz="0" w:space="0" w:color="auto"/>
            <w:left w:val="none" w:sz="0" w:space="0" w:color="auto"/>
            <w:bottom w:val="none" w:sz="0" w:space="0" w:color="auto"/>
            <w:right w:val="none" w:sz="0" w:space="0" w:color="auto"/>
          </w:divBdr>
        </w:div>
      </w:divsChild>
    </w:div>
    <w:div w:id="1776368755">
      <w:bodyDiv w:val="1"/>
      <w:marLeft w:val="0"/>
      <w:marRight w:val="0"/>
      <w:marTop w:val="0"/>
      <w:marBottom w:val="0"/>
      <w:divBdr>
        <w:top w:val="none" w:sz="0" w:space="0" w:color="auto"/>
        <w:left w:val="none" w:sz="0" w:space="0" w:color="auto"/>
        <w:bottom w:val="none" w:sz="0" w:space="0" w:color="auto"/>
        <w:right w:val="none" w:sz="0" w:space="0" w:color="auto"/>
      </w:divBdr>
    </w:div>
    <w:div w:id="1867907580">
      <w:bodyDiv w:val="1"/>
      <w:marLeft w:val="0"/>
      <w:marRight w:val="0"/>
      <w:marTop w:val="0"/>
      <w:marBottom w:val="0"/>
      <w:divBdr>
        <w:top w:val="none" w:sz="0" w:space="0" w:color="auto"/>
        <w:left w:val="none" w:sz="0" w:space="0" w:color="auto"/>
        <w:bottom w:val="none" w:sz="0" w:space="0" w:color="auto"/>
        <w:right w:val="none" w:sz="0" w:space="0" w:color="auto"/>
      </w:divBdr>
    </w:div>
    <w:div w:id="2019304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se.openrepository.com/bitstream/handle/10147/637200/2023.04__Evidence%20Summary__UnscheduledCare.pdf?sequence=1&amp;isAllowed=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281/zenodo.1095318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rap.warwick.ac.uk/id/eprint/183154/1/WRAP_Theses_Sexton_202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122/jabfm.2022.220226r1" TargetMode="External"/><Relationship Id="rId5" Type="http://schemas.openxmlformats.org/officeDocument/2006/relationships/webSettings" Target="webSettings.xml"/><Relationship Id="rId15" Type="http://schemas.openxmlformats.org/officeDocument/2006/relationships/hyperlink" Target="https://doi.org/10.1186/s12913-023-09144-w" TargetMode="External"/><Relationship Id="rId10" Type="http://schemas.openxmlformats.org/officeDocument/2006/relationships/hyperlink" Target="https://doi.org/10.1016/j.chpulm.2024.10012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7759/cureus.528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6423FA-AC03-40EE-97BA-8EAC2F4F5C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4715</TotalTime>
  <Pages>11</Pages>
  <Words>2897</Words>
  <Characters>18160</Characters>
  <Application>Microsoft Office Word</Application>
  <DocSecurity>0</DocSecurity>
  <Lines>295</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Jacqueline Lawrence (2315750)</cp:lastModifiedBy>
  <cp:revision>3</cp:revision>
  <dcterms:created xsi:type="dcterms:W3CDTF">2025-10-20T07:52:00Z</dcterms:created>
  <dcterms:modified xsi:type="dcterms:W3CDTF">2025-10-23T15:28:00Z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d1972a1b-bc8c-4053-8c5f-b0a01a908f4e</vt:lpwstr>
  </property>
</Properties>
</file>