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88710" w14:textId="2BE67F47" w:rsidR="0057325D" w:rsidRPr="00727DEF" w:rsidRDefault="00727DEF" w:rsidP="00E60521">
      <w:pPr>
        <w:spacing w:line="360" w:lineRule="auto"/>
        <w:jc w:val="center"/>
        <w:rPr>
          <w:rFonts w:ascii="Arial" w:hAnsi="Arial" w:cs="Arial"/>
          <w:b/>
          <w:bCs/>
          <w:sz w:val="44"/>
          <w:szCs w:val="44"/>
          <w:u w:val="single"/>
        </w:rPr>
      </w:pPr>
      <w:r w:rsidRPr="00727DEF">
        <w:rPr>
          <w:rFonts w:ascii="Arial" w:hAnsi="Arial" w:cs="Arial"/>
          <w:b/>
          <w:bCs/>
          <w:sz w:val="44"/>
          <w:szCs w:val="44"/>
          <w:u w:val="single"/>
        </w:rPr>
        <w:t>INTRODUCTION TO PUBLIC HEALTH</w:t>
      </w:r>
    </w:p>
    <w:p w14:paraId="44ADA248" w14:textId="72A654EE" w:rsidR="00727DEF" w:rsidRPr="00727DEF" w:rsidRDefault="00727DEF" w:rsidP="00E60521">
      <w:pPr>
        <w:spacing w:line="360" w:lineRule="auto"/>
        <w:jc w:val="center"/>
        <w:rPr>
          <w:rFonts w:ascii="Arial" w:hAnsi="Arial" w:cs="Arial"/>
          <w:b/>
          <w:bCs/>
          <w:sz w:val="32"/>
          <w:szCs w:val="32"/>
          <w:u w:val="single"/>
        </w:rPr>
      </w:pPr>
      <w:r w:rsidRPr="00727DEF">
        <w:rPr>
          <w:rFonts w:ascii="Arial" w:hAnsi="Arial" w:cs="Arial"/>
          <w:b/>
          <w:bCs/>
          <w:sz w:val="32"/>
          <w:szCs w:val="32"/>
          <w:u w:val="single"/>
        </w:rPr>
        <w:t>CORONAVIRUS INFECTIOUS DISEASE</w:t>
      </w:r>
    </w:p>
    <w:p w14:paraId="72152944" w14:textId="67FB4033" w:rsidR="00727DEF" w:rsidRDefault="00727DEF" w:rsidP="00E60521">
      <w:pPr>
        <w:spacing w:line="360" w:lineRule="auto"/>
        <w:jc w:val="center"/>
        <w:rPr>
          <w:rFonts w:ascii="Arial" w:hAnsi="Arial" w:cs="Arial"/>
          <w:b/>
          <w:bCs/>
          <w:sz w:val="24"/>
          <w:szCs w:val="24"/>
          <w:u w:val="single"/>
        </w:rPr>
      </w:pPr>
    </w:p>
    <w:p w14:paraId="2CDACCAE" w14:textId="7F2AB64B" w:rsidR="0069007B" w:rsidRDefault="00B126F9" w:rsidP="00E60521">
      <w:pPr>
        <w:spacing w:line="360" w:lineRule="auto"/>
        <w:jc w:val="center"/>
        <w:rPr>
          <w:rFonts w:ascii="Arial" w:hAnsi="Arial" w:cs="Arial"/>
          <w:b/>
          <w:bCs/>
          <w:sz w:val="28"/>
          <w:szCs w:val="28"/>
          <w:u w:val="single"/>
        </w:rPr>
      </w:pPr>
      <w:r>
        <w:rPr>
          <w:rFonts w:ascii="Arial" w:hAnsi="Arial" w:cs="Arial"/>
          <w:b/>
          <w:bCs/>
          <w:sz w:val="28"/>
          <w:szCs w:val="28"/>
          <w:u w:val="single"/>
        </w:rPr>
        <w:t>Student</w:t>
      </w:r>
      <w:r w:rsidR="0069007B">
        <w:rPr>
          <w:rFonts w:ascii="Arial" w:hAnsi="Arial" w:cs="Arial"/>
          <w:b/>
          <w:bCs/>
          <w:sz w:val="28"/>
          <w:szCs w:val="28"/>
          <w:u w:val="single"/>
        </w:rPr>
        <w:t xml:space="preserve"> name:  </w:t>
      </w:r>
      <w:proofErr w:type="spellStart"/>
      <w:r w:rsidR="0069007B" w:rsidRPr="0069007B">
        <w:rPr>
          <w:rFonts w:ascii="Arial" w:hAnsi="Arial" w:cs="Arial"/>
          <w:bCs/>
          <w:sz w:val="28"/>
          <w:szCs w:val="28"/>
          <w:u w:val="single"/>
        </w:rPr>
        <w:t>Raiena</w:t>
      </w:r>
      <w:proofErr w:type="spellEnd"/>
      <w:r w:rsidR="0069007B" w:rsidRPr="0069007B">
        <w:rPr>
          <w:rFonts w:ascii="Arial" w:hAnsi="Arial" w:cs="Arial"/>
          <w:bCs/>
          <w:sz w:val="28"/>
          <w:szCs w:val="28"/>
          <w:u w:val="single"/>
        </w:rPr>
        <w:t xml:space="preserve"> Begum</w:t>
      </w:r>
    </w:p>
    <w:p w14:paraId="71D3F583" w14:textId="35460EF2" w:rsidR="0069007B" w:rsidRDefault="0069007B" w:rsidP="00E60521">
      <w:pPr>
        <w:spacing w:line="360" w:lineRule="auto"/>
        <w:jc w:val="center"/>
        <w:rPr>
          <w:rFonts w:ascii="Arial" w:hAnsi="Arial" w:cs="Arial"/>
          <w:b/>
          <w:bCs/>
          <w:sz w:val="28"/>
          <w:szCs w:val="28"/>
          <w:u w:val="single"/>
        </w:rPr>
      </w:pPr>
      <w:r>
        <w:rPr>
          <w:rFonts w:ascii="Arial" w:hAnsi="Arial" w:cs="Arial"/>
          <w:b/>
          <w:bCs/>
          <w:sz w:val="28"/>
          <w:szCs w:val="28"/>
          <w:u w:val="single"/>
        </w:rPr>
        <w:t>Student number:</w:t>
      </w:r>
      <w:r w:rsidR="00B126F9">
        <w:rPr>
          <w:rFonts w:ascii="Arial" w:hAnsi="Arial" w:cs="Arial"/>
          <w:b/>
          <w:bCs/>
          <w:sz w:val="28"/>
          <w:szCs w:val="28"/>
          <w:u w:val="single"/>
        </w:rPr>
        <w:t xml:space="preserve"> 2210968</w:t>
      </w:r>
      <w:bookmarkStart w:id="0" w:name="_GoBack"/>
      <w:bookmarkEnd w:id="0"/>
    </w:p>
    <w:p w14:paraId="3E7C1DC3" w14:textId="66EC5732" w:rsidR="0069007B" w:rsidRDefault="0069007B" w:rsidP="00E60521">
      <w:pPr>
        <w:spacing w:line="360" w:lineRule="auto"/>
        <w:jc w:val="center"/>
        <w:rPr>
          <w:rFonts w:ascii="Arial" w:hAnsi="Arial" w:cs="Arial"/>
          <w:b/>
          <w:bCs/>
          <w:sz w:val="28"/>
          <w:szCs w:val="28"/>
          <w:u w:val="single"/>
        </w:rPr>
      </w:pPr>
      <w:r>
        <w:rPr>
          <w:rFonts w:ascii="Arial" w:hAnsi="Arial" w:cs="Arial"/>
          <w:b/>
          <w:bCs/>
          <w:sz w:val="28"/>
          <w:szCs w:val="28"/>
          <w:u w:val="single"/>
        </w:rPr>
        <w:t xml:space="preserve">Module code: </w:t>
      </w:r>
      <w:r w:rsidRPr="0069007B">
        <w:rPr>
          <w:rFonts w:ascii="Arial" w:hAnsi="Arial" w:cs="Arial"/>
          <w:bCs/>
          <w:sz w:val="28"/>
          <w:szCs w:val="28"/>
          <w:u w:val="single"/>
        </w:rPr>
        <w:t>LCHS4004</w:t>
      </w:r>
    </w:p>
    <w:p w14:paraId="3B6F2425" w14:textId="77777777" w:rsidR="0069007B" w:rsidRPr="0069007B" w:rsidRDefault="0069007B" w:rsidP="00E60521">
      <w:pPr>
        <w:spacing w:line="360" w:lineRule="auto"/>
        <w:jc w:val="center"/>
        <w:rPr>
          <w:rFonts w:ascii="Arial" w:hAnsi="Arial" w:cs="Arial"/>
          <w:b/>
          <w:bCs/>
          <w:sz w:val="28"/>
          <w:szCs w:val="28"/>
          <w:u w:val="single"/>
        </w:rPr>
      </w:pPr>
    </w:p>
    <w:p w14:paraId="5CF2C1A2" w14:textId="77777777" w:rsidR="0069007B" w:rsidRDefault="0069007B" w:rsidP="00E60521">
      <w:pPr>
        <w:spacing w:line="360" w:lineRule="auto"/>
        <w:jc w:val="center"/>
        <w:rPr>
          <w:rFonts w:ascii="Arial" w:hAnsi="Arial" w:cs="Arial"/>
          <w:b/>
          <w:bCs/>
          <w:sz w:val="24"/>
          <w:szCs w:val="24"/>
          <w:u w:val="single"/>
        </w:rPr>
      </w:pPr>
    </w:p>
    <w:p w14:paraId="73B66487" w14:textId="373B8B0D" w:rsidR="0062401D" w:rsidRDefault="0062401D" w:rsidP="00E60521">
      <w:pPr>
        <w:spacing w:line="360" w:lineRule="auto"/>
        <w:jc w:val="center"/>
        <w:rPr>
          <w:rFonts w:ascii="Arial" w:hAnsi="Arial" w:cs="Arial"/>
          <w:b/>
          <w:bCs/>
          <w:sz w:val="24"/>
          <w:szCs w:val="24"/>
          <w:u w:val="single"/>
        </w:rPr>
      </w:pPr>
    </w:p>
    <w:p w14:paraId="02523CE1" w14:textId="27F63E56" w:rsidR="0062401D" w:rsidRDefault="0062401D" w:rsidP="00E60521">
      <w:pPr>
        <w:spacing w:line="360" w:lineRule="auto"/>
        <w:jc w:val="center"/>
        <w:rPr>
          <w:rFonts w:ascii="Arial" w:hAnsi="Arial" w:cs="Arial"/>
          <w:b/>
          <w:bCs/>
          <w:sz w:val="24"/>
          <w:szCs w:val="24"/>
          <w:u w:val="single"/>
        </w:rPr>
      </w:pPr>
    </w:p>
    <w:p w14:paraId="2CC21E5F" w14:textId="2E13E4AD" w:rsidR="0062401D" w:rsidRDefault="0062401D" w:rsidP="00E60521">
      <w:pPr>
        <w:spacing w:line="360" w:lineRule="auto"/>
        <w:jc w:val="center"/>
        <w:rPr>
          <w:rFonts w:ascii="Arial" w:hAnsi="Arial" w:cs="Arial"/>
          <w:b/>
          <w:bCs/>
          <w:sz w:val="24"/>
          <w:szCs w:val="24"/>
          <w:u w:val="single"/>
        </w:rPr>
      </w:pPr>
    </w:p>
    <w:p w14:paraId="4C38833C" w14:textId="2F0F6C17" w:rsidR="0062401D" w:rsidRDefault="0062401D" w:rsidP="00E60521">
      <w:pPr>
        <w:spacing w:line="360" w:lineRule="auto"/>
        <w:jc w:val="center"/>
        <w:rPr>
          <w:rFonts w:ascii="Arial" w:hAnsi="Arial" w:cs="Arial"/>
          <w:b/>
          <w:bCs/>
          <w:sz w:val="24"/>
          <w:szCs w:val="24"/>
          <w:u w:val="single"/>
        </w:rPr>
      </w:pPr>
    </w:p>
    <w:p w14:paraId="7DB27948" w14:textId="42E3B192" w:rsidR="0062401D" w:rsidRDefault="0062401D" w:rsidP="00E60521">
      <w:pPr>
        <w:spacing w:line="360" w:lineRule="auto"/>
        <w:jc w:val="center"/>
        <w:rPr>
          <w:rFonts w:ascii="Arial" w:hAnsi="Arial" w:cs="Arial"/>
          <w:b/>
          <w:bCs/>
          <w:sz w:val="24"/>
          <w:szCs w:val="24"/>
          <w:u w:val="single"/>
        </w:rPr>
      </w:pPr>
    </w:p>
    <w:p w14:paraId="342015F7" w14:textId="4DF77C19" w:rsidR="0062401D" w:rsidRDefault="0062401D" w:rsidP="00E60521">
      <w:pPr>
        <w:spacing w:line="360" w:lineRule="auto"/>
        <w:jc w:val="center"/>
        <w:rPr>
          <w:rFonts w:ascii="Arial" w:hAnsi="Arial" w:cs="Arial"/>
          <w:b/>
          <w:bCs/>
          <w:sz w:val="24"/>
          <w:szCs w:val="24"/>
          <w:u w:val="single"/>
        </w:rPr>
      </w:pPr>
    </w:p>
    <w:p w14:paraId="2A609CFB" w14:textId="5773111D" w:rsidR="0062401D" w:rsidRDefault="0062401D" w:rsidP="00E60521">
      <w:pPr>
        <w:spacing w:line="360" w:lineRule="auto"/>
        <w:jc w:val="center"/>
        <w:rPr>
          <w:rFonts w:ascii="Arial" w:hAnsi="Arial" w:cs="Arial"/>
          <w:b/>
          <w:bCs/>
          <w:sz w:val="24"/>
          <w:szCs w:val="24"/>
          <w:u w:val="single"/>
        </w:rPr>
      </w:pPr>
    </w:p>
    <w:p w14:paraId="74646DC2" w14:textId="4BD39EB7" w:rsidR="0062401D" w:rsidRDefault="0062401D" w:rsidP="00E60521">
      <w:pPr>
        <w:spacing w:line="360" w:lineRule="auto"/>
        <w:jc w:val="center"/>
        <w:rPr>
          <w:rFonts w:ascii="Arial" w:hAnsi="Arial" w:cs="Arial"/>
          <w:b/>
          <w:bCs/>
          <w:sz w:val="24"/>
          <w:szCs w:val="24"/>
          <w:u w:val="single"/>
        </w:rPr>
      </w:pPr>
    </w:p>
    <w:p w14:paraId="107CBA69" w14:textId="1C07FF26" w:rsidR="0062401D" w:rsidRDefault="0062401D" w:rsidP="00E60521">
      <w:pPr>
        <w:spacing w:line="360" w:lineRule="auto"/>
        <w:jc w:val="center"/>
        <w:rPr>
          <w:rFonts w:ascii="Arial" w:hAnsi="Arial" w:cs="Arial"/>
          <w:b/>
          <w:bCs/>
          <w:sz w:val="24"/>
          <w:szCs w:val="24"/>
          <w:u w:val="single"/>
        </w:rPr>
      </w:pPr>
    </w:p>
    <w:p w14:paraId="79D426B3" w14:textId="5ADD8F52" w:rsidR="0062401D" w:rsidRDefault="0062401D" w:rsidP="00E60521">
      <w:pPr>
        <w:spacing w:line="360" w:lineRule="auto"/>
        <w:jc w:val="center"/>
        <w:rPr>
          <w:rFonts w:ascii="Arial" w:hAnsi="Arial" w:cs="Arial"/>
          <w:b/>
          <w:bCs/>
          <w:sz w:val="24"/>
          <w:szCs w:val="24"/>
          <w:u w:val="single"/>
        </w:rPr>
      </w:pPr>
    </w:p>
    <w:p w14:paraId="00D02505" w14:textId="4C28D754" w:rsidR="0062401D" w:rsidRDefault="0062401D" w:rsidP="00E60521">
      <w:pPr>
        <w:spacing w:line="360" w:lineRule="auto"/>
        <w:jc w:val="center"/>
        <w:rPr>
          <w:rFonts w:ascii="Arial" w:hAnsi="Arial" w:cs="Arial"/>
          <w:b/>
          <w:bCs/>
          <w:sz w:val="24"/>
          <w:szCs w:val="24"/>
          <w:u w:val="single"/>
        </w:rPr>
      </w:pPr>
    </w:p>
    <w:p w14:paraId="55D9994B" w14:textId="17DAA725" w:rsidR="0062401D" w:rsidRDefault="0062401D" w:rsidP="00E60521">
      <w:pPr>
        <w:spacing w:line="360" w:lineRule="auto"/>
        <w:jc w:val="center"/>
        <w:rPr>
          <w:rFonts w:ascii="Arial" w:hAnsi="Arial" w:cs="Arial"/>
          <w:b/>
          <w:bCs/>
          <w:sz w:val="24"/>
          <w:szCs w:val="24"/>
          <w:u w:val="single"/>
        </w:rPr>
      </w:pPr>
    </w:p>
    <w:p w14:paraId="524F7EE8" w14:textId="4371ADB9" w:rsidR="0062401D" w:rsidRDefault="0062401D" w:rsidP="00D559A6">
      <w:pPr>
        <w:spacing w:line="360" w:lineRule="auto"/>
        <w:rPr>
          <w:rFonts w:ascii="Arial" w:hAnsi="Arial" w:cs="Arial"/>
          <w:b/>
          <w:bCs/>
          <w:sz w:val="24"/>
          <w:szCs w:val="24"/>
          <w:u w:val="single"/>
        </w:rPr>
      </w:pPr>
    </w:p>
    <w:sdt>
      <w:sdtPr>
        <w:rPr>
          <w:rFonts w:asciiTheme="minorHAnsi" w:eastAsiaTheme="minorHAnsi" w:hAnsiTheme="minorHAnsi" w:cstheme="minorBidi"/>
          <w:color w:val="auto"/>
          <w:sz w:val="22"/>
          <w:szCs w:val="22"/>
        </w:rPr>
        <w:id w:val="387390699"/>
        <w:docPartObj>
          <w:docPartGallery w:val="Table of Contents"/>
          <w:docPartUnique/>
        </w:docPartObj>
      </w:sdtPr>
      <w:sdtEndPr>
        <w:rPr>
          <w:b/>
          <w:bCs/>
          <w:noProof/>
        </w:rPr>
      </w:sdtEndPr>
      <w:sdtContent>
        <w:p w14:paraId="65528A35" w14:textId="6FC07DB6" w:rsidR="00743945" w:rsidRDefault="00743945">
          <w:pPr>
            <w:pStyle w:val="TOCHeading"/>
          </w:pPr>
          <w:r>
            <w:t>Contents</w:t>
          </w:r>
        </w:p>
        <w:p w14:paraId="3BEAB7D9" w14:textId="4A7A6C5F" w:rsidR="00743945" w:rsidRDefault="00743945">
          <w:pPr>
            <w:pStyle w:val="TOC1"/>
            <w:tabs>
              <w:tab w:val="right" w:leader="dot" w:pos="9350"/>
            </w:tabs>
            <w:rPr>
              <w:noProof/>
            </w:rPr>
          </w:pPr>
          <w:r>
            <w:fldChar w:fldCharType="begin"/>
          </w:r>
          <w:r>
            <w:instrText xml:space="preserve"> TOC \o "1-3" \h \z \u </w:instrText>
          </w:r>
          <w:r>
            <w:fldChar w:fldCharType="separate"/>
          </w:r>
          <w:hyperlink w:anchor="_Toc129908558" w:history="1">
            <w:r w:rsidRPr="00B06B49">
              <w:rPr>
                <w:rStyle w:val="Hyperlink"/>
                <w:b/>
                <w:bCs/>
                <w:noProof/>
              </w:rPr>
              <w:t>INTRODUCTION</w:t>
            </w:r>
            <w:r>
              <w:rPr>
                <w:noProof/>
                <w:webHidden/>
              </w:rPr>
              <w:tab/>
            </w:r>
            <w:r>
              <w:rPr>
                <w:noProof/>
                <w:webHidden/>
              </w:rPr>
              <w:fldChar w:fldCharType="begin"/>
            </w:r>
            <w:r>
              <w:rPr>
                <w:noProof/>
                <w:webHidden/>
              </w:rPr>
              <w:instrText xml:space="preserve"> PAGEREF _Toc129908558 \h </w:instrText>
            </w:r>
            <w:r>
              <w:rPr>
                <w:noProof/>
                <w:webHidden/>
              </w:rPr>
            </w:r>
            <w:r>
              <w:rPr>
                <w:noProof/>
                <w:webHidden/>
              </w:rPr>
              <w:fldChar w:fldCharType="separate"/>
            </w:r>
            <w:r>
              <w:rPr>
                <w:noProof/>
                <w:webHidden/>
              </w:rPr>
              <w:t>3</w:t>
            </w:r>
            <w:r>
              <w:rPr>
                <w:noProof/>
                <w:webHidden/>
              </w:rPr>
              <w:fldChar w:fldCharType="end"/>
            </w:r>
          </w:hyperlink>
        </w:p>
        <w:p w14:paraId="369BE643" w14:textId="33A1AD65" w:rsidR="00743945" w:rsidRDefault="00B126F9">
          <w:pPr>
            <w:pStyle w:val="TOC1"/>
            <w:tabs>
              <w:tab w:val="right" w:leader="dot" w:pos="9350"/>
            </w:tabs>
            <w:rPr>
              <w:noProof/>
            </w:rPr>
          </w:pPr>
          <w:hyperlink w:anchor="_Toc129908559" w:history="1">
            <w:r w:rsidR="00743945" w:rsidRPr="00B06B49">
              <w:rPr>
                <w:rStyle w:val="Hyperlink"/>
                <w:b/>
                <w:bCs/>
                <w:noProof/>
              </w:rPr>
              <w:t>MAIN ANALYSIS: INFECTIOUS DISEASE CORONAVIRUS</w:t>
            </w:r>
            <w:r w:rsidR="00743945">
              <w:rPr>
                <w:noProof/>
                <w:webHidden/>
              </w:rPr>
              <w:tab/>
            </w:r>
            <w:r w:rsidR="00743945">
              <w:rPr>
                <w:noProof/>
                <w:webHidden/>
              </w:rPr>
              <w:fldChar w:fldCharType="begin"/>
            </w:r>
            <w:r w:rsidR="00743945">
              <w:rPr>
                <w:noProof/>
                <w:webHidden/>
              </w:rPr>
              <w:instrText xml:space="preserve"> PAGEREF _Toc129908559 \h </w:instrText>
            </w:r>
            <w:r w:rsidR="00743945">
              <w:rPr>
                <w:noProof/>
                <w:webHidden/>
              </w:rPr>
            </w:r>
            <w:r w:rsidR="00743945">
              <w:rPr>
                <w:noProof/>
                <w:webHidden/>
              </w:rPr>
              <w:fldChar w:fldCharType="separate"/>
            </w:r>
            <w:r w:rsidR="00743945">
              <w:rPr>
                <w:noProof/>
                <w:webHidden/>
              </w:rPr>
              <w:t>3</w:t>
            </w:r>
            <w:r w:rsidR="00743945">
              <w:rPr>
                <w:noProof/>
                <w:webHidden/>
              </w:rPr>
              <w:fldChar w:fldCharType="end"/>
            </w:r>
          </w:hyperlink>
        </w:p>
        <w:p w14:paraId="15DD576F" w14:textId="3CCE64E4" w:rsidR="00743945" w:rsidRDefault="00B126F9">
          <w:pPr>
            <w:pStyle w:val="TOC2"/>
            <w:tabs>
              <w:tab w:val="right" w:leader="dot" w:pos="9350"/>
            </w:tabs>
            <w:rPr>
              <w:noProof/>
            </w:rPr>
          </w:pPr>
          <w:hyperlink w:anchor="_Toc129908560" w:history="1">
            <w:r w:rsidR="00743945" w:rsidRPr="00B06B49">
              <w:rPr>
                <w:rStyle w:val="Hyperlink"/>
                <w:b/>
                <w:bCs/>
                <w:noProof/>
              </w:rPr>
              <w:t>PUBLIC HEALTH MEASURES AVAILABLE TO CONTROL COVID-19</w:t>
            </w:r>
            <w:r w:rsidR="00743945">
              <w:rPr>
                <w:noProof/>
                <w:webHidden/>
              </w:rPr>
              <w:tab/>
            </w:r>
            <w:r w:rsidR="00743945">
              <w:rPr>
                <w:noProof/>
                <w:webHidden/>
              </w:rPr>
              <w:fldChar w:fldCharType="begin"/>
            </w:r>
            <w:r w:rsidR="00743945">
              <w:rPr>
                <w:noProof/>
                <w:webHidden/>
              </w:rPr>
              <w:instrText xml:space="preserve"> PAGEREF _Toc129908560 \h </w:instrText>
            </w:r>
            <w:r w:rsidR="00743945">
              <w:rPr>
                <w:noProof/>
                <w:webHidden/>
              </w:rPr>
            </w:r>
            <w:r w:rsidR="00743945">
              <w:rPr>
                <w:noProof/>
                <w:webHidden/>
              </w:rPr>
              <w:fldChar w:fldCharType="separate"/>
            </w:r>
            <w:r w:rsidR="00743945">
              <w:rPr>
                <w:noProof/>
                <w:webHidden/>
              </w:rPr>
              <w:t>3</w:t>
            </w:r>
            <w:r w:rsidR="00743945">
              <w:rPr>
                <w:noProof/>
                <w:webHidden/>
              </w:rPr>
              <w:fldChar w:fldCharType="end"/>
            </w:r>
          </w:hyperlink>
        </w:p>
        <w:p w14:paraId="676FEE8D" w14:textId="65825657" w:rsidR="00743945" w:rsidRDefault="00B126F9">
          <w:pPr>
            <w:pStyle w:val="TOC2"/>
            <w:tabs>
              <w:tab w:val="right" w:leader="dot" w:pos="9350"/>
            </w:tabs>
            <w:rPr>
              <w:noProof/>
            </w:rPr>
          </w:pPr>
          <w:hyperlink w:anchor="_Toc129908561" w:history="1">
            <w:r w:rsidR="00743945" w:rsidRPr="00B06B49">
              <w:rPr>
                <w:rStyle w:val="Hyperlink"/>
                <w:b/>
                <w:bCs/>
                <w:noProof/>
              </w:rPr>
              <w:t>KEY RISK DETERMINANTS OF COVID-19</w:t>
            </w:r>
            <w:r w:rsidR="00743945">
              <w:rPr>
                <w:noProof/>
                <w:webHidden/>
              </w:rPr>
              <w:tab/>
            </w:r>
            <w:r w:rsidR="00743945">
              <w:rPr>
                <w:noProof/>
                <w:webHidden/>
              </w:rPr>
              <w:fldChar w:fldCharType="begin"/>
            </w:r>
            <w:r w:rsidR="00743945">
              <w:rPr>
                <w:noProof/>
                <w:webHidden/>
              </w:rPr>
              <w:instrText xml:space="preserve"> PAGEREF _Toc129908561 \h </w:instrText>
            </w:r>
            <w:r w:rsidR="00743945">
              <w:rPr>
                <w:noProof/>
                <w:webHidden/>
              </w:rPr>
            </w:r>
            <w:r w:rsidR="00743945">
              <w:rPr>
                <w:noProof/>
                <w:webHidden/>
              </w:rPr>
              <w:fldChar w:fldCharType="separate"/>
            </w:r>
            <w:r w:rsidR="00743945">
              <w:rPr>
                <w:noProof/>
                <w:webHidden/>
              </w:rPr>
              <w:t>4</w:t>
            </w:r>
            <w:r w:rsidR="00743945">
              <w:rPr>
                <w:noProof/>
                <w:webHidden/>
              </w:rPr>
              <w:fldChar w:fldCharType="end"/>
            </w:r>
          </w:hyperlink>
        </w:p>
        <w:p w14:paraId="4C1F7E06" w14:textId="391E795B" w:rsidR="00743945" w:rsidRDefault="00B126F9">
          <w:pPr>
            <w:pStyle w:val="TOC2"/>
            <w:tabs>
              <w:tab w:val="right" w:leader="dot" w:pos="9350"/>
            </w:tabs>
            <w:rPr>
              <w:noProof/>
            </w:rPr>
          </w:pPr>
          <w:hyperlink w:anchor="_Toc129908562" w:history="1">
            <w:r w:rsidR="00743945" w:rsidRPr="00B06B49">
              <w:rPr>
                <w:rStyle w:val="Hyperlink"/>
                <w:b/>
                <w:bCs/>
                <w:noProof/>
              </w:rPr>
              <w:t>SHORT-TERM CONSEQUENCES IN PUBLIC HEALTH SETTING</w:t>
            </w:r>
            <w:r w:rsidR="00743945">
              <w:rPr>
                <w:noProof/>
                <w:webHidden/>
              </w:rPr>
              <w:tab/>
            </w:r>
            <w:r w:rsidR="00743945">
              <w:rPr>
                <w:noProof/>
                <w:webHidden/>
              </w:rPr>
              <w:fldChar w:fldCharType="begin"/>
            </w:r>
            <w:r w:rsidR="00743945">
              <w:rPr>
                <w:noProof/>
                <w:webHidden/>
              </w:rPr>
              <w:instrText xml:space="preserve"> PAGEREF _Toc129908562 \h </w:instrText>
            </w:r>
            <w:r w:rsidR="00743945">
              <w:rPr>
                <w:noProof/>
                <w:webHidden/>
              </w:rPr>
            </w:r>
            <w:r w:rsidR="00743945">
              <w:rPr>
                <w:noProof/>
                <w:webHidden/>
              </w:rPr>
              <w:fldChar w:fldCharType="separate"/>
            </w:r>
            <w:r w:rsidR="00743945">
              <w:rPr>
                <w:noProof/>
                <w:webHidden/>
              </w:rPr>
              <w:t>5</w:t>
            </w:r>
            <w:r w:rsidR="00743945">
              <w:rPr>
                <w:noProof/>
                <w:webHidden/>
              </w:rPr>
              <w:fldChar w:fldCharType="end"/>
            </w:r>
          </w:hyperlink>
        </w:p>
        <w:p w14:paraId="6F328E1C" w14:textId="1A626341" w:rsidR="00743945" w:rsidRDefault="00B126F9">
          <w:pPr>
            <w:pStyle w:val="TOC2"/>
            <w:tabs>
              <w:tab w:val="right" w:leader="dot" w:pos="9350"/>
            </w:tabs>
            <w:rPr>
              <w:noProof/>
            </w:rPr>
          </w:pPr>
          <w:hyperlink w:anchor="_Toc129908563" w:history="1">
            <w:r w:rsidR="00743945" w:rsidRPr="00B06B49">
              <w:rPr>
                <w:rStyle w:val="Hyperlink"/>
                <w:b/>
                <w:bCs/>
                <w:noProof/>
              </w:rPr>
              <w:t>LONG-TERM CONSEQUENCES IN PUBLIC HEALTH SETTING</w:t>
            </w:r>
            <w:r w:rsidR="00743945">
              <w:rPr>
                <w:noProof/>
                <w:webHidden/>
              </w:rPr>
              <w:tab/>
            </w:r>
            <w:r w:rsidR="00743945">
              <w:rPr>
                <w:noProof/>
                <w:webHidden/>
              </w:rPr>
              <w:fldChar w:fldCharType="begin"/>
            </w:r>
            <w:r w:rsidR="00743945">
              <w:rPr>
                <w:noProof/>
                <w:webHidden/>
              </w:rPr>
              <w:instrText xml:space="preserve"> PAGEREF _Toc129908563 \h </w:instrText>
            </w:r>
            <w:r w:rsidR="00743945">
              <w:rPr>
                <w:noProof/>
                <w:webHidden/>
              </w:rPr>
            </w:r>
            <w:r w:rsidR="00743945">
              <w:rPr>
                <w:noProof/>
                <w:webHidden/>
              </w:rPr>
              <w:fldChar w:fldCharType="separate"/>
            </w:r>
            <w:r w:rsidR="00743945">
              <w:rPr>
                <w:noProof/>
                <w:webHidden/>
              </w:rPr>
              <w:t>6</w:t>
            </w:r>
            <w:r w:rsidR="00743945">
              <w:rPr>
                <w:noProof/>
                <w:webHidden/>
              </w:rPr>
              <w:fldChar w:fldCharType="end"/>
            </w:r>
          </w:hyperlink>
        </w:p>
        <w:p w14:paraId="0182B186" w14:textId="51A2EA1A" w:rsidR="00743945" w:rsidRDefault="00B126F9">
          <w:pPr>
            <w:pStyle w:val="TOC2"/>
            <w:tabs>
              <w:tab w:val="right" w:leader="dot" w:pos="9350"/>
            </w:tabs>
            <w:rPr>
              <w:noProof/>
            </w:rPr>
          </w:pPr>
          <w:hyperlink w:anchor="_Toc129908564" w:history="1">
            <w:r w:rsidR="00743945" w:rsidRPr="00B06B49">
              <w:rPr>
                <w:rStyle w:val="Hyperlink"/>
                <w:b/>
                <w:bCs/>
                <w:noProof/>
              </w:rPr>
              <w:t>FACTORS INFLUENCING THE HEALTH AND WELL-BEING OF PEOPLE</w:t>
            </w:r>
            <w:r w:rsidR="00743945">
              <w:rPr>
                <w:noProof/>
                <w:webHidden/>
              </w:rPr>
              <w:tab/>
            </w:r>
            <w:r w:rsidR="00743945">
              <w:rPr>
                <w:noProof/>
                <w:webHidden/>
              </w:rPr>
              <w:fldChar w:fldCharType="begin"/>
            </w:r>
            <w:r w:rsidR="00743945">
              <w:rPr>
                <w:noProof/>
                <w:webHidden/>
              </w:rPr>
              <w:instrText xml:space="preserve"> PAGEREF _Toc129908564 \h </w:instrText>
            </w:r>
            <w:r w:rsidR="00743945">
              <w:rPr>
                <w:noProof/>
                <w:webHidden/>
              </w:rPr>
            </w:r>
            <w:r w:rsidR="00743945">
              <w:rPr>
                <w:noProof/>
                <w:webHidden/>
              </w:rPr>
              <w:fldChar w:fldCharType="separate"/>
            </w:r>
            <w:r w:rsidR="00743945">
              <w:rPr>
                <w:noProof/>
                <w:webHidden/>
              </w:rPr>
              <w:t>7</w:t>
            </w:r>
            <w:r w:rsidR="00743945">
              <w:rPr>
                <w:noProof/>
                <w:webHidden/>
              </w:rPr>
              <w:fldChar w:fldCharType="end"/>
            </w:r>
          </w:hyperlink>
        </w:p>
        <w:p w14:paraId="0DE12425" w14:textId="3ED3A112" w:rsidR="00743945" w:rsidRDefault="00B126F9">
          <w:pPr>
            <w:pStyle w:val="TOC1"/>
            <w:tabs>
              <w:tab w:val="right" w:leader="dot" w:pos="9350"/>
            </w:tabs>
            <w:rPr>
              <w:noProof/>
            </w:rPr>
          </w:pPr>
          <w:hyperlink w:anchor="_Toc129908565" w:history="1">
            <w:r w:rsidR="00743945" w:rsidRPr="00B06B49">
              <w:rPr>
                <w:rStyle w:val="Hyperlink"/>
                <w:b/>
                <w:bCs/>
                <w:noProof/>
              </w:rPr>
              <w:t>CONCLUSION</w:t>
            </w:r>
            <w:r w:rsidR="00743945">
              <w:rPr>
                <w:noProof/>
                <w:webHidden/>
              </w:rPr>
              <w:tab/>
            </w:r>
            <w:r w:rsidR="00743945">
              <w:rPr>
                <w:noProof/>
                <w:webHidden/>
              </w:rPr>
              <w:fldChar w:fldCharType="begin"/>
            </w:r>
            <w:r w:rsidR="00743945">
              <w:rPr>
                <w:noProof/>
                <w:webHidden/>
              </w:rPr>
              <w:instrText xml:space="preserve"> PAGEREF _Toc129908565 \h </w:instrText>
            </w:r>
            <w:r w:rsidR="00743945">
              <w:rPr>
                <w:noProof/>
                <w:webHidden/>
              </w:rPr>
            </w:r>
            <w:r w:rsidR="00743945">
              <w:rPr>
                <w:noProof/>
                <w:webHidden/>
              </w:rPr>
              <w:fldChar w:fldCharType="separate"/>
            </w:r>
            <w:r w:rsidR="00743945">
              <w:rPr>
                <w:noProof/>
                <w:webHidden/>
              </w:rPr>
              <w:t>8</w:t>
            </w:r>
            <w:r w:rsidR="00743945">
              <w:rPr>
                <w:noProof/>
                <w:webHidden/>
              </w:rPr>
              <w:fldChar w:fldCharType="end"/>
            </w:r>
          </w:hyperlink>
        </w:p>
        <w:p w14:paraId="2A8D127C" w14:textId="57D70AA7" w:rsidR="00743945" w:rsidRDefault="00743945">
          <w:r>
            <w:rPr>
              <w:b/>
              <w:bCs/>
              <w:noProof/>
            </w:rPr>
            <w:fldChar w:fldCharType="end"/>
          </w:r>
        </w:p>
      </w:sdtContent>
    </w:sdt>
    <w:p w14:paraId="5F8DF778" w14:textId="645B9261" w:rsidR="0062401D" w:rsidRDefault="0062401D" w:rsidP="00743945">
      <w:pPr>
        <w:spacing w:line="360" w:lineRule="auto"/>
        <w:rPr>
          <w:rFonts w:ascii="Arial" w:hAnsi="Arial" w:cs="Arial"/>
          <w:b/>
          <w:bCs/>
          <w:sz w:val="24"/>
          <w:szCs w:val="24"/>
          <w:u w:val="single"/>
        </w:rPr>
      </w:pPr>
    </w:p>
    <w:p w14:paraId="280B80A3" w14:textId="5C52A82F" w:rsidR="0062401D" w:rsidRDefault="0062401D" w:rsidP="00E60521">
      <w:pPr>
        <w:spacing w:line="360" w:lineRule="auto"/>
        <w:jc w:val="center"/>
        <w:rPr>
          <w:rFonts w:ascii="Arial" w:hAnsi="Arial" w:cs="Arial"/>
          <w:b/>
          <w:bCs/>
          <w:sz w:val="24"/>
          <w:szCs w:val="24"/>
          <w:u w:val="single"/>
        </w:rPr>
      </w:pPr>
    </w:p>
    <w:p w14:paraId="6A0AEB0A" w14:textId="3FE7C1EA" w:rsidR="0062401D" w:rsidRDefault="0062401D" w:rsidP="00E60521">
      <w:pPr>
        <w:spacing w:line="360" w:lineRule="auto"/>
        <w:jc w:val="center"/>
        <w:rPr>
          <w:rFonts w:ascii="Arial" w:hAnsi="Arial" w:cs="Arial"/>
          <w:b/>
          <w:bCs/>
          <w:sz w:val="24"/>
          <w:szCs w:val="24"/>
          <w:u w:val="single"/>
        </w:rPr>
      </w:pPr>
    </w:p>
    <w:p w14:paraId="3906FB56" w14:textId="5BE4D71A" w:rsidR="0062401D" w:rsidRDefault="0062401D" w:rsidP="00E60521">
      <w:pPr>
        <w:spacing w:line="360" w:lineRule="auto"/>
        <w:jc w:val="center"/>
        <w:rPr>
          <w:rFonts w:ascii="Arial" w:hAnsi="Arial" w:cs="Arial"/>
          <w:b/>
          <w:bCs/>
          <w:sz w:val="24"/>
          <w:szCs w:val="24"/>
          <w:u w:val="single"/>
        </w:rPr>
      </w:pPr>
    </w:p>
    <w:p w14:paraId="751CD782" w14:textId="6E8498F9" w:rsidR="0062401D" w:rsidRDefault="0062401D" w:rsidP="00E60521">
      <w:pPr>
        <w:spacing w:line="360" w:lineRule="auto"/>
        <w:jc w:val="center"/>
        <w:rPr>
          <w:rFonts w:ascii="Arial" w:hAnsi="Arial" w:cs="Arial"/>
          <w:b/>
          <w:bCs/>
          <w:sz w:val="24"/>
          <w:szCs w:val="24"/>
          <w:u w:val="single"/>
        </w:rPr>
      </w:pPr>
    </w:p>
    <w:p w14:paraId="6FED874F" w14:textId="066CCF79" w:rsidR="0062401D" w:rsidRDefault="0062401D" w:rsidP="00E60521">
      <w:pPr>
        <w:spacing w:line="360" w:lineRule="auto"/>
        <w:jc w:val="center"/>
        <w:rPr>
          <w:rFonts w:ascii="Arial" w:hAnsi="Arial" w:cs="Arial"/>
          <w:b/>
          <w:bCs/>
          <w:sz w:val="24"/>
          <w:szCs w:val="24"/>
          <w:u w:val="single"/>
        </w:rPr>
      </w:pPr>
    </w:p>
    <w:p w14:paraId="17600C7B" w14:textId="5ACB9503" w:rsidR="0062401D" w:rsidRDefault="0062401D" w:rsidP="00E60521">
      <w:pPr>
        <w:spacing w:line="360" w:lineRule="auto"/>
        <w:jc w:val="center"/>
        <w:rPr>
          <w:rFonts w:ascii="Arial" w:hAnsi="Arial" w:cs="Arial"/>
          <w:b/>
          <w:bCs/>
          <w:sz w:val="24"/>
          <w:szCs w:val="24"/>
          <w:u w:val="single"/>
        </w:rPr>
      </w:pPr>
    </w:p>
    <w:p w14:paraId="4F20751F" w14:textId="2B3A08B8" w:rsidR="0062401D" w:rsidRDefault="0062401D" w:rsidP="00E60521">
      <w:pPr>
        <w:spacing w:line="360" w:lineRule="auto"/>
        <w:jc w:val="center"/>
        <w:rPr>
          <w:rFonts w:ascii="Arial" w:hAnsi="Arial" w:cs="Arial"/>
          <w:b/>
          <w:bCs/>
          <w:sz w:val="24"/>
          <w:szCs w:val="24"/>
          <w:u w:val="single"/>
        </w:rPr>
      </w:pPr>
    </w:p>
    <w:p w14:paraId="6C6D483E" w14:textId="377964B7" w:rsidR="0062401D" w:rsidRDefault="0062401D" w:rsidP="00E60521">
      <w:pPr>
        <w:spacing w:line="360" w:lineRule="auto"/>
        <w:jc w:val="center"/>
        <w:rPr>
          <w:rFonts w:ascii="Arial" w:hAnsi="Arial" w:cs="Arial"/>
          <w:b/>
          <w:bCs/>
          <w:sz w:val="24"/>
          <w:szCs w:val="24"/>
          <w:u w:val="single"/>
        </w:rPr>
      </w:pPr>
    </w:p>
    <w:p w14:paraId="4719936D" w14:textId="3B39995C" w:rsidR="0062401D" w:rsidRDefault="0062401D" w:rsidP="00E60521">
      <w:pPr>
        <w:spacing w:line="360" w:lineRule="auto"/>
        <w:jc w:val="center"/>
        <w:rPr>
          <w:rFonts w:ascii="Arial" w:hAnsi="Arial" w:cs="Arial"/>
          <w:b/>
          <w:bCs/>
          <w:sz w:val="24"/>
          <w:szCs w:val="24"/>
          <w:u w:val="single"/>
        </w:rPr>
      </w:pPr>
    </w:p>
    <w:p w14:paraId="2BBD3351" w14:textId="14667C8D" w:rsidR="0062401D" w:rsidRDefault="0062401D" w:rsidP="00E60521">
      <w:pPr>
        <w:spacing w:line="360" w:lineRule="auto"/>
        <w:jc w:val="center"/>
        <w:rPr>
          <w:rFonts w:ascii="Arial" w:hAnsi="Arial" w:cs="Arial"/>
          <w:b/>
          <w:bCs/>
          <w:sz w:val="24"/>
          <w:szCs w:val="24"/>
          <w:u w:val="single"/>
        </w:rPr>
      </w:pPr>
    </w:p>
    <w:p w14:paraId="3AC4E3B2" w14:textId="2E5FFF87" w:rsidR="0062401D" w:rsidRDefault="0062401D" w:rsidP="00E60521">
      <w:pPr>
        <w:spacing w:line="360" w:lineRule="auto"/>
        <w:jc w:val="center"/>
        <w:rPr>
          <w:rFonts w:ascii="Arial" w:hAnsi="Arial" w:cs="Arial"/>
          <w:b/>
          <w:bCs/>
          <w:sz w:val="24"/>
          <w:szCs w:val="24"/>
          <w:u w:val="single"/>
        </w:rPr>
      </w:pPr>
    </w:p>
    <w:p w14:paraId="33DAAC0B" w14:textId="6706FF34" w:rsidR="0062401D" w:rsidRDefault="0062401D" w:rsidP="00E60521">
      <w:pPr>
        <w:spacing w:line="360" w:lineRule="auto"/>
        <w:jc w:val="center"/>
        <w:rPr>
          <w:rFonts w:ascii="Arial" w:hAnsi="Arial" w:cs="Arial"/>
          <w:b/>
          <w:bCs/>
          <w:sz w:val="24"/>
          <w:szCs w:val="24"/>
          <w:u w:val="single"/>
        </w:rPr>
      </w:pPr>
    </w:p>
    <w:p w14:paraId="12796C99" w14:textId="5747E2FA" w:rsidR="0062401D" w:rsidRDefault="0062401D" w:rsidP="00E60521">
      <w:pPr>
        <w:spacing w:line="360" w:lineRule="auto"/>
        <w:jc w:val="center"/>
        <w:rPr>
          <w:rFonts w:ascii="Arial" w:hAnsi="Arial" w:cs="Arial"/>
          <w:b/>
          <w:bCs/>
          <w:sz w:val="24"/>
          <w:szCs w:val="24"/>
          <w:u w:val="single"/>
        </w:rPr>
      </w:pPr>
    </w:p>
    <w:p w14:paraId="7BDB6FE7" w14:textId="2C60DE04" w:rsidR="0062401D" w:rsidRDefault="0062401D" w:rsidP="00E60521">
      <w:pPr>
        <w:spacing w:line="360" w:lineRule="auto"/>
        <w:jc w:val="center"/>
        <w:rPr>
          <w:rFonts w:ascii="Arial" w:hAnsi="Arial" w:cs="Arial"/>
          <w:b/>
          <w:bCs/>
          <w:sz w:val="24"/>
          <w:szCs w:val="24"/>
          <w:u w:val="single"/>
        </w:rPr>
      </w:pPr>
    </w:p>
    <w:p w14:paraId="29D9B092" w14:textId="1F579D05" w:rsidR="0062401D" w:rsidRDefault="0062401D" w:rsidP="006C2EC3">
      <w:pPr>
        <w:spacing w:line="360" w:lineRule="auto"/>
        <w:rPr>
          <w:rFonts w:ascii="Arial" w:hAnsi="Arial" w:cs="Arial"/>
          <w:b/>
          <w:bCs/>
          <w:sz w:val="24"/>
          <w:szCs w:val="24"/>
          <w:u w:val="single"/>
        </w:rPr>
      </w:pPr>
    </w:p>
    <w:p w14:paraId="5EE20426" w14:textId="5764D2EA" w:rsidR="00166959" w:rsidRPr="00743945" w:rsidRDefault="0062401D" w:rsidP="00743945">
      <w:pPr>
        <w:pStyle w:val="Heading1"/>
        <w:rPr>
          <w:b/>
          <w:bCs/>
          <w:sz w:val="36"/>
          <w:szCs w:val="36"/>
          <w:u w:val="single"/>
        </w:rPr>
      </w:pPr>
      <w:bookmarkStart w:id="1" w:name="_Toc129908558"/>
      <w:r w:rsidRPr="00743945">
        <w:rPr>
          <w:b/>
          <w:bCs/>
          <w:sz w:val="36"/>
          <w:szCs w:val="36"/>
          <w:u w:val="single"/>
        </w:rPr>
        <w:lastRenderedPageBreak/>
        <w:t>INTRODUCTION</w:t>
      </w:r>
      <w:bookmarkEnd w:id="1"/>
    </w:p>
    <w:p w14:paraId="1F415828" w14:textId="77777777" w:rsidR="00743945" w:rsidRDefault="00743945" w:rsidP="00743945">
      <w:pPr>
        <w:pStyle w:val="NormalWeb"/>
        <w:spacing w:before="0" w:beforeAutospacing="0" w:after="0" w:afterAutospacing="0" w:line="360" w:lineRule="auto"/>
        <w:rPr>
          <w:rFonts w:ascii="Arial" w:hAnsi="Arial" w:cs="Arial"/>
          <w:color w:val="0E101A"/>
        </w:rPr>
      </w:pPr>
    </w:p>
    <w:p w14:paraId="0B8255F9" w14:textId="1E26237C"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In a broader sense, diseases are classified into infectious and non-infectious domains. Infectious diseases are considered as dangerous as they can be extensively deadly for mankind. Infectious diseases are majorly caused by the involvement of micro-organisms which includes virus, bacteria, or parasites</w:t>
      </w:r>
      <w:sdt>
        <w:sdtPr>
          <w:rPr>
            <w:rFonts w:ascii="Arial" w:hAnsi="Arial" w:cs="Arial"/>
            <w:color w:val="0E101A"/>
          </w:rPr>
          <w:id w:val="-1995180592"/>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davies2008securitizing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(Davies, 2008)</w:t>
          </w:r>
          <w:r w:rsidR="00FB7563">
            <w:rPr>
              <w:rFonts w:ascii="Arial" w:hAnsi="Arial" w:cs="Arial"/>
              <w:color w:val="0E101A"/>
            </w:rPr>
            <w:fldChar w:fldCharType="end"/>
          </w:r>
        </w:sdtContent>
      </w:sdt>
      <w:r w:rsidRPr="00743945">
        <w:rPr>
          <w:rFonts w:ascii="Arial" w:hAnsi="Arial" w:cs="Arial"/>
          <w:color w:val="0E101A"/>
        </w:rPr>
        <w:t>. For this report, the deadly impacts and control mechanisms of coronavirus are discussed in detail. Coronavirus is an infectious disease that directly hit the respiratory tract and lungs of the human body. The virus was discovered and spread from the Chinese region in March 2020. The WHO has declared a global emergency and declared it a global pandemic</w:t>
      </w:r>
      <w:sdt>
        <w:sdtPr>
          <w:rPr>
            <w:rFonts w:ascii="Arial" w:hAnsi="Arial" w:cs="Arial"/>
            <w:color w:val="0E101A"/>
          </w:rPr>
          <w:id w:val="-1227305041"/>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ayouni2021effective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(Ayouni, et al., 2021)</w:t>
          </w:r>
          <w:r w:rsidR="00FB7563">
            <w:rPr>
              <w:rFonts w:ascii="Arial" w:hAnsi="Arial" w:cs="Arial"/>
              <w:color w:val="0E101A"/>
            </w:rPr>
            <w:fldChar w:fldCharType="end"/>
          </w:r>
        </w:sdtContent>
      </w:sdt>
      <w:r w:rsidRPr="00743945">
        <w:rPr>
          <w:rFonts w:ascii="Arial" w:hAnsi="Arial" w:cs="Arial"/>
          <w:color w:val="0E101A"/>
        </w:rPr>
        <w:t>.  </w:t>
      </w:r>
    </w:p>
    <w:p w14:paraId="2228E96E" w14:textId="4DF0F990"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As per the statistics, more than 2 lakh deaths have been reported in the UK country alone. Furthermore, WHO statistics show that almost 6 million people have died around the globe due to the spread of this deadly virus</w:t>
      </w:r>
      <w:sdt>
        <w:sdtPr>
          <w:rPr>
            <w:rFonts w:ascii="Arial" w:hAnsi="Arial" w:cs="Arial"/>
            <w:color w:val="0E101A"/>
          </w:rPr>
          <w:id w:val="-882097114"/>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w:t>
      </w:r>
    </w:p>
    <w:p w14:paraId="2AF978D4"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168FEEBD" w14:textId="28DFC0F0" w:rsidR="00743945" w:rsidRPr="00743945" w:rsidRDefault="00743945" w:rsidP="00743945">
      <w:pPr>
        <w:pStyle w:val="Heading1"/>
        <w:rPr>
          <w:sz w:val="36"/>
          <w:szCs w:val="36"/>
          <w:u w:val="single"/>
        </w:rPr>
      </w:pPr>
      <w:bookmarkStart w:id="2" w:name="_Toc129908559"/>
      <w:r w:rsidRPr="00743945">
        <w:rPr>
          <w:rStyle w:val="Strong"/>
          <w:sz w:val="36"/>
          <w:szCs w:val="36"/>
          <w:u w:val="single"/>
        </w:rPr>
        <w:t>MAIN ANALYSIS: INFECTIOUS DISEASE CORONAVIRUS</w:t>
      </w:r>
      <w:bookmarkEnd w:id="2"/>
    </w:p>
    <w:p w14:paraId="083AFBB1"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2AC690F8" w14:textId="3F9D14FD" w:rsidR="00743945" w:rsidRPr="00743945" w:rsidRDefault="00743945" w:rsidP="00743945">
      <w:pPr>
        <w:pStyle w:val="Heading2"/>
        <w:rPr>
          <w:sz w:val="32"/>
          <w:szCs w:val="32"/>
          <w:u w:val="single"/>
        </w:rPr>
      </w:pPr>
      <w:bookmarkStart w:id="3" w:name="_Toc129908560"/>
      <w:r w:rsidRPr="00743945">
        <w:rPr>
          <w:rStyle w:val="Strong"/>
          <w:sz w:val="32"/>
          <w:szCs w:val="32"/>
          <w:u w:val="single"/>
        </w:rPr>
        <w:t>PUBLIC HEALTH MEASURES AVAILABLE TO CONTROL COVID-19</w:t>
      </w:r>
      <w:bookmarkEnd w:id="3"/>
      <w:r w:rsidRPr="00743945">
        <w:rPr>
          <w:rStyle w:val="Strong"/>
          <w:sz w:val="32"/>
          <w:szCs w:val="32"/>
          <w:u w:val="single"/>
        </w:rPr>
        <w:t> </w:t>
      </w:r>
    </w:p>
    <w:p w14:paraId="0E9BB0DF" w14:textId="77777777" w:rsidR="00743945" w:rsidRDefault="00743945" w:rsidP="00743945">
      <w:pPr>
        <w:pStyle w:val="NormalWeb"/>
        <w:spacing w:before="0" w:beforeAutospacing="0" w:after="0" w:afterAutospacing="0" w:line="360" w:lineRule="auto"/>
        <w:rPr>
          <w:rFonts w:ascii="Arial" w:hAnsi="Arial" w:cs="Arial"/>
          <w:color w:val="0E101A"/>
        </w:rPr>
      </w:pPr>
    </w:p>
    <w:p w14:paraId="1EB43870" w14:textId="225B85E6"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Public health measures are defined by the state governments at the national level. Furthermore, in the case of pandemics and epidemics, public health measures are defined by international actors and global organizations. After the outbreak of coronavirus in 2020, public health measures are formulated by the World Health Organization</w:t>
      </w:r>
      <w:sdt>
        <w:sdtPr>
          <w:rPr>
            <w:rFonts w:ascii="Arial" w:hAnsi="Arial" w:cs="Arial"/>
            <w:color w:val="0E101A"/>
          </w:rPr>
          <w:id w:val="-239339353"/>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ayouni2021effective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(Ayouni, et al., 2021)</w:t>
          </w:r>
          <w:r w:rsidR="00FB7563">
            <w:rPr>
              <w:rFonts w:ascii="Arial" w:hAnsi="Arial" w:cs="Arial"/>
              <w:color w:val="0E101A"/>
            </w:rPr>
            <w:fldChar w:fldCharType="end"/>
          </w:r>
        </w:sdtContent>
      </w:sdt>
      <w:r w:rsidRPr="00743945">
        <w:rPr>
          <w:rFonts w:ascii="Arial" w:hAnsi="Arial" w:cs="Arial"/>
          <w:color w:val="0E101A"/>
        </w:rPr>
        <w:t>. Every state is obliged to comply with those public health measures to control the deadly spread of the virus. The public health measures provided by the WHO are highly strategic and productive in controlling the spread of deadly diseases</w:t>
      </w:r>
      <w:sdt>
        <w:sdtPr>
          <w:rPr>
            <w:rFonts w:ascii="Arial" w:hAnsi="Arial" w:cs="Arial"/>
            <w:color w:val="0E101A"/>
          </w:rPr>
          <w:id w:val="1442106175"/>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gostin2020covid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(Gostin, 2020)</w:t>
          </w:r>
          <w:r w:rsidR="00FB7563">
            <w:rPr>
              <w:rFonts w:ascii="Arial" w:hAnsi="Arial" w:cs="Arial"/>
              <w:color w:val="0E101A"/>
            </w:rPr>
            <w:fldChar w:fldCharType="end"/>
          </w:r>
        </w:sdtContent>
      </w:sdt>
      <w:r w:rsidRPr="00743945">
        <w:rPr>
          <w:rFonts w:ascii="Arial" w:hAnsi="Arial" w:cs="Arial"/>
          <w:color w:val="0E101A"/>
        </w:rPr>
        <w:t>. </w:t>
      </w:r>
    </w:p>
    <w:p w14:paraId="02E5D8F6" w14:textId="7C83BACB"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 xml:space="preserve">Firstly, the virus has spread from China mainly from travelers moving from one country to another. The WHO has imposed strict regulations on traveling and tourism. Furthermore, every state has formulated quarantine areas for travelers. People coming </w:t>
      </w:r>
      <w:r w:rsidRPr="00743945">
        <w:rPr>
          <w:rFonts w:ascii="Arial" w:hAnsi="Arial" w:cs="Arial"/>
          <w:color w:val="0E101A"/>
        </w:rPr>
        <w:lastRenderedPageBreak/>
        <w:t>from other nations has to stay in those quarantine areas to get properly examined by the specialists</w:t>
      </w:r>
      <w:sdt>
        <w:sdtPr>
          <w:rPr>
            <w:rFonts w:ascii="Arial" w:hAnsi="Arial" w:cs="Arial"/>
            <w:color w:val="0E101A"/>
          </w:rPr>
          <w:id w:val="-1851795474"/>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ayouni2021effective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(Ayouni, et al., 2021)</w:t>
          </w:r>
          <w:r w:rsidR="00FB7563">
            <w:rPr>
              <w:rFonts w:ascii="Arial" w:hAnsi="Arial" w:cs="Arial"/>
              <w:color w:val="0E101A"/>
            </w:rPr>
            <w:fldChar w:fldCharType="end"/>
          </w:r>
        </w:sdtContent>
      </w:sdt>
      <w:r w:rsidRPr="00743945">
        <w:rPr>
          <w:rFonts w:ascii="Arial" w:hAnsi="Arial" w:cs="Arial"/>
          <w:color w:val="0E101A"/>
        </w:rPr>
        <w:t>. </w:t>
      </w:r>
    </w:p>
    <w:p w14:paraId="46C118A7" w14:textId="0EB69660"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Another major public health measure includes social distancing and staying indoors. All public and private institutions have to comply with these measures in all states. Social distancing was highly beneficial in controlling the spread of coronavirus. People are obliged to wear masks in public areas and keep a distance of more than 6cm from each other. Furthermore, special wards were formulated in hospitals to individually treat the affected people</w:t>
      </w:r>
      <w:sdt>
        <w:sdtPr>
          <w:rPr>
            <w:rFonts w:ascii="Arial" w:hAnsi="Arial" w:cs="Arial"/>
            <w:color w:val="0E101A"/>
          </w:rPr>
          <w:id w:val="-1408682186"/>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Covid-affected patients are not allowed to go home. Instead, patients have to stay in hospitals under strict observation for at least 14 days until the symptoms are eliminated. Additionally, for managing the overflow of patients in hospitals, states have hired a bulk number of doctors, specialists, and nurses in different regions to provide productive and timely treatment. Although, the imports and supply of products were banned and restricted all over the globe the trade of medical supplies and vaccinations was operationalized to meet the needs of both developed and developing nations. Furthermore, WHO has directed the developed nations to assist and support the developing and under-developed nations of Asia and Africa</w:t>
      </w:r>
      <w:sdt>
        <w:sdtPr>
          <w:rPr>
            <w:rFonts w:ascii="Arial" w:hAnsi="Arial" w:cs="Arial"/>
            <w:color w:val="0E101A"/>
          </w:rPr>
          <w:id w:val="-2074039921"/>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w:t>
      </w:r>
    </w:p>
    <w:p w14:paraId="78DB9CDA" w14:textId="42D464EF"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most prominent health sector in the UK is NHS based on its competency and productive records. The public health measures adopted by the UK state complied with the strategic measures constructed by the World Health Organization. The state has strictly imposed these measures in all public and private domains of the UK. People were restricted to staying indoors and keeping a reasonable distance from each other in hospitals and other healthcare units</w:t>
      </w:r>
      <w:sdt>
        <w:sdtPr>
          <w:rPr>
            <w:rFonts w:ascii="Arial" w:hAnsi="Arial" w:cs="Arial"/>
            <w:color w:val="0E101A"/>
          </w:rPr>
          <w:id w:val="-1580590203"/>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guner2020covid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(Güner, Hasanoğlu, &amp; Aktaş, 2020)</w:t>
          </w:r>
          <w:r w:rsidR="00FB7563">
            <w:rPr>
              <w:rFonts w:ascii="Arial" w:hAnsi="Arial" w:cs="Arial"/>
              <w:color w:val="0E101A"/>
            </w:rPr>
            <w:fldChar w:fldCharType="end"/>
          </w:r>
        </w:sdtContent>
      </w:sdt>
      <w:r w:rsidRPr="00743945">
        <w:rPr>
          <w:rFonts w:ascii="Arial" w:hAnsi="Arial" w:cs="Arial"/>
          <w:color w:val="0E101A"/>
        </w:rPr>
        <w:t>. </w:t>
      </w:r>
    </w:p>
    <w:p w14:paraId="1C1D5467" w14:textId="00C93B35"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Furthermore, public health measures were formulated for the health service providers as well. Doctors, healthcare specialists, nurses, and other agents had to wear special suits while attending to affected patients. Furthermore, NHS has increased the duty hours of doctors based on the current need and demand</w:t>
      </w:r>
      <w:sdt>
        <w:sdtPr>
          <w:rPr>
            <w:rFonts w:ascii="Arial" w:hAnsi="Arial" w:cs="Arial"/>
            <w:color w:val="0E101A"/>
          </w:rPr>
          <w:id w:val="-937750638"/>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wymant2021epidemiological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(Wymant, et al., 2021)</w:t>
          </w:r>
          <w:r w:rsidR="00FB7563">
            <w:rPr>
              <w:rFonts w:ascii="Arial" w:hAnsi="Arial" w:cs="Arial"/>
              <w:color w:val="0E101A"/>
            </w:rPr>
            <w:fldChar w:fldCharType="end"/>
          </w:r>
        </w:sdtContent>
      </w:sdt>
      <w:r w:rsidRPr="00743945">
        <w:rPr>
          <w:rFonts w:ascii="Arial" w:hAnsi="Arial" w:cs="Arial"/>
          <w:color w:val="0E101A"/>
        </w:rPr>
        <w:t>.  </w:t>
      </w:r>
    </w:p>
    <w:p w14:paraId="0E77ABE1"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2C3BBAFA" w14:textId="43A0E4D6" w:rsidR="00743945" w:rsidRPr="00743945" w:rsidRDefault="00743945" w:rsidP="00743945">
      <w:pPr>
        <w:pStyle w:val="Heading2"/>
        <w:rPr>
          <w:sz w:val="32"/>
          <w:szCs w:val="32"/>
          <w:u w:val="single"/>
        </w:rPr>
      </w:pPr>
      <w:bookmarkStart w:id="4" w:name="_Toc129908561"/>
      <w:r w:rsidRPr="00743945">
        <w:rPr>
          <w:rStyle w:val="Strong"/>
          <w:sz w:val="32"/>
          <w:szCs w:val="32"/>
          <w:u w:val="single"/>
        </w:rPr>
        <w:t>KEY RISK DETERMINANTS OF COVID-19</w:t>
      </w:r>
      <w:bookmarkEnd w:id="4"/>
    </w:p>
    <w:p w14:paraId="291F309F" w14:textId="77777777" w:rsidR="00743945" w:rsidRDefault="00743945" w:rsidP="00743945">
      <w:pPr>
        <w:pStyle w:val="NormalWeb"/>
        <w:spacing w:before="0" w:beforeAutospacing="0" w:after="0" w:afterAutospacing="0" w:line="360" w:lineRule="auto"/>
        <w:rPr>
          <w:rFonts w:ascii="Arial" w:hAnsi="Arial" w:cs="Arial"/>
          <w:color w:val="0E101A"/>
        </w:rPr>
      </w:pPr>
    </w:p>
    <w:p w14:paraId="0A80CE35" w14:textId="02B3F46F"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lastRenderedPageBreak/>
        <w:t>Key determinants include those people and those groups of individuals that had the highest ratio of deaths during the pandemic. The very first category includes old age people. The national statistics show that the death rate of old age people, especially those ranging from 65 years to 80 years, was 18% higher than the death ratio of younger people or middle age group</w:t>
      </w:r>
      <w:sdt>
        <w:sdtPr>
          <w:rPr>
            <w:rFonts w:ascii="Arial" w:hAnsi="Arial" w:cs="Arial"/>
            <w:color w:val="0E101A"/>
          </w:rPr>
          <w:id w:val="-2144880885"/>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xiang2021covid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(Xiang, et al., 2021)</w:t>
          </w:r>
          <w:r w:rsidR="00FB7563">
            <w:rPr>
              <w:rFonts w:ascii="Arial" w:hAnsi="Arial" w:cs="Arial"/>
              <w:color w:val="0E101A"/>
            </w:rPr>
            <w:fldChar w:fldCharType="end"/>
          </w:r>
        </w:sdtContent>
      </w:sdt>
      <w:r w:rsidRPr="00743945">
        <w:rPr>
          <w:rFonts w:ascii="Arial" w:hAnsi="Arial" w:cs="Arial"/>
          <w:color w:val="0E101A"/>
        </w:rPr>
        <w:t>. The major reason is that aged people have low immunity and can easily be affected by deadly viruses and bacteria attacks. </w:t>
      </w:r>
    </w:p>
    <w:p w14:paraId="0A738260" w14:textId="6D271092"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next category includes the already sick patients. People having severe diseases like heart problems, sugar, diabetes, lungs issue, etc. were the direct target of coronavirus. Similar to old age people, these people have low immunity and digestive systems. Furthermore, these patients were neglected by the health workers as well. Doctors were more concerned about the covid-affected patients. The patient waiting list was huge in the UK and especially in NHS during the period of a pandemic. The low availability of hospital rooms and doctors has deteriorated the health of such patients as well</w:t>
      </w:r>
      <w:sdt>
        <w:sdtPr>
          <w:rPr>
            <w:rFonts w:ascii="Arial" w:hAnsi="Arial" w:cs="Arial"/>
            <w:color w:val="0E101A"/>
          </w:rPr>
          <w:id w:val="-1278400880"/>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wymant2021epidemiological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(Wymant, et al., 2021)</w:t>
          </w:r>
          <w:r w:rsidR="00FB7563">
            <w:rPr>
              <w:rFonts w:ascii="Arial" w:hAnsi="Arial" w:cs="Arial"/>
              <w:color w:val="0E101A"/>
            </w:rPr>
            <w:fldChar w:fldCharType="end"/>
          </w:r>
        </w:sdtContent>
      </w:sdt>
      <w:r w:rsidRPr="00743945">
        <w:rPr>
          <w:rFonts w:ascii="Arial" w:hAnsi="Arial" w:cs="Arial"/>
          <w:color w:val="0E101A"/>
        </w:rPr>
        <w:t>. </w:t>
      </w:r>
    </w:p>
    <w:p w14:paraId="0C5D5C6B" w14:textId="5E44FB3E"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Similarly, the death rate of pregnant women was high during the pandemic. Women are highly vulnerable to outside germs and viruses during pregnancy as their bodies are going through critical changes. Furthermore, mostly pregnant women are obese and diabetic patients. This is a negative sign as already sick patients were highly vulnerable to coronavirus</w:t>
      </w:r>
      <w:sdt>
        <w:sdtPr>
          <w:rPr>
            <w:rFonts w:ascii="Arial" w:hAnsi="Arial" w:cs="Arial"/>
            <w:color w:val="0E101A"/>
          </w:rPr>
          <w:id w:val="932251516"/>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w:t>
      </w:r>
    </w:p>
    <w:p w14:paraId="74AF298B" w14:textId="3C656709"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Lastly, people having respiratory diseases and weak lungs issue were on the high-risk scale during the pandemic. According to the study, coronavirus attacks the respiratory tract and lungs in the human body. Already weak and defective lungs will not be able to fight or resist the virus attack</w:t>
      </w:r>
      <w:sdt>
        <w:sdtPr>
          <w:rPr>
            <w:rFonts w:ascii="Arial" w:hAnsi="Arial" w:cs="Arial"/>
            <w:color w:val="0E101A"/>
          </w:rPr>
          <w:id w:val="2030909966"/>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w:t>
      </w:r>
    </w:p>
    <w:p w14:paraId="2F5CE44E" w14:textId="77777777" w:rsidR="00743945" w:rsidRPr="00743945" w:rsidRDefault="00743945" w:rsidP="00743945">
      <w:pPr>
        <w:pStyle w:val="Heading2"/>
        <w:rPr>
          <w:rStyle w:val="Strong"/>
          <w:sz w:val="32"/>
          <w:szCs w:val="32"/>
          <w:u w:val="single"/>
        </w:rPr>
      </w:pPr>
    </w:p>
    <w:p w14:paraId="7ED9ADEE" w14:textId="084738DB" w:rsidR="00743945" w:rsidRPr="00743945" w:rsidRDefault="00743945" w:rsidP="00743945">
      <w:pPr>
        <w:pStyle w:val="Heading2"/>
        <w:rPr>
          <w:sz w:val="32"/>
          <w:szCs w:val="32"/>
          <w:u w:val="single"/>
        </w:rPr>
      </w:pPr>
      <w:bookmarkStart w:id="5" w:name="_Toc129908562"/>
      <w:r w:rsidRPr="00743945">
        <w:rPr>
          <w:rStyle w:val="Strong"/>
          <w:sz w:val="32"/>
          <w:szCs w:val="32"/>
          <w:u w:val="single"/>
        </w:rPr>
        <w:t>SHORT-TERM CONSEQUENCES IN PUBLIC HEALTH SETTING</w:t>
      </w:r>
      <w:bookmarkEnd w:id="5"/>
    </w:p>
    <w:p w14:paraId="7452DD55" w14:textId="77777777" w:rsidR="00743945" w:rsidRDefault="00743945" w:rsidP="00743945">
      <w:pPr>
        <w:pStyle w:val="NormalWeb"/>
        <w:spacing w:before="0" w:beforeAutospacing="0" w:after="0" w:afterAutospacing="0" w:line="360" w:lineRule="auto"/>
        <w:rPr>
          <w:rFonts w:ascii="Arial" w:hAnsi="Arial" w:cs="Arial"/>
          <w:color w:val="0E101A"/>
        </w:rPr>
      </w:pPr>
    </w:p>
    <w:p w14:paraId="7FF28E26" w14:textId="7F016751"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structure and working of health sectors and healthcare units were challenged during the pandemic of COVID-19. The WHO has identified that the current pandemic has exposed the deteriorating conditions of public health sectors all over the globe</w:t>
      </w:r>
      <w:sdt>
        <w:sdtPr>
          <w:rPr>
            <w:rFonts w:ascii="Arial" w:hAnsi="Arial" w:cs="Arial"/>
            <w:color w:val="0E101A"/>
          </w:rPr>
          <w:id w:val="978646330"/>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gostin2020covid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(Gostin, 2020)</w:t>
          </w:r>
          <w:r w:rsidR="00FB7563">
            <w:rPr>
              <w:rFonts w:ascii="Arial" w:hAnsi="Arial" w:cs="Arial"/>
              <w:color w:val="0E101A"/>
            </w:rPr>
            <w:fldChar w:fldCharType="end"/>
          </w:r>
        </w:sdtContent>
      </w:sdt>
      <w:r w:rsidRPr="00743945">
        <w:rPr>
          <w:rFonts w:ascii="Arial" w:hAnsi="Arial" w:cs="Arial"/>
          <w:color w:val="0E101A"/>
        </w:rPr>
        <w:t xml:space="preserve">. The increased death toll and tense situation showed that the healthcare </w:t>
      </w:r>
      <w:r w:rsidRPr="00743945">
        <w:rPr>
          <w:rFonts w:ascii="Arial" w:hAnsi="Arial" w:cs="Arial"/>
          <w:color w:val="0E101A"/>
        </w:rPr>
        <w:lastRenderedPageBreak/>
        <w:t>sectors were highly ineffective and incapable of handling such situations. A similar situation was seen in the public health sector of the United Kingdom. The country was unable to provide the proper treatment and care units to all affected patients. The high rate of patients waiting for logs shows the inefficiency of the healthcare sector in the UK</w:t>
      </w:r>
      <w:sdt>
        <w:sdtPr>
          <w:rPr>
            <w:rFonts w:ascii="Arial" w:hAnsi="Arial" w:cs="Arial"/>
            <w:color w:val="0E101A"/>
          </w:rPr>
          <w:id w:val="-369921852"/>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augalar2020protective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(Ağalar &amp; Engin, 2020)</w:t>
          </w:r>
          <w:r w:rsidR="00FB7563">
            <w:rPr>
              <w:rFonts w:ascii="Arial" w:hAnsi="Arial" w:cs="Arial"/>
              <w:color w:val="0E101A"/>
            </w:rPr>
            <w:fldChar w:fldCharType="end"/>
          </w:r>
        </w:sdtContent>
      </w:sdt>
      <w:r w:rsidRPr="00743945">
        <w:rPr>
          <w:rFonts w:ascii="Arial" w:hAnsi="Arial" w:cs="Arial"/>
          <w:color w:val="0E101A"/>
        </w:rPr>
        <w:t>. </w:t>
      </w:r>
    </w:p>
    <w:p w14:paraId="17445067" w14:textId="1785E3F0"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Another major consequence includes the deteriorating mental and physical health of healthcare workers. Doctors, specialists, nurses, and healthcare staff were on the forefront line during the fight against the global pandemic. The WHO had formulated individual policies for the safety and well-being of healthcare workers. But due to the increased pressure and workload, these measures were neglected at the state level even in developed nations like the UK. Doctors and medical staff in the UK were facing depression and loneliness due to hectic and long working hours. At times, doctors were unable to meet their family members due to covid restrictions. Furthermore, the constant fear of attracting the virus was a major issue of deteriorating mental health as well</w:t>
      </w:r>
      <w:sdt>
        <w:sdtPr>
          <w:rPr>
            <w:rFonts w:ascii="Arial" w:hAnsi="Arial" w:cs="Arial"/>
            <w:color w:val="0E101A"/>
          </w:rPr>
          <w:id w:val="1709833855"/>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huffman2021resilient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(Huffman, et al., 2021)</w:t>
          </w:r>
          <w:r w:rsidR="00FB7563">
            <w:rPr>
              <w:rFonts w:ascii="Arial" w:hAnsi="Arial" w:cs="Arial"/>
              <w:color w:val="0E101A"/>
            </w:rPr>
            <w:fldChar w:fldCharType="end"/>
          </w:r>
        </w:sdtContent>
      </w:sdt>
      <w:r w:rsidRPr="00743945">
        <w:rPr>
          <w:rFonts w:ascii="Arial" w:hAnsi="Arial" w:cs="Arial"/>
          <w:color w:val="0E101A"/>
        </w:rPr>
        <w:t>. </w:t>
      </w:r>
    </w:p>
    <w:p w14:paraId="32CD37FD" w14:textId="12683442"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Furthermore, regular patients at the hospitals were facing delays in their treatment due to the unavailability of doctors and healthcare professionals. Doctors and nurses were on consistent shifts handling coronavirus patients. The data from NHS UK reveals that the patient’s wait log list includes almost 5.5 million people during the pandemic time. This had created a challenge for the healthcare sector and the state as well</w:t>
      </w:r>
      <w:sdt>
        <w:sdtPr>
          <w:rPr>
            <w:rFonts w:ascii="Arial" w:hAnsi="Arial" w:cs="Arial"/>
            <w:color w:val="0E101A"/>
          </w:rPr>
          <w:id w:val="704293791"/>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huffman2021resilient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(Huffman, et al., 2021)</w:t>
          </w:r>
          <w:r w:rsidR="00FB7563">
            <w:rPr>
              <w:rFonts w:ascii="Arial" w:hAnsi="Arial" w:cs="Arial"/>
              <w:color w:val="0E101A"/>
            </w:rPr>
            <w:fldChar w:fldCharType="end"/>
          </w:r>
        </w:sdtContent>
      </w:sdt>
      <w:r w:rsidRPr="00743945">
        <w:rPr>
          <w:rFonts w:ascii="Arial" w:hAnsi="Arial" w:cs="Arial"/>
          <w:color w:val="0E101A"/>
        </w:rPr>
        <w:t>. </w:t>
      </w:r>
    </w:p>
    <w:p w14:paraId="7E784C59"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05E9C413" w14:textId="2FC39D5A" w:rsidR="00743945" w:rsidRPr="00743945" w:rsidRDefault="00743945" w:rsidP="00743945">
      <w:pPr>
        <w:pStyle w:val="Heading2"/>
        <w:rPr>
          <w:sz w:val="32"/>
          <w:szCs w:val="32"/>
          <w:u w:val="single"/>
        </w:rPr>
      </w:pPr>
      <w:bookmarkStart w:id="6" w:name="_Toc129908563"/>
      <w:r w:rsidRPr="00743945">
        <w:rPr>
          <w:rStyle w:val="Strong"/>
          <w:sz w:val="32"/>
          <w:szCs w:val="32"/>
          <w:u w:val="single"/>
        </w:rPr>
        <w:t>LONG-TERM CONSEQUENCES IN PUBLIC HEALTH SETTING</w:t>
      </w:r>
      <w:bookmarkEnd w:id="6"/>
    </w:p>
    <w:p w14:paraId="2EACD095" w14:textId="77777777" w:rsidR="00743945" w:rsidRDefault="00743945" w:rsidP="00743945">
      <w:pPr>
        <w:pStyle w:val="NormalWeb"/>
        <w:spacing w:before="0" w:beforeAutospacing="0" w:after="0" w:afterAutospacing="0" w:line="360" w:lineRule="auto"/>
        <w:rPr>
          <w:rFonts w:ascii="Arial" w:hAnsi="Arial" w:cs="Arial"/>
          <w:color w:val="0E101A"/>
        </w:rPr>
      </w:pPr>
    </w:p>
    <w:p w14:paraId="7413B43D" w14:textId="0E462563"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symptoms and consequences of coronavirus are still hunting the healthcare units and healthcare professionals in different domains of their lives. The concept of long coronavirus was initiated after the peak phase of the pandemic. The majority of healthcare professionals have been diagnosed with long coronavirus in the UK. In the case of long coronavirus, the symptoms of coronavirus stay within the patient’s body for a longer period</w:t>
      </w:r>
      <w:sdt>
        <w:sdtPr>
          <w:rPr>
            <w:rFonts w:ascii="Arial" w:hAnsi="Arial" w:cs="Arial"/>
            <w:color w:val="0E101A"/>
          </w:rPr>
          <w:id w:val="-96643773"/>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huffman2021resilient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(Huffman, et al., 2021)</w:t>
          </w:r>
          <w:r w:rsidR="00FB7563">
            <w:rPr>
              <w:rFonts w:ascii="Arial" w:hAnsi="Arial" w:cs="Arial"/>
              <w:color w:val="0E101A"/>
            </w:rPr>
            <w:fldChar w:fldCharType="end"/>
          </w:r>
        </w:sdtContent>
      </w:sdt>
      <w:r w:rsidRPr="00743945">
        <w:rPr>
          <w:rFonts w:ascii="Arial" w:hAnsi="Arial" w:cs="Arial"/>
          <w:color w:val="0E101A"/>
        </w:rPr>
        <w:t xml:space="preserve">. This way the health professionals were unable to resume their duties. The healthcare sector is already short-staffed, especially after </w:t>
      </w:r>
      <w:r w:rsidRPr="00743945">
        <w:rPr>
          <w:rFonts w:ascii="Arial" w:hAnsi="Arial" w:cs="Arial"/>
          <w:color w:val="0E101A"/>
        </w:rPr>
        <w:lastRenderedPageBreak/>
        <w:t>the episode of coronavirus. Furthermore, the extensively long patient wait log shows the incapacity of the UK healthcare sector. </w:t>
      </w:r>
    </w:p>
    <w:p w14:paraId="32F66FDD" w14:textId="1500121B"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global pandemic coronavirus has not only impacted the structural and business operations around the globe but it has highly disturbed the lives of healthcare professionals in the long run. Even in recent times, UK healthcare workers have been protesting due to the incapacity of the state to take care of their well-being and provide them with living wages</w:t>
      </w:r>
      <w:sdt>
        <w:sdtPr>
          <w:rPr>
            <w:rFonts w:ascii="Arial" w:hAnsi="Arial" w:cs="Arial"/>
            <w:color w:val="0E101A"/>
          </w:rPr>
          <w:id w:val="2094196714"/>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kivi2021up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(Kivi, Hansson, &amp; Bjälkebring, 2021)</w:t>
          </w:r>
          <w:r w:rsidR="00FB7563">
            <w:rPr>
              <w:rFonts w:ascii="Arial" w:hAnsi="Arial" w:cs="Arial"/>
              <w:color w:val="0E101A"/>
            </w:rPr>
            <w:fldChar w:fldCharType="end"/>
          </w:r>
        </w:sdtContent>
      </w:sdt>
      <w:r w:rsidRPr="00743945">
        <w:rPr>
          <w:rFonts w:ascii="Arial" w:hAnsi="Arial" w:cs="Arial"/>
          <w:color w:val="0E101A"/>
        </w:rPr>
        <w:t>. </w:t>
      </w:r>
    </w:p>
    <w:p w14:paraId="246A4F0E"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332E33BF" w14:textId="649432B6" w:rsidR="00743945" w:rsidRPr="00743945" w:rsidRDefault="00743945" w:rsidP="00743945">
      <w:pPr>
        <w:pStyle w:val="Heading2"/>
        <w:rPr>
          <w:sz w:val="32"/>
          <w:szCs w:val="32"/>
          <w:u w:val="single"/>
        </w:rPr>
      </w:pPr>
      <w:bookmarkStart w:id="7" w:name="_Toc129908564"/>
      <w:r w:rsidRPr="00743945">
        <w:rPr>
          <w:rStyle w:val="Strong"/>
          <w:sz w:val="32"/>
          <w:szCs w:val="32"/>
          <w:u w:val="single"/>
        </w:rPr>
        <w:t>FACTORS INFLUENCING THE HEALTH AND WELL-BEING OF PEOPLE</w:t>
      </w:r>
      <w:bookmarkEnd w:id="7"/>
      <w:r w:rsidRPr="00743945">
        <w:rPr>
          <w:rStyle w:val="Strong"/>
          <w:sz w:val="32"/>
          <w:szCs w:val="32"/>
          <w:u w:val="single"/>
        </w:rPr>
        <w:t> </w:t>
      </w:r>
    </w:p>
    <w:p w14:paraId="27619FCE" w14:textId="77777777" w:rsidR="00743945" w:rsidRDefault="00743945" w:rsidP="00743945">
      <w:pPr>
        <w:pStyle w:val="NormalWeb"/>
        <w:spacing w:before="0" w:beforeAutospacing="0" w:after="0" w:afterAutospacing="0" w:line="360" w:lineRule="auto"/>
        <w:rPr>
          <w:rFonts w:ascii="Arial" w:hAnsi="Arial" w:cs="Arial"/>
          <w:color w:val="0E101A"/>
        </w:rPr>
      </w:pPr>
    </w:p>
    <w:p w14:paraId="0E8404A6" w14:textId="361AF2B8"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well-being and sustainability of people were highly challenged during the peak time of covid-19 pandemic. One report suggests that the pandemic has affected society’s social, financial, physical, and emotional needs. Firstly, social needs were disturbed as people were confined in their homes. Socializing and community-based collaboration are highly crucial for the individual and collective development of a society and its individuals. During a pandemic, people were not allowed to meet, organize parties, or travel with family or friends because of state and global level restrictions</w:t>
      </w:r>
      <w:sdt>
        <w:sdtPr>
          <w:rPr>
            <w:rFonts w:ascii="Arial" w:hAnsi="Arial" w:cs="Arial"/>
            <w:color w:val="0E101A"/>
          </w:rPr>
          <w:id w:val="-1198855107"/>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prime2020risk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(Prime, Wade, &amp; Browne, 2020)</w:t>
          </w:r>
          <w:r w:rsidR="00FB7563">
            <w:rPr>
              <w:rFonts w:ascii="Arial" w:hAnsi="Arial" w:cs="Arial"/>
              <w:color w:val="0E101A"/>
            </w:rPr>
            <w:fldChar w:fldCharType="end"/>
          </w:r>
        </w:sdtContent>
      </w:sdt>
      <w:r w:rsidRPr="00743945">
        <w:rPr>
          <w:rFonts w:ascii="Arial" w:hAnsi="Arial" w:cs="Arial"/>
          <w:color w:val="0E101A"/>
        </w:rPr>
        <w:t>. </w:t>
      </w:r>
    </w:p>
    <w:p w14:paraId="79B31B1C" w14:textId="296049E6"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Secondly, the financial and living standards of people were compromised during the pandemic. The report states that almost 60 to 70% of people have lost their jobs due to the closure of industries and public/private businesses. This has created a critical challenge for the state as the unemployment rate and inflation rate were increased. Similarly, the purchasing power lowered with the increased unemployment rate and customers were unable to buy necessities as well</w:t>
      </w:r>
      <w:sdt>
        <w:sdtPr>
          <w:rPr>
            <w:rFonts w:ascii="Arial" w:hAnsi="Arial" w:cs="Arial"/>
            <w:color w:val="0E101A"/>
          </w:rPr>
          <w:id w:val="-1768915680"/>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que2020psychological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(Que, et al., 2020)</w:t>
          </w:r>
          <w:r w:rsidR="00FB7563">
            <w:rPr>
              <w:rFonts w:ascii="Arial" w:hAnsi="Arial" w:cs="Arial"/>
              <w:color w:val="0E101A"/>
            </w:rPr>
            <w:fldChar w:fldCharType="end"/>
          </w:r>
        </w:sdtContent>
      </w:sdt>
      <w:r w:rsidRPr="00743945">
        <w:rPr>
          <w:rFonts w:ascii="Arial" w:hAnsi="Arial" w:cs="Arial"/>
          <w:color w:val="0E101A"/>
        </w:rPr>
        <w:t>. </w:t>
      </w:r>
    </w:p>
    <w:p w14:paraId="6723F3F6" w14:textId="471E889B"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Thirdly, the physical health of individuals deteriorated as well. The majority of people were affected by the virus. The people left were psychologically depressed due to the tense and fearsome situations around the globe. People unable to visit their loved ones were becoming sick and mentally disturbed during the pandemic</w:t>
      </w:r>
      <w:sdt>
        <w:sdtPr>
          <w:rPr>
            <w:rFonts w:ascii="Arial" w:hAnsi="Arial" w:cs="Arial"/>
            <w:color w:val="0E101A"/>
          </w:rPr>
          <w:id w:val="379603314"/>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xiang2021covid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(Xiang, et al., 2021)</w:t>
          </w:r>
          <w:r w:rsidR="00FB7563">
            <w:rPr>
              <w:rFonts w:ascii="Arial" w:hAnsi="Arial" w:cs="Arial"/>
              <w:color w:val="0E101A"/>
            </w:rPr>
            <w:fldChar w:fldCharType="end"/>
          </w:r>
        </w:sdtContent>
      </w:sdt>
      <w:r w:rsidRPr="00743945">
        <w:rPr>
          <w:rFonts w:ascii="Arial" w:hAnsi="Arial" w:cs="Arial"/>
          <w:color w:val="0E101A"/>
        </w:rPr>
        <w:t>. </w:t>
      </w:r>
    </w:p>
    <w:p w14:paraId="695308B2" w14:textId="6F8ABFBE"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 xml:space="preserve">Lastly, the most prominent factor was the emotional well-being of people. Emotionally and psychologically people were disturbed in all parts of the globe. Children, teenagers, adults, and old age groups, all are equally tensed and pressurized by the never-ending </w:t>
      </w:r>
      <w:r w:rsidRPr="00743945">
        <w:rPr>
          <w:rFonts w:ascii="Arial" w:hAnsi="Arial" w:cs="Arial"/>
          <w:color w:val="0E101A"/>
        </w:rPr>
        <w:lastRenderedPageBreak/>
        <w:t>pandemic and lockdowns around the globe. Living in a global lockdown has made people realize the importance of collaboration, effective socializing, and making healthy connections. Overall, the global pandemic has impacted the well-being of individuals in all aspects of their life</w:t>
      </w:r>
      <w:sdt>
        <w:sdtPr>
          <w:rPr>
            <w:rFonts w:ascii="Arial" w:hAnsi="Arial" w:cs="Arial"/>
            <w:color w:val="0E101A"/>
          </w:rPr>
          <w:id w:val="1587039610"/>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kivi2021up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(Kivi, Hansson, &amp; Bjälkebring, 2021)</w:t>
          </w:r>
          <w:r w:rsidR="00FB7563">
            <w:rPr>
              <w:rFonts w:ascii="Arial" w:hAnsi="Arial" w:cs="Arial"/>
              <w:color w:val="0E101A"/>
            </w:rPr>
            <w:fldChar w:fldCharType="end"/>
          </w:r>
        </w:sdtContent>
      </w:sdt>
      <w:r w:rsidRPr="00743945">
        <w:rPr>
          <w:rFonts w:ascii="Arial" w:hAnsi="Arial" w:cs="Arial"/>
          <w:color w:val="0E101A"/>
        </w:rPr>
        <w:t>. </w:t>
      </w:r>
    </w:p>
    <w:p w14:paraId="498240B0"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6DF11B9B" w14:textId="77777777" w:rsidR="00743945" w:rsidRDefault="00743945" w:rsidP="00743945">
      <w:pPr>
        <w:pStyle w:val="NormalWeb"/>
        <w:spacing w:before="0" w:beforeAutospacing="0" w:after="0" w:afterAutospacing="0" w:line="360" w:lineRule="auto"/>
        <w:rPr>
          <w:rStyle w:val="Strong"/>
          <w:rFonts w:ascii="Arial" w:eastAsiaTheme="majorEastAsia" w:hAnsi="Arial" w:cs="Arial"/>
          <w:color w:val="0E101A"/>
        </w:rPr>
      </w:pPr>
    </w:p>
    <w:p w14:paraId="318176D2" w14:textId="24F88ACA" w:rsidR="00743945" w:rsidRPr="00743945" w:rsidRDefault="00743945" w:rsidP="00743945">
      <w:pPr>
        <w:pStyle w:val="Heading1"/>
        <w:rPr>
          <w:sz w:val="36"/>
          <w:szCs w:val="36"/>
          <w:u w:val="single"/>
        </w:rPr>
      </w:pPr>
      <w:bookmarkStart w:id="8" w:name="_Toc129908565"/>
      <w:r w:rsidRPr="00743945">
        <w:rPr>
          <w:rStyle w:val="Strong"/>
          <w:sz w:val="36"/>
          <w:szCs w:val="36"/>
          <w:u w:val="single"/>
        </w:rPr>
        <w:t>CONCLUSION</w:t>
      </w:r>
      <w:bookmarkEnd w:id="8"/>
    </w:p>
    <w:p w14:paraId="4DDB3284" w14:textId="77777777" w:rsidR="00743945" w:rsidRDefault="00743945" w:rsidP="00743945">
      <w:pPr>
        <w:pStyle w:val="NormalWeb"/>
        <w:spacing w:before="0" w:beforeAutospacing="0" w:after="0" w:afterAutospacing="0" w:line="360" w:lineRule="auto"/>
        <w:rPr>
          <w:rFonts w:ascii="Arial" w:hAnsi="Arial" w:cs="Arial"/>
          <w:color w:val="0E101A"/>
        </w:rPr>
      </w:pPr>
    </w:p>
    <w:p w14:paraId="4EB82E2E" w14:textId="5409593B" w:rsidR="00743945" w:rsidRPr="00743945" w:rsidRDefault="00743945" w:rsidP="00743945">
      <w:pPr>
        <w:pStyle w:val="NormalWeb"/>
        <w:spacing w:before="0" w:beforeAutospacing="0" w:after="0" w:afterAutospacing="0" w:line="360" w:lineRule="auto"/>
        <w:rPr>
          <w:rFonts w:ascii="Arial" w:hAnsi="Arial" w:cs="Arial"/>
          <w:color w:val="0E101A"/>
        </w:rPr>
      </w:pPr>
      <w:r w:rsidRPr="00743945">
        <w:rPr>
          <w:rFonts w:ascii="Arial" w:hAnsi="Arial" w:cs="Arial"/>
          <w:color w:val="0E101A"/>
        </w:rPr>
        <w:t>The deadly outbreak of coronavirus has extensively affected all the domains of global trade, health sectors, and operational structures. The public health measures formulated for the local community and businesses were effective in controlling the spread of this disease. By implementing structured measures, the majority of states have eliminated this disease</w:t>
      </w:r>
      <w:sdt>
        <w:sdtPr>
          <w:rPr>
            <w:rFonts w:ascii="Arial" w:hAnsi="Arial" w:cs="Arial"/>
            <w:color w:val="0E101A"/>
          </w:rPr>
          <w:id w:val="-1379551645"/>
          <w:citation/>
        </w:sdtPr>
        <w:sdtEndPr/>
        <w:sdtContent>
          <w:r w:rsidR="00FB7563">
            <w:rPr>
              <w:rFonts w:ascii="Arial" w:hAnsi="Arial" w:cs="Arial"/>
              <w:color w:val="0E101A"/>
            </w:rPr>
            <w:fldChar w:fldCharType="begin"/>
          </w:r>
          <w:r w:rsidR="00FB7563">
            <w:rPr>
              <w:rFonts w:ascii="Arial" w:hAnsi="Arial" w:cs="Arial"/>
              <w:color w:val="0E101A"/>
            </w:rPr>
            <w:instrText xml:space="preserve"> CITATION ayouni2021effective \l 1033 </w:instrText>
          </w:r>
          <w:r w:rsidR="00FB7563">
            <w:rPr>
              <w:rFonts w:ascii="Arial" w:hAnsi="Arial" w:cs="Arial"/>
              <w:color w:val="0E101A"/>
            </w:rPr>
            <w:fldChar w:fldCharType="separate"/>
          </w:r>
          <w:r w:rsidR="00FB7563">
            <w:rPr>
              <w:rFonts w:ascii="Arial" w:hAnsi="Arial" w:cs="Arial"/>
              <w:noProof/>
              <w:color w:val="0E101A"/>
            </w:rPr>
            <w:t xml:space="preserve"> </w:t>
          </w:r>
          <w:r w:rsidR="00FB7563" w:rsidRPr="00FB7563">
            <w:rPr>
              <w:rFonts w:ascii="Arial" w:hAnsi="Arial" w:cs="Arial"/>
              <w:noProof/>
              <w:color w:val="0E101A"/>
            </w:rPr>
            <w:t>(Ayouni, et al., 2021)</w:t>
          </w:r>
          <w:r w:rsidR="00FB7563">
            <w:rPr>
              <w:rFonts w:ascii="Arial" w:hAnsi="Arial" w:cs="Arial"/>
              <w:color w:val="0E101A"/>
            </w:rPr>
            <w:fldChar w:fldCharType="end"/>
          </w:r>
        </w:sdtContent>
      </w:sdt>
      <w:r w:rsidRPr="00743945">
        <w:rPr>
          <w:rFonts w:ascii="Arial" w:hAnsi="Arial" w:cs="Arial"/>
          <w:color w:val="0E101A"/>
        </w:rPr>
        <w:t>. This report indicates that the virus is deadly for a specific group of people. Old age people, pregnant women, those already sick and people having low immunity were the worst hit during the pandemic. However, the world has controlled the contagious disease and its deadly spread by strictly implementing public and social health measures in its true letter and spirit.  </w:t>
      </w:r>
    </w:p>
    <w:p w14:paraId="66CAB577" w14:textId="66C86616" w:rsidR="00F50E7C" w:rsidRDefault="00DE44F6" w:rsidP="0062401D">
      <w:pPr>
        <w:spacing w:line="360" w:lineRule="auto"/>
        <w:rPr>
          <w:rFonts w:ascii="Arial" w:hAnsi="Arial" w:cs="Arial"/>
          <w:sz w:val="24"/>
          <w:szCs w:val="24"/>
        </w:rPr>
      </w:pPr>
      <w:r>
        <w:rPr>
          <w:rFonts w:ascii="Arial" w:hAnsi="Arial" w:cs="Arial"/>
          <w:sz w:val="24"/>
          <w:szCs w:val="24"/>
        </w:rPr>
        <w:t xml:space="preserve"> </w:t>
      </w:r>
    </w:p>
    <w:p w14:paraId="310151A7" w14:textId="1AA65095" w:rsidR="001C3B42" w:rsidRDefault="001C3B42" w:rsidP="0062401D">
      <w:pPr>
        <w:spacing w:line="360" w:lineRule="auto"/>
        <w:rPr>
          <w:rFonts w:ascii="Arial" w:hAnsi="Arial" w:cs="Arial"/>
          <w:sz w:val="24"/>
          <w:szCs w:val="24"/>
        </w:rPr>
      </w:pPr>
    </w:p>
    <w:p w14:paraId="796E2098" w14:textId="10E55777" w:rsidR="001C3B42" w:rsidRDefault="001C3B42" w:rsidP="0062401D">
      <w:pPr>
        <w:spacing w:line="360" w:lineRule="auto"/>
        <w:rPr>
          <w:rFonts w:ascii="Arial" w:hAnsi="Arial" w:cs="Arial"/>
          <w:sz w:val="24"/>
          <w:szCs w:val="24"/>
        </w:rPr>
      </w:pPr>
    </w:p>
    <w:p w14:paraId="4959279A" w14:textId="7C5121B3" w:rsidR="001C3B42" w:rsidRDefault="001C3B42" w:rsidP="0062401D">
      <w:pPr>
        <w:spacing w:line="360" w:lineRule="auto"/>
        <w:rPr>
          <w:rFonts w:ascii="Arial" w:hAnsi="Arial" w:cs="Arial"/>
          <w:sz w:val="24"/>
          <w:szCs w:val="24"/>
        </w:rPr>
      </w:pPr>
    </w:p>
    <w:p w14:paraId="4F86B94D" w14:textId="7E7FA0C0" w:rsidR="001C3B42" w:rsidRDefault="001C3B42" w:rsidP="0062401D">
      <w:pPr>
        <w:spacing w:line="360" w:lineRule="auto"/>
        <w:rPr>
          <w:rFonts w:ascii="Arial" w:hAnsi="Arial" w:cs="Arial"/>
          <w:sz w:val="24"/>
          <w:szCs w:val="24"/>
        </w:rPr>
      </w:pPr>
    </w:p>
    <w:p w14:paraId="0146E788" w14:textId="182CF099" w:rsidR="001C3B42" w:rsidRDefault="001C3B42" w:rsidP="0062401D">
      <w:pPr>
        <w:spacing w:line="360" w:lineRule="auto"/>
        <w:rPr>
          <w:rFonts w:ascii="Arial" w:hAnsi="Arial" w:cs="Arial"/>
          <w:sz w:val="24"/>
          <w:szCs w:val="24"/>
        </w:rPr>
      </w:pPr>
    </w:p>
    <w:p w14:paraId="0F16ED29" w14:textId="7D94F91F" w:rsidR="001C3B42" w:rsidRDefault="001C3B42" w:rsidP="0062401D">
      <w:pPr>
        <w:spacing w:line="360" w:lineRule="auto"/>
        <w:rPr>
          <w:rFonts w:ascii="Arial" w:hAnsi="Arial" w:cs="Arial"/>
          <w:sz w:val="24"/>
          <w:szCs w:val="24"/>
        </w:rPr>
      </w:pPr>
    </w:p>
    <w:p w14:paraId="57261DCC" w14:textId="6C52032F" w:rsidR="001C3B42" w:rsidRDefault="001C3B42" w:rsidP="0062401D">
      <w:pPr>
        <w:spacing w:line="360" w:lineRule="auto"/>
        <w:rPr>
          <w:rFonts w:ascii="Arial" w:hAnsi="Arial" w:cs="Arial"/>
          <w:sz w:val="24"/>
          <w:szCs w:val="24"/>
        </w:rPr>
      </w:pPr>
    </w:p>
    <w:p w14:paraId="21510761" w14:textId="3C94DDE5" w:rsidR="001C3B42" w:rsidRDefault="001C3B42" w:rsidP="0062401D">
      <w:pPr>
        <w:spacing w:line="360" w:lineRule="auto"/>
        <w:rPr>
          <w:rFonts w:ascii="Arial" w:hAnsi="Arial" w:cs="Arial"/>
          <w:sz w:val="24"/>
          <w:szCs w:val="24"/>
        </w:rPr>
      </w:pPr>
    </w:p>
    <w:p w14:paraId="361162DF" w14:textId="540AE631" w:rsidR="001C3B42" w:rsidRDefault="001C3B42" w:rsidP="0062401D">
      <w:pPr>
        <w:spacing w:line="360" w:lineRule="auto"/>
        <w:rPr>
          <w:rFonts w:ascii="Arial" w:hAnsi="Arial" w:cs="Arial"/>
          <w:sz w:val="24"/>
          <w:szCs w:val="24"/>
        </w:rPr>
      </w:pPr>
    </w:p>
    <w:p w14:paraId="412DD632" w14:textId="167F0153" w:rsidR="001C3B42" w:rsidRDefault="001C3B42" w:rsidP="0062401D">
      <w:pPr>
        <w:spacing w:line="360" w:lineRule="auto"/>
        <w:rPr>
          <w:rFonts w:ascii="Arial" w:hAnsi="Arial" w:cs="Arial"/>
          <w:sz w:val="24"/>
          <w:szCs w:val="24"/>
        </w:rPr>
      </w:pPr>
    </w:p>
    <w:p w14:paraId="216299BB" w14:textId="5EB066D6" w:rsidR="001C3B42" w:rsidRDefault="001C3B42" w:rsidP="0062401D">
      <w:pPr>
        <w:spacing w:line="360" w:lineRule="auto"/>
        <w:rPr>
          <w:rFonts w:ascii="Arial" w:hAnsi="Arial" w:cs="Arial"/>
          <w:sz w:val="24"/>
          <w:szCs w:val="24"/>
        </w:rPr>
      </w:pPr>
    </w:p>
    <w:p w14:paraId="3065F9A8" w14:textId="53277AAC" w:rsidR="001C3B42" w:rsidRDefault="001C3B42" w:rsidP="0062401D">
      <w:pPr>
        <w:spacing w:line="360" w:lineRule="auto"/>
        <w:rPr>
          <w:rFonts w:ascii="Arial" w:hAnsi="Arial" w:cs="Arial"/>
          <w:sz w:val="24"/>
          <w:szCs w:val="24"/>
        </w:rPr>
      </w:pPr>
    </w:p>
    <w:p w14:paraId="2C99EDC1" w14:textId="2842D3B7" w:rsidR="001C3B42" w:rsidRDefault="001C3B42" w:rsidP="0062401D">
      <w:pPr>
        <w:spacing w:line="360" w:lineRule="auto"/>
        <w:rPr>
          <w:rFonts w:ascii="Arial" w:hAnsi="Arial" w:cs="Arial"/>
          <w:sz w:val="24"/>
          <w:szCs w:val="24"/>
        </w:rPr>
      </w:pPr>
    </w:p>
    <w:p w14:paraId="26C0DBB7" w14:textId="4FB9B2DA" w:rsidR="001C3B42" w:rsidRDefault="001C3B42" w:rsidP="0062401D">
      <w:pPr>
        <w:spacing w:line="360" w:lineRule="auto"/>
        <w:rPr>
          <w:rFonts w:ascii="Arial" w:hAnsi="Arial" w:cs="Arial"/>
          <w:sz w:val="24"/>
          <w:szCs w:val="24"/>
        </w:rPr>
      </w:pPr>
    </w:p>
    <w:p w14:paraId="220F37F4" w14:textId="3CE24E8D" w:rsidR="001C3B42" w:rsidRDefault="001C3B42" w:rsidP="0062401D">
      <w:pPr>
        <w:spacing w:line="360" w:lineRule="auto"/>
        <w:rPr>
          <w:rFonts w:ascii="Arial" w:hAnsi="Arial" w:cs="Arial"/>
          <w:sz w:val="24"/>
          <w:szCs w:val="24"/>
        </w:rPr>
      </w:pPr>
    </w:p>
    <w:sdt>
      <w:sdtPr>
        <w:rPr>
          <w:rFonts w:asciiTheme="minorHAnsi" w:eastAsiaTheme="minorHAnsi" w:hAnsiTheme="minorHAnsi" w:cstheme="minorBidi"/>
          <w:color w:val="auto"/>
          <w:sz w:val="22"/>
          <w:szCs w:val="22"/>
        </w:rPr>
        <w:id w:val="-1638784737"/>
        <w:docPartObj>
          <w:docPartGallery w:val="Bibliographies"/>
          <w:docPartUnique/>
        </w:docPartObj>
      </w:sdtPr>
      <w:sdtEndPr/>
      <w:sdtContent>
        <w:p w14:paraId="161C76E8" w14:textId="03D64BE2" w:rsidR="001C3B42" w:rsidRDefault="001C3B42">
          <w:pPr>
            <w:pStyle w:val="Heading1"/>
          </w:pPr>
          <w:r>
            <w:t>References</w:t>
          </w:r>
        </w:p>
        <w:sdt>
          <w:sdtPr>
            <w:id w:val="-573587230"/>
            <w:bibliography/>
          </w:sdtPr>
          <w:sdtEndPr/>
          <w:sdtContent>
            <w:p w14:paraId="2E7C31FF" w14:textId="77777777" w:rsidR="001C3B42" w:rsidRDefault="001C3B42" w:rsidP="001C3B42">
              <w:pPr>
                <w:pStyle w:val="Bibliography"/>
                <w:ind w:left="720" w:hanging="720"/>
                <w:rPr>
                  <w:noProof/>
                  <w:sz w:val="24"/>
                  <w:szCs w:val="24"/>
                </w:rPr>
              </w:pPr>
              <w:r>
                <w:fldChar w:fldCharType="begin"/>
              </w:r>
              <w:r>
                <w:instrText xml:space="preserve"> BIBLIOGRAPHY </w:instrText>
              </w:r>
              <w:r>
                <w:fldChar w:fldCharType="separate"/>
              </w:r>
              <w:r>
                <w:rPr>
                  <w:noProof/>
                </w:rPr>
                <w:t xml:space="preserve">Ağalar, C., &amp; Engin, D. Ö. (2020). Protective measures for COVID-19 for healthcare providers and laboratory personnel. </w:t>
              </w:r>
              <w:r>
                <w:rPr>
                  <w:i/>
                  <w:iCs/>
                  <w:noProof/>
                </w:rPr>
                <w:t>Turkish journal of medical sciences, 50</w:t>
              </w:r>
              <w:r>
                <w:rPr>
                  <w:noProof/>
                </w:rPr>
                <w:t>, 578–584.</w:t>
              </w:r>
            </w:p>
            <w:p w14:paraId="6D96C306" w14:textId="77777777" w:rsidR="001C3B42" w:rsidRDefault="001C3B42" w:rsidP="001C3B42">
              <w:pPr>
                <w:pStyle w:val="Bibliography"/>
                <w:ind w:left="720" w:hanging="720"/>
                <w:rPr>
                  <w:noProof/>
                </w:rPr>
              </w:pPr>
              <w:r>
                <w:rPr>
                  <w:noProof/>
                </w:rPr>
                <w:t xml:space="preserve">Ayouni, I., Maatoug, J., Dhouib, W., Zammit, N., Fredj, S. B., Ghammam, R., &amp; Ghannem, H. (2021). Effective public health measures to mitigate the spread of COVID-19: a systematic review. </w:t>
              </w:r>
              <w:r>
                <w:rPr>
                  <w:i/>
                  <w:iCs/>
                  <w:noProof/>
                </w:rPr>
                <w:t>BMC public health, 21</w:t>
              </w:r>
              <w:r>
                <w:rPr>
                  <w:noProof/>
                </w:rPr>
                <w:t>, 1–14.</w:t>
              </w:r>
            </w:p>
            <w:p w14:paraId="4BC4B0A5" w14:textId="77777777" w:rsidR="001C3B42" w:rsidRDefault="001C3B42" w:rsidP="001C3B42">
              <w:pPr>
                <w:pStyle w:val="Bibliography"/>
                <w:ind w:left="720" w:hanging="720"/>
                <w:rPr>
                  <w:noProof/>
                </w:rPr>
              </w:pPr>
              <w:r>
                <w:rPr>
                  <w:noProof/>
                </w:rPr>
                <w:t xml:space="preserve">Davies, S. E. (2008). Securitizing infectious disease. </w:t>
              </w:r>
              <w:r>
                <w:rPr>
                  <w:i/>
                  <w:iCs/>
                  <w:noProof/>
                </w:rPr>
                <w:t>International affairs, 84</w:t>
              </w:r>
              <w:r>
                <w:rPr>
                  <w:noProof/>
                </w:rPr>
                <w:t>, 295–313.</w:t>
              </w:r>
            </w:p>
            <w:p w14:paraId="53B98055" w14:textId="77777777" w:rsidR="001C3B42" w:rsidRDefault="001C3B42" w:rsidP="001C3B42">
              <w:pPr>
                <w:pStyle w:val="Bibliography"/>
                <w:ind w:left="720" w:hanging="720"/>
                <w:rPr>
                  <w:noProof/>
                </w:rPr>
              </w:pPr>
              <w:r>
                <w:rPr>
                  <w:noProof/>
                </w:rPr>
                <w:t xml:space="preserve">Gostin, L. O. (2020). COVID-19 reveals urgent need to strengthen the World Health Organization. </w:t>
              </w:r>
              <w:r>
                <w:rPr>
                  <w:i/>
                  <w:iCs/>
                  <w:noProof/>
                </w:rPr>
                <w:t>JAMA Health Forum</w:t>
              </w:r>
              <w:r>
                <w:rPr>
                  <w:noProof/>
                </w:rPr>
                <w:t xml:space="preserve">, </w:t>
              </w:r>
              <w:r>
                <w:rPr>
                  <w:i/>
                  <w:iCs/>
                  <w:noProof/>
                </w:rPr>
                <w:t>1</w:t>
              </w:r>
              <w:r>
                <w:rPr>
                  <w:noProof/>
                </w:rPr>
                <w:t>, pp. e200559–e200559.</w:t>
              </w:r>
            </w:p>
            <w:p w14:paraId="0E7D2748" w14:textId="77777777" w:rsidR="001C3B42" w:rsidRDefault="001C3B42" w:rsidP="001C3B42">
              <w:pPr>
                <w:pStyle w:val="Bibliography"/>
                <w:ind w:left="720" w:hanging="720"/>
                <w:rPr>
                  <w:noProof/>
                </w:rPr>
              </w:pPr>
              <w:r>
                <w:rPr>
                  <w:noProof/>
                </w:rPr>
                <w:t xml:space="preserve">Güner, H. R., Hasanoğlu, İ., &amp; Aktaş, F. (2020). COVID-19: Prevention and control measures in community. </w:t>
              </w:r>
              <w:r>
                <w:rPr>
                  <w:i/>
                  <w:iCs/>
                  <w:noProof/>
                </w:rPr>
                <w:t>Turkish Journal of medical sciences, 50</w:t>
              </w:r>
              <w:r>
                <w:rPr>
                  <w:noProof/>
                </w:rPr>
                <w:t>, 571–577.</w:t>
              </w:r>
            </w:p>
            <w:p w14:paraId="7258A5EF" w14:textId="77777777" w:rsidR="001C3B42" w:rsidRDefault="001C3B42" w:rsidP="001C3B42">
              <w:pPr>
                <w:pStyle w:val="Bibliography"/>
                <w:ind w:left="720" w:hanging="720"/>
                <w:rPr>
                  <w:noProof/>
                </w:rPr>
              </w:pPr>
              <w:r>
                <w:rPr>
                  <w:noProof/>
                </w:rPr>
                <w:t xml:space="preserve">Huffman, E. M., Athanasiadis, D. I., Anton, N. E., Haskett, L. A., Doster, D. L., Stefanidis, D., &amp; Lee, N. K. (2021). How resilient is your team? Exploring healthcare providers’ well-being during the COVID-19 pandemic. </w:t>
              </w:r>
              <w:r>
                <w:rPr>
                  <w:i/>
                  <w:iCs/>
                  <w:noProof/>
                </w:rPr>
                <w:t>The American Journal of Surgery, 221</w:t>
              </w:r>
              <w:r>
                <w:rPr>
                  <w:noProof/>
                </w:rPr>
                <w:t>, 277–284.</w:t>
              </w:r>
            </w:p>
            <w:p w14:paraId="4DE2A52E" w14:textId="77777777" w:rsidR="001C3B42" w:rsidRDefault="001C3B42" w:rsidP="001C3B42">
              <w:pPr>
                <w:pStyle w:val="Bibliography"/>
                <w:ind w:left="720" w:hanging="720"/>
                <w:rPr>
                  <w:noProof/>
                </w:rPr>
              </w:pPr>
              <w:r>
                <w:rPr>
                  <w:noProof/>
                </w:rPr>
                <w:t xml:space="preserve">Kivi, M., Hansson, I., &amp; Bjälkebring, P. (2021). Up and about: Older adults’ well-being during the COVID-19 pandemic in a Swedish longitudinal study. </w:t>
              </w:r>
              <w:r>
                <w:rPr>
                  <w:i/>
                  <w:iCs/>
                  <w:noProof/>
                </w:rPr>
                <w:t>The Journals of Gerontology: Series B, 76</w:t>
              </w:r>
              <w:r>
                <w:rPr>
                  <w:noProof/>
                </w:rPr>
                <w:t>, e4–e9.</w:t>
              </w:r>
            </w:p>
            <w:p w14:paraId="0AE7AA29" w14:textId="77777777" w:rsidR="001C3B42" w:rsidRDefault="001C3B42" w:rsidP="001C3B42">
              <w:pPr>
                <w:pStyle w:val="Bibliography"/>
                <w:ind w:left="720" w:hanging="720"/>
                <w:rPr>
                  <w:noProof/>
                </w:rPr>
              </w:pPr>
              <w:r>
                <w:rPr>
                  <w:noProof/>
                </w:rPr>
                <w:t xml:space="preserve">Prime, H., Wade, M., &amp; Browne, D. T. (2020). Risk and resilience in family well-being during the COVID-19 pandemic. </w:t>
              </w:r>
              <w:r>
                <w:rPr>
                  <w:i/>
                  <w:iCs/>
                  <w:noProof/>
                </w:rPr>
                <w:t>American Psychologist, 75</w:t>
              </w:r>
              <w:r>
                <w:rPr>
                  <w:noProof/>
                </w:rPr>
                <w:t>, 631.</w:t>
              </w:r>
            </w:p>
            <w:p w14:paraId="74778F34" w14:textId="77777777" w:rsidR="001C3B42" w:rsidRDefault="001C3B42" w:rsidP="001C3B42">
              <w:pPr>
                <w:pStyle w:val="Bibliography"/>
                <w:ind w:left="720" w:hanging="720"/>
                <w:rPr>
                  <w:noProof/>
                </w:rPr>
              </w:pPr>
              <w:r>
                <w:rPr>
                  <w:noProof/>
                </w:rPr>
                <w:t xml:space="preserve">Que, J., Shi, L. E., Deng, J., Liu, J., Zhang, L., Wu, S., . . . others. (2020). Psychological impact of the COVID-19 pandemic on healthcare workers: a cross-sectional study in China. </w:t>
              </w:r>
              <w:r>
                <w:rPr>
                  <w:i/>
                  <w:iCs/>
                  <w:noProof/>
                </w:rPr>
                <w:t>General psychiatry, 33</w:t>
              </w:r>
              <w:r>
                <w:rPr>
                  <w:noProof/>
                </w:rPr>
                <w:t>.</w:t>
              </w:r>
            </w:p>
            <w:p w14:paraId="29BDB374" w14:textId="77777777" w:rsidR="001C3B42" w:rsidRDefault="001C3B42" w:rsidP="001C3B42">
              <w:pPr>
                <w:pStyle w:val="Bibliography"/>
                <w:ind w:left="720" w:hanging="720"/>
                <w:rPr>
                  <w:noProof/>
                </w:rPr>
              </w:pPr>
              <w:r>
                <w:rPr>
                  <w:noProof/>
                </w:rPr>
                <w:t xml:space="preserve">Wymant, C., Ferretti, L., Tsallis, D., Charalambides, M., Abeler-Dörner, L., Bonsall, D., . . . others. (2021). The epidemiological impact of the NHS COVID-19 app. </w:t>
              </w:r>
              <w:r>
                <w:rPr>
                  <w:i/>
                  <w:iCs/>
                  <w:noProof/>
                </w:rPr>
                <w:t>Nature, 594</w:t>
              </w:r>
              <w:r>
                <w:rPr>
                  <w:noProof/>
                </w:rPr>
                <w:t>, 408–412.</w:t>
              </w:r>
            </w:p>
            <w:p w14:paraId="6D9A42D4" w14:textId="77777777" w:rsidR="001C3B42" w:rsidRDefault="001C3B42" w:rsidP="001C3B42">
              <w:pPr>
                <w:pStyle w:val="Bibliography"/>
                <w:ind w:left="720" w:hanging="720"/>
                <w:rPr>
                  <w:noProof/>
                </w:rPr>
              </w:pPr>
              <w:r>
                <w:rPr>
                  <w:noProof/>
                </w:rPr>
                <w:t xml:space="preserve">Xiang, Y., Jia, Y., Chen, L., Guo, L., Shu, B., &amp; Long, E. (2021). COVID-19 epidemic prediction and the impact of public health interventions: A review of COVID-19 epidemic models. </w:t>
              </w:r>
              <w:r>
                <w:rPr>
                  <w:i/>
                  <w:iCs/>
                  <w:noProof/>
                </w:rPr>
                <w:t>Infectious Disease Modelling, 6</w:t>
              </w:r>
              <w:r>
                <w:rPr>
                  <w:noProof/>
                </w:rPr>
                <w:t>, 324–342.</w:t>
              </w:r>
            </w:p>
            <w:p w14:paraId="5D0A70F4" w14:textId="70CD0218" w:rsidR="001C3B42" w:rsidRDefault="001C3B42" w:rsidP="001C3B42">
              <w:r>
                <w:rPr>
                  <w:b/>
                  <w:bCs/>
                  <w:noProof/>
                </w:rPr>
                <w:fldChar w:fldCharType="end"/>
              </w:r>
            </w:p>
          </w:sdtContent>
        </w:sdt>
      </w:sdtContent>
    </w:sdt>
    <w:p w14:paraId="50EC58EE" w14:textId="77777777" w:rsidR="001C3B42" w:rsidRPr="00F50E7C" w:rsidRDefault="001C3B42" w:rsidP="0062401D">
      <w:pPr>
        <w:spacing w:line="360" w:lineRule="auto"/>
        <w:rPr>
          <w:rFonts w:ascii="Arial" w:hAnsi="Arial" w:cs="Arial"/>
          <w:sz w:val="24"/>
          <w:szCs w:val="24"/>
        </w:rPr>
      </w:pPr>
    </w:p>
    <w:sectPr w:rsidR="001C3B42" w:rsidRPr="00F50E7C" w:rsidSect="00E6052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521"/>
    <w:rsid w:val="0005604B"/>
    <w:rsid w:val="0006718B"/>
    <w:rsid w:val="00094FE0"/>
    <w:rsid w:val="000A0664"/>
    <w:rsid w:val="000C2AE9"/>
    <w:rsid w:val="000D55FE"/>
    <w:rsid w:val="000F1439"/>
    <w:rsid w:val="0012163D"/>
    <w:rsid w:val="00124EFF"/>
    <w:rsid w:val="00145802"/>
    <w:rsid w:val="001613AF"/>
    <w:rsid w:val="00165DD1"/>
    <w:rsid w:val="00166959"/>
    <w:rsid w:val="00185971"/>
    <w:rsid w:val="001973EE"/>
    <w:rsid w:val="001C3B42"/>
    <w:rsid w:val="001E7AE9"/>
    <w:rsid w:val="00281A13"/>
    <w:rsid w:val="002F2A74"/>
    <w:rsid w:val="00325AD1"/>
    <w:rsid w:val="00370CC0"/>
    <w:rsid w:val="003C1708"/>
    <w:rsid w:val="003E21C2"/>
    <w:rsid w:val="003E3CE6"/>
    <w:rsid w:val="003F3884"/>
    <w:rsid w:val="00411997"/>
    <w:rsid w:val="004446B0"/>
    <w:rsid w:val="004758FC"/>
    <w:rsid w:val="004B2016"/>
    <w:rsid w:val="004F7150"/>
    <w:rsid w:val="005419B5"/>
    <w:rsid w:val="00545631"/>
    <w:rsid w:val="0057086A"/>
    <w:rsid w:val="0057325D"/>
    <w:rsid w:val="005848F4"/>
    <w:rsid w:val="005E4A14"/>
    <w:rsid w:val="005E69AC"/>
    <w:rsid w:val="00620CF4"/>
    <w:rsid w:val="006219EE"/>
    <w:rsid w:val="0062401D"/>
    <w:rsid w:val="00624790"/>
    <w:rsid w:val="00625D5F"/>
    <w:rsid w:val="00655E1E"/>
    <w:rsid w:val="0069007B"/>
    <w:rsid w:val="006A56AA"/>
    <w:rsid w:val="006A6D66"/>
    <w:rsid w:val="006C2EC3"/>
    <w:rsid w:val="007025A2"/>
    <w:rsid w:val="007065EA"/>
    <w:rsid w:val="0071379E"/>
    <w:rsid w:val="007163A7"/>
    <w:rsid w:val="007219EB"/>
    <w:rsid w:val="00727DEF"/>
    <w:rsid w:val="00743945"/>
    <w:rsid w:val="007445D3"/>
    <w:rsid w:val="007453F2"/>
    <w:rsid w:val="00753CAB"/>
    <w:rsid w:val="00756222"/>
    <w:rsid w:val="00776ADD"/>
    <w:rsid w:val="0078011B"/>
    <w:rsid w:val="00780273"/>
    <w:rsid w:val="00787438"/>
    <w:rsid w:val="007966B3"/>
    <w:rsid w:val="007D2EC1"/>
    <w:rsid w:val="007D515D"/>
    <w:rsid w:val="007D65CB"/>
    <w:rsid w:val="00804D94"/>
    <w:rsid w:val="00813FF4"/>
    <w:rsid w:val="0086316E"/>
    <w:rsid w:val="00901EA7"/>
    <w:rsid w:val="00906DC8"/>
    <w:rsid w:val="0091102F"/>
    <w:rsid w:val="00912436"/>
    <w:rsid w:val="009307F7"/>
    <w:rsid w:val="0093171B"/>
    <w:rsid w:val="0093219B"/>
    <w:rsid w:val="00956241"/>
    <w:rsid w:val="009601EB"/>
    <w:rsid w:val="00A2326B"/>
    <w:rsid w:val="00A35034"/>
    <w:rsid w:val="00A64878"/>
    <w:rsid w:val="00AC3EB8"/>
    <w:rsid w:val="00AE2F01"/>
    <w:rsid w:val="00AE7D64"/>
    <w:rsid w:val="00B126F9"/>
    <w:rsid w:val="00BA4578"/>
    <w:rsid w:val="00BD1108"/>
    <w:rsid w:val="00BE0AFF"/>
    <w:rsid w:val="00BE255F"/>
    <w:rsid w:val="00C33682"/>
    <w:rsid w:val="00C579FC"/>
    <w:rsid w:val="00C669C7"/>
    <w:rsid w:val="00C915C9"/>
    <w:rsid w:val="00D07003"/>
    <w:rsid w:val="00D1202A"/>
    <w:rsid w:val="00D31A57"/>
    <w:rsid w:val="00D52DCD"/>
    <w:rsid w:val="00D559A6"/>
    <w:rsid w:val="00D75B2C"/>
    <w:rsid w:val="00D85A10"/>
    <w:rsid w:val="00DB5B7C"/>
    <w:rsid w:val="00DE44F6"/>
    <w:rsid w:val="00DE7F36"/>
    <w:rsid w:val="00E148F9"/>
    <w:rsid w:val="00E37EAA"/>
    <w:rsid w:val="00E60521"/>
    <w:rsid w:val="00E648E8"/>
    <w:rsid w:val="00E841A3"/>
    <w:rsid w:val="00E85E7E"/>
    <w:rsid w:val="00E9333E"/>
    <w:rsid w:val="00EA4013"/>
    <w:rsid w:val="00ED1123"/>
    <w:rsid w:val="00EE0CBA"/>
    <w:rsid w:val="00F10051"/>
    <w:rsid w:val="00F50E7C"/>
    <w:rsid w:val="00F5271C"/>
    <w:rsid w:val="00F73D6E"/>
    <w:rsid w:val="00FB7563"/>
    <w:rsid w:val="00FE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A56FB"/>
  <w15:chartTrackingRefBased/>
  <w15:docId w15:val="{62E643CB-FC04-4353-8144-EB3492A5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39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39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39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3945"/>
    <w:rPr>
      <w:b/>
      <w:bCs/>
    </w:rPr>
  </w:style>
  <w:style w:type="character" w:customStyle="1" w:styleId="Heading1Char">
    <w:name w:val="Heading 1 Char"/>
    <w:basedOn w:val="DefaultParagraphFont"/>
    <w:link w:val="Heading1"/>
    <w:uiPriority w:val="9"/>
    <w:rsid w:val="007439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39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43945"/>
    <w:pPr>
      <w:outlineLvl w:val="9"/>
    </w:pPr>
  </w:style>
  <w:style w:type="paragraph" w:styleId="TOC1">
    <w:name w:val="toc 1"/>
    <w:basedOn w:val="Normal"/>
    <w:next w:val="Normal"/>
    <w:autoRedefine/>
    <w:uiPriority w:val="39"/>
    <w:unhideWhenUsed/>
    <w:rsid w:val="00743945"/>
    <w:pPr>
      <w:spacing w:after="100"/>
    </w:pPr>
  </w:style>
  <w:style w:type="paragraph" w:styleId="TOC2">
    <w:name w:val="toc 2"/>
    <w:basedOn w:val="Normal"/>
    <w:next w:val="Normal"/>
    <w:autoRedefine/>
    <w:uiPriority w:val="39"/>
    <w:unhideWhenUsed/>
    <w:rsid w:val="00743945"/>
    <w:pPr>
      <w:spacing w:after="100"/>
      <w:ind w:left="220"/>
    </w:pPr>
  </w:style>
  <w:style w:type="character" w:styleId="Hyperlink">
    <w:name w:val="Hyperlink"/>
    <w:basedOn w:val="DefaultParagraphFont"/>
    <w:uiPriority w:val="99"/>
    <w:unhideWhenUsed/>
    <w:rsid w:val="00743945"/>
    <w:rPr>
      <w:color w:val="0563C1" w:themeColor="hyperlink"/>
      <w:u w:val="single"/>
    </w:rPr>
  </w:style>
  <w:style w:type="paragraph" w:styleId="Bibliography">
    <w:name w:val="Bibliography"/>
    <w:basedOn w:val="Normal"/>
    <w:next w:val="Normal"/>
    <w:uiPriority w:val="37"/>
    <w:unhideWhenUsed/>
    <w:rsid w:val="001C3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007">
      <w:bodyDiv w:val="1"/>
      <w:marLeft w:val="0"/>
      <w:marRight w:val="0"/>
      <w:marTop w:val="0"/>
      <w:marBottom w:val="0"/>
      <w:divBdr>
        <w:top w:val="none" w:sz="0" w:space="0" w:color="auto"/>
        <w:left w:val="none" w:sz="0" w:space="0" w:color="auto"/>
        <w:bottom w:val="none" w:sz="0" w:space="0" w:color="auto"/>
        <w:right w:val="none" w:sz="0" w:space="0" w:color="auto"/>
      </w:divBdr>
    </w:div>
    <w:div w:id="439034484">
      <w:bodyDiv w:val="1"/>
      <w:marLeft w:val="0"/>
      <w:marRight w:val="0"/>
      <w:marTop w:val="0"/>
      <w:marBottom w:val="0"/>
      <w:divBdr>
        <w:top w:val="none" w:sz="0" w:space="0" w:color="auto"/>
        <w:left w:val="none" w:sz="0" w:space="0" w:color="auto"/>
        <w:bottom w:val="none" w:sz="0" w:space="0" w:color="auto"/>
        <w:right w:val="none" w:sz="0" w:space="0" w:color="auto"/>
      </w:divBdr>
    </w:div>
    <w:div w:id="502669206">
      <w:bodyDiv w:val="1"/>
      <w:marLeft w:val="0"/>
      <w:marRight w:val="0"/>
      <w:marTop w:val="0"/>
      <w:marBottom w:val="0"/>
      <w:divBdr>
        <w:top w:val="none" w:sz="0" w:space="0" w:color="auto"/>
        <w:left w:val="none" w:sz="0" w:space="0" w:color="auto"/>
        <w:bottom w:val="none" w:sz="0" w:space="0" w:color="auto"/>
        <w:right w:val="none" w:sz="0" w:space="0" w:color="auto"/>
      </w:divBdr>
    </w:div>
    <w:div w:id="525414266">
      <w:bodyDiv w:val="1"/>
      <w:marLeft w:val="0"/>
      <w:marRight w:val="0"/>
      <w:marTop w:val="0"/>
      <w:marBottom w:val="0"/>
      <w:divBdr>
        <w:top w:val="none" w:sz="0" w:space="0" w:color="auto"/>
        <w:left w:val="none" w:sz="0" w:space="0" w:color="auto"/>
        <w:bottom w:val="none" w:sz="0" w:space="0" w:color="auto"/>
        <w:right w:val="none" w:sz="0" w:space="0" w:color="auto"/>
      </w:divBdr>
    </w:div>
    <w:div w:id="533616930">
      <w:bodyDiv w:val="1"/>
      <w:marLeft w:val="0"/>
      <w:marRight w:val="0"/>
      <w:marTop w:val="0"/>
      <w:marBottom w:val="0"/>
      <w:divBdr>
        <w:top w:val="none" w:sz="0" w:space="0" w:color="auto"/>
        <w:left w:val="none" w:sz="0" w:space="0" w:color="auto"/>
        <w:bottom w:val="none" w:sz="0" w:space="0" w:color="auto"/>
        <w:right w:val="none" w:sz="0" w:space="0" w:color="auto"/>
      </w:divBdr>
    </w:div>
    <w:div w:id="579173666">
      <w:bodyDiv w:val="1"/>
      <w:marLeft w:val="0"/>
      <w:marRight w:val="0"/>
      <w:marTop w:val="0"/>
      <w:marBottom w:val="0"/>
      <w:divBdr>
        <w:top w:val="none" w:sz="0" w:space="0" w:color="auto"/>
        <w:left w:val="none" w:sz="0" w:space="0" w:color="auto"/>
        <w:bottom w:val="none" w:sz="0" w:space="0" w:color="auto"/>
        <w:right w:val="none" w:sz="0" w:space="0" w:color="auto"/>
      </w:divBdr>
    </w:div>
    <w:div w:id="598178524">
      <w:bodyDiv w:val="1"/>
      <w:marLeft w:val="0"/>
      <w:marRight w:val="0"/>
      <w:marTop w:val="0"/>
      <w:marBottom w:val="0"/>
      <w:divBdr>
        <w:top w:val="none" w:sz="0" w:space="0" w:color="auto"/>
        <w:left w:val="none" w:sz="0" w:space="0" w:color="auto"/>
        <w:bottom w:val="none" w:sz="0" w:space="0" w:color="auto"/>
        <w:right w:val="none" w:sz="0" w:space="0" w:color="auto"/>
      </w:divBdr>
    </w:div>
    <w:div w:id="690298261">
      <w:bodyDiv w:val="1"/>
      <w:marLeft w:val="0"/>
      <w:marRight w:val="0"/>
      <w:marTop w:val="0"/>
      <w:marBottom w:val="0"/>
      <w:divBdr>
        <w:top w:val="none" w:sz="0" w:space="0" w:color="auto"/>
        <w:left w:val="none" w:sz="0" w:space="0" w:color="auto"/>
        <w:bottom w:val="none" w:sz="0" w:space="0" w:color="auto"/>
        <w:right w:val="none" w:sz="0" w:space="0" w:color="auto"/>
      </w:divBdr>
    </w:div>
    <w:div w:id="712734442">
      <w:bodyDiv w:val="1"/>
      <w:marLeft w:val="0"/>
      <w:marRight w:val="0"/>
      <w:marTop w:val="0"/>
      <w:marBottom w:val="0"/>
      <w:divBdr>
        <w:top w:val="none" w:sz="0" w:space="0" w:color="auto"/>
        <w:left w:val="none" w:sz="0" w:space="0" w:color="auto"/>
        <w:bottom w:val="none" w:sz="0" w:space="0" w:color="auto"/>
        <w:right w:val="none" w:sz="0" w:space="0" w:color="auto"/>
      </w:divBdr>
    </w:div>
    <w:div w:id="722828064">
      <w:bodyDiv w:val="1"/>
      <w:marLeft w:val="0"/>
      <w:marRight w:val="0"/>
      <w:marTop w:val="0"/>
      <w:marBottom w:val="0"/>
      <w:divBdr>
        <w:top w:val="none" w:sz="0" w:space="0" w:color="auto"/>
        <w:left w:val="none" w:sz="0" w:space="0" w:color="auto"/>
        <w:bottom w:val="none" w:sz="0" w:space="0" w:color="auto"/>
        <w:right w:val="none" w:sz="0" w:space="0" w:color="auto"/>
      </w:divBdr>
    </w:div>
    <w:div w:id="765855409">
      <w:bodyDiv w:val="1"/>
      <w:marLeft w:val="0"/>
      <w:marRight w:val="0"/>
      <w:marTop w:val="0"/>
      <w:marBottom w:val="0"/>
      <w:divBdr>
        <w:top w:val="none" w:sz="0" w:space="0" w:color="auto"/>
        <w:left w:val="none" w:sz="0" w:space="0" w:color="auto"/>
        <w:bottom w:val="none" w:sz="0" w:space="0" w:color="auto"/>
        <w:right w:val="none" w:sz="0" w:space="0" w:color="auto"/>
      </w:divBdr>
    </w:div>
    <w:div w:id="1009912446">
      <w:bodyDiv w:val="1"/>
      <w:marLeft w:val="0"/>
      <w:marRight w:val="0"/>
      <w:marTop w:val="0"/>
      <w:marBottom w:val="0"/>
      <w:divBdr>
        <w:top w:val="none" w:sz="0" w:space="0" w:color="auto"/>
        <w:left w:val="none" w:sz="0" w:space="0" w:color="auto"/>
        <w:bottom w:val="none" w:sz="0" w:space="0" w:color="auto"/>
        <w:right w:val="none" w:sz="0" w:space="0" w:color="auto"/>
      </w:divBdr>
    </w:div>
    <w:div w:id="1275282689">
      <w:bodyDiv w:val="1"/>
      <w:marLeft w:val="0"/>
      <w:marRight w:val="0"/>
      <w:marTop w:val="0"/>
      <w:marBottom w:val="0"/>
      <w:divBdr>
        <w:top w:val="none" w:sz="0" w:space="0" w:color="auto"/>
        <w:left w:val="none" w:sz="0" w:space="0" w:color="auto"/>
        <w:bottom w:val="none" w:sz="0" w:space="0" w:color="auto"/>
        <w:right w:val="none" w:sz="0" w:space="0" w:color="auto"/>
      </w:divBdr>
    </w:div>
    <w:div w:id="1303543102">
      <w:bodyDiv w:val="1"/>
      <w:marLeft w:val="0"/>
      <w:marRight w:val="0"/>
      <w:marTop w:val="0"/>
      <w:marBottom w:val="0"/>
      <w:divBdr>
        <w:top w:val="none" w:sz="0" w:space="0" w:color="auto"/>
        <w:left w:val="none" w:sz="0" w:space="0" w:color="auto"/>
        <w:bottom w:val="none" w:sz="0" w:space="0" w:color="auto"/>
        <w:right w:val="none" w:sz="0" w:space="0" w:color="auto"/>
      </w:divBdr>
    </w:div>
    <w:div w:id="1321426245">
      <w:bodyDiv w:val="1"/>
      <w:marLeft w:val="0"/>
      <w:marRight w:val="0"/>
      <w:marTop w:val="0"/>
      <w:marBottom w:val="0"/>
      <w:divBdr>
        <w:top w:val="none" w:sz="0" w:space="0" w:color="auto"/>
        <w:left w:val="none" w:sz="0" w:space="0" w:color="auto"/>
        <w:bottom w:val="none" w:sz="0" w:space="0" w:color="auto"/>
        <w:right w:val="none" w:sz="0" w:space="0" w:color="auto"/>
      </w:divBdr>
    </w:div>
    <w:div w:id="1330787469">
      <w:bodyDiv w:val="1"/>
      <w:marLeft w:val="0"/>
      <w:marRight w:val="0"/>
      <w:marTop w:val="0"/>
      <w:marBottom w:val="0"/>
      <w:divBdr>
        <w:top w:val="none" w:sz="0" w:space="0" w:color="auto"/>
        <w:left w:val="none" w:sz="0" w:space="0" w:color="auto"/>
        <w:bottom w:val="none" w:sz="0" w:space="0" w:color="auto"/>
        <w:right w:val="none" w:sz="0" w:space="0" w:color="auto"/>
      </w:divBdr>
    </w:div>
    <w:div w:id="1456750960">
      <w:bodyDiv w:val="1"/>
      <w:marLeft w:val="0"/>
      <w:marRight w:val="0"/>
      <w:marTop w:val="0"/>
      <w:marBottom w:val="0"/>
      <w:divBdr>
        <w:top w:val="none" w:sz="0" w:space="0" w:color="auto"/>
        <w:left w:val="none" w:sz="0" w:space="0" w:color="auto"/>
        <w:bottom w:val="none" w:sz="0" w:space="0" w:color="auto"/>
        <w:right w:val="none" w:sz="0" w:space="0" w:color="auto"/>
      </w:divBdr>
    </w:div>
    <w:div w:id="1491672605">
      <w:bodyDiv w:val="1"/>
      <w:marLeft w:val="0"/>
      <w:marRight w:val="0"/>
      <w:marTop w:val="0"/>
      <w:marBottom w:val="0"/>
      <w:divBdr>
        <w:top w:val="none" w:sz="0" w:space="0" w:color="auto"/>
        <w:left w:val="none" w:sz="0" w:space="0" w:color="auto"/>
        <w:bottom w:val="none" w:sz="0" w:space="0" w:color="auto"/>
        <w:right w:val="none" w:sz="0" w:space="0" w:color="auto"/>
      </w:divBdr>
    </w:div>
    <w:div w:id="1534344084">
      <w:bodyDiv w:val="1"/>
      <w:marLeft w:val="0"/>
      <w:marRight w:val="0"/>
      <w:marTop w:val="0"/>
      <w:marBottom w:val="0"/>
      <w:divBdr>
        <w:top w:val="none" w:sz="0" w:space="0" w:color="auto"/>
        <w:left w:val="none" w:sz="0" w:space="0" w:color="auto"/>
        <w:bottom w:val="none" w:sz="0" w:space="0" w:color="auto"/>
        <w:right w:val="none" w:sz="0" w:space="0" w:color="auto"/>
      </w:divBdr>
    </w:div>
    <w:div w:id="1594312925">
      <w:bodyDiv w:val="1"/>
      <w:marLeft w:val="0"/>
      <w:marRight w:val="0"/>
      <w:marTop w:val="0"/>
      <w:marBottom w:val="0"/>
      <w:divBdr>
        <w:top w:val="none" w:sz="0" w:space="0" w:color="auto"/>
        <w:left w:val="none" w:sz="0" w:space="0" w:color="auto"/>
        <w:bottom w:val="none" w:sz="0" w:space="0" w:color="auto"/>
        <w:right w:val="none" w:sz="0" w:space="0" w:color="auto"/>
      </w:divBdr>
    </w:div>
    <w:div w:id="1716857107">
      <w:bodyDiv w:val="1"/>
      <w:marLeft w:val="0"/>
      <w:marRight w:val="0"/>
      <w:marTop w:val="0"/>
      <w:marBottom w:val="0"/>
      <w:divBdr>
        <w:top w:val="none" w:sz="0" w:space="0" w:color="auto"/>
        <w:left w:val="none" w:sz="0" w:space="0" w:color="auto"/>
        <w:bottom w:val="none" w:sz="0" w:space="0" w:color="auto"/>
        <w:right w:val="none" w:sz="0" w:space="0" w:color="auto"/>
      </w:divBdr>
    </w:div>
    <w:div w:id="1721048483">
      <w:bodyDiv w:val="1"/>
      <w:marLeft w:val="0"/>
      <w:marRight w:val="0"/>
      <w:marTop w:val="0"/>
      <w:marBottom w:val="0"/>
      <w:divBdr>
        <w:top w:val="none" w:sz="0" w:space="0" w:color="auto"/>
        <w:left w:val="none" w:sz="0" w:space="0" w:color="auto"/>
        <w:bottom w:val="none" w:sz="0" w:space="0" w:color="auto"/>
        <w:right w:val="none" w:sz="0" w:space="0" w:color="auto"/>
      </w:divBdr>
    </w:div>
    <w:div w:id="1729645791">
      <w:bodyDiv w:val="1"/>
      <w:marLeft w:val="0"/>
      <w:marRight w:val="0"/>
      <w:marTop w:val="0"/>
      <w:marBottom w:val="0"/>
      <w:divBdr>
        <w:top w:val="none" w:sz="0" w:space="0" w:color="auto"/>
        <w:left w:val="none" w:sz="0" w:space="0" w:color="auto"/>
        <w:bottom w:val="none" w:sz="0" w:space="0" w:color="auto"/>
        <w:right w:val="none" w:sz="0" w:space="0" w:color="auto"/>
      </w:divBdr>
    </w:div>
    <w:div w:id="1861044849">
      <w:bodyDiv w:val="1"/>
      <w:marLeft w:val="0"/>
      <w:marRight w:val="0"/>
      <w:marTop w:val="0"/>
      <w:marBottom w:val="0"/>
      <w:divBdr>
        <w:top w:val="none" w:sz="0" w:space="0" w:color="auto"/>
        <w:left w:val="none" w:sz="0" w:space="0" w:color="auto"/>
        <w:bottom w:val="none" w:sz="0" w:space="0" w:color="auto"/>
        <w:right w:val="none" w:sz="0" w:space="0" w:color="auto"/>
      </w:divBdr>
    </w:div>
    <w:div w:id="1956325336">
      <w:bodyDiv w:val="1"/>
      <w:marLeft w:val="0"/>
      <w:marRight w:val="0"/>
      <w:marTop w:val="0"/>
      <w:marBottom w:val="0"/>
      <w:divBdr>
        <w:top w:val="none" w:sz="0" w:space="0" w:color="auto"/>
        <w:left w:val="none" w:sz="0" w:space="0" w:color="auto"/>
        <w:bottom w:val="none" w:sz="0" w:space="0" w:color="auto"/>
        <w:right w:val="none" w:sz="0" w:space="0" w:color="auto"/>
      </w:divBdr>
    </w:div>
    <w:div w:id="2105346569">
      <w:bodyDiv w:val="1"/>
      <w:marLeft w:val="0"/>
      <w:marRight w:val="0"/>
      <w:marTop w:val="0"/>
      <w:marBottom w:val="0"/>
      <w:divBdr>
        <w:top w:val="none" w:sz="0" w:space="0" w:color="auto"/>
        <w:left w:val="none" w:sz="0" w:space="0" w:color="auto"/>
        <w:bottom w:val="none" w:sz="0" w:space="0" w:color="auto"/>
        <w:right w:val="none" w:sz="0" w:space="0" w:color="auto"/>
      </w:divBdr>
    </w:div>
    <w:div w:id="212029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Year>2021</b:Year>
    <b:Volume>6</b:Volume>
    <b:BIBTEX_Entry>article</b:BIBTEX_Entry>
    <b:SourceType>JournalArticle</b:SourceType>
    <b:Title>COVID-19 epidemic prediction and the impact of public health interventions: A review of COVID-19 epidemic models</b:Title>
    <b:Publisher>Elsevier</b:Publisher>
    <b:Tag>xiang2021covid</b:Tag>
    <b:Author>
      <b:Author>
        <b:NameList>
          <b:Person>
            <b:Last>Xiang</b:Last>
            <b:First>Yue</b:First>
          </b:Person>
          <b:Person>
            <b:Last>Jia</b:Last>
            <b:First>Yonghong</b:First>
          </b:Person>
          <b:Person>
            <b:Last>Chen</b:Last>
            <b:First>Linlin</b:First>
          </b:Person>
          <b:Person>
            <b:Last>Guo</b:Last>
            <b:First>Lei</b:First>
          </b:Person>
          <b:Person>
            <b:Last>Shu</b:Last>
            <b:First>Bizhen</b:First>
          </b:Person>
          <b:Person>
            <b:Last>Long</b:Last>
            <b:First>Enshen</b:First>
          </b:Person>
        </b:NameList>
      </b:Author>
    </b:Author>
    <b:Pages>324–342</b:Pages>
    <b:JournalName>Infectious Disease Modelling</b:JournalName>
    <b:RefOrder>7</b:RefOrder>
  </b:Source>
  <b:Source>
    <b:Year>2021</b:Year>
    <b:Volume>594</b:Volume>
    <b:BIBTEX_Entry>article</b:BIBTEX_Entry>
    <b:SourceType>JournalArticle</b:SourceType>
    <b:Title>The epidemiological impact of the NHS COVID-19 app</b:Title>
    <b:Publisher>Nature Publishing Group UK London</b:Publisher>
    <b:Tag>wymant2021epidemiological</b:Tag>
    <b:Author>
      <b:Author>
        <b:NameList>
          <b:Person>
            <b:Last>Wymant</b:Last>
            <b:First>Chris</b:First>
          </b:Person>
          <b:Person>
            <b:Last>Ferretti</b:Last>
            <b:First>Luca</b:First>
          </b:Person>
          <b:Person>
            <b:Last>Tsallis</b:Last>
            <b:First>Daphne</b:First>
          </b:Person>
          <b:Person>
            <b:Last>Charalambides</b:Last>
            <b:First>Marcos</b:First>
          </b:Person>
          <b:Person>
            <b:Last>Abeler-Dörner</b:Last>
            <b:First>Lucie</b:First>
          </b:Person>
          <b:Person>
            <b:Last>Bonsall</b:Last>
            <b:First>David</b:First>
          </b:Person>
          <b:Person>
            <b:Last>Hinch</b:Last>
            <b:First>Robert</b:First>
          </b:Person>
          <b:Person>
            <b:Last>Kendall</b:Last>
            <b:First>Michelle</b:First>
          </b:Person>
          <b:Person>
            <b:Last>Milsom</b:Last>
            <b:First>Luke</b:First>
          </b:Person>
          <b:Person>
            <b:Last>Ayres</b:Last>
            <b:First>Matthew</b:First>
          </b:Person>
          <b:Person>
            <b:Last>others</b:Last>
          </b:Person>
        </b:NameList>
      </b:Author>
    </b:Author>
    <b:Pages>408–412</b:Pages>
    <b:JournalName>Nature</b:JournalName>
    <b:Number>7863</b:Number>
    <b:RefOrder>6</b:RefOrder>
  </b:Source>
  <b:Source>
    <b:Year>2020</b:Year>
    <b:Volume>33</b:Volume>
    <b:BIBTEX_Entry>article</b:BIBTEX_Entry>
    <b:SourceType>JournalArticle</b:SourceType>
    <b:Title>Psychological impact of the COVID-19 pandemic on healthcare workers: a cross-sectional study in China</b:Title>
    <b:Publisher>Shanghai Mental Health Center</b:Publisher>
    <b:Tag>que2020psychological</b:Tag>
    <b:Author>
      <b:Author>
        <b:NameList>
          <b:Person>
            <b:Last>Que</b:Last>
            <b:First>Jianyu</b:First>
          </b:Person>
          <b:Person>
            <b:Last>Shi</b:Last>
            <b:Middle>E.</b:Middle>
            <b:First>L.</b:First>
          </b:Person>
          <b:Person>
            <b:Last>Deng</b:Last>
            <b:First>Jiahui</b:First>
          </b:Person>
          <b:Person>
            <b:Last>Liu</b:Last>
            <b:First>Jiajia</b:First>
          </b:Person>
          <b:Person>
            <b:Last>Zhang</b:Last>
            <b:First>Li</b:First>
          </b:Person>
          <b:Person>
            <b:Last>Wu</b:Last>
            <b:First>Suying</b:First>
          </b:Person>
          <b:Person>
            <b:Last>Gong</b:Last>
            <b:First>Yimiao</b:First>
          </b:Person>
          <b:Person>
            <b:Last>Huang</b:Last>
            <b:First>Weizhen</b:First>
          </b:Person>
          <b:Person>
            <b:Last>Yuan</b:Last>
            <b:First>Kai</b:First>
          </b:Person>
          <b:Person>
            <b:Last>Yan</b:Last>
            <b:First>Wei</b:First>
          </b:Person>
          <b:Person>
            <b:Last>others</b:Last>
          </b:Person>
        </b:NameList>
      </b:Author>
    </b:Author>
    <b:JournalName>General psychiatry</b:JournalName>
    <b:Number>3</b:Number>
    <b:RefOrder>11</b:RefOrder>
  </b:Source>
  <b:Source>
    <b:Year>2020</b:Year>
    <b:Volume>75</b:Volume>
    <b:BIBTEX_Entry>article</b:BIBTEX_Entry>
    <b:SourceType>JournalArticle</b:SourceType>
    <b:Title>Risk and resilience in family well-being during the COVID-19 pandemic.</b:Title>
    <b:Publisher>American Psychological Association</b:Publisher>
    <b:Tag>prime2020risk</b:Tag>
    <b:Author>
      <b:Author>
        <b:NameList>
          <b:Person>
            <b:Last>Prime</b:Last>
            <b:First>Heather</b:First>
          </b:Person>
          <b:Person>
            <b:Last>Wade</b:Last>
            <b:First>Mark</b:First>
          </b:Person>
          <b:Person>
            <b:Last>Browne</b:Last>
            <b:Middle>T.</b:Middle>
            <b:First>Dillon</b:First>
          </b:Person>
        </b:NameList>
      </b:Author>
    </b:Author>
    <b:Pages>631</b:Pages>
    <b:JournalName>American Psychologist</b:JournalName>
    <b:Number>5</b:Number>
    <b:RefOrder>10</b:RefOrder>
  </b:Source>
  <b:Source>
    <b:Year>2021</b:Year>
    <b:Volume>76</b:Volume>
    <b:BIBTEX_Entry>article</b:BIBTEX_Entry>
    <b:SourceType>JournalArticle</b:SourceType>
    <b:Title>Up and about: Older adults’ well-being during the COVID-19 pandemic in a Swedish longitudinal study</b:Title>
    <b:Publisher>Oxford University Press US</b:Publisher>
    <b:Tag>kivi2021up</b:Tag>
    <b:Author>
      <b:Author>
        <b:NameList>
          <b:Person>
            <b:Last>Kivi</b:Last>
            <b:First>Marie</b:First>
          </b:Person>
          <b:Person>
            <b:Last>Hansson</b:Last>
            <b:First>Isabelle</b:First>
          </b:Person>
          <b:Person>
            <b:Last>Bjälkebring</b:Last>
            <b:First>Pär</b:First>
          </b:Person>
        </b:NameList>
      </b:Author>
    </b:Author>
    <b:Pages>e4–e9</b:Pages>
    <b:JournalName>The Journals of Gerontology: Series B</b:JournalName>
    <b:Number>2</b:Number>
    <b:RefOrder>9</b:RefOrder>
  </b:Source>
  <b:Source>
    <b:Year>2021</b:Year>
    <b:Volume>221</b:Volume>
    <b:BIBTEX_Entry>article</b:BIBTEX_Entry>
    <b:SourceType>JournalArticle</b:SourceType>
    <b:Title>How resilient is your team? Exploring healthcare providers’ well-being during the COVID-19 pandemic</b:Title>
    <b:Publisher>Elsevier</b:Publisher>
    <b:Tag>huffman2021resilient</b:Tag>
    <b:Author>
      <b:Author>
        <b:NameList>
          <b:Person>
            <b:Last>Huffman</b:Last>
            <b:Middle>M.</b:Middle>
            <b:First>Elizabeth</b:First>
          </b:Person>
          <b:Person>
            <b:Last>Athanasiadis</b:Last>
            <b:Middle>I.</b:Middle>
            <b:First>Dimitrios</b:First>
          </b:Person>
          <b:Person>
            <b:Last>Anton</b:Last>
            <b:Middle>E.</b:Middle>
            <b:First>Nicholas</b:First>
          </b:Person>
          <b:Person>
            <b:Last>Haskett</b:Last>
            <b:Middle>A.</b:Middle>
            <b:First>Lindsay</b:First>
          </b:Person>
          <b:Person>
            <b:Last>Doster</b:Last>
            <b:Middle>L.</b:Middle>
            <b:First>Dominique</b:First>
          </b:Person>
          <b:Person>
            <b:Last>Stefanidis</b:Last>
            <b:First>Dimitrios</b:First>
          </b:Person>
          <b:Person>
            <b:Last>Lee</b:Last>
            <b:Middle>K.</b:Middle>
            <b:First>Nicole</b:First>
          </b:Person>
        </b:NameList>
      </b:Author>
    </b:Author>
    <b:Pages>277–284</b:Pages>
    <b:JournalName>The American Journal of Surgery</b:JournalName>
    <b:Number>2</b:Number>
    <b:RefOrder>8</b:RefOrder>
  </b:Source>
  <b:Source>
    <b:Year>2020</b:Year>
    <b:Volume>50</b:Volume>
    <b:BIBTEX_Entry>article</b:BIBTEX_Entry>
    <b:SourceType>JournalArticle</b:SourceType>
    <b:Title>COVID-19: Prevention and control measures in community</b:Title>
    <b:Tag>guner2020covid</b:Tag>
    <b:Author>
      <b:Author>
        <b:NameList>
          <b:Person>
            <b:Last>Güner</b:Last>
            <b:Middle>Rahmet</b:Middle>
            <b:First>Hatice</b:First>
          </b:Person>
          <b:Person>
            <b:Last>Hasanoğlu</b:Last>
            <b:First>İmran</b:First>
          </b:Person>
          <b:Person>
            <b:Last>Aktaş</b:Last>
            <b:First>Firdevs</b:First>
          </b:Person>
        </b:NameList>
      </b:Author>
    </b:Author>
    <b:Pages>571–577</b:Pages>
    <b:JournalName>Turkish Journal of medical sciences</b:JournalName>
    <b:Number>9</b:Number>
    <b:RefOrder>5</b:RefOrder>
  </b:Source>
  <b:Source>
    <b:Year>2020</b:Year>
    <b:Volume>1</b:Volume>
    <b:BIBTEX_Entry>inproceedings</b:BIBTEX_Entry>
    <b:SourceType>ConferenceProceedings</b:SourceType>
    <b:Title>COVID-19 reveals urgent need to strengthen the World Health Organization</b:Title>
    <b:Tag>gostin2020covid</b:Tag>
    <b:BookTitle>JAMA Health Forum</b:BookTitle>
    <b:Author>
      <b:Author>
        <b:NameList>
          <b:Person>
            <b:Last>Gostin</b:Last>
            <b:Middle>O.</b:Middle>
            <b:First>Lawrence</b:First>
          </b:Person>
        </b:NameList>
      </b:Author>
    </b:Author>
    <b:Pages>e200559–e200559</b:Pages>
    <b:Number>4</b:Number>
    <b:ConferenceName>JAMA Health Forum</b:ConferenceName>
    <b:RefOrder>4</b:RefOrder>
  </b:Source>
  <b:Source>
    <b:Year>2008</b:Year>
    <b:Volume>84</b:Volume>
    <b:BIBTEX_Entry>article</b:BIBTEX_Entry>
    <b:SourceType>JournalArticle</b:SourceType>
    <b:Title>Securitizing infectious disease</b:Title>
    <b:Publisher>Oxford University Press</b:Publisher>
    <b:Tag>davies2008securitizing</b:Tag>
    <b:Author>
      <b:Author>
        <b:NameList>
          <b:Person>
            <b:Last>Davies</b:Last>
            <b:Middle>E.</b:Middle>
            <b:First>Sara</b:First>
          </b:Person>
        </b:NameList>
      </b:Author>
    </b:Author>
    <b:Pages>295–313</b:Pages>
    <b:JournalName>International affairs</b:JournalName>
    <b:Number>2</b:Number>
    <b:RefOrder>1</b:RefOrder>
  </b:Source>
  <b:Source>
    <b:Year>2021</b:Year>
    <b:Volume>21</b:Volume>
    <b:BIBTEX_Entry>article</b:BIBTEX_Entry>
    <b:SourceType>JournalArticle</b:SourceType>
    <b:Title>Effective public health measures to mitigate the spread of COVID-19: a systematic review</b:Title>
    <b:Publisher>BioMed Central</b:Publisher>
    <b:Tag>ayouni2021effective</b:Tag>
    <b:Author>
      <b:Author>
        <b:NameList>
          <b:Person>
            <b:Last>Ayouni</b:Last>
            <b:First>Imen</b:First>
          </b:Person>
          <b:Person>
            <b:Last>Maatoug</b:Last>
            <b:First>Jihen</b:First>
          </b:Person>
          <b:Person>
            <b:Last>Dhouib</b:Last>
            <b:First>Wafa</b:First>
          </b:Person>
          <b:Person>
            <b:Last>Zammit</b:Last>
            <b:First>Nawel</b:First>
          </b:Person>
          <b:Person>
            <b:Last>Fredj</b:Last>
            <b:Middle>Ben</b:Middle>
            <b:First>Sihem</b:First>
          </b:Person>
          <b:Person>
            <b:Last>Ghammam</b:Last>
            <b:First>Rim</b:First>
          </b:Person>
          <b:Person>
            <b:Last>Ghannem</b:Last>
            <b:First>Hassen</b:First>
          </b:Person>
        </b:NameList>
      </b:Author>
    </b:Author>
    <b:Pages>1–14</b:Pages>
    <b:JournalName>BMC public health</b:JournalName>
    <b:Number>1</b:Number>
    <b:RefOrder>2</b:RefOrder>
  </b:Source>
  <b:Source>
    <b:Year>2020</b:Year>
    <b:Volume>50</b:Volume>
    <b:BIBTEX_Entry>article</b:BIBTEX_Entry>
    <b:SourceType>JournalArticle</b:SourceType>
    <b:Title>Protective measures for COVID-19 for healthcare providers and laboratory personnel</b:Title>
    <b:Tag>augalar2020protective</b:Tag>
    <b:Author>
      <b:Author>
        <b:NameList>
          <b:Person>
            <b:Last>Ağalar</b:Last>
            <b:First>Canan</b:First>
          </b:Person>
          <b:Person>
            <b:Last>Engin</b:Last>
            <b:Middle>Öztürk</b:Middle>
            <b:First>Derya</b:First>
          </b:Person>
        </b:NameList>
      </b:Author>
    </b:Author>
    <b:Pages>578–584</b:Pages>
    <b:JournalName>Turkish journal of medical sciences</b:JournalName>
    <b:Number>9</b:Number>
    <b:RefOrder>3</b:RefOrder>
  </b:Source>
</b:Sources>
</file>

<file path=customXml/itemProps1.xml><?xml version="1.0" encoding="utf-8"?>
<ds:datastoreItem xmlns:ds="http://schemas.openxmlformats.org/officeDocument/2006/customXml" ds:itemID="{8A61022C-E3B7-4F16-849E-278D5B930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2419</Words>
  <Characters>13792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Raiena</dc:creator>
  <cp:keywords/>
  <dc:description/>
  <cp:lastModifiedBy>Saumia Aftab</cp:lastModifiedBy>
  <cp:revision>3</cp:revision>
  <dcterms:created xsi:type="dcterms:W3CDTF">2023-04-03T14:19:00Z</dcterms:created>
  <dcterms:modified xsi:type="dcterms:W3CDTF">2023-04-03T14:20:00Z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846e022e5564496d93411d6df5aa3c92f5510b81dcf9b1f54ef6fd06d3a969c3</vt:lpwstr>
  </property>
</Properties>
</file>