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490" w:type="dxa"/>
        <w:tblLayout w:type="fixed"/>
        <w:tblLook w:val="04A0" w:firstRow="1" w:lastRow="0" w:firstColumn="1" w:lastColumn="0" w:noHBand="0" w:noVBand="1"/>
      </w:tblPr>
      <w:tblGrid>
        <w:gridCol w:w="9490"/>
      </w:tblGrid>
      <w:tr w:rsidR="00B65E54" w:rsidRPr="00765C76" w14:paraId="5EA7B2F0" w14:textId="77777777" w:rsidTr="00C87296">
        <w:trPr>
          <w:trHeight w:val="4078"/>
        </w:trPr>
        <w:tc>
          <w:tcPr>
            <w:tcW w:w="9490" w:type="dxa"/>
            <w:shd w:val="clear" w:color="auto" w:fill="1F3864"/>
            <w:tcMar>
              <w:top w:w="500" w:type="dxa"/>
              <w:left w:w="600" w:type="dxa"/>
              <w:bottom w:w="500" w:type="dxa"/>
              <w:right w:w="600" w:type="dxa"/>
            </w:tcMar>
            <w:vAlign w:val="center"/>
          </w:tcPr>
          <w:p w14:paraId="65A28E42" w14:textId="51D92E8C" w:rsidR="00B65E54" w:rsidRPr="00765C76" w:rsidRDefault="008179A6" w:rsidP="00765C76">
            <w:pPr>
              <w:spacing w:line="360" w:lineRule="auto"/>
              <w:jc w:val="both"/>
              <w:rPr>
                <w:rFonts w:ascii="Arial" w:hAnsi="Arial" w:cs="Arial"/>
                <w:sz w:val="24"/>
                <w:szCs w:val="24"/>
              </w:rPr>
            </w:pPr>
            <w:r>
              <w:rPr>
                <w:rFonts w:ascii="Arial" w:hAnsi="Arial" w:cs="Arial"/>
                <w:b/>
                <w:caps/>
                <w:noProof/>
                <w:color w:val="C9A227"/>
                <w:spacing w:val="50"/>
                <w:sz w:val="24"/>
                <w:szCs w:val="24"/>
              </w:rPr>
              <w:drawing>
                <wp:anchor distT="0" distB="0" distL="114300" distR="114300" simplePos="0" relativeHeight="251659776" behindDoc="0" locked="0" layoutInCell="1" allowOverlap="1" wp14:anchorId="6BA91732" wp14:editId="6E9E6817">
                  <wp:simplePos x="0" y="0"/>
                  <wp:positionH relativeFrom="column">
                    <wp:posOffset>5013960</wp:posOffset>
                  </wp:positionH>
                  <wp:positionV relativeFrom="paragraph">
                    <wp:posOffset>-462915</wp:posOffset>
                  </wp:positionV>
                  <wp:extent cx="426720" cy="485775"/>
                  <wp:effectExtent l="19050" t="0" r="11430" b="180975"/>
                  <wp:wrapTopAndBottom/>
                  <wp:docPr id="439226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 cy="485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000000" w:rsidRPr="00765C76">
              <w:rPr>
                <w:rFonts w:ascii="Arial" w:hAnsi="Arial" w:cs="Arial"/>
                <w:b/>
                <w:caps/>
                <w:color w:val="C9A227"/>
                <w:spacing w:val="50"/>
                <w:sz w:val="24"/>
                <w:szCs w:val="24"/>
              </w:rPr>
              <w:t>University of Wales Trinity Saint David</w:t>
            </w:r>
          </w:p>
          <w:p w14:paraId="25B2A73E" w14:textId="77777777" w:rsidR="00C87296" w:rsidRDefault="00000000" w:rsidP="00C87296">
            <w:pPr>
              <w:pBdr>
                <w:bottom w:val="single" w:sz="12" w:space="6" w:color="C9A227"/>
              </w:pBdr>
              <w:spacing w:after="700" w:line="360" w:lineRule="auto"/>
              <w:jc w:val="both"/>
              <w:rPr>
                <w:rFonts w:ascii="Arial" w:hAnsi="Arial" w:cs="Arial"/>
                <w:sz w:val="24"/>
                <w:szCs w:val="24"/>
              </w:rPr>
            </w:pPr>
            <w:r w:rsidRPr="00765C76">
              <w:rPr>
                <w:rFonts w:ascii="Arial" w:hAnsi="Arial" w:cs="Arial"/>
                <w:caps/>
                <w:color w:val="D9E2F3"/>
                <w:spacing w:val="30"/>
                <w:sz w:val="24"/>
                <w:szCs w:val="24"/>
              </w:rPr>
              <w:t>Component 1 · Written Submission</w:t>
            </w:r>
          </w:p>
          <w:p w14:paraId="19102FC2" w14:textId="54C50737" w:rsidR="00B65E54" w:rsidRPr="00765C76" w:rsidRDefault="00000000" w:rsidP="00C87296">
            <w:pPr>
              <w:pBdr>
                <w:bottom w:val="single" w:sz="12" w:space="6" w:color="C9A227"/>
              </w:pBdr>
              <w:spacing w:after="700" w:line="360" w:lineRule="auto"/>
              <w:jc w:val="both"/>
              <w:rPr>
                <w:rFonts w:ascii="Arial" w:hAnsi="Arial" w:cs="Arial"/>
                <w:sz w:val="24"/>
                <w:szCs w:val="24"/>
              </w:rPr>
            </w:pPr>
            <w:r w:rsidRPr="00765C76">
              <w:rPr>
                <w:rFonts w:ascii="Arial" w:hAnsi="Arial" w:cs="Arial"/>
                <w:b/>
                <w:color w:val="FFFFFF"/>
                <w:sz w:val="24"/>
                <w:szCs w:val="24"/>
              </w:rPr>
              <w:t>Graduate AI Strategist</w:t>
            </w:r>
          </w:p>
          <w:p w14:paraId="1D04DD3A"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D9E2F3"/>
                <w:sz w:val="24"/>
                <w:szCs w:val="24"/>
              </w:rPr>
              <w:t>Job Description and Person Specification</w:t>
            </w:r>
          </w:p>
        </w:tc>
      </w:tr>
    </w:tbl>
    <w:p w14:paraId="62889C38" w14:textId="77777777" w:rsidR="00B65E54" w:rsidRPr="00765C76" w:rsidRDefault="00000000" w:rsidP="00765C76">
      <w:pPr>
        <w:spacing w:before="600" w:after="60" w:line="360" w:lineRule="auto"/>
        <w:jc w:val="both"/>
        <w:rPr>
          <w:rFonts w:ascii="Arial" w:hAnsi="Arial" w:cs="Arial"/>
          <w:sz w:val="24"/>
          <w:szCs w:val="24"/>
        </w:rPr>
      </w:pPr>
      <w:r w:rsidRPr="00765C76">
        <w:rPr>
          <w:rFonts w:ascii="Arial" w:hAnsi="Arial" w:cs="Arial"/>
          <w:b/>
          <w:caps/>
          <w:color w:val="1F3864"/>
          <w:spacing w:val="30"/>
          <w:sz w:val="24"/>
          <w:szCs w:val="24"/>
        </w:rPr>
        <w:t>Hiring Manager Simulation</w:t>
      </w:r>
    </w:p>
    <w:p w14:paraId="2DDDF3ED" w14:textId="77777777" w:rsidR="00B65E54" w:rsidRPr="00765C76" w:rsidRDefault="00000000" w:rsidP="00765C76">
      <w:pPr>
        <w:pBdr>
          <w:bottom w:val="single" w:sz="8" w:space="6" w:color="C9A227"/>
        </w:pBdr>
        <w:spacing w:after="420" w:line="360" w:lineRule="auto"/>
        <w:jc w:val="both"/>
        <w:rPr>
          <w:rFonts w:ascii="Arial" w:hAnsi="Arial" w:cs="Arial"/>
          <w:sz w:val="24"/>
          <w:szCs w:val="24"/>
        </w:rPr>
      </w:pPr>
      <w:r w:rsidRPr="00765C76">
        <w:rPr>
          <w:rFonts w:ascii="Arial" w:hAnsi="Arial" w:cs="Arial"/>
          <w:color w:val="595959"/>
          <w:sz w:val="24"/>
          <w:szCs w:val="24"/>
        </w:rPr>
        <w:t>Recruiting a Graduate AI Strategist to deliver responsible AI literacy for UWTSD students in 2026–27.</w:t>
      </w:r>
    </w:p>
    <w:tbl>
      <w:tblPr>
        <w:tblW w:w="9648" w:type="dxa"/>
        <w:tblLayout w:type="fixed"/>
        <w:tblLook w:val="04A0" w:firstRow="1" w:lastRow="0" w:firstColumn="1" w:lastColumn="0" w:noHBand="0" w:noVBand="1"/>
      </w:tblPr>
      <w:tblGrid>
        <w:gridCol w:w="2600"/>
        <w:gridCol w:w="7048"/>
      </w:tblGrid>
      <w:tr w:rsidR="00B65E54" w:rsidRPr="00765C76" w14:paraId="7FF540E0" w14:textId="77777777">
        <w:tc>
          <w:tcPr>
            <w:tcW w:w="2600" w:type="dxa"/>
            <w:tcBorders>
              <w:top w:val="single" w:sz="4" w:space="0" w:color="D0D7E2"/>
              <w:bottom w:val="single" w:sz="4" w:space="0" w:color="D0D7E2"/>
            </w:tcBorders>
            <w:shd w:val="clear" w:color="auto" w:fill="EAF0F8"/>
            <w:tcMar>
              <w:top w:w="110" w:type="dxa"/>
              <w:left w:w="160" w:type="dxa"/>
              <w:bottom w:w="110" w:type="dxa"/>
            </w:tcMar>
            <w:vAlign w:val="center"/>
          </w:tcPr>
          <w:p w14:paraId="36E38DEF"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b/>
                <w:color w:val="1F3864"/>
                <w:sz w:val="24"/>
                <w:szCs w:val="24"/>
              </w:rPr>
              <w:t>Student name</w:t>
            </w:r>
          </w:p>
        </w:tc>
        <w:tc>
          <w:tcPr>
            <w:tcW w:w="7048" w:type="dxa"/>
            <w:tcBorders>
              <w:top w:val="single" w:sz="4" w:space="0" w:color="D0D7E2"/>
              <w:bottom w:val="single" w:sz="4" w:space="0" w:color="D0D7E2"/>
            </w:tcBorders>
            <w:tcMar>
              <w:top w:w="110" w:type="dxa"/>
              <w:left w:w="160" w:type="dxa"/>
              <w:bottom w:w="110" w:type="dxa"/>
            </w:tcMar>
            <w:vAlign w:val="center"/>
          </w:tcPr>
          <w:p w14:paraId="52C8E490"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000000"/>
                <w:sz w:val="24"/>
                <w:szCs w:val="24"/>
              </w:rPr>
              <w:t>Ateeq Rehman</w:t>
            </w:r>
          </w:p>
        </w:tc>
      </w:tr>
      <w:tr w:rsidR="00B65E54" w:rsidRPr="00765C76" w14:paraId="13BC8ADD" w14:textId="77777777">
        <w:tc>
          <w:tcPr>
            <w:tcW w:w="2600" w:type="dxa"/>
            <w:tcBorders>
              <w:top w:val="single" w:sz="4" w:space="0" w:color="D0D7E2"/>
              <w:bottom w:val="single" w:sz="4" w:space="0" w:color="D0D7E2"/>
            </w:tcBorders>
            <w:shd w:val="clear" w:color="auto" w:fill="EAF0F8"/>
            <w:tcMar>
              <w:top w:w="110" w:type="dxa"/>
              <w:left w:w="160" w:type="dxa"/>
              <w:bottom w:w="110" w:type="dxa"/>
            </w:tcMar>
            <w:vAlign w:val="center"/>
          </w:tcPr>
          <w:p w14:paraId="7EC6C609"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b/>
                <w:color w:val="1F3864"/>
                <w:sz w:val="24"/>
                <w:szCs w:val="24"/>
              </w:rPr>
              <w:t>Student ID</w:t>
            </w:r>
          </w:p>
        </w:tc>
        <w:tc>
          <w:tcPr>
            <w:tcW w:w="7048" w:type="dxa"/>
            <w:tcBorders>
              <w:top w:val="single" w:sz="4" w:space="0" w:color="D0D7E2"/>
              <w:bottom w:val="single" w:sz="4" w:space="0" w:color="D0D7E2"/>
            </w:tcBorders>
            <w:tcMar>
              <w:top w:w="110" w:type="dxa"/>
              <w:left w:w="160" w:type="dxa"/>
              <w:bottom w:w="110" w:type="dxa"/>
            </w:tcMar>
            <w:vAlign w:val="center"/>
          </w:tcPr>
          <w:p w14:paraId="2AA8406E"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000000"/>
                <w:sz w:val="24"/>
                <w:szCs w:val="24"/>
              </w:rPr>
              <w:t>2322964</w:t>
            </w:r>
          </w:p>
        </w:tc>
      </w:tr>
      <w:tr w:rsidR="00B65E54" w:rsidRPr="00765C76" w14:paraId="40559300" w14:textId="77777777">
        <w:tc>
          <w:tcPr>
            <w:tcW w:w="2600" w:type="dxa"/>
            <w:tcBorders>
              <w:top w:val="single" w:sz="4" w:space="0" w:color="D0D7E2"/>
              <w:bottom w:val="single" w:sz="4" w:space="0" w:color="D0D7E2"/>
            </w:tcBorders>
            <w:shd w:val="clear" w:color="auto" w:fill="EAF0F8"/>
            <w:tcMar>
              <w:top w:w="110" w:type="dxa"/>
              <w:left w:w="160" w:type="dxa"/>
              <w:bottom w:w="110" w:type="dxa"/>
            </w:tcMar>
            <w:vAlign w:val="center"/>
          </w:tcPr>
          <w:p w14:paraId="4327FE07"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b/>
                <w:color w:val="1F3864"/>
                <w:sz w:val="24"/>
                <w:szCs w:val="24"/>
              </w:rPr>
              <w:t>Programme</w:t>
            </w:r>
          </w:p>
        </w:tc>
        <w:tc>
          <w:tcPr>
            <w:tcW w:w="7048" w:type="dxa"/>
            <w:tcBorders>
              <w:top w:val="single" w:sz="4" w:space="0" w:color="D0D7E2"/>
              <w:bottom w:val="single" w:sz="4" w:space="0" w:color="D0D7E2"/>
            </w:tcBorders>
            <w:tcMar>
              <w:top w:w="110" w:type="dxa"/>
              <w:left w:w="160" w:type="dxa"/>
              <w:bottom w:w="110" w:type="dxa"/>
            </w:tcMar>
            <w:vAlign w:val="center"/>
          </w:tcPr>
          <w:p w14:paraId="70491FCB"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000000"/>
                <w:sz w:val="24"/>
                <w:szCs w:val="24"/>
              </w:rPr>
              <w:t>BA (Hons) Business Management</w:t>
            </w:r>
          </w:p>
        </w:tc>
      </w:tr>
      <w:tr w:rsidR="00B65E54" w:rsidRPr="00765C76" w14:paraId="2D2C767F" w14:textId="77777777">
        <w:tc>
          <w:tcPr>
            <w:tcW w:w="2600" w:type="dxa"/>
            <w:tcBorders>
              <w:top w:val="single" w:sz="4" w:space="0" w:color="D0D7E2"/>
              <w:bottom w:val="single" w:sz="4" w:space="0" w:color="D0D7E2"/>
            </w:tcBorders>
            <w:shd w:val="clear" w:color="auto" w:fill="EAF0F8"/>
            <w:tcMar>
              <w:top w:w="110" w:type="dxa"/>
              <w:left w:w="160" w:type="dxa"/>
              <w:bottom w:w="110" w:type="dxa"/>
            </w:tcMar>
            <w:vAlign w:val="center"/>
          </w:tcPr>
          <w:p w14:paraId="2DF54257"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b/>
                <w:color w:val="1F3864"/>
                <w:sz w:val="24"/>
                <w:szCs w:val="24"/>
              </w:rPr>
              <w:t>Module</w:t>
            </w:r>
          </w:p>
        </w:tc>
        <w:tc>
          <w:tcPr>
            <w:tcW w:w="7048" w:type="dxa"/>
            <w:tcBorders>
              <w:top w:val="single" w:sz="4" w:space="0" w:color="D0D7E2"/>
              <w:bottom w:val="single" w:sz="4" w:space="0" w:color="D0D7E2"/>
            </w:tcBorders>
            <w:tcMar>
              <w:top w:w="110" w:type="dxa"/>
              <w:left w:w="160" w:type="dxa"/>
              <w:bottom w:w="110" w:type="dxa"/>
            </w:tcMar>
            <w:vAlign w:val="center"/>
          </w:tcPr>
          <w:p w14:paraId="34FEC731"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000000"/>
                <w:sz w:val="24"/>
                <w:szCs w:val="24"/>
              </w:rPr>
              <w:t>LCBB5012 – Principles of Human Resource Management</w:t>
            </w:r>
          </w:p>
        </w:tc>
      </w:tr>
      <w:tr w:rsidR="00B65E54" w:rsidRPr="00765C76" w14:paraId="56261A2D" w14:textId="77777777">
        <w:tc>
          <w:tcPr>
            <w:tcW w:w="2600" w:type="dxa"/>
            <w:tcBorders>
              <w:top w:val="single" w:sz="4" w:space="0" w:color="D0D7E2"/>
              <w:bottom w:val="single" w:sz="4" w:space="0" w:color="D0D7E2"/>
            </w:tcBorders>
            <w:shd w:val="clear" w:color="auto" w:fill="EAF0F8"/>
            <w:tcMar>
              <w:top w:w="110" w:type="dxa"/>
              <w:left w:w="160" w:type="dxa"/>
              <w:bottom w:w="110" w:type="dxa"/>
            </w:tcMar>
            <w:vAlign w:val="center"/>
          </w:tcPr>
          <w:p w14:paraId="1DCABBDB"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b/>
                <w:color w:val="1F3864"/>
                <w:sz w:val="24"/>
                <w:szCs w:val="24"/>
              </w:rPr>
              <w:t>Assessment</w:t>
            </w:r>
          </w:p>
        </w:tc>
        <w:tc>
          <w:tcPr>
            <w:tcW w:w="7048" w:type="dxa"/>
            <w:tcBorders>
              <w:top w:val="single" w:sz="4" w:space="0" w:color="D0D7E2"/>
              <w:bottom w:val="single" w:sz="4" w:space="0" w:color="D0D7E2"/>
            </w:tcBorders>
            <w:tcMar>
              <w:top w:w="110" w:type="dxa"/>
              <w:left w:w="160" w:type="dxa"/>
              <w:bottom w:w="110" w:type="dxa"/>
            </w:tcMar>
            <w:vAlign w:val="center"/>
          </w:tcPr>
          <w:p w14:paraId="0595929C"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000000"/>
                <w:sz w:val="24"/>
                <w:szCs w:val="24"/>
              </w:rPr>
              <w:t>Component 1: Academic Interview for HR Processes</w:t>
            </w:r>
          </w:p>
        </w:tc>
      </w:tr>
      <w:tr w:rsidR="00B65E54" w:rsidRPr="00765C76" w14:paraId="3EFEE799" w14:textId="77777777">
        <w:tc>
          <w:tcPr>
            <w:tcW w:w="2600" w:type="dxa"/>
            <w:tcBorders>
              <w:top w:val="single" w:sz="4" w:space="0" w:color="D0D7E2"/>
              <w:bottom w:val="single" w:sz="4" w:space="0" w:color="D0D7E2"/>
            </w:tcBorders>
            <w:shd w:val="clear" w:color="auto" w:fill="EAF0F8"/>
            <w:tcMar>
              <w:top w:w="110" w:type="dxa"/>
              <w:left w:w="160" w:type="dxa"/>
              <w:bottom w:w="110" w:type="dxa"/>
            </w:tcMar>
            <w:vAlign w:val="center"/>
          </w:tcPr>
          <w:p w14:paraId="0EC71056"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b/>
                <w:color w:val="1F3864"/>
                <w:sz w:val="24"/>
                <w:szCs w:val="24"/>
              </w:rPr>
              <w:t>Lecturers</w:t>
            </w:r>
          </w:p>
        </w:tc>
        <w:tc>
          <w:tcPr>
            <w:tcW w:w="7048" w:type="dxa"/>
            <w:tcBorders>
              <w:top w:val="single" w:sz="4" w:space="0" w:color="D0D7E2"/>
              <w:bottom w:val="single" w:sz="4" w:space="0" w:color="D0D7E2"/>
            </w:tcBorders>
            <w:tcMar>
              <w:top w:w="110" w:type="dxa"/>
              <w:left w:w="160" w:type="dxa"/>
              <w:bottom w:w="110" w:type="dxa"/>
            </w:tcMar>
            <w:vAlign w:val="center"/>
          </w:tcPr>
          <w:p w14:paraId="05CA5A82" w14:textId="4B54669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000000"/>
                <w:sz w:val="24"/>
                <w:szCs w:val="24"/>
              </w:rPr>
              <w:t xml:space="preserve">Dr Eric Osei </w:t>
            </w:r>
          </w:p>
        </w:tc>
      </w:tr>
      <w:tr w:rsidR="00B65E54" w:rsidRPr="00765C76" w14:paraId="047D11C6" w14:textId="77777777">
        <w:tc>
          <w:tcPr>
            <w:tcW w:w="2600" w:type="dxa"/>
            <w:tcBorders>
              <w:top w:val="single" w:sz="4" w:space="0" w:color="D0D7E2"/>
              <w:bottom w:val="single" w:sz="4" w:space="0" w:color="D0D7E2"/>
            </w:tcBorders>
            <w:shd w:val="clear" w:color="auto" w:fill="EAF0F8"/>
            <w:tcMar>
              <w:top w:w="110" w:type="dxa"/>
              <w:left w:w="160" w:type="dxa"/>
              <w:bottom w:w="110" w:type="dxa"/>
            </w:tcMar>
            <w:vAlign w:val="center"/>
          </w:tcPr>
          <w:p w14:paraId="54079F2A"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b/>
                <w:color w:val="1F3864"/>
                <w:sz w:val="24"/>
                <w:szCs w:val="24"/>
              </w:rPr>
              <w:t>Academic year</w:t>
            </w:r>
          </w:p>
        </w:tc>
        <w:tc>
          <w:tcPr>
            <w:tcW w:w="7048" w:type="dxa"/>
            <w:tcBorders>
              <w:top w:val="single" w:sz="4" w:space="0" w:color="D0D7E2"/>
              <w:bottom w:val="single" w:sz="4" w:space="0" w:color="D0D7E2"/>
            </w:tcBorders>
            <w:tcMar>
              <w:top w:w="110" w:type="dxa"/>
              <w:left w:w="160" w:type="dxa"/>
              <w:bottom w:w="110" w:type="dxa"/>
            </w:tcMar>
            <w:vAlign w:val="center"/>
          </w:tcPr>
          <w:p w14:paraId="4371EC25"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000000"/>
                <w:sz w:val="24"/>
                <w:szCs w:val="24"/>
              </w:rPr>
              <w:t>2026–27</w:t>
            </w:r>
          </w:p>
        </w:tc>
      </w:tr>
      <w:tr w:rsidR="00B65E54" w:rsidRPr="00765C76" w14:paraId="52424808" w14:textId="77777777">
        <w:tc>
          <w:tcPr>
            <w:tcW w:w="2600" w:type="dxa"/>
            <w:tcBorders>
              <w:top w:val="single" w:sz="4" w:space="0" w:color="D0D7E2"/>
              <w:bottom w:val="single" w:sz="4" w:space="0" w:color="D0D7E2"/>
            </w:tcBorders>
            <w:shd w:val="clear" w:color="auto" w:fill="EAF0F8"/>
            <w:tcMar>
              <w:top w:w="110" w:type="dxa"/>
              <w:left w:w="160" w:type="dxa"/>
              <w:bottom w:w="110" w:type="dxa"/>
            </w:tcMar>
            <w:vAlign w:val="center"/>
          </w:tcPr>
          <w:p w14:paraId="4D1F9399"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b/>
                <w:color w:val="1F3864"/>
                <w:sz w:val="24"/>
                <w:szCs w:val="24"/>
              </w:rPr>
              <w:t>Submission deadline</w:t>
            </w:r>
          </w:p>
        </w:tc>
        <w:tc>
          <w:tcPr>
            <w:tcW w:w="7048" w:type="dxa"/>
            <w:tcBorders>
              <w:top w:val="single" w:sz="4" w:space="0" w:color="D0D7E2"/>
              <w:bottom w:val="single" w:sz="4" w:space="0" w:color="D0D7E2"/>
            </w:tcBorders>
            <w:tcMar>
              <w:top w:w="110" w:type="dxa"/>
              <w:left w:w="160" w:type="dxa"/>
              <w:bottom w:w="110" w:type="dxa"/>
            </w:tcMar>
            <w:vAlign w:val="center"/>
          </w:tcPr>
          <w:p w14:paraId="4F6E370A" w14:textId="77777777" w:rsidR="00B65E54" w:rsidRPr="00765C76" w:rsidRDefault="00000000" w:rsidP="00765C76">
            <w:pPr>
              <w:spacing w:after="0" w:line="360" w:lineRule="auto"/>
              <w:jc w:val="both"/>
              <w:rPr>
                <w:rFonts w:ascii="Arial" w:hAnsi="Arial" w:cs="Arial"/>
                <w:sz w:val="24"/>
                <w:szCs w:val="24"/>
              </w:rPr>
            </w:pPr>
            <w:r w:rsidRPr="00765C76">
              <w:rPr>
                <w:rFonts w:ascii="Arial" w:hAnsi="Arial" w:cs="Arial"/>
                <w:color w:val="000000"/>
                <w:sz w:val="24"/>
                <w:szCs w:val="24"/>
              </w:rPr>
              <w:t>18 October 2026, before 2:00 pm</w:t>
            </w:r>
          </w:p>
        </w:tc>
      </w:tr>
    </w:tbl>
    <w:p w14:paraId="45E48B07"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br w:type="page"/>
      </w:r>
    </w:p>
    <w:p w14:paraId="6BB6684D" w14:textId="77777777" w:rsidR="00B65E54" w:rsidRPr="00765C76" w:rsidRDefault="00000000" w:rsidP="00765C76">
      <w:pPr>
        <w:pBdr>
          <w:bottom w:val="single" w:sz="12" w:space="6" w:color="C9A227"/>
        </w:pBdr>
        <w:spacing w:after="300" w:line="360" w:lineRule="auto"/>
        <w:jc w:val="both"/>
        <w:rPr>
          <w:rFonts w:ascii="Arial" w:hAnsi="Arial" w:cs="Arial"/>
          <w:sz w:val="24"/>
          <w:szCs w:val="24"/>
        </w:rPr>
      </w:pPr>
      <w:r w:rsidRPr="00765C76">
        <w:rPr>
          <w:rFonts w:ascii="Arial" w:hAnsi="Arial" w:cs="Arial"/>
          <w:b/>
          <w:color w:val="1F3864"/>
          <w:sz w:val="24"/>
          <w:szCs w:val="24"/>
        </w:rPr>
        <w:lastRenderedPageBreak/>
        <w:t>Contents</w:t>
      </w:r>
    </w:p>
    <w:p w14:paraId="4FCC4D3B" w14:textId="50E829FB" w:rsidR="00B65E54" w:rsidRPr="00765C76" w:rsidRDefault="00000000" w:rsidP="00765C76">
      <w:pPr>
        <w:tabs>
          <w:tab w:val="right" w:leader="dot" w:pos="9648"/>
        </w:tabs>
        <w:spacing w:before="120" w:after="110" w:line="360" w:lineRule="auto"/>
        <w:jc w:val="both"/>
        <w:rPr>
          <w:rFonts w:ascii="Arial" w:hAnsi="Arial" w:cs="Arial"/>
          <w:sz w:val="24"/>
          <w:szCs w:val="24"/>
        </w:rPr>
      </w:pPr>
      <w:r w:rsidRPr="00765C76">
        <w:rPr>
          <w:rFonts w:ascii="Arial" w:hAnsi="Arial" w:cs="Arial"/>
          <w:sz w:val="24"/>
          <w:szCs w:val="24"/>
        </w:rPr>
        <w:fldChar w:fldCharType="begin"/>
      </w:r>
      <w:r w:rsidRPr="00765C76">
        <w:rPr>
          <w:rFonts w:ascii="Arial" w:hAnsi="Arial" w:cs="Arial"/>
          <w:sz w:val="24"/>
          <w:szCs w:val="24"/>
        </w:rPr>
        <w:instrText xml:space="preserve"> TOC \o "1-2" \h \z \u </w:instrText>
      </w:r>
      <w:r w:rsidRPr="00765C76">
        <w:rPr>
          <w:rFonts w:ascii="Arial" w:hAnsi="Arial" w:cs="Arial"/>
          <w:sz w:val="24"/>
          <w:szCs w:val="24"/>
        </w:rPr>
        <w:fldChar w:fldCharType="separate"/>
      </w:r>
      <w:r w:rsidRPr="00765C76">
        <w:rPr>
          <w:rFonts w:ascii="Arial" w:hAnsi="Arial" w:cs="Arial"/>
          <w:b/>
          <w:color w:val="000000"/>
          <w:sz w:val="24"/>
          <w:szCs w:val="24"/>
        </w:rPr>
        <w:t>1. Job Description</w:t>
      </w:r>
      <w:r w:rsidRPr="00765C76">
        <w:rPr>
          <w:rFonts w:ascii="Arial" w:hAnsi="Arial" w:cs="Arial"/>
          <w:sz w:val="24"/>
          <w:szCs w:val="24"/>
        </w:rPr>
        <w:tab/>
      </w:r>
      <w:r w:rsidR="00C87296">
        <w:rPr>
          <w:rFonts w:ascii="Arial" w:hAnsi="Arial" w:cs="Arial"/>
          <w:b/>
          <w:color w:val="000000"/>
          <w:sz w:val="24"/>
          <w:szCs w:val="24"/>
        </w:rPr>
        <w:t>3</w:t>
      </w:r>
    </w:p>
    <w:p w14:paraId="6BBBA2A1" w14:textId="7FBF2B26"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Purpose of the post</w:t>
      </w:r>
      <w:r w:rsidRPr="00765C76">
        <w:rPr>
          <w:rFonts w:ascii="Arial" w:hAnsi="Arial" w:cs="Arial"/>
          <w:sz w:val="24"/>
          <w:szCs w:val="24"/>
        </w:rPr>
        <w:tab/>
      </w:r>
      <w:proofErr w:type="gramStart"/>
      <w:r w:rsidR="00C87296">
        <w:rPr>
          <w:rFonts w:ascii="Arial" w:hAnsi="Arial" w:cs="Arial"/>
          <w:color w:val="000000"/>
          <w:sz w:val="24"/>
          <w:szCs w:val="24"/>
        </w:rPr>
        <w:t>3</w:t>
      </w:r>
      <w:proofErr w:type="gramEnd"/>
    </w:p>
    <w:p w14:paraId="185ADE4C" w14:textId="05C92AA6"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Key duties and responsibilities</w:t>
      </w:r>
      <w:r w:rsidRPr="00765C76">
        <w:rPr>
          <w:rFonts w:ascii="Arial" w:hAnsi="Arial" w:cs="Arial"/>
          <w:sz w:val="24"/>
          <w:szCs w:val="24"/>
        </w:rPr>
        <w:tab/>
      </w:r>
      <w:proofErr w:type="gramStart"/>
      <w:r w:rsidR="00C87296">
        <w:rPr>
          <w:rFonts w:ascii="Arial" w:hAnsi="Arial" w:cs="Arial"/>
          <w:sz w:val="24"/>
          <w:szCs w:val="24"/>
        </w:rPr>
        <w:t>4</w:t>
      </w:r>
      <w:proofErr w:type="gramEnd"/>
    </w:p>
    <w:p w14:paraId="710EBAFC" w14:textId="1175CF7D"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Performance objectives (illustrative SMART targets)</w:t>
      </w:r>
      <w:r w:rsidRPr="00765C76">
        <w:rPr>
          <w:rFonts w:ascii="Arial" w:hAnsi="Arial" w:cs="Arial"/>
          <w:sz w:val="24"/>
          <w:szCs w:val="24"/>
        </w:rPr>
        <w:tab/>
      </w:r>
      <w:proofErr w:type="gramStart"/>
      <w:r w:rsidR="00C87296">
        <w:rPr>
          <w:rFonts w:ascii="Arial" w:hAnsi="Arial" w:cs="Arial"/>
          <w:sz w:val="24"/>
          <w:szCs w:val="24"/>
        </w:rPr>
        <w:t>5</w:t>
      </w:r>
      <w:proofErr w:type="gramEnd"/>
    </w:p>
    <w:p w14:paraId="5D284A49" w14:textId="7AC783DA" w:rsidR="00B65E54" w:rsidRPr="00765C76" w:rsidRDefault="00000000" w:rsidP="00765C76">
      <w:pPr>
        <w:tabs>
          <w:tab w:val="right" w:leader="dot" w:pos="9648"/>
        </w:tabs>
        <w:spacing w:before="120" w:after="110" w:line="360" w:lineRule="auto"/>
        <w:jc w:val="both"/>
        <w:rPr>
          <w:rFonts w:ascii="Arial" w:hAnsi="Arial" w:cs="Arial"/>
          <w:sz w:val="24"/>
          <w:szCs w:val="24"/>
        </w:rPr>
      </w:pPr>
      <w:r w:rsidRPr="00765C76">
        <w:rPr>
          <w:rFonts w:ascii="Arial" w:hAnsi="Arial" w:cs="Arial"/>
          <w:b/>
          <w:color w:val="000000"/>
          <w:sz w:val="24"/>
          <w:szCs w:val="24"/>
        </w:rPr>
        <w:t>2. Person Specification</w:t>
      </w:r>
      <w:r w:rsidRPr="00765C76">
        <w:rPr>
          <w:rFonts w:ascii="Arial" w:hAnsi="Arial" w:cs="Arial"/>
          <w:sz w:val="24"/>
          <w:szCs w:val="24"/>
        </w:rPr>
        <w:tab/>
      </w:r>
      <w:r w:rsidR="00C87296">
        <w:rPr>
          <w:rFonts w:ascii="Arial" w:hAnsi="Arial" w:cs="Arial"/>
          <w:sz w:val="24"/>
          <w:szCs w:val="24"/>
        </w:rPr>
        <w:t>5</w:t>
      </w:r>
    </w:p>
    <w:p w14:paraId="6DB6AC5B" w14:textId="2F6CAC15"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Essential criteria</w:t>
      </w:r>
      <w:r w:rsidRPr="00765C76">
        <w:rPr>
          <w:rFonts w:ascii="Arial" w:hAnsi="Arial" w:cs="Arial"/>
          <w:sz w:val="24"/>
          <w:szCs w:val="24"/>
        </w:rPr>
        <w:tab/>
      </w:r>
      <w:proofErr w:type="gramStart"/>
      <w:r w:rsidR="00C87296">
        <w:rPr>
          <w:rFonts w:ascii="Arial" w:hAnsi="Arial" w:cs="Arial"/>
          <w:sz w:val="24"/>
          <w:szCs w:val="24"/>
        </w:rPr>
        <w:t>5</w:t>
      </w:r>
      <w:proofErr w:type="gramEnd"/>
    </w:p>
    <w:p w14:paraId="13FF1719" w14:textId="05F093FA"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Desirable criteria</w:t>
      </w:r>
      <w:r w:rsidRPr="00765C76">
        <w:rPr>
          <w:rFonts w:ascii="Arial" w:hAnsi="Arial" w:cs="Arial"/>
          <w:sz w:val="24"/>
          <w:szCs w:val="24"/>
        </w:rPr>
        <w:tab/>
      </w:r>
      <w:proofErr w:type="gramStart"/>
      <w:r w:rsidR="00C87296">
        <w:rPr>
          <w:rFonts w:ascii="Arial" w:hAnsi="Arial" w:cs="Arial"/>
          <w:color w:val="000000"/>
          <w:sz w:val="24"/>
          <w:szCs w:val="24"/>
        </w:rPr>
        <w:t>6</w:t>
      </w:r>
      <w:proofErr w:type="gramEnd"/>
    </w:p>
    <w:p w14:paraId="3C25CD42" w14:textId="6076B39C"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Recruitment and selection approach</w:t>
      </w:r>
      <w:r w:rsidRPr="00765C76">
        <w:rPr>
          <w:rFonts w:ascii="Arial" w:hAnsi="Arial" w:cs="Arial"/>
          <w:sz w:val="24"/>
          <w:szCs w:val="24"/>
        </w:rPr>
        <w:tab/>
      </w:r>
      <w:proofErr w:type="gramStart"/>
      <w:r w:rsidR="00C87296">
        <w:rPr>
          <w:rFonts w:ascii="Arial" w:hAnsi="Arial" w:cs="Arial"/>
          <w:sz w:val="24"/>
          <w:szCs w:val="24"/>
        </w:rPr>
        <w:t>6</w:t>
      </w:r>
      <w:proofErr w:type="gramEnd"/>
    </w:p>
    <w:p w14:paraId="11403924" w14:textId="467276EA" w:rsidR="00B65E54" w:rsidRPr="00765C76" w:rsidRDefault="00000000" w:rsidP="00765C76">
      <w:pPr>
        <w:tabs>
          <w:tab w:val="right" w:leader="dot" w:pos="9648"/>
        </w:tabs>
        <w:spacing w:before="120" w:after="110" w:line="360" w:lineRule="auto"/>
        <w:jc w:val="both"/>
        <w:rPr>
          <w:rFonts w:ascii="Arial" w:hAnsi="Arial" w:cs="Arial"/>
          <w:sz w:val="24"/>
          <w:szCs w:val="24"/>
        </w:rPr>
      </w:pPr>
      <w:r w:rsidRPr="00765C76">
        <w:rPr>
          <w:rFonts w:ascii="Arial" w:hAnsi="Arial" w:cs="Arial"/>
          <w:b/>
          <w:color w:val="000000"/>
          <w:sz w:val="24"/>
          <w:szCs w:val="24"/>
        </w:rPr>
        <w:t>3. HRM justification and sector context</w:t>
      </w:r>
      <w:r w:rsidRPr="00765C76">
        <w:rPr>
          <w:rFonts w:ascii="Arial" w:hAnsi="Arial" w:cs="Arial"/>
          <w:sz w:val="24"/>
          <w:szCs w:val="24"/>
        </w:rPr>
        <w:tab/>
      </w:r>
      <w:proofErr w:type="gramStart"/>
      <w:r w:rsidR="00C87296">
        <w:rPr>
          <w:rFonts w:ascii="Arial" w:hAnsi="Arial" w:cs="Arial"/>
          <w:sz w:val="24"/>
          <w:szCs w:val="24"/>
        </w:rPr>
        <w:t>6</w:t>
      </w:r>
      <w:proofErr w:type="gramEnd"/>
    </w:p>
    <w:p w14:paraId="67DCDD96" w14:textId="6B3B0904" w:rsidR="00B65E54" w:rsidRPr="00765C76" w:rsidRDefault="00000000" w:rsidP="00765C76">
      <w:pPr>
        <w:tabs>
          <w:tab w:val="right" w:leader="dot" w:pos="9648"/>
        </w:tabs>
        <w:spacing w:before="120" w:after="110" w:line="360" w:lineRule="auto"/>
        <w:jc w:val="both"/>
        <w:rPr>
          <w:rFonts w:ascii="Arial" w:hAnsi="Arial" w:cs="Arial"/>
          <w:sz w:val="24"/>
          <w:szCs w:val="24"/>
        </w:rPr>
      </w:pPr>
      <w:r w:rsidRPr="00765C76">
        <w:rPr>
          <w:rFonts w:ascii="Arial" w:hAnsi="Arial" w:cs="Arial"/>
          <w:b/>
          <w:color w:val="000000"/>
          <w:sz w:val="24"/>
          <w:szCs w:val="24"/>
        </w:rPr>
        <w:t>4. Student training and institutional readiness plan</w:t>
      </w:r>
      <w:r w:rsidRPr="00765C76">
        <w:rPr>
          <w:rFonts w:ascii="Arial" w:hAnsi="Arial" w:cs="Arial"/>
          <w:sz w:val="24"/>
          <w:szCs w:val="24"/>
        </w:rPr>
        <w:tab/>
      </w:r>
      <w:proofErr w:type="gramStart"/>
      <w:r w:rsidR="00C87296">
        <w:rPr>
          <w:rFonts w:ascii="Arial" w:hAnsi="Arial" w:cs="Arial"/>
          <w:sz w:val="24"/>
          <w:szCs w:val="24"/>
        </w:rPr>
        <w:t>7</w:t>
      </w:r>
      <w:proofErr w:type="gramEnd"/>
    </w:p>
    <w:p w14:paraId="1F2DB696" w14:textId="7382386E"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Diagnose</w:t>
      </w:r>
      <w:r w:rsidRPr="00765C76">
        <w:rPr>
          <w:rFonts w:ascii="Arial" w:hAnsi="Arial" w:cs="Arial"/>
          <w:sz w:val="24"/>
          <w:szCs w:val="24"/>
        </w:rPr>
        <w:tab/>
      </w:r>
      <w:proofErr w:type="gramStart"/>
      <w:r w:rsidR="00C87296">
        <w:rPr>
          <w:rFonts w:ascii="Arial" w:hAnsi="Arial" w:cs="Arial"/>
          <w:sz w:val="24"/>
          <w:szCs w:val="24"/>
        </w:rPr>
        <w:t>7</w:t>
      </w:r>
      <w:proofErr w:type="gramEnd"/>
    </w:p>
    <w:p w14:paraId="37C24BF8" w14:textId="7173C4D4"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Design</w:t>
      </w:r>
      <w:r w:rsidRPr="00765C76">
        <w:rPr>
          <w:rFonts w:ascii="Arial" w:hAnsi="Arial" w:cs="Arial"/>
          <w:sz w:val="24"/>
          <w:szCs w:val="24"/>
        </w:rPr>
        <w:tab/>
      </w:r>
      <w:proofErr w:type="gramStart"/>
      <w:r w:rsidR="00C87296">
        <w:rPr>
          <w:rFonts w:ascii="Arial" w:hAnsi="Arial" w:cs="Arial"/>
          <w:sz w:val="24"/>
          <w:szCs w:val="24"/>
        </w:rPr>
        <w:t>7</w:t>
      </w:r>
      <w:proofErr w:type="gramEnd"/>
    </w:p>
    <w:p w14:paraId="33E93AC4" w14:textId="628B6C66"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Pilot and improve</w:t>
      </w:r>
      <w:r w:rsidRPr="00765C76">
        <w:rPr>
          <w:rFonts w:ascii="Arial" w:hAnsi="Arial" w:cs="Arial"/>
          <w:sz w:val="24"/>
          <w:szCs w:val="24"/>
        </w:rPr>
        <w:tab/>
      </w:r>
      <w:proofErr w:type="gramStart"/>
      <w:r w:rsidR="00C87296">
        <w:rPr>
          <w:rFonts w:ascii="Arial" w:hAnsi="Arial" w:cs="Arial"/>
          <w:sz w:val="24"/>
          <w:szCs w:val="24"/>
        </w:rPr>
        <w:t>8</w:t>
      </w:r>
      <w:proofErr w:type="gramEnd"/>
    </w:p>
    <w:p w14:paraId="15804A98" w14:textId="0539B6C3"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Deliver (weeks 7–12)</w:t>
      </w:r>
      <w:r w:rsidRPr="00765C76">
        <w:rPr>
          <w:rFonts w:ascii="Arial" w:hAnsi="Arial" w:cs="Arial"/>
          <w:sz w:val="24"/>
          <w:szCs w:val="24"/>
        </w:rPr>
        <w:tab/>
      </w:r>
      <w:proofErr w:type="gramStart"/>
      <w:r w:rsidR="00C87296">
        <w:rPr>
          <w:rFonts w:ascii="Arial" w:hAnsi="Arial" w:cs="Arial"/>
          <w:sz w:val="24"/>
          <w:szCs w:val="24"/>
        </w:rPr>
        <w:t>8</w:t>
      </w:r>
      <w:proofErr w:type="gramEnd"/>
    </w:p>
    <w:p w14:paraId="75BA7771" w14:textId="31BEDA76" w:rsidR="00B65E54" w:rsidRPr="00765C76" w:rsidRDefault="00000000" w:rsidP="00765C76">
      <w:pPr>
        <w:tabs>
          <w:tab w:val="right" w:leader="dot" w:pos="9648"/>
        </w:tabs>
        <w:spacing w:after="70" w:line="360" w:lineRule="auto"/>
        <w:ind w:left="360"/>
        <w:jc w:val="both"/>
        <w:rPr>
          <w:rFonts w:ascii="Arial" w:hAnsi="Arial" w:cs="Arial"/>
          <w:sz w:val="24"/>
          <w:szCs w:val="24"/>
        </w:rPr>
      </w:pPr>
      <w:r w:rsidRPr="00765C76">
        <w:rPr>
          <w:rFonts w:ascii="Arial" w:hAnsi="Arial" w:cs="Arial"/>
          <w:color w:val="404040"/>
          <w:sz w:val="24"/>
          <w:szCs w:val="24"/>
        </w:rPr>
        <w:t>Evaluate (end of term)</w:t>
      </w:r>
      <w:r w:rsidRPr="00765C76">
        <w:rPr>
          <w:rFonts w:ascii="Arial" w:hAnsi="Arial" w:cs="Arial"/>
          <w:sz w:val="24"/>
          <w:szCs w:val="24"/>
        </w:rPr>
        <w:tab/>
      </w:r>
      <w:proofErr w:type="gramStart"/>
      <w:r w:rsidR="00C87296">
        <w:rPr>
          <w:rFonts w:ascii="Arial" w:hAnsi="Arial" w:cs="Arial"/>
          <w:sz w:val="24"/>
          <w:szCs w:val="24"/>
        </w:rPr>
        <w:t>8</w:t>
      </w:r>
      <w:proofErr w:type="gramEnd"/>
    </w:p>
    <w:p w14:paraId="469669AC" w14:textId="16E5496E" w:rsidR="00B65E54" w:rsidRPr="00765C76" w:rsidRDefault="00000000" w:rsidP="00C87296">
      <w:pPr>
        <w:tabs>
          <w:tab w:val="right" w:leader="dot" w:pos="9648"/>
        </w:tabs>
        <w:spacing w:before="120" w:after="110" w:line="360" w:lineRule="auto"/>
        <w:jc w:val="both"/>
        <w:rPr>
          <w:rFonts w:ascii="Arial" w:hAnsi="Arial" w:cs="Arial"/>
          <w:sz w:val="24"/>
          <w:szCs w:val="24"/>
        </w:rPr>
      </w:pPr>
      <w:r w:rsidRPr="00765C76">
        <w:rPr>
          <w:rFonts w:ascii="Arial" w:hAnsi="Arial" w:cs="Arial"/>
          <w:b/>
          <w:color w:val="000000"/>
          <w:sz w:val="24"/>
          <w:szCs w:val="24"/>
        </w:rPr>
        <w:t xml:space="preserve">5. Reference list </w:t>
      </w:r>
      <w:r w:rsidRPr="00765C76">
        <w:rPr>
          <w:rFonts w:ascii="Arial" w:hAnsi="Arial" w:cs="Arial"/>
          <w:sz w:val="24"/>
          <w:szCs w:val="24"/>
        </w:rPr>
        <w:tab/>
      </w:r>
      <w:proofErr w:type="gramStart"/>
      <w:r w:rsidR="00C87296">
        <w:rPr>
          <w:rFonts w:ascii="Arial" w:hAnsi="Arial" w:cs="Arial"/>
          <w:sz w:val="24"/>
          <w:szCs w:val="24"/>
        </w:rPr>
        <w:t>8</w:t>
      </w:r>
      <w:proofErr w:type="gramEnd"/>
      <w:r w:rsidRPr="00765C76">
        <w:rPr>
          <w:rFonts w:ascii="Arial" w:hAnsi="Arial" w:cs="Arial"/>
          <w:sz w:val="24"/>
          <w:szCs w:val="24"/>
        </w:rPr>
        <w:fldChar w:fldCharType="end"/>
      </w:r>
      <w:r w:rsidRPr="00765C76">
        <w:rPr>
          <w:rFonts w:ascii="Arial" w:hAnsi="Arial" w:cs="Arial"/>
          <w:sz w:val="24"/>
          <w:szCs w:val="24"/>
        </w:rPr>
        <w:br w:type="page"/>
      </w:r>
    </w:p>
    <w:p w14:paraId="39DE67B1" w14:textId="01CFB252" w:rsidR="00765C76" w:rsidRPr="00765C76" w:rsidRDefault="00000000" w:rsidP="00C87296">
      <w:pPr>
        <w:pStyle w:val="Title"/>
        <w:spacing w:line="360" w:lineRule="auto"/>
        <w:jc w:val="both"/>
        <w:rPr>
          <w:rFonts w:ascii="Arial" w:hAnsi="Arial" w:cs="Arial"/>
          <w:sz w:val="24"/>
          <w:szCs w:val="24"/>
        </w:rPr>
      </w:pPr>
      <w:r w:rsidRPr="00765C76">
        <w:rPr>
          <w:rFonts w:ascii="Arial" w:hAnsi="Arial" w:cs="Arial"/>
          <w:sz w:val="24"/>
          <w:szCs w:val="24"/>
        </w:rPr>
        <w:lastRenderedPageBreak/>
        <w:t>Graduate AI Strategist</w:t>
      </w:r>
    </w:p>
    <w:p w14:paraId="6577F17A" w14:textId="77777777" w:rsidR="0021721D" w:rsidRDefault="00000000" w:rsidP="0021721D">
      <w:pPr>
        <w:pStyle w:val="Caption"/>
        <w:spacing w:line="360" w:lineRule="auto"/>
        <w:jc w:val="both"/>
        <w:rPr>
          <w:rFonts w:ascii="Arial" w:hAnsi="Arial" w:cs="Arial"/>
          <w:sz w:val="24"/>
          <w:szCs w:val="24"/>
        </w:rPr>
      </w:pPr>
      <w:r w:rsidRPr="00765C76">
        <w:rPr>
          <w:rFonts w:ascii="Arial" w:hAnsi="Arial" w:cs="Arial"/>
          <w:sz w:val="24"/>
          <w:szCs w:val="24"/>
        </w:rPr>
        <w:t>ASSESSMENT SIMULATION – NOT AN ACTUAL UWTSD VACANCY. The salary, department, contract and hybrid arrangements below are proposed assumptions for this exercise, not verified institutional terms.</w:t>
      </w:r>
    </w:p>
    <w:p w14:paraId="1D5654BF" w14:textId="77777777" w:rsidR="0021721D" w:rsidRPr="0021721D" w:rsidRDefault="0021721D" w:rsidP="0021721D"/>
    <w:p w14:paraId="55171E76" w14:textId="6164720B" w:rsidR="00B65E54" w:rsidRPr="0021721D" w:rsidRDefault="00000000" w:rsidP="0021721D">
      <w:pPr>
        <w:pStyle w:val="Caption"/>
        <w:spacing w:line="360" w:lineRule="auto"/>
        <w:jc w:val="both"/>
        <w:rPr>
          <w:rFonts w:ascii="Arial" w:hAnsi="Arial" w:cs="Arial"/>
          <w:color w:val="000000" w:themeColor="text1"/>
          <w:sz w:val="24"/>
          <w:szCs w:val="24"/>
        </w:rPr>
      </w:pPr>
      <w:r w:rsidRPr="0021721D">
        <w:rPr>
          <w:rFonts w:ascii="Arial" w:hAnsi="Arial" w:cs="Arial"/>
          <w:color w:val="000000" w:themeColor="text1"/>
          <w:sz w:val="24"/>
          <w:szCs w:val="24"/>
        </w:rPr>
        <w:t xml:space="preserve"> Job Description</w:t>
      </w:r>
    </w:p>
    <w:tbl>
      <w:tblPr>
        <w:tblStyle w:val="LightShading-Accent1"/>
        <w:tblW w:w="0" w:type="auto"/>
        <w:tblLayout w:type="fixed"/>
        <w:tblLook w:val="04A0" w:firstRow="1" w:lastRow="0" w:firstColumn="1" w:lastColumn="0" w:noHBand="0" w:noVBand="1"/>
      </w:tblPr>
      <w:tblGrid>
        <w:gridCol w:w="2232"/>
        <w:gridCol w:w="7488"/>
      </w:tblGrid>
      <w:tr w:rsidR="00B65E54" w:rsidRPr="00765C76" w14:paraId="16B84AD6" w14:textId="77777777" w:rsidTr="00B65E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72F87659"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Job title</w:t>
            </w:r>
          </w:p>
        </w:tc>
        <w:tc>
          <w:tcPr>
            <w:tcW w:w="7488" w:type="dxa"/>
          </w:tcPr>
          <w:p w14:paraId="40E11A3C" w14:textId="77777777" w:rsidR="00B65E54" w:rsidRPr="00765C76" w:rsidRDefault="00000000" w:rsidP="00765C76">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765C76">
              <w:rPr>
                <w:rFonts w:ascii="Arial" w:hAnsi="Arial" w:cs="Arial"/>
                <w:sz w:val="24"/>
                <w:szCs w:val="24"/>
              </w:rPr>
              <w:t>Graduate AI Strategist</w:t>
            </w:r>
          </w:p>
        </w:tc>
      </w:tr>
      <w:tr w:rsidR="00B65E54" w:rsidRPr="00765C76" w14:paraId="4B6C0707" w14:textId="77777777" w:rsidTr="00B65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371BC1D1"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Employer</w:t>
            </w:r>
          </w:p>
        </w:tc>
        <w:tc>
          <w:tcPr>
            <w:tcW w:w="7488" w:type="dxa"/>
          </w:tcPr>
          <w:p w14:paraId="3EE7531B" w14:textId="77777777" w:rsidR="00B65E54" w:rsidRPr="00765C76" w:rsidRDefault="00000000" w:rsidP="00765C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5C76">
              <w:rPr>
                <w:rFonts w:ascii="Arial" w:hAnsi="Arial" w:cs="Arial"/>
                <w:sz w:val="24"/>
                <w:szCs w:val="24"/>
              </w:rPr>
              <w:t>University of Wales Trinity Saint David (UWTSD) – simulated vacancy</w:t>
            </w:r>
          </w:p>
        </w:tc>
      </w:tr>
      <w:tr w:rsidR="00B65E54" w:rsidRPr="00765C76" w14:paraId="76A1ABA2" w14:textId="77777777" w:rsidTr="00B65E54">
        <w:tc>
          <w:tcPr>
            <w:cnfStyle w:val="001000000000" w:firstRow="0" w:lastRow="0" w:firstColumn="1" w:lastColumn="0" w:oddVBand="0" w:evenVBand="0" w:oddHBand="0" w:evenHBand="0" w:firstRowFirstColumn="0" w:firstRowLastColumn="0" w:lastRowFirstColumn="0" w:lastRowLastColumn="0"/>
            <w:tcW w:w="2232" w:type="dxa"/>
          </w:tcPr>
          <w:p w14:paraId="0A5677AE"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Team / reporting</w:t>
            </w:r>
          </w:p>
        </w:tc>
        <w:tc>
          <w:tcPr>
            <w:tcW w:w="7488" w:type="dxa"/>
          </w:tcPr>
          <w:p w14:paraId="323A0369" w14:textId="77777777" w:rsidR="00B65E54" w:rsidRPr="00765C76" w:rsidRDefault="00000000" w:rsidP="00765C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5C76">
              <w:rPr>
                <w:rFonts w:ascii="Arial" w:hAnsi="Arial" w:cs="Arial"/>
                <w:sz w:val="24"/>
                <w:szCs w:val="24"/>
              </w:rPr>
              <w:t>Digital Learning / Academic Development; reports to a nominated Head of Digital Learning (proposed)</w:t>
            </w:r>
          </w:p>
        </w:tc>
      </w:tr>
      <w:tr w:rsidR="00B65E54" w:rsidRPr="00765C76" w14:paraId="1ED0D8E0" w14:textId="77777777" w:rsidTr="00B65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3342538C"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Work location</w:t>
            </w:r>
          </w:p>
        </w:tc>
        <w:tc>
          <w:tcPr>
            <w:tcW w:w="7488" w:type="dxa"/>
          </w:tcPr>
          <w:p w14:paraId="128BF8B4" w14:textId="77777777" w:rsidR="00B65E54" w:rsidRPr="00765C76" w:rsidRDefault="00000000" w:rsidP="00765C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5C76">
              <w:rPr>
                <w:rFonts w:ascii="Arial" w:hAnsi="Arial" w:cs="Arial"/>
                <w:sz w:val="24"/>
                <w:szCs w:val="24"/>
              </w:rPr>
              <w:t>UWTSD campuses and online; travel between university locations as required (proposed)</w:t>
            </w:r>
          </w:p>
        </w:tc>
      </w:tr>
      <w:tr w:rsidR="00B65E54" w:rsidRPr="00765C76" w14:paraId="25A02A14" w14:textId="77777777" w:rsidTr="00B65E54">
        <w:tc>
          <w:tcPr>
            <w:cnfStyle w:val="001000000000" w:firstRow="0" w:lastRow="0" w:firstColumn="1" w:lastColumn="0" w:oddVBand="0" w:evenVBand="0" w:oddHBand="0" w:evenHBand="0" w:firstRowFirstColumn="0" w:firstRowLastColumn="0" w:lastRowFirstColumn="0" w:lastRowLastColumn="0"/>
            <w:tcW w:w="2232" w:type="dxa"/>
          </w:tcPr>
          <w:p w14:paraId="4D1CC7CA"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Working hours</w:t>
            </w:r>
          </w:p>
        </w:tc>
        <w:tc>
          <w:tcPr>
            <w:tcW w:w="7488" w:type="dxa"/>
          </w:tcPr>
          <w:p w14:paraId="642975FC" w14:textId="77777777" w:rsidR="00B65E54" w:rsidRPr="00765C76" w:rsidRDefault="00000000" w:rsidP="00765C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5C76">
              <w:rPr>
                <w:rFonts w:ascii="Arial" w:hAnsi="Arial" w:cs="Arial"/>
                <w:sz w:val="24"/>
                <w:szCs w:val="24"/>
              </w:rPr>
              <w:t>37 hours per week, full time (proposed)</w:t>
            </w:r>
          </w:p>
        </w:tc>
      </w:tr>
      <w:tr w:rsidR="00B65E54" w:rsidRPr="00765C76" w14:paraId="5C250B2A" w14:textId="77777777" w:rsidTr="00B65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0C7AF977"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Working pattern</w:t>
            </w:r>
          </w:p>
        </w:tc>
        <w:tc>
          <w:tcPr>
            <w:tcW w:w="7488" w:type="dxa"/>
          </w:tcPr>
          <w:p w14:paraId="64C1068C" w14:textId="77777777" w:rsidR="00B65E54" w:rsidRPr="00765C76" w:rsidRDefault="00000000" w:rsidP="00765C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5C76">
              <w:rPr>
                <w:rFonts w:ascii="Arial" w:hAnsi="Arial" w:cs="Arial"/>
                <w:sz w:val="24"/>
                <w:szCs w:val="24"/>
              </w:rPr>
              <w:t>Hybrid: on-campus teaching and meetings, with agreed remote preparation (proposed)</w:t>
            </w:r>
          </w:p>
        </w:tc>
      </w:tr>
      <w:tr w:rsidR="00B65E54" w:rsidRPr="00765C76" w14:paraId="1F3A8803" w14:textId="77777777" w:rsidTr="00B65E54">
        <w:tc>
          <w:tcPr>
            <w:cnfStyle w:val="001000000000" w:firstRow="0" w:lastRow="0" w:firstColumn="1" w:lastColumn="0" w:oddVBand="0" w:evenVBand="0" w:oddHBand="0" w:evenHBand="0" w:firstRowFirstColumn="0" w:firstRowLastColumn="0" w:lastRowFirstColumn="0" w:lastRowLastColumn="0"/>
            <w:tcW w:w="2232" w:type="dxa"/>
          </w:tcPr>
          <w:p w14:paraId="142A3017"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Salary</w:t>
            </w:r>
          </w:p>
        </w:tc>
        <w:tc>
          <w:tcPr>
            <w:tcW w:w="7488" w:type="dxa"/>
          </w:tcPr>
          <w:p w14:paraId="31839010" w14:textId="77777777" w:rsidR="00B65E54" w:rsidRPr="00765C76" w:rsidRDefault="00000000" w:rsidP="00765C7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5C76">
              <w:rPr>
                <w:rFonts w:ascii="Arial" w:hAnsi="Arial" w:cs="Arial"/>
                <w:sz w:val="24"/>
                <w:szCs w:val="24"/>
              </w:rPr>
              <w:t>£30,000–£34,000 per year, illustrative; subject to formal job evaluation and institutional pay policy</w:t>
            </w:r>
          </w:p>
        </w:tc>
      </w:tr>
      <w:tr w:rsidR="00B65E54" w:rsidRPr="00765C76" w14:paraId="1CC98D2F" w14:textId="77777777" w:rsidTr="00B65E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2" w:type="dxa"/>
          </w:tcPr>
          <w:p w14:paraId="23809888"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Contract</w:t>
            </w:r>
          </w:p>
        </w:tc>
        <w:tc>
          <w:tcPr>
            <w:tcW w:w="7488" w:type="dxa"/>
          </w:tcPr>
          <w:p w14:paraId="17687126" w14:textId="77777777" w:rsidR="00B65E54" w:rsidRPr="00765C76" w:rsidRDefault="00000000" w:rsidP="00765C7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5C76">
              <w:rPr>
                <w:rFonts w:ascii="Arial" w:hAnsi="Arial" w:cs="Arial"/>
                <w:sz w:val="24"/>
                <w:szCs w:val="24"/>
              </w:rPr>
              <w:t>12-month fixed-term graduate post, subject to review (proposed)</w:t>
            </w:r>
          </w:p>
        </w:tc>
      </w:tr>
    </w:tbl>
    <w:p w14:paraId="7B39F766"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Purpose of the post</w:t>
      </w:r>
    </w:p>
    <w:p w14:paraId="79D4EE26"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To lead a coordinated, inclusive programme of AI literacy and responsible AI use for UWTSD students in 2026–27, while building academic and professional-service capacity. This is a strategic HR response to technological change: workforce planning must match organisational objectives with the skills required to deliver them (Armstrong and Taylor, 2020; Boxall and Purcell, 2016). AI can assist learning, but erroneous output, over-reliance and assessment integrity make informed human judgement essential (Kasneci et al., 2023; Cotton, Cotton and Shipway, 2024).</w:t>
      </w:r>
    </w:p>
    <w:p w14:paraId="78C12FCC"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lastRenderedPageBreak/>
        <w:t>Key duties and responsibilities</w:t>
      </w:r>
    </w:p>
    <w:p w14:paraId="26539906"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Carry out a training-needs analysis with students, programme leaders, library staff, learner developers, careers and IT to identify existing skills and accessibility barriers.</w:t>
      </w:r>
    </w:p>
    <w:p w14:paraId="70225504"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Design and deliver practical student workshops on AI basics, critical prompting, checking sources and fabricated citations, disclosure requirements, privacy and academic integrity.</w:t>
      </w:r>
    </w:p>
    <w:p w14:paraId="7024727C"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Produce accessible self-study resources and subject-sensitive examples; provide alternatives for learners who cannot access or prefer not to use commercial AI products.</w:t>
      </w:r>
    </w:p>
    <w:p w14:paraId="4148FEF3"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Work with academics to translate university and module-level AI rules into understandable examples; never independently determine academic-misconduct cases.</w:t>
      </w:r>
    </w:p>
    <w:p w14:paraId="28698C84"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Coordinate staff briefings, peer learning and cross-team referral routes so librarians, learner developers, academic staff and careers officers provide consistent support.</w:t>
      </w:r>
    </w:p>
    <w:p w14:paraId="74406E6E"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Maintain a risk register covering inaccurate content, discriminatory outputs, data protection, intellectual property, accessibility and learner over-reliance; escalate concerns to authorised owners.</w:t>
      </w:r>
    </w:p>
    <w:p w14:paraId="66D960ED"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Pilot training and measure learning, not merely attendance; report termly on comprehension tests, accessibility gaps, feedback and corrective actions.</w:t>
      </w:r>
    </w:p>
    <w:p w14:paraId="3C6864C0"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Review changes in technology and external expectations through a PESTLE-informed horizon scan and recommend proportionate updates.</w:t>
      </w:r>
    </w:p>
    <w:p w14:paraId="0BEDEEDF"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Performance objectives (illustrative SMART targets)</w:t>
      </w:r>
    </w:p>
    <w:p w14:paraId="41F1A1AD"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By the end of month 1: conduct a baseline needs assessment and identify three priority learner groups and their learning barriers.</w:t>
      </w:r>
    </w:p>
    <w:p w14:paraId="6DD43A51"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By the end of month 2: pilot two accessible workshops and improve materials using structured student and staff feedback.</w:t>
      </w:r>
    </w:p>
    <w:p w14:paraId="01CE38C7"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By the end of term 1: deliver six workshops (campus and online) and report pre/post scenario-assessment results and attendance by participation group, with privacy protections.</w:t>
      </w:r>
    </w:p>
    <w:p w14:paraId="5F64EDCD"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At the term review: submit a clear evaluation with lessons learned, remaining risks and a revised training plan.</w:t>
      </w:r>
    </w:p>
    <w:p w14:paraId="3E03C491"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lastRenderedPageBreak/>
        <w:t>HRM principles distinguish continuing performance management from an annual appraisal: KPIs should be specific, measurable, relevant and time-bound, supported by coaching and feedback (Torrington et al., 2020). Targets above are proposals and require agreement with UWTSD managers.</w:t>
      </w:r>
    </w:p>
    <w:p w14:paraId="3198B928" w14:textId="1025200D" w:rsidR="00B65E54" w:rsidRPr="00765C76" w:rsidRDefault="00000000" w:rsidP="00765C76">
      <w:pPr>
        <w:pStyle w:val="Heading1"/>
        <w:spacing w:line="360" w:lineRule="auto"/>
        <w:jc w:val="both"/>
        <w:rPr>
          <w:rFonts w:ascii="Arial" w:hAnsi="Arial" w:cs="Arial"/>
          <w:sz w:val="24"/>
          <w:szCs w:val="24"/>
        </w:rPr>
      </w:pPr>
      <w:r w:rsidRPr="00765C76">
        <w:rPr>
          <w:rFonts w:ascii="Arial" w:hAnsi="Arial" w:cs="Arial"/>
          <w:sz w:val="24"/>
          <w:szCs w:val="24"/>
        </w:rPr>
        <w:t xml:space="preserve"> Person Specification</w:t>
      </w:r>
    </w:p>
    <w:p w14:paraId="4B03FC23"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Essential criteria are demonstrably necessary to undertake the role; desirable criteria may improve performance but should not unnecessarily exclude capable graduates. Evidence codes: A = application; I = structured interview; T = short practical exercise. This follows established HRM principles on job analysis and objective selection (Taylor, 2021).</w:t>
      </w:r>
    </w:p>
    <w:p w14:paraId="72ECA4ED"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Essential criteria</w:t>
      </w:r>
    </w:p>
    <w:p w14:paraId="7B800C9C"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E1 Education (A): degree or equivalent evidenced learning in education, business, computing, digital technologies or a related discipline.</w:t>
      </w:r>
    </w:p>
    <w:p w14:paraId="7A70A7E4"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E2 AI literacy (A/I/T): explains generative AI applications, limitations, how to check claims and why outputs can be confidently wrong.</w:t>
      </w:r>
    </w:p>
    <w:p w14:paraId="4EE5D355"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E3 Ethics (I/T): applies academic-integrity guidance, data minimisation, fairness, accessibility and human oversight to plausible scenarios.</w:t>
      </w:r>
    </w:p>
    <w:p w14:paraId="61E9474F"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E4 Learning design (A/T): plans an accessible 20-minute introductory learning activity with demonstrable learning objectives.</w:t>
      </w:r>
    </w:p>
    <w:p w14:paraId="4D617CF6"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E5 Communication (I/T): explains technical ideas in plain language to students and colleagues with different levels of confidence.</w:t>
      </w:r>
    </w:p>
    <w:p w14:paraId="3003CC59"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E6 Teamwork and influencing (A/I): demonstrates collaboration with academic and professional services and constructive conflict management.</w:t>
      </w:r>
    </w:p>
    <w:p w14:paraId="1CC34A27"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E7 Planning and evaluation (A/I): organises milestones and interprets feedback or basic learning data to guide improvement.</w:t>
      </w:r>
    </w:p>
    <w:p w14:paraId="0B006927"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E8 Commitment to inclusion (I): identifies and reduces barriers without making assumptions about personal characteristics.</w:t>
      </w:r>
    </w:p>
    <w:p w14:paraId="29CEAC60"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Desirable criteria</w:t>
      </w:r>
    </w:p>
    <w:p w14:paraId="78B7A2FB"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D1 (A) Previous peer teaching, training or workshop facilitation.</w:t>
      </w:r>
    </w:p>
    <w:p w14:paraId="37F47BA8" w14:textId="6A3D830C"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 xml:space="preserve">D2 (A/I) Familiarity with UK </w:t>
      </w:r>
      <w:r w:rsidR="008179A6" w:rsidRPr="00765C76">
        <w:rPr>
          <w:rFonts w:ascii="Arial" w:hAnsi="Arial" w:cs="Arial"/>
          <w:sz w:val="24"/>
          <w:szCs w:val="24"/>
        </w:rPr>
        <w:t>higher education</w:t>
      </w:r>
      <w:r w:rsidRPr="00765C76">
        <w:rPr>
          <w:rFonts w:ascii="Arial" w:hAnsi="Arial" w:cs="Arial"/>
          <w:sz w:val="24"/>
          <w:szCs w:val="24"/>
        </w:rPr>
        <w:t xml:space="preserve"> referencing and assessment requirements.</w:t>
      </w:r>
    </w:p>
    <w:p w14:paraId="3938BB44"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lastRenderedPageBreak/>
        <w:t>D3 (A/T) Ability to produce accessible online teaching resources.</w:t>
      </w:r>
    </w:p>
    <w:p w14:paraId="5074F45F" w14:textId="77777777" w:rsidR="00B65E54" w:rsidRPr="00765C76" w:rsidRDefault="00000000" w:rsidP="00765C76">
      <w:pPr>
        <w:pStyle w:val="ListBullet"/>
        <w:spacing w:line="360" w:lineRule="auto"/>
        <w:jc w:val="both"/>
        <w:rPr>
          <w:rFonts w:ascii="Arial" w:hAnsi="Arial" w:cs="Arial"/>
          <w:sz w:val="24"/>
          <w:szCs w:val="24"/>
        </w:rPr>
      </w:pPr>
      <w:r w:rsidRPr="00765C76">
        <w:rPr>
          <w:rFonts w:ascii="Arial" w:hAnsi="Arial" w:cs="Arial"/>
          <w:sz w:val="24"/>
          <w:szCs w:val="24"/>
        </w:rPr>
        <w:t>D4 (A/I) Experience using basic surveys or spreadsheets to report learning outcomes.</w:t>
      </w:r>
    </w:p>
    <w:p w14:paraId="31CFC418"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Recruitment and selection approach</w:t>
      </w:r>
    </w:p>
    <w:p w14:paraId="0AA28F8F"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Differentiating assessment exercise: ask candidates for a five-minute response to a fabricated AI reference and an equity challenge, scored against the published E2, E3, E5 and E8 criteria. All candidates receive equivalent instructions, time and reasonable adjustments. The exercise evaluates professional judgement rather than fluency with a particular paid product (Taylor, 2021; Torrington et al., 2020).</w:t>
      </w:r>
    </w:p>
    <w:p w14:paraId="196A1554" w14:textId="529BE106"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A job analysis produces the job description (work required) and person specification (abilities required). Applicants should be screened against E1–E8, with reasonable adjustments offered where relevant. Each shortlisted applicant receives the same eight core questions and an anchored 1–5 score. Behavioural, situational and technical questions produce evidence beyond a subjective “good fit</w:t>
      </w:r>
      <w:r w:rsidR="008179A6" w:rsidRPr="00765C76">
        <w:rPr>
          <w:rFonts w:ascii="Arial" w:hAnsi="Arial" w:cs="Arial"/>
          <w:sz w:val="24"/>
          <w:szCs w:val="24"/>
        </w:rPr>
        <w:t>;”</w:t>
      </w:r>
      <w:r w:rsidRPr="00765C76">
        <w:rPr>
          <w:rFonts w:ascii="Arial" w:hAnsi="Arial" w:cs="Arial"/>
          <w:sz w:val="24"/>
          <w:szCs w:val="24"/>
        </w:rPr>
        <w:t xml:space="preserve"> ratings and notes are based on role-relevant behaviours rather than age, identity or background (Taylor, 2021; Torrington et al., 2020).</w:t>
      </w:r>
    </w:p>
    <w:p w14:paraId="15C0E9B8" w14:textId="62909AD3" w:rsidR="00B65E54" w:rsidRPr="00765C76" w:rsidRDefault="00000000" w:rsidP="00765C76">
      <w:pPr>
        <w:pStyle w:val="Heading1"/>
        <w:spacing w:line="360" w:lineRule="auto"/>
        <w:jc w:val="both"/>
        <w:rPr>
          <w:rFonts w:ascii="Arial" w:hAnsi="Arial" w:cs="Arial"/>
          <w:sz w:val="24"/>
          <w:szCs w:val="24"/>
        </w:rPr>
      </w:pPr>
      <w:r w:rsidRPr="00765C76">
        <w:rPr>
          <w:rFonts w:ascii="Arial" w:hAnsi="Arial" w:cs="Arial"/>
          <w:sz w:val="24"/>
          <w:szCs w:val="24"/>
        </w:rPr>
        <w:t>HRM justification and sector context</w:t>
      </w:r>
    </w:p>
    <w:p w14:paraId="24D30625"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Strategic alignment: the role treats human capital as an asset and builds organisational capability rather than substituting technology for people. The HR function supports university quality, employability and consistent student support by recruiting specialised capabilities (Armstrong and Taylor, 2020; Boxall and Purcell, 2016).</w:t>
      </w:r>
    </w:p>
    <w:p w14:paraId="4E9F8C29"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PESTLE analysis: technology – fast-changing generative AI; legal – data protection, intellectual property and equality considerations; social – uneven learner access and trust; economic – costs of training and paid tools; political – changing public expectations of AI governance; environmental – the resource implications of digital services. These are issues to monitor, not claims that a particular university policy already exists. AI research identifies both educational potential and risks which justify an adaptive post (Dwivedi et al., 2023; Tlili et al., 2023).</w:t>
      </w:r>
    </w:p>
    <w:p w14:paraId="59D0EF1D"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Staffing and selection: a transparent job analysis, essential/desirable criteria and structured interviewing can minimise subjective selection and help match a new post with emerging strategic needs (Taylor, 2021). The essential requirement is demonstrable capability, not access to expensive AI platforms.</w:t>
      </w:r>
    </w:p>
    <w:p w14:paraId="3F720CCB" w14:textId="100FA3F6"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lastRenderedPageBreak/>
        <w:t xml:space="preserve">Learning and </w:t>
      </w:r>
      <w:r w:rsidR="00765C76" w:rsidRPr="00765C76">
        <w:rPr>
          <w:rFonts w:ascii="Arial" w:hAnsi="Arial" w:cs="Arial"/>
          <w:sz w:val="24"/>
          <w:szCs w:val="24"/>
        </w:rPr>
        <w:t>development</w:t>
      </w:r>
      <w:r w:rsidRPr="00765C76">
        <w:rPr>
          <w:rFonts w:ascii="Arial" w:hAnsi="Arial" w:cs="Arial"/>
          <w:sz w:val="24"/>
          <w:szCs w:val="24"/>
        </w:rPr>
        <w:t xml:space="preserve"> needs analysis should be followed by design, practice, feedback and evaluation, rather than a one-off presentation. Training evidence supports practice and transfer into real tasks; students should verify actual AI outputs and critique errors (Salas et al., 2012). An earlier higher-education review found limited educator perspectives in the AI literature, strengthening the case for co-design with teaching staff (Zawacki-Richter et al., 2019).</w:t>
      </w:r>
    </w:p>
    <w:p w14:paraId="156198BF"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Performance and reward: a provisional pay range should be checked against approved pay structures, market evidence, fairness and job evaluation. Success must include competence, risk management and equitable access, not just course completions or tool usage (Armstrong and Taylor, 2020).</w:t>
      </w:r>
    </w:p>
    <w:p w14:paraId="5C2D986C" w14:textId="472E4C31" w:rsidR="00B65E54" w:rsidRPr="00765C76" w:rsidRDefault="00000000" w:rsidP="00765C76">
      <w:pPr>
        <w:pStyle w:val="Heading1"/>
        <w:spacing w:line="360" w:lineRule="auto"/>
        <w:jc w:val="both"/>
        <w:rPr>
          <w:rFonts w:ascii="Arial" w:hAnsi="Arial" w:cs="Arial"/>
          <w:sz w:val="24"/>
          <w:szCs w:val="24"/>
        </w:rPr>
      </w:pPr>
      <w:r w:rsidRPr="00765C76">
        <w:rPr>
          <w:rFonts w:ascii="Arial" w:hAnsi="Arial" w:cs="Arial"/>
          <w:sz w:val="24"/>
          <w:szCs w:val="24"/>
        </w:rPr>
        <w:t>Student training and institutional readiness plan</w:t>
      </w:r>
    </w:p>
    <w:p w14:paraId="5C3D5A8C"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Proposed distinctive initiative – AI SMART UWTSD 2026–27: Safe (privacy), Mindful (question outputs), Accountable (declare permitted uses), Responsible (fairness and inclusion) and Transparent (verify evidence). This is a proposed training framework, not an existing university policy. It translates responsible AI into observable student behaviours (Kasneci et al., 2023; Tlili et al., 2023).</w:t>
      </w:r>
    </w:p>
    <w:p w14:paraId="38C79B9B"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Diagnose</w:t>
      </w:r>
    </w:p>
    <w:p w14:paraId="5CA94E9E"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Survey students and lecturers, consult library, learner-development and careers teams, check university/module rules and run a short baseline scenario test; identify access needs.</w:t>
      </w:r>
    </w:p>
    <w:p w14:paraId="6639DDE9"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Design</w:t>
      </w:r>
    </w:p>
    <w:p w14:paraId="55031DAB"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Create five modules: (1) AI fundamentals; (2) prompt use and human judgement; (3) output/source checking; (4) academic integrity and disclosure; (5) privacy, bias and accessibility. Include demonstrations, practice and short quizzes.</w:t>
      </w:r>
    </w:p>
    <w:p w14:paraId="739603C8" w14:textId="529C647A"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 xml:space="preserve">Pilot and </w:t>
      </w:r>
      <w:r w:rsidR="008179A6" w:rsidRPr="00765C76">
        <w:rPr>
          <w:rFonts w:ascii="Arial" w:hAnsi="Arial" w:cs="Arial"/>
          <w:sz w:val="24"/>
          <w:szCs w:val="24"/>
        </w:rPr>
        <w:t>improve.</w:t>
      </w:r>
    </w:p>
    <w:p w14:paraId="5D1C079D" w14:textId="7441F3E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 xml:space="preserve">AI SMART pilot (illustrative): recruit </w:t>
      </w:r>
      <w:r w:rsidR="008179A6" w:rsidRPr="00765C76">
        <w:rPr>
          <w:rFonts w:ascii="Arial" w:hAnsi="Arial" w:cs="Arial"/>
          <w:sz w:val="24"/>
          <w:szCs w:val="24"/>
        </w:rPr>
        <w:t>one hundred</w:t>
      </w:r>
      <w:r w:rsidRPr="00765C76">
        <w:rPr>
          <w:rFonts w:ascii="Arial" w:hAnsi="Arial" w:cs="Arial"/>
          <w:sz w:val="24"/>
          <w:szCs w:val="24"/>
        </w:rPr>
        <w:t xml:space="preserve"> volunteer students from different programmes; compare a short pre-/post-training scenario test; set a provisional success threshold of 80% showing improved demonstrated skill, subject to baseline and capacity. Add peer AI ambassadors trained to signpost support, not to adjudicate misconduct. </w:t>
      </w:r>
      <w:r w:rsidRPr="00765C76">
        <w:rPr>
          <w:rFonts w:ascii="Arial" w:hAnsi="Arial" w:cs="Arial"/>
          <w:sz w:val="24"/>
          <w:szCs w:val="24"/>
        </w:rPr>
        <w:lastRenderedPageBreak/>
        <w:t>Review access, privacy and unintended consequences before scaling (Salas et al., 2012; Zawacki-Richter et al., 2019).</w:t>
      </w:r>
    </w:p>
    <w:p w14:paraId="175D0AE6"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Test materials with students from different subject areas and confidence levels, including accessible formats; revise based on observation and feedback.</w:t>
      </w:r>
    </w:p>
    <w:p w14:paraId="6777CC81"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Deliver (weeks 7–12)</w:t>
      </w:r>
    </w:p>
    <w:p w14:paraId="79ED5E7B"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Offer campus and online options, reusable guides and peer-support sessions. Lecturers clarify discipline-specific assessment rules; library staff teach verification; learner developers teach study practices; careers staff discuss AI at work; management funds, governs and reviews.</w:t>
      </w:r>
    </w:p>
    <w:p w14:paraId="224E8AEC" w14:textId="77777777" w:rsidR="00B65E54" w:rsidRPr="00765C76" w:rsidRDefault="00000000" w:rsidP="00765C76">
      <w:pPr>
        <w:pStyle w:val="Heading2"/>
        <w:spacing w:line="360" w:lineRule="auto"/>
        <w:jc w:val="both"/>
        <w:rPr>
          <w:rFonts w:ascii="Arial" w:hAnsi="Arial" w:cs="Arial"/>
          <w:sz w:val="24"/>
          <w:szCs w:val="24"/>
        </w:rPr>
      </w:pPr>
      <w:r w:rsidRPr="00765C76">
        <w:rPr>
          <w:rFonts w:ascii="Arial" w:hAnsi="Arial" w:cs="Arial"/>
          <w:sz w:val="24"/>
          <w:szCs w:val="24"/>
        </w:rPr>
        <w:t>Evaluate (end of term)</w:t>
      </w:r>
    </w:p>
    <w:p w14:paraId="3A344B7D" w14:textId="58D86362"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 xml:space="preserve">Use knowledge checks before/after training, observed accuracy in spotting fabricated references, learner feedback, uptake across groups and staff </w:t>
      </w:r>
      <w:r w:rsidR="008179A6" w:rsidRPr="00765C76">
        <w:rPr>
          <w:rFonts w:ascii="Arial" w:hAnsi="Arial" w:cs="Arial"/>
          <w:sz w:val="24"/>
          <w:szCs w:val="24"/>
        </w:rPr>
        <w:t>confidence,</w:t>
      </w:r>
      <w:r w:rsidRPr="00765C76">
        <w:rPr>
          <w:rFonts w:ascii="Arial" w:hAnsi="Arial" w:cs="Arial"/>
          <w:sz w:val="24"/>
          <w:szCs w:val="24"/>
        </w:rPr>
        <w:t xml:space="preserve"> report limitations and corrective actions. Training completion alone is not evidence of competence (Salas et al., 2012).</w:t>
      </w:r>
    </w:p>
    <w:p w14:paraId="0340C664" w14:textId="77777777" w:rsidR="00B65E54" w:rsidRPr="00765C76" w:rsidRDefault="00000000" w:rsidP="00765C76">
      <w:pPr>
        <w:spacing w:line="360" w:lineRule="auto"/>
        <w:jc w:val="both"/>
        <w:rPr>
          <w:rFonts w:ascii="Arial" w:hAnsi="Arial" w:cs="Arial"/>
          <w:sz w:val="24"/>
          <w:szCs w:val="24"/>
        </w:rPr>
      </w:pPr>
      <w:r w:rsidRPr="00765C76">
        <w:rPr>
          <w:rFonts w:ascii="Arial" w:hAnsi="Arial" w:cs="Arial"/>
          <w:sz w:val="24"/>
          <w:szCs w:val="24"/>
        </w:rPr>
        <w:t>Safeguards: Do not enter confidential or personal student information into unapproved AI services; use university-approved escalation routes; provide transparent module-specific rules. The candidate trains and advises but does not authorise procurement or disciplinary decisions. Academic-integrity research supports clear expectations and responsible teaching practice (Cotton, Cotton and Shipway, 2024).</w:t>
      </w:r>
    </w:p>
    <w:p w14:paraId="12401AC9" w14:textId="409A1C71" w:rsidR="00BE0D8C" w:rsidRDefault="00000000" w:rsidP="00BE0D8C">
      <w:pPr>
        <w:pStyle w:val="Heading1"/>
        <w:tabs>
          <w:tab w:val="left" w:pos="2328"/>
          <w:tab w:val="left" w:pos="3516"/>
        </w:tabs>
        <w:spacing w:line="360" w:lineRule="auto"/>
        <w:jc w:val="both"/>
        <w:rPr>
          <w:rFonts w:ascii="Arial" w:hAnsi="Arial" w:cs="Arial"/>
          <w:sz w:val="24"/>
          <w:szCs w:val="24"/>
        </w:rPr>
      </w:pPr>
      <w:r w:rsidRPr="00765C76">
        <w:rPr>
          <w:rFonts w:ascii="Arial" w:hAnsi="Arial" w:cs="Arial"/>
          <w:sz w:val="24"/>
          <w:szCs w:val="24"/>
        </w:rPr>
        <w:t xml:space="preserve">Reference list </w:t>
      </w:r>
      <w:r w:rsidR="00BE0D8C">
        <w:rPr>
          <w:rFonts w:ascii="Arial" w:hAnsi="Arial" w:cs="Arial"/>
          <w:sz w:val="24"/>
          <w:szCs w:val="24"/>
        </w:rPr>
        <w:tab/>
      </w:r>
      <w:r w:rsidR="00BE0D8C">
        <w:rPr>
          <w:rFonts w:ascii="Arial" w:hAnsi="Arial" w:cs="Arial"/>
          <w:sz w:val="24"/>
          <w:szCs w:val="24"/>
        </w:rPr>
        <w:tab/>
      </w:r>
    </w:p>
    <w:p w14:paraId="03FD367E" w14:textId="77777777"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 xml:space="preserve">Armstrong, M. and Taylor, S. (2020) </w:t>
      </w:r>
      <w:r w:rsidRPr="00BE0D8C">
        <w:rPr>
          <w:rFonts w:ascii="Arial" w:hAnsi="Arial" w:cs="Arial"/>
          <w:i/>
          <w:iCs/>
        </w:rPr>
        <w:t>Armstrong’s handbook of human resource management practice</w:t>
      </w:r>
      <w:r w:rsidRPr="00BE0D8C">
        <w:rPr>
          <w:rFonts w:ascii="Arial" w:hAnsi="Arial" w:cs="Arial"/>
        </w:rPr>
        <w:t>. 15th edn. London: Kogan Page.</w:t>
      </w:r>
    </w:p>
    <w:p w14:paraId="242024DD" w14:textId="77777777"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 xml:space="preserve">Boxall, P. and Purcell, J. (2016) </w:t>
      </w:r>
      <w:r w:rsidRPr="00BE0D8C">
        <w:rPr>
          <w:rFonts w:ascii="Arial" w:hAnsi="Arial" w:cs="Arial"/>
          <w:i/>
          <w:iCs/>
        </w:rPr>
        <w:t>Strategy and human resource management</w:t>
      </w:r>
      <w:r w:rsidRPr="00BE0D8C">
        <w:rPr>
          <w:rFonts w:ascii="Arial" w:hAnsi="Arial" w:cs="Arial"/>
        </w:rPr>
        <w:t>. 4th edn. London: Palgrave Macmillan.</w:t>
      </w:r>
    </w:p>
    <w:p w14:paraId="003308C2" w14:textId="77777777"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 xml:space="preserve">Cotton, D.R.E., Cotton, P.A. and Shipway, J.R. (2024) ‘Chatting and cheating: Ensuring academic integrity in the era of ChatGPT’, </w:t>
      </w:r>
      <w:r w:rsidRPr="00BE0D8C">
        <w:rPr>
          <w:rFonts w:ascii="Arial" w:hAnsi="Arial" w:cs="Arial"/>
          <w:i/>
          <w:iCs/>
        </w:rPr>
        <w:t>Innovations in Education and Teaching International,</w:t>
      </w:r>
      <w:r w:rsidRPr="00BE0D8C">
        <w:rPr>
          <w:rFonts w:ascii="Arial" w:hAnsi="Arial" w:cs="Arial"/>
        </w:rPr>
        <w:t xml:space="preserve"> 61(2), pp. 228–239. doi: 10.1080/14703297.2023.2190148.</w:t>
      </w:r>
    </w:p>
    <w:p w14:paraId="40E39F1E" w14:textId="4C2C420C" w:rsidR="00BE0D8C" w:rsidRPr="00BE0D8C" w:rsidRDefault="00BE0D8C" w:rsidP="00BE0D8C">
      <w:pPr>
        <w:pStyle w:val="NormalWeb"/>
        <w:numPr>
          <w:ilvl w:val="0"/>
          <w:numId w:val="12"/>
        </w:numPr>
        <w:spacing w:line="360" w:lineRule="auto"/>
        <w:jc w:val="both"/>
        <w:rPr>
          <w:rFonts w:ascii="Arial" w:hAnsi="Arial" w:cs="Arial"/>
        </w:rPr>
      </w:pPr>
      <w:r w:rsidRPr="008179A6">
        <w:rPr>
          <w:rFonts w:ascii="Arial" w:hAnsi="Arial" w:cs="Arial"/>
        </w:rPr>
        <w:t xml:space="preserve">Dwivedi, Y.K. et al. (2023) ‘“So what if ChatGPT wrote it?” Multidisciplinary perspectives on opportunities, challenges and implications of generative </w:t>
      </w:r>
      <w:r w:rsidRPr="008179A6">
        <w:rPr>
          <w:rFonts w:ascii="Arial" w:hAnsi="Arial" w:cs="Arial"/>
        </w:rPr>
        <w:lastRenderedPageBreak/>
        <w:t>conversational AI for research, practice and policy</w:t>
      </w:r>
      <w:r w:rsidR="008179A6" w:rsidRPr="008179A6">
        <w:rPr>
          <w:rFonts w:ascii="Arial" w:hAnsi="Arial" w:cs="Arial"/>
        </w:rPr>
        <w:t>,’</w:t>
      </w:r>
      <w:r w:rsidRPr="008179A6">
        <w:rPr>
          <w:rFonts w:ascii="Arial" w:hAnsi="Arial" w:cs="Arial"/>
        </w:rPr>
        <w:t xml:space="preserve"> </w:t>
      </w:r>
      <w:r w:rsidRPr="008179A6">
        <w:rPr>
          <w:rFonts w:ascii="Arial" w:hAnsi="Arial" w:cs="Arial"/>
          <w:i/>
          <w:iCs/>
        </w:rPr>
        <w:t>International Journal of Information Management,</w:t>
      </w:r>
      <w:r w:rsidRPr="008179A6">
        <w:rPr>
          <w:rFonts w:ascii="Arial" w:hAnsi="Arial" w:cs="Arial"/>
        </w:rPr>
        <w:t xml:space="preserve"> 71,</w:t>
      </w:r>
      <w:r w:rsidRPr="00BE0D8C">
        <w:rPr>
          <w:rFonts w:ascii="Arial" w:hAnsi="Arial" w:cs="Arial"/>
        </w:rPr>
        <w:t xml:space="preserve"> 102642. doi: 10.1016/j.ijinfomgt.2023.102642.</w:t>
      </w:r>
    </w:p>
    <w:p w14:paraId="775C14EB" w14:textId="53B5CB05"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Kasneci, E. et al. (2023) ‘ChatGPT for good? On opportunities and challenges of large language models for education</w:t>
      </w:r>
      <w:r w:rsidR="008179A6" w:rsidRPr="00BE0D8C">
        <w:rPr>
          <w:rFonts w:ascii="Arial" w:hAnsi="Arial" w:cs="Arial"/>
        </w:rPr>
        <w:t>,’</w:t>
      </w:r>
      <w:r w:rsidRPr="00BE0D8C">
        <w:rPr>
          <w:rFonts w:ascii="Arial" w:hAnsi="Arial" w:cs="Arial"/>
        </w:rPr>
        <w:t xml:space="preserve"> </w:t>
      </w:r>
      <w:r w:rsidRPr="00BE0D8C">
        <w:rPr>
          <w:rFonts w:ascii="Arial" w:hAnsi="Arial" w:cs="Arial"/>
          <w:i/>
          <w:iCs/>
        </w:rPr>
        <w:t>Learning and Individual Differences,</w:t>
      </w:r>
      <w:r w:rsidRPr="00BE0D8C">
        <w:rPr>
          <w:rFonts w:ascii="Arial" w:hAnsi="Arial" w:cs="Arial"/>
        </w:rPr>
        <w:t xml:space="preserve"> 103, 102274. doi: 10.1016/j.lindif.2023.102274.</w:t>
      </w:r>
    </w:p>
    <w:p w14:paraId="229B6D7D" w14:textId="77777777"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 xml:space="preserve">Salas, E., Tannenbaum, S.I., Kraiger, K. and Smith-Jentsch, K.A. (2012) ‘The science of training and development in organizations: What matters in practice’, </w:t>
      </w:r>
      <w:r w:rsidRPr="00BE0D8C">
        <w:rPr>
          <w:rFonts w:ascii="Arial" w:hAnsi="Arial" w:cs="Arial"/>
          <w:i/>
          <w:iCs/>
        </w:rPr>
        <w:t>Psychological Science in the Public Interest,</w:t>
      </w:r>
      <w:r w:rsidRPr="00BE0D8C">
        <w:rPr>
          <w:rFonts w:ascii="Arial" w:hAnsi="Arial" w:cs="Arial"/>
        </w:rPr>
        <w:t xml:space="preserve"> 13(2), pp. 74–101. doi: 10.1177/1529100612436661.</w:t>
      </w:r>
    </w:p>
    <w:p w14:paraId="3FC42076" w14:textId="77777777"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 xml:space="preserve">Taylor, S. (2021) Resourcing and talent management: </w:t>
      </w:r>
      <w:r w:rsidRPr="00BE0D8C">
        <w:rPr>
          <w:rFonts w:ascii="Arial" w:hAnsi="Arial" w:cs="Arial"/>
          <w:i/>
          <w:iCs/>
        </w:rPr>
        <w:t>The theory and practice of recruiting and developing a workforce.</w:t>
      </w:r>
      <w:r w:rsidRPr="00BE0D8C">
        <w:rPr>
          <w:rFonts w:ascii="Arial" w:hAnsi="Arial" w:cs="Arial"/>
        </w:rPr>
        <w:t xml:space="preserve"> London: Kogan Page.</w:t>
      </w:r>
    </w:p>
    <w:p w14:paraId="621E36B7" w14:textId="77777777"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 xml:space="preserve">Tlili, A. et al. (2023) ‘What if the devil is my guardian angel: ChatGPT as a case study of using chatbots in education’, </w:t>
      </w:r>
      <w:r w:rsidRPr="00BE0D8C">
        <w:rPr>
          <w:rFonts w:ascii="Arial" w:hAnsi="Arial" w:cs="Arial"/>
          <w:i/>
          <w:iCs/>
        </w:rPr>
        <w:t>Smart Learning Environments,</w:t>
      </w:r>
      <w:r w:rsidRPr="00BE0D8C">
        <w:rPr>
          <w:rFonts w:ascii="Arial" w:hAnsi="Arial" w:cs="Arial"/>
        </w:rPr>
        <w:t xml:space="preserve"> 10, article 15. doi: 10.1186/s40561-023-00237-x.</w:t>
      </w:r>
    </w:p>
    <w:p w14:paraId="3C26013E" w14:textId="77777777"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 xml:space="preserve">Torrington, D., Hall, L., Taylor, S. and Atkinson, C. (2020) </w:t>
      </w:r>
      <w:r w:rsidRPr="00BE0D8C">
        <w:rPr>
          <w:rFonts w:ascii="Arial" w:hAnsi="Arial" w:cs="Arial"/>
          <w:i/>
          <w:iCs/>
        </w:rPr>
        <w:t>Human resource management.</w:t>
      </w:r>
      <w:r w:rsidRPr="00BE0D8C">
        <w:rPr>
          <w:rFonts w:ascii="Arial" w:hAnsi="Arial" w:cs="Arial"/>
        </w:rPr>
        <w:t xml:space="preserve"> 11th edn. Harlow: Pearson.</w:t>
      </w:r>
    </w:p>
    <w:p w14:paraId="190A7D8B" w14:textId="77777777" w:rsidR="00BE0D8C" w:rsidRPr="00BE0D8C" w:rsidRDefault="00BE0D8C" w:rsidP="00BE0D8C">
      <w:pPr>
        <w:pStyle w:val="NormalWeb"/>
        <w:numPr>
          <w:ilvl w:val="0"/>
          <w:numId w:val="12"/>
        </w:numPr>
        <w:spacing w:line="360" w:lineRule="auto"/>
        <w:jc w:val="both"/>
        <w:rPr>
          <w:rFonts w:ascii="Arial" w:hAnsi="Arial" w:cs="Arial"/>
        </w:rPr>
      </w:pPr>
      <w:r w:rsidRPr="00BE0D8C">
        <w:rPr>
          <w:rFonts w:ascii="Arial" w:hAnsi="Arial" w:cs="Arial"/>
        </w:rPr>
        <w:t xml:space="preserve">Zawacki-Richter, O., Marín, V.I., Bond, M. and Gouverneur, F. (2019) ‘Systematic review of research on artificial intelligence applications in higher education – where are the educators?’, </w:t>
      </w:r>
      <w:r w:rsidRPr="00BE0D8C">
        <w:rPr>
          <w:rFonts w:ascii="Arial" w:hAnsi="Arial" w:cs="Arial"/>
          <w:i/>
          <w:iCs/>
        </w:rPr>
        <w:t>International Journal of Educational Technology in Higher Education,</w:t>
      </w:r>
      <w:r w:rsidRPr="00BE0D8C">
        <w:rPr>
          <w:rFonts w:ascii="Arial" w:hAnsi="Arial" w:cs="Arial"/>
        </w:rPr>
        <w:t xml:space="preserve"> 16, article 39. doi: 10.1186/s41239-019-0171-0.</w:t>
      </w:r>
    </w:p>
    <w:p w14:paraId="39ACBAF8" w14:textId="4750DB63" w:rsidR="00BE0D8C" w:rsidRPr="00BE0D8C" w:rsidRDefault="00BE0D8C" w:rsidP="00BE0D8C">
      <w:pPr>
        <w:pStyle w:val="NormalWeb"/>
        <w:spacing w:line="360" w:lineRule="auto"/>
        <w:jc w:val="both"/>
        <w:rPr>
          <w:rFonts w:ascii="Arial" w:eastAsiaTheme="majorEastAsia" w:hAnsi="Arial" w:cs="Arial"/>
          <w:b/>
          <w:bCs/>
          <w:color w:val="1B3752"/>
          <w:lang w:val="en-GB"/>
        </w:rPr>
      </w:pPr>
    </w:p>
    <w:sectPr w:rsidR="00BE0D8C" w:rsidRPr="00BE0D8C" w:rsidSect="00034616">
      <w:headerReference w:type="default" r:id="rId9"/>
      <w:pgSz w:w="12240" w:h="15840"/>
      <w:pgMar w:top="1123" w:right="1296" w:bottom="1037"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8964F" w14:textId="77777777" w:rsidR="0005795E" w:rsidRDefault="0005795E">
      <w:pPr>
        <w:spacing w:after="0" w:line="240" w:lineRule="auto"/>
      </w:pPr>
      <w:r>
        <w:separator/>
      </w:r>
    </w:p>
  </w:endnote>
  <w:endnote w:type="continuationSeparator" w:id="0">
    <w:p w14:paraId="1516EB42" w14:textId="77777777" w:rsidR="0005795E" w:rsidRDefault="00057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08746E" w14:textId="77777777" w:rsidR="0005795E" w:rsidRDefault="0005795E">
      <w:pPr>
        <w:spacing w:after="0" w:line="240" w:lineRule="auto"/>
      </w:pPr>
      <w:r>
        <w:separator/>
      </w:r>
    </w:p>
  </w:footnote>
  <w:footnote w:type="continuationSeparator" w:id="0">
    <w:p w14:paraId="03783D02" w14:textId="77777777" w:rsidR="0005795E" w:rsidRDefault="000579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1352"/>
      <w:docPartObj>
        <w:docPartGallery w:val="Page Numbers (Top of Page)"/>
        <w:docPartUnique/>
      </w:docPartObj>
    </w:sdtPr>
    <w:sdtContent>
      <w:p w14:paraId="4BE92F91" w14:textId="77777777" w:rsidR="00765C76" w:rsidRDefault="00765C76">
        <w:pPr>
          <w:pStyle w:val="Header"/>
        </w:pPr>
        <w:r>
          <w:rPr>
            <w:lang w:val="en-GB"/>
          </w:rPr>
          <w:t xml:space="preserve">Page </w:t>
        </w:r>
        <w:r>
          <w:rPr>
            <w:b/>
            <w:bCs/>
            <w:sz w:val="24"/>
            <w:szCs w:val="24"/>
          </w:rPr>
          <w:fldChar w:fldCharType="begin"/>
        </w:r>
        <w:r>
          <w:rPr>
            <w:b/>
            <w:bCs/>
          </w:rPr>
          <w:instrText>PAGE</w:instrText>
        </w:r>
        <w:r>
          <w:rPr>
            <w:b/>
            <w:bCs/>
            <w:sz w:val="24"/>
            <w:szCs w:val="24"/>
          </w:rPr>
          <w:fldChar w:fldCharType="separate"/>
        </w:r>
        <w:r>
          <w:rPr>
            <w:b/>
            <w:bCs/>
            <w:lang w:val="en-GB"/>
          </w:rPr>
          <w:t>2</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Pr>
            <w:b/>
            <w:bCs/>
            <w:lang w:val="en-GB"/>
          </w:rPr>
          <w:t>2</w:t>
        </w:r>
        <w:r>
          <w:rPr>
            <w:b/>
            <w:bCs/>
            <w:sz w:val="24"/>
            <w:szCs w:val="24"/>
          </w:rPr>
          <w:fldChar w:fldCharType="end"/>
        </w:r>
      </w:p>
    </w:sdtContent>
  </w:sdt>
  <w:p w14:paraId="44E65C73" w14:textId="77777777" w:rsidR="00765C76" w:rsidRDefault="00765C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3F41DC"/>
    <w:multiLevelType w:val="hybridMultilevel"/>
    <w:tmpl w:val="994C9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1115AC"/>
    <w:multiLevelType w:val="hybridMultilevel"/>
    <w:tmpl w:val="1FE284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5E00E7"/>
    <w:multiLevelType w:val="hybridMultilevel"/>
    <w:tmpl w:val="74F0B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5251374">
    <w:abstractNumId w:val="8"/>
  </w:num>
  <w:num w:numId="2" w16cid:durableId="134880599">
    <w:abstractNumId w:val="6"/>
  </w:num>
  <w:num w:numId="3" w16cid:durableId="1028484949">
    <w:abstractNumId w:val="5"/>
  </w:num>
  <w:num w:numId="4" w16cid:durableId="1965967342">
    <w:abstractNumId w:val="4"/>
  </w:num>
  <w:num w:numId="5" w16cid:durableId="1031759938">
    <w:abstractNumId w:val="7"/>
  </w:num>
  <w:num w:numId="6" w16cid:durableId="67579000">
    <w:abstractNumId w:val="3"/>
  </w:num>
  <w:num w:numId="7" w16cid:durableId="1583905767">
    <w:abstractNumId w:val="2"/>
  </w:num>
  <w:num w:numId="8" w16cid:durableId="308175779">
    <w:abstractNumId w:val="1"/>
  </w:num>
  <w:num w:numId="9" w16cid:durableId="24529529">
    <w:abstractNumId w:val="0"/>
  </w:num>
  <w:num w:numId="10" w16cid:durableId="298804019">
    <w:abstractNumId w:val="11"/>
  </w:num>
  <w:num w:numId="11" w16cid:durableId="1391151091">
    <w:abstractNumId w:val="9"/>
  </w:num>
  <w:num w:numId="12" w16cid:durableId="11833932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795E"/>
    <w:rsid w:val="0006063C"/>
    <w:rsid w:val="0015074B"/>
    <w:rsid w:val="0021721D"/>
    <w:rsid w:val="00250492"/>
    <w:rsid w:val="0029639D"/>
    <w:rsid w:val="00326F90"/>
    <w:rsid w:val="00696346"/>
    <w:rsid w:val="00765C76"/>
    <w:rsid w:val="008179A6"/>
    <w:rsid w:val="00AA1D8D"/>
    <w:rsid w:val="00B47730"/>
    <w:rsid w:val="00B65E54"/>
    <w:rsid w:val="00BE0D8C"/>
    <w:rsid w:val="00C8729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691238"/>
  <w14:defaultImageDpi w14:val="300"/>
  <w15:docId w15:val="{DF9810C3-2656-4073-9A0F-F8DA12FF1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sz w:val="20"/>
    </w:rPr>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b/>
      <w:bCs/>
      <w:color w:val="1B3752"/>
      <w:sz w:val="26"/>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B3752"/>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80" w:line="240" w:lineRule="auto"/>
      <w:contextualSpacing/>
    </w:pPr>
    <w:rPr>
      <w:rFonts w:asciiTheme="majorHAnsi" w:eastAsiaTheme="majorEastAsia" w:hAnsiTheme="majorHAnsi" w:cstheme="majorBidi"/>
      <w:color w:val="1B3752"/>
      <w:spacing w:val="5"/>
      <w:kern w:val="28"/>
      <w:sz w:val="3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BE0D8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015">
      <w:bodyDiv w:val="1"/>
      <w:marLeft w:val="0"/>
      <w:marRight w:val="0"/>
      <w:marTop w:val="0"/>
      <w:marBottom w:val="0"/>
      <w:divBdr>
        <w:top w:val="none" w:sz="0" w:space="0" w:color="auto"/>
        <w:left w:val="none" w:sz="0" w:space="0" w:color="auto"/>
        <w:bottom w:val="none" w:sz="0" w:space="0" w:color="auto"/>
        <w:right w:val="none" w:sz="0" w:space="0" w:color="auto"/>
      </w:divBdr>
    </w:div>
    <w:div w:id="737292138">
      <w:bodyDiv w:val="1"/>
      <w:marLeft w:val="0"/>
      <w:marRight w:val="0"/>
      <w:marTop w:val="0"/>
      <w:marBottom w:val="0"/>
      <w:divBdr>
        <w:top w:val="none" w:sz="0" w:space="0" w:color="auto"/>
        <w:left w:val="none" w:sz="0" w:space="0" w:color="auto"/>
        <w:bottom w:val="none" w:sz="0" w:space="0" w:color="auto"/>
        <w:right w:val="none" w:sz="0" w:space="0" w:color="auto"/>
      </w:divBdr>
    </w:div>
    <w:div w:id="17048185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2101</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Ateeq Rehman</cp:lastModifiedBy>
  <cp:revision>4</cp:revision>
  <dcterms:created xsi:type="dcterms:W3CDTF">2026-10-17T15:23:00Z</dcterms:created>
  <dcterms:modified xsi:type="dcterms:W3CDTF">2026-10-17T15:59:00Z</dcterms:modified>
  <cp:category/>
</cp:coreProperties>
</file>