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7374B4" w14:textId="74A2F58B" w:rsidR="51A85415" w:rsidRDefault="671FE960" w:rsidP="40382FDA">
      <w:r>
        <w:rPr>
          <w:noProof/>
        </w:rPr>
        <w:drawing>
          <wp:inline distT="0" distB="0" distL="0" distR="0" wp14:anchorId="2B16B27A" wp14:editId="66E1B8F5">
            <wp:extent cx="6496956" cy="1428950"/>
            <wp:effectExtent l="0" t="0" r="0" b="0"/>
            <wp:docPr id="20901863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186348" name="Picture 2090186348"/>
                    <pic:cNvPicPr/>
                  </pic:nvPicPr>
                  <pic:blipFill>
                    <a:blip r:embed="rId10">
                      <a:extLst>
                        <a:ext uri="{28A0092B-C50C-407E-A947-70E740481C1C}">
                          <a14:useLocalDpi xmlns:a14="http://schemas.microsoft.com/office/drawing/2010/main"/>
                        </a:ext>
                      </a:extLst>
                    </a:blip>
                    <a:stretch>
                      <a:fillRect/>
                    </a:stretch>
                  </pic:blipFill>
                  <pic:spPr>
                    <a:xfrm>
                      <a:off x="0" y="0"/>
                      <a:ext cx="6496956" cy="1428950"/>
                    </a:xfrm>
                    <a:prstGeom prst="rect">
                      <a:avLst/>
                    </a:prstGeom>
                  </pic:spPr>
                </pic:pic>
              </a:graphicData>
            </a:graphic>
          </wp:inline>
        </w:drawing>
      </w:r>
    </w:p>
    <w:p w14:paraId="64F34773" w14:textId="3ADD5274" w:rsidR="51A85415" w:rsidRDefault="51A85415" w:rsidP="51A85415">
      <w:pPr>
        <w:pStyle w:val="Heading2"/>
        <w:keepNext w:val="0"/>
        <w:keepLines w:val="0"/>
        <w:jc w:val="center"/>
        <w:rPr>
          <w:rFonts w:ascii="Arial" w:eastAsia="Arial" w:hAnsi="Arial" w:cs="Arial"/>
          <w:sz w:val="24"/>
          <w:szCs w:val="24"/>
        </w:rPr>
      </w:pPr>
    </w:p>
    <w:p w14:paraId="311EC21D" w14:textId="58A3D0AF" w:rsidR="51A85415" w:rsidRDefault="27B7F729" w:rsidP="51A85415">
      <w:pPr>
        <w:pStyle w:val="Heading2"/>
        <w:keepNext w:val="0"/>
        <w:keepLines w:val="0"/>
        <w:jc w:val="center"/>
      </w:pPr>
      <w:r w:rsidRPr="11A3BBD8">
        <w:rPr>
          <w:rFonts w:ascii="Arial" w:eastAsia="Arial" w:hAnsi="Arial" w:cs="Arial"/>
          <w:sz w:val="24"/>
          <w:szCs w:val="24"/>
          <w:lang w:val="en-US"/>
        </w:rPr>
        <w:t xml:space="preserve">Module Name: Digital Transformation </w:t>
      </w:r>
      <w:r w:rsidR="44263453" w:rsidRPr="23D7FE87">
        <w:rPr>
          <w:rFonts w:ascii="Arial" w:eastAsia="Arial" w:hAnsi="Arial" w:cs="Arial"/>
          <w:sz w:val="24"/>
          <w:szCs w:val="24"/>
          <w:lang w:val="en-US"/>
        </w:rPr>
        <w:t>in</w:t>
      </w:r>
      <w:r w:rsidRPr="11A3BBD8">
        <w:rPr>
          <w:rFonts w:ascii="Arial" w:eastAsia="Arial" w:hAnsi="Arial" w:cs="Arial"/>
          <w:sz w:val="24"/>
          <w:szCs w:val="24"/>
          <w:lang w:val="en-US"/>
        </w:rPr>
        <w:t xml:space="preserve"> Health &amp; Care </w:t>
      </w:r>
      <w:r w:rsidR="0514EFF9" w:rsidRPr="6FB04B81">
        <w:rPr>
          <w:rFonts w:ascii="Arial" w:eastAsia="Arial" w:hAnsi="Arial" w:cs="Arial"/>
          <w:sz w:val="24"/>
          <w:szCs w:val="24"/>
          <w:lang w:val="en-US"/>
        </w:rPr>
        <w:t>Professions</w:t>
      </w:r>
    </w:p>
    <w:p w14:paraId="1649AA39" w14:textId="4D482D89" w:rsidR="3C1F4CA8" w:rsidRDefault="3C1F4CA8" w:rsidP="3C1F4CA8">
      <w:pPr>
        <w:rPr>
          <w:lang w:val="en-US"/>
        </w:rPr>
      </w:pPr>
    </w:p>
    <w:p w14:paraId="6B815CA3" w14:textId="2C3D800C" w:rsidR="581BF621" w:rsidRDefault="581BF621" w:rsidP="581BF621">
      <w:pPr>
        <w:rPr>
          <w:rFonts w:ascii="Arial" w:eastAsia="Arial" w:hAnsi="Arial" w:cs="Arial"/>
          <w:lang w:val="en-US"/>
        </w:rPr>
      </w:pPr>
    </w:p>
    <w:p w14:paraId="488281A4" w14:textId="03738820" w:rsidR="37893E59" w:rsidRDefault="0514EFF9" w:rsidP="34B6536B">
      <w:pPr>
        <w:ind w:left="720"/>
        <w:jc w:val="both"/>
      </w:pPr>
      <w:r w:rsidRPr="70B27AC7">
        <w:rPr>
          <w:lang w:val="en-US"/>
        </w:rPr>
        <w:t xml:space="preserve">         </w:t>
      </w:r>
      <w:r w:rsidRPr="5660D4A9">
        <w:rPr>
          <w:lang w:val="en-US"/>
        </w:rPr>
        <w:t xml:space="preserve">                      </w:t>
      </w:r>
      <w:r w:rsidRPr="79AB9835">
        <w:rPr>
          <w:lang w:val="en-US"/>
        </w:rPr>
        <w:t xml:space="preserve">                     </w:t>
      </w:r>
      <w:r w:rsidRPr="456E1C9F">
        <w:rPr>
          <w:lang w:val="en-US"/>
        </w:rPr>
        <w:t xml:space="preserve">     </w:t>
      </w:r>
      <w:r w:rsidRPr="008453CC">
        <w:rPr>
          <w:rFonts w:ascii="Arial" w:eastAsia="Arial" w:hAnsi="Arial" w:cs="Arial"/>
          <w:b/>
          <w:sz w:val="24"/>
          <w:szCs w:val="24"/>
          <w:lang w:val="en-US"/>
        </w:rPr>
        <w:t xml:space="preserve"> Module Code: BMHP6026</w:t>
      </w:r>
    </w:p>
    <w:p w14:paraId="14D2236F" w14:textId="1EC5B9A6" w:rsidR="51A85415" w:rsidRDefault="350F968D" w:rsidP="34B6536B">
      <w:pPr>
        <w:ind w:left="720"/>
        <w:jc w:val="both"/>
      </w:pPr>
      <w:r w:rsidRPr="53FB6625">
        <w:rPr>
          <w:rFonts w:ascii="Arial" w:eastAsia="Arial" w:hAnsi="Arial" w:cs="Arial"/>
          <w:sz w:val="24"/>
          <w:szCs w:val="24"/>
          <w:lang w:val="en-US"/>
        </w:rPr>
        <w:t xml:space="preserve">     </w:t>
      </w:r>
      <w:r w:rsidRPr="6266B5FB">
        <w:rPr>
          <w:rFonts w:ascii="Arial" w:eastAsia="Arial" w:hAnsi="Arial" w:cs="Arial"/>
          <w:sz w:val="24"/>
          <w:szCs w:val="24"/>
          <w:lang w:val="en-US"/>
        </w:rPr>
        <w:t xml:space="preserve">                  </w:t>
      </w:r>
      <w:r w:rsidRPr="50E7E1B1">
        <w:rPr>
          <w:rFonts w:ascii="Arial" w:eastAsia="Arial" w:hAnsi="Arial" w:cs="Arial"/>
          <w:sz w:val="24"/>
          <w:szCs w:val="24"/>
          <w:lang w:val="en-US"/>
        </w:rPr>
        <w:t xml:space="preserve">                   </w:t>
      </w:r>
      <w:r w:rsidRPr="361E60EF">
        <w:rPr>
          <w:rFonts w:ascii="Arial" w:eastAsia="Arial" w:hAnsi="Arial" w:cs="Arial"/>
          <w:sz w:val="24"/>
          <w:szCs w:val="24"/>
          <w:lang w:val="en-US"/>
        </w:rPr>
        <w:t xml:space="preserve"> </w:t>
      </w:r>
      <w:r w:rsidR="37BFEE91" w:rsidRPr="382179E1">
        <w:rPr>
          <w:rFonts w:ascii="Arial" w:eastAsia="Arial" w:hAnsi="Arial" w:cs="Arial"/>
          <w:sz w:val="24"/>
          <w:szCs w:val="24"/>
          <w:lang w:val="en-US"/>
        </w:rPr>
        <w:t>Module Lead</w:t>
      </w:r>
      <w:r w:rsidR="37BFEE91" w:rsidRPr="4C0800A0">
        <w:rPr>
          <w:rFonts w:ascii="Arial" w:eastAsia="Arial" w:hAnsi="Arial" w:cs="Arial"/>
          <w:sz w:val="24"/>
          <w:szCs w:val="24"/>
          <w:lang w:val="en-US"/>
        </w:rPr>
        <w:t xml:space="preserve">: </w:t>
      </w:r>
      <w:r w:rsidR="37BFEE91" w:rsidRPr="3AC89FCB">
        <w:rPr>
          <w:rFonts w:ascii="Arial" w:eastAsia="Arial" w:hAnsi="Arial" w:cs="Arial"/>
          <w:sz w:val="24"/>
          <w:szCs w:val="24"/>
          <w:lang w:val="en-US"/>
        </w:rPr>
        <w:t xml:space="preserve">Martin </w:t>
      </w:r>
      <w:r w:rsidR="37BFEE91" w:rsidRPr="1BDE49E1">
        <w:rPr>
          <w:rFonts w:ascii="Arial" w:eastAsia="Arial" w:hAnsi="Arial" w:cs="Arial"/>
          <w:sz w:val="24"/>
          <w:szCs w:val="24"/>
          <w:lang w:val="en-US"/>
        </w:rPr>
        <w:t xml:space="preserve">Svejda </w:t>
      </w:r>
      <w:r w:rsidR="4AB41D7D" w:rsidRPr="7984284F">
        <w:rPr>
          <w:rFonts w:ascii="Arial" w:eastAsia="Arial" w:hAnsi="Arial" w:cs="Arial"/>
          <w:sz w:val="24"/>
          <w:szCs w:val="24"/>
          <w:lang w:val="en-US"/>
        </w:rPr>
        <w:t xml:space="preserve"> </w:t>
      </w:r>
    </w:p>
    <w:p w14:paraId="1247E6E5" w14:textId="6D221AB8" w:rsidR="5ABA5949" w:rsidRDefault="17C24D97" w:rsidP="34B6536B">
      <w:pPr>
        <w:ind w:left="1440"/>
        <w:jc w:val="both"/>
      </w:pPr>
      <w:r w:rsidRPr="552F50DF">
        <w:rPr>
          <w:rFonts w:ascii="Arial" w:eastAsia="Arial" w:hAnsi="Arial" w:cs="Arial"/>
          <w:sz w:val="24"/>
          <w:szCs w:val="24"/>
          <w:lang w:val="en-US"/>
        </w:rPr>
        <w:t xml:space="preserve"> </w:t>
      </w:r>
      <w:r w:rsidRPr="2067284D">
        <w:rPr>
          <w:rFonts w:ascii="Arial" w:eastAsia="Arial" w:hAnsi="Arial" w:cs="Arial"/>
          <w:sz w:val="24"/>
          <w:szCs w:val="24"/>
          <w:lang w:val="en-US"/>
        </w:rPr>
        <w:t xml:space="preserve">                            </w:t>
      </w:r>
      <w:r w:rsidRPr="74F66FD2">
        <w:rPr>
          <w:rFonts w:ascii="Arial" w:eastAsia="Arial" w:hAnsi="Arial" w:cs="Arial"/>
          <w:sz w:val="24"/>
          <w:szCs w:val="24"/>
          <w:lang w:val="en-US"/>
        </w:rPr>
        <w:t xml:space="preserve">   </w:t>
      </w:r>
      <w:r w:rsidR="65C6EBC6" w:rsidRPr="6C8E7E9B">
        <w:rPr>
          <w:rFonts w:ascii="Arial" w:eastAsia="Arial" w:hAnsi="Arial" w:cs="Arial"/>
          <w:sz w:val="24"/>
          <w:szCs w:val="24"/>
          <w:lang w:val="en-US"/>
        </w:rPr>
        <w:t>Lecturer:</w:t>
      </w:r>
      <w:r w:rsidR="65C6EBC6" w:rsidRPr="3213A612">
        <w:rPr>
          <w:rFonts w:ascii="Arial" w:eastAsia="Arial" w:hAnsi="Arial" w:cs="Arial"/>
          <w:sz w:val="24"/>
          <w:szCs w:val="24"/>
          <w:lang w:val="en-US"/>
        </w:rPr>
        <w:t xml:space="preserve"> Martin </w:t>
      </w:r>
      <w:r w:rsidR="65C6EBC6" w:rsidRPr="5B48631E">
        <w:rPr>
          <w:rFonts w:ascii="Arial" w:eastAsia="Arial" w:hAnsi="Arial" w:cs="Arial"/>
          <w:sz w:val="24"/>
          <w:szCs w:val="24"/>
          <w:lang w:val="en-US"/>
        </w:rPr>
        <w:t>Svejda</w:t>
      </w:r>
    </w:p>
    <w:p w14:paraId="45D9818F" w14:textId="32931467" w:rsidR="759D2728" w:rsidRDefault="759D2728" w:rsidP="759D2728">
      <w:pPr>
        <w:ind w:left="1440"/>
        <w:jc w:val="both"/>
        <w:rPr>
          <w:rFonts w:ascii="Arial" w:eastAsia="Arial" w:hAnsi="Arial" w:cs="Arial"/>
          <w:sz w:val="24"/>
          <w:szCs w:val="24"/>
          <w:lang w:val="en-US"/>
        </w:rPr>
      </w:pPr>
    </w:p>
    <w:p w14:paraId="63DEA6EE" w14:textId="2C998F2A" w:rsidR="5DA5656C" w:rsidRDefault="5DA5656C" w:rsidP="5DA5656C">
      <w:pPr>
        <w:ind w:left="1440"/>
        <w:jc w:val="both"/>
        <w:rPr>
          <w:rFonts w:ascii="Arial" w:eastAsia="Arial" w:hAnsi="Arial" w:cs="Arial"/>
          <w:sz w:val="24"/>
          <w:szCs w:val="24"/>
          <w:lang w:val="en-US"/>
        </w:rPr>
      </w:pPr>
    </w:p>
    <w:p w14:paraId="3D3C485F" w14:textId="1A0D9CAF" w:rsidR="364D3608" w:rsidRDefault="364D3608" w:rsidP="419CA304">
      <w:pPr>
        <w:ind w:left="1440"/>
        <w:jc w:val="both"/>
      </w:pPr>
      <w:r w:rsidRPr="349EDDDF">
        <w:rPr>
          <w:rFonts w:ascii="Arial" w:eastAsia="Arial" w:hAnsi="Arial" w:cs="Arial"/>
          <w:b/>
          <w:bCs/>
          <w:sz w:val="24"/>
          <w:szCs w:val="24"/>
          <w:lang w:val="en-US"/>
        </w:rPr>
        <w:t xml:space="preserve"> </w:t>
      </w:r>
      <w:r w:rsidRPr="74317986">
        <w:rPr>
          <w:rFonts w:ascii="Arial" w:eastAsia="Arial" w:hAnsi="Arial" w:cs="Arial"/>
          <w:b/>
          <w:bCs/>
          <w:sz w:val="24"/>
          <w:szCs w:val="24"/>
          <w:lang w:val="en-US"/>
        </w:rPr>
        <w:t xml:space="preserve"> </w:t>
      </w:r>
      <w:r w:rsidRPr="72AF047A">
        <w:rPr>
          <w:rFonts w:ascii="Arial" w:eastAsia="Arial" w:hAnsi="Arial" w:cs="Arial"/>
          <w:b/>
          <w:bCs/>
          <w:sz w:val="24"/>
          <w:szCs w:val="24"/>
          <w:lang w:val="en-US"/>
        </w:rPr>
        <w:t xml:space="preserve"> </w:t>
      </w:r>
      <w:r w:rsidRPr="0D23A057">
        <w:rPr>
          <w:rFonts w:ascii="Arial" w:eastAsia="Arial" w:hAnsi="Arial" w:cs="Arial"/>
          <w:b/>
          <w:bCs/>
          <w:sz w:val="24"/>
          <w:szCs w:val="24"/>
          <w:lang w:val="en-US"/>
        </w:rPr>
        <w:t xml:space="preserve">        </w:t>
      </w:r>
      <w:r w:rsidRPr="450424E6">
        <w:rPr>
          <w:rFonts w:ascii="Arial" w:eastAsia="Arial" w:hAnsi="Arial" w:cs="Arial"/>
          <w:b/>
          <w:bCs/>
          <w:sz w:val="24"/>
          <w:szCs w:val="24"/>
          <w:lang w:val="en-US"/>
        </w:rPr>
        <w:t xml:space="preserve">                   </w:t>
      </w:r>
      <w:r w:rsidRPr="49CAFBD0">
        <w:rPr>
          <w:rFonts w:ascii="Arial" w:eastAsia="Arial" w:hAnsi="Arial" w:cs="Arial"/>
          <w:b/>
          <w:bCs/>
          <w:sz w:val="24"/>
          <w:szCs w:val="24"/>
          <w:lang w:val="en-US"/>
        </w:rPr>
        <w:t xml:space="preserve"> </w:t>
      </w:r>
      <w:r w:rsidRPr="50F7238A">
        <w:rPr>
          <w:rFonts w:ascii="Arial" w:eastAsia="Arial" w:hAnsi="Arial" w:cs="Arial"/>
          <w:b/>
          <w:sz w:val="24"/>
          <w:szCs w:val="24"/>
          <w:lang w:val="en-US"/>
        </w:rPr>
        <w:t xml:space="preserve"> COMPONENT </w:t>
      </w:r>
      <w:r w:rsidRPr="50F7238A">
        <w:rPr>
          <w:rFonts w:ascii="Arial" w:eastAsia="Arial" w:hAnsi="Arial" w:cs="Arial"/>
          <w:b/>
          <w:bCs/>
          <w:sz w:val="24"/>
          <w:szCs w:val="24"/>
          <w:lang w:val="en-US"/>
        </w:rPr>
        <w:t>1 REPORT</w:t>
      </w:r>
    </w:p>
    <w:p w14:paraId="518213C5" w14:textId="09352484" w:rsidR="2009F90F" w:rsidRDefault="2009F90F" w:rsidP="2009F90F">
      <w:pPr>
        <w:ind w:left="1440"/>
        <w:jc w:val="both"/>
        <w:rPr>
          <w:rFonts w:ascii="Arial" w:eastAsia="Arial" w:hAnsi="Arial" w:cs="Arial"/>
          <w:b/>
          <w:bCs/>
          <w:sz w:val="24"/>
          <w:szCs w:val="24"/>
          <w:lang w:val="en-US"/>
        </w:rPr>
      </w:pPr>
    </w:p>
    <w:p w14:paraId="42FB655F" w14:textId="074B1DA6" w:rsidR="2E0BD690" w:rsidRDefault="436EFBE0" w:rsidP="2E0BD690">
      <w:pPr>
        <w:ind w:left="1440"/>
        <w:jc w:val="both"/>
      </w:pPr>
      <w:r w:rsidRPr="20D3D9CF">
        <w:rPr>
          <w:rFonts w:ascii="Arial" w:eastAsia="Arial" w:hAnsi="Arial" w:cs="Arial"/>
          <w:b/>
          <w:bCs/>
          <w:sz w:val="24"/>
          <w:szCs w:val="24"/>
          <w:lang w:val="en-US"/>
        </w:rPr>
        <w:t xml:space="preserve">  </w:t>
      </w:r>
      <w:r w:rsidRPr="26FA0F8D">
        <w:rPr>
          <w:rFonts w:ascii="Arial" w:eastAsia="Arial" w:hAnsi="Arial" w:cs="Arial"/>
          <w:b/>
          <w:bCs/>
          <w:sz w:val="24"/>
          <w:szCs w:val="24"/>
          <w:lang w:val="en-US"/>
        </w:rPr>
        <w:t xml:space="preserve">     </w:t>
      </w:r>
      <w:r w:rsidRPr="432B8D6B">
        <w:rPr>
          <w:rFonts w:ascii="Arial" w:eastAsia="Arial" w:hAnsi="Arial" w:cs="Arial"/>
          <w:b/>
          <w:bCs/>
          <w:sz w:val="24"/>
          <w:szCs w:val="24"/>
          <w:lang w:val="en-US"/>
        </w:rPr>
        <w:t xml:space="preserve">     </w:t>
      </w:r>
      <w:r w:rsidRPr="3831BF49">
        <w:rPr>
          <w:rFonts w:ascii="Arial" w:eastAsia="Arial" w:hAnsi="Arial" w:cs="Arial"/>
          <w:b/>
          <w:bCs/>
          <w:sz w:val="24"/>
          <w:szCs w:val="24"/>
          <w:lang w:val="en-US"/>
        </w:rPr>
        <w:t xml:space="preserve">                        </w:t>
      </w:r>
      <w:r w:rsidRPr="2CDAC586">
        <w:rPr>
          <w:rFonts w:ascii="Arial" w:eastAsia="Arial" w:hAnsi="Arial" w:cs="Arial"/>
          <w:b/>
          <w:bCs/>
          <w:sz w:val="24"/>
          <w:szCs w:val="24"/>
          <w:lang w:val="en-US"/>
        </w:rPr>
        <w:t xml:space="preserve">  </w:t>
      </w:r>
      <w:r w:rsidRPr="482EC54F">
        <w:rPr>
          <w:rFonts w:ascii="Arial" w:eastAsia="Arial" w:hAnsi="Arial" w:cs="Arial"/>
          <w:b/>
          <w:bCs/>
          <w:sz w:val="24"/>
          <w:szCs w:val="24"/>
          <w:lang w:val="en-US"/>
        </w:rPr>
        <w:t xml:space="preserve">FREESTYLE </w:t>
      </w:r>
      <w:r w:rsidRPr="317A38FA">
        <w:rPr>
          <w:rFonts w:ascii="Arial" w:eastAsia="Arial" w:hAnsi="Arial" w:cs="Arial"/>
          <w:b/>
          <w:bCs/>
          <w:sz w:val="24"/>
          <w:szCs w:val="24"/>
          <w:lang w:val="en-US"/>
        </w:rPr>
        <w:t>LIBRE</w:t>
      </w:r>
    </w:p>
    <w:p w14:paraId="4DA69104" w14:textId="11ADE9AB" w:rsidR="208BA8B3" w:rsidRDefault="208BA8B3" w:rsidP="208BA8B3">
      <w:pPr>
        <w:ind w:left="1440"/>
        <w:jc w:val="both"/>
        <w:rPr>
          <w:rFonts w:ascii="Arial" w:eastAsia="Arial" w:hAnsi="Arial" w:cs="Arial"/>
          <w:b/>
          <w:bCs/>
          <w:sz w:val="24"/>
          <w:szCs w:val="24"/>
          <w:lang w:val="en-US"/>
        </w:rPr>
      </w:pPr>
    </w:p>
    <w:p w14:paraId="5C459D9C" w14:textId="1391F64F" w:rsidR="138C914E" w:rsidRDefault="138C914E" w:rsidP="138C914E">
      <w:pPr>
        <w:ind w:left="1440"/>
        <w:jc w:val="both"/>
        <w:rPr>
          <w:rFonts w:ascii="Arial" w:eastAsia="Arial" w:hAnsi="Arial" w:cs="Arial"/>
          <w:b/>
          <w:bCs/>
          <w:sz w:val="24"/>
          <w:szCs w:val="24"/>
          <w:lang w:val="en-US"/>
        </w:rPr>
      </w:pPr>
    </w:p>
    <w:p w14:paraId="3541641C" w14:textId="54BDB17B" w:rsidR="48826A13" w:rsidRDefault="48826A13" w:rsidP="48826A13">
      <w:pPr>
        <w:ind w:left="1440"/>
        <w:jc w:val="both"/>
        <w:rPr>
          <w:rFonts w:ascii="Arial" w:eastAsia="Arial" w:hAnsi="Arial" w:cs="Arial"/>
          <w:b/>
          <w:bCs/>
          <w:sz w:val="24"/>
          <w:szCs w:val="24"/>
          <w:lang w:val="en-US"/>
        </w:rPr>
      </w:pPr>
    </w:p>
    <w:p w14:paraId="525522FE" w14:textId="3F603653" w:rsidR="48826A13" w:rsidRDefault="48826A13" w:rsidP="48826A13">
      <w:pPr>
        <w:ind w:left="1440"/>
        <w:jc w:val="both"/>
        <w:rPr>
          <w:rFonts w:ascii="Arial" w:eastAsia="Arial" w:hAnsi="Arial" w:cs="Arial"/>
          <w:b/>
          <w:bCs/>
          <w:sz w:val="24"/>
          <w:szCs w:val="24"/>
          <w:lang w:val="en-US"/>
        </w:rPr>
      </w:pPr>
    </w:p>
    <w:p w14:paraId="5181573A" w14:textId="32D9638A" w:rsidR="00425EF8" w:rsidRDefault="00425EF8" w:rsidP="0AECFEEC">
      <w:pPr>
        <w:ind w:left="1440"/>
        <w:jc w:val="both"/>
        <w:rPr>
          <w:rFonts w:ascii="Arial" w:eastAsia="Arial" w:hAnsi="Arial" w:cs="Arial"/>
          <w:b/>
          <w:bCs/>
          <w:sz w:val="24"/>
          <w:szCs w:val="24"/>
          <w:lang w:val="en-US"/>
        </w:rPr>
      </w:pPr>
    </w:p>
    <w:p w14:paraId="0B5C0A16" w14:textId="3A3F8D55" w:rsidR="00425EF8" w:rsidRDefault="00425EF8" w:rsidP="0AECFEEC">
      <w:pPr>
        <w:ind w:left="1440"/>
        <w:jc w:val="both"/>
        <w:rPr>
          <w:rFonts w:ascii="Arial" w:eastAsia="Arial" w:hAnsi="Arial" w:cs="Arial"/>
          <w:b/>
          <w:bCs/>
          <w:sz w:val="24"/>
          <w:szCs w:val="24"/>
          <w:lang w:val="en-US"/>
        </w:rPr>
      </w:pPr>
    </w:p>
    <w:p w14:paraId="3815C440" w14:textId="1D69BBBD" w:rsidR="00425EF8" w:rsidRDefault="00425EF8" w:rsidP="0AECFEEC">
      <w:pPr>
        <w:ind w:left="1440"/>
        <w:jc w:val="both"/>
        <w:rPr>
          <w:rFonts w:ascii="Arial" w:eastAsia="Arial" w:hAnsi="Arial" w:cs="Arial"/>
          <w:b/>
          <w:bCs/>
          <w:sz w:val="24"/>
          <w:szCs w:val="24"/>
          <w:lang w:val="en-US"/>
        </w:rPr>
      </w:pPr>
    </w:p>
    <w:p w14:paraId="674AEFDE" w14:textId="4B501048" w:rsidR="25D6CBB5" w:rsidRDefault="25A9FC61" w:rsidP="00A40421">
      <w:pPr>
        <w:ind w:left="4320"/>
        <w:jc w:val="both"/>
      </w:pPr>
      <w:r w:rsidRPr="72723160">
        <w:rPr>
          <w:rFonts w:ascii="Arial" w:eastAsia="Arial" w:hAnsi="Arial" w:cs="Arial"/>
          <w:b/>
          <w:bCs/>
          <w:sz w:val="24"/>
          <w:szCs w:val="24"/>
          <w:lang w:val="en-US"/>
        </w:rPr>
        <w:t xml:space="preserve"> </w:t>
      </w:r>
      <w:r w:rsidRPr="554BBAC4">
        <w:rPr>
          <w:rFonts w:ascii="Arial" w:eastAsia="Arial" w:hAnsi="Arial" w:cs="Arial"/>
          <w:b/>
          <w:bCs/>
          <w:sz w:val="24"/>
          <w:szCs w:val="24"/>
          <w:lang w:val="en-US"/>
        </w:rPr>
        <w:t xml:space="preserve"> </w:t>
      </w:r>
      <w:r w:rsidRPr="09BF9EAE">
        <w:rPr>
          <w:rFonts w:ascii="Arial" w:eastAsia="Arial" w:hAnsi="Arial" w:cs="Arial"/>
          <w:b/>
          <w:bCs/>
          <w:sz w:val="24"/>
          <w:szCs w:val="24"/>
          <w:lang w:val="en-US"/>
        </w:rPr>
        <w:t xml:space="preserve">            </w:t>
      </w:r>
      <w:r w:rsidRPr="6ACE41EC">
        <w:rPr>
          <w:rFonts w:ascii="Arial" w:eastAsia="Arial" w:hAnsi="Arial" w:cs="Arial"/>
          <w:b/>
          <w:bCs/>
          <w:sz w:val="24"/>
          <w:szCs w:val="24"/>
          <w:lang w:val="en-US"/>
        </w:rPr>
        <w:t xml:space="preserve">              </w:t>
      </w:r>
      <w:r w:rsidRPr="6FD47F37">
        <w:rPr>
          <w:rFonts w:ascii="Arial" w:eastAsia="Arial" w:hAnsi="Arial" w:cs="Arial"/>
          <w:b/>
          <w:bCs/>
          <w:sz w:val="24"/>
          <w:szCs w:val="24"/>
          <w:lang w:val="en-US"/>
        </w:rPr>
        <w:t xml:space="preserve">  Done By: Syeda Rizvi</w:t>
      </w:r>
    </w:p>
    <w:p w14:paraId="1B9AB7A2" w14:textId="72E626AC" w:rsidR="25A9FC61" w:rsidRDefault="25A9FC61" w:rsidP="6FD47F37">
      <w:pPr>
        <w:ind w:left="4320"/>
        <w:jc w:val="both"/>
      </w:pPr>
      <w:r w:rsidRPr="6FD47F37">
        <w:rPr>
          <w:rFonts w:ascii="Arial" w:eastAsia="Arial" w:hAnsi="Arial" w:cs="Arial"/>
          <w:b/>
          <w:bCs/>
          <w:sz w:val="24"/>
          <w:szCs w:val="24"/>
          <w:lang w:val="en-US"/>
        </w:rPr>
        <w:t xml:space="preserve">                             Student ID: 2332271</w:t>
      </w:r>
    </w:p>
    <w:p w14:paraId="1FD16088" w14:textId="3ACB2CB9" w:rsidR="6FD47F37" w:rsidRDefault="6FD47F37" w:rsidP="6FD47F37">
      <w:pPr>
        <w:ind w:left="720"/>
        <w:jc w:val="both"/>
        <w:rPr>
          <w:rFonts w:ascii="Arial" w:eastAsia="Arial" w:hAnsi="Arial" w:cs="Arial"/>
          <w:b/>
          <w:bCs/>
          <w:sz w:val="24"/>
          <w:szCs w:val="24"/>
          <w:lang w:val="en-US"/>
        </w:rPr>
      </w:pPr>
    </w:p>
    <w:p w14:paraId="00000001" w14:textId="1D84C727" w:rsidR="00425EF8" w:rsidRDefault="61F743E8" w:rsidP="7209AC9A">
      <w:pPr>
        <w:pStyle w:val="Heading2"/>
        <w:keepNext w:val="0"/>
        <w:keepLines w:val="0"/>
        <w:jc w:val="both"/>
        <w:rPr>
          <w:rFonts w:ascii="Arial" w:eastAsia="Arial" w:hAnsi="Arial" w:cs="Arial"/>
          <w:sz w:val="24"/>
          <w:szCs w:val="24"/>
        </w:rPr>
      </w:pPr>
      <w:bookmarkStart w:id="0" w:name="_vm2w5pdsslv8"/>
      <w:bookmarkEnd w:id="0"/>
      <w:r w:rsidRPr="639C683E">
        <w:rPr>
          <w:rFonts w:ascii="Arial" w:eastAsia="Arial" w:hAnsi="Arial" w:cs="Arial"/>
          <w:sz w:val="24"/>
          <w:szCs w:val="24"/>
        </w:rPr>
        <w:t xml:space="preserve">      </w:t>
      </w:r>
      <w:r w:rsidRPr="0777C00D">
        <w:rPr>
          <w:rFonts w:ascii="Arial" w:eastAsia="Arial" w:hAnsi="Arial" w:cs="Arial"/>
          <w:sz w:val="24"/>
          <w:szCs w:val="24"/>
        </w:rPr>
        <w:t xml:space="preserve">             </w:t>
      </w:r>
      <w:r w:rsidRPr="747FE07C">
        <w:rPr>
          <w:rFonts w:ascii="Arial" w:eastAsia="Arial" w:hAnsi="Arial" w:cs="Arial"/>
          <w:sz w:val="24"/>
          <w:szCs w:val="24"/>
        </w:rPr>
        <w:t xml:space="preserve">                          </w:t>
      </w:r>
      <w:r w:rsidRPr="6104F868">
        <w:rPr>
          <w:rFonts w:ascii="Arial" w:eastAsia="Arial" w:hAnsi="Arial" w:cs="Arial"/>
          <w:sz w:val="24"/>
          <w:szCs w:val="24"/>
        </w:rPr>
        <w:t xml:space="preserve"> </w:t>
      </w:r>
      <w:r w:rsidR="006E2DD6" w:rsidRPr="0CF6532A">
        <w:rPr>
          <w:rFonts w:ascii="Arial" w:eastAsia="Arial" w:hAnsi="Arial" w:cs="Arial"/>
          <w:sz w:val="24"/>
          <w:szCs w:val="24"/>
        </w:rPr>
        <w:t>Digital innovation</w:t>
      </w:r>
    </w:p>
    <w:p w14:paraId="396E3903" w14:textId="0642BC29" w:rsidR="2A0C8840" w:rsidRDefault="2A0C8840" w:rsidP="2A0C8840"/>
    <w:p w14:paraId="00000002" w14:textId="77777777" w:rsidR="00425EF8" w:rsidRDefault="006E2DD6">
      <w:pPr>
        <w:rPr>
          <w:rFonts w:ascii="Arial" w:eastAsia="Arial" w:hAnsi="Arial" w:cs="Arial"/>
          <w:b/>
          <w:sz w:val="24"/>
          <w:szCs w:val="24"/>
        </w:rPr>
      </w:pPr>
      <w:r w:rsidRPr="7E5DDB8A">
        <w:rPr>
          <w:rFonts w:ascii="Arial" w:eastAsia="Arial" w:hAnsi="Arial" w:cs="Arial"/>
          <w:b/>
          <w:sz w:val="24"/>
          <w:szCs w:val="24"/>
        </w:rPr>
        <w:t>Introduction</w:t>
      </w:r>
    </w:p>
    <w:p w14:paraId="00000003" w14:textId="77777777" w:rsidR="00425EF8" w:rsidRDefault="006E2DD6">
      <w:pPr>
        <w:rPr>
          <w:rFonts w:ascii="Arial" w:eastAsia="Arial" w:hAnsi="Arial" w:cs="Arial"/>
          <w:sz w:val="24"/>
          <w:szCs w:val="24"/>
          <w:lang w:val="en-US"/>
        </w:rPr>
      </w:pPr>
      <w:r w:rsidRPr="7E5DDB8A">
        <w:rPr>
          <w:rFonts w:ascii="Arial" w:eastAsia="Arial" w:hAnsi="Arial" w:cs="Arial"/>
          <w:sz w:val="24"/>
          <w:szCs w:val="24"/>
          <w:lang w:val="en-US"/>
        </w:rPr>
        <w:t xml:space="preserve">Digital change and innovation have become a main priority within the UK health and social care systems due to increasing demand for the provision of safe, high-quality, sustainable healthcare delivery (Weaver et al., 2015). The NHS is experiencing </w:t>
      </w:r>
      <w:bookmarkStart w:id="1" w:name="_Int_6t45tBUC"/>
      <w:r w:rsidRPr="7E5DDB8A">
        <w:rPr>
          <w:rFonts w:ascii="Arial" w:eastAsia="Arial" w:hAnsi="Arial" w:cs="Arial"/>
          <w:sz w:val="24"/>
          <w:szCs w:val="24"/>
          <w:lang w:val="en-US"/>
        </w:rPr>
        <w:t>high levels</w:t>
      </w:r>
      <w:bookmarkEnd w:id="1"/>
      <w:r w:rsidRPr="7E5DDB8A">
        <w:rPr>
          <w:rFonts w:ascii="Arial" w:eastAsia="Arial" w:hAnsi="Arial" w:cs="Arial"/>
          <w:sz w:val="24"/>
          <w:szCs w:val="24"/>
          <w:lang w:val="en-US"/>
        </w:rPr>
        <w:t xml:space="preserve"> of pressure from increasing rates of chronic illness, especially diabetes, in addition to the increasing ageing population and </w:t>
      </w:r>
      <w:bookmarkStart w:id="2" w:name="_Int_j73lpwO0"/>
      <w:r w:rsidRPr="7E5DDB8A">
        <w:rPr>
          <w:rFonts w:ascii="Arial" w:eastAsia="Arial" w:hAnsi="Arial" w:cs="Arial"/>
          <w:sz w:val="24"/>
          <w:szCs w:val="24"/>
          <w:lang w:val="en-US"/>
        </w:rPr>
        <w:t>high levels</w:t>
      </w:r>
      <w:bookmarkEnd w:id="2"/>
      <w:r w:rsidRPr="7E5DDB8A">
        <w:rPr>
          <w:rFonts w:ascii="Arial" w:eastAsia="Arial" w:hAnsi="Arial" w:cs="Arial"/>
          <w:sz w:val="24"/>
          <w:szCs w:val="24"/>
          <w:lang w:val="en-US"/>
        </w:rPr>
        <w:t xml:space="preserve"> of comorbidity (McKee et al., 2021). These pressures</w:t>
      </w:r>
      <w:r w:rsidRPr="7E5DDB8A">
        <w:rPr>
          <w:rFonts w:ascii="Arial" w:eastAsia="Arial" w:hAnsi="Arial" w:cs="Arial"/>
          <w:sz w:val="24"/>
          <w:szCs w:val="24"/>
          <w:lang w:val="en-US"/>
        </w:rPr>
        <w:t xml:space="preserve"> have required the development of innovative digital solutions, aiming to improve efficiency, patient </w:t>
      </w:r>
      <w:bookmarkStart w:id="3" w:name="_Int_gswr1nEw"/>
      <w:r w:rsidRPr="7E5DDB8A">
        <w:rPr>
          <w:rFonts w:ascii="Arial" w:eastAsia="Arial" w:hAnsi="Arial" w:cs="Arial"/>
          <w:sz w:val="24"/>
          <w:szCs w:val="24"/>
          <w:lang w:val="en-US"/>
        </w:rPr>
        <w:t>outcomes</w:t>
      </w:r>
      <w:bookmarkEnd w:id="3"/>
      <w:r w:rsidRPr="7E5DDB8A">
        <w:rPr>
          <w:rFonts w:ascii="Arial" w:eastAsia="Arial" w:hAnsi="Arial" w:cs="Arial"/>
          <w:sz w:val="24"/>
          <w:szCs w:val="24"/>
          <w:lang w:val="en-US"/>
        </w:rPr>
        <w:t xml:space="preserve"> and reduce the costs associated with long-term illness (The King’s Fund, 2018). One of the most significant developments in diabetes care is Freestyle Libre, a flash glucose monitoring (FGM) system which was created to provide continuous glucose data through a wearable sensor (Abbott, 2023). In contrast to the traditional finger-prick test, which gives a single glucose reading, Freestyle Libre enab</w:t>
      </w:r>
      <w:r w:rsidRPr="7E5DDB8A">
        <w:rPr>
          <w:rFonts w:ascii="Arial" w:eastAsia="Arial" w:hAnsi="Arial" w:cs="Arial"/>
          <w:sz w:val="24"/>
          <w:szCs w:val="24"/>
          <w:lang w:val="en-US"/>
        </w:rPr>
        <w:t xml:space="preserve">les the continuous monitoring of glucose patterns, providing a more responsive approach to diabetes management (NHS England, 2023). The NHS England (2019) Long Term Plan identifies digital health technologies as vital to improve outcomes for individuals with long-term conditions, whilst promoting self-management and reducing inequalities. The following sections will critically evaluate Freestyle Libre using a thematic structure, focusing on workforce impact, service delivery, patient and community </w:t>
      </w:r>
      <w:bookmarkStart w:id="4" w:name="_Int_T5Q923rj"/>
      <w:r w:rsidRPr="7E5DDB8A">
        <w:rPr>
          <w:rFonts w:ascii="Arial" w:eastAsia="Arial" w:hAnsi="Arial" w:cs="Arial"/>
          <w:sz w:val="24"/>
          <w:szCs w:val="24"/>
          <w:lang w:val="en-US"/>
        </w:rPr>
        <w:t>outcomes</w:t>
      </w:r>
      <w:bookmarkEnd w:id="4"/>
      <w:r w:rsidRPr="7E5DDB8A">
        <w:rPr>
          <w:rFonts w:ascii="Arial" w:eastAsia="Arial" w:hAnsi="Arial" w:cs="Arial"/>
          <w:sz w:val="24"/>
          <w:szCs w:val="24"/>
          <w:lang w:val="en-US"/>
        </w:rPr>
        <w:t xml:space="preserve"> </w:t>
      </w:r>
      <w:r w:rsidRPr="7E5DDB8A">
        <w:rPr>
          <w:rFonts w:ascii="Arial" w:eastAsia="Arial" w:hAnsi="Arial" w:cs="Arial"/>
          <w:sz w:val="24"/>
          <w:szCs w:val="24"/>
          <w:lang w:val="en-US"/>
        </w:rPr>
        <w:t xml:space="preserve">and ethical and legal considerations. It assesses the benefits and limitations of the technology </w:t>
      </w:r>
      <w:bookmarkStart w:id="5" w:name="_Int_8QVioi4a"/>
      <w:r w:rsidRPr="7E5DDB8A">
        <w:rPr>
          <w:rFonts w:ascii="Arial" w:eastAsia="Arial" w:hAnsi="Arial" w:cs="Arial"/>
          <w:sz w:val="24"/>
          <w:szCs w:val="24"/>
          <w:lang w:val="en-US"/>
        </w:rPr>
        <w:t>in order to</w:t>
      </w:r>
      <w:bookmarkEnd w:id="5"/>
      <w:r w:rsidRPr="7E5DDB8A">
        <w:rPr>
          <w:rFonts w:ascii="Arial" w:eastAsia="Arial" w:hAnsi="Arial" w:cs="Arial"/>
          <w:sz w:val="24"/>
          <w:szCs w:val="24"/>
          <w:lang w:val="en-US"/>
        </w:rPr>
        <w:t xml:space="preserve"> determine its overall effectiveness as a digital innovation within the UK. </w:t>
      </w:r>
    </w:p>
    <w:p w14:paraId="00000004" w14:textId="77777777" w:rsidR="00425EF8" w:rsidRDefault="006E2DD6">
      <w:pPr>
        <w:rPr>
          <w:rFonts w:ascii="Arial" w:eastAsia="Arial" w:hAnsi="Arial" w:cs="Arial"/>
          <w:b/>
          <w:sz w:val="24"/>
          <w:szCs w:val="24"/>
        </w:rPr>
      </w:pPr>
      <w:r w:rsidRPr="7E5DDB8A">
        <w:rPr>
          <w:rFonts w:ascii="Arial" w:eastAsia="Arial" w:hAnsi="Arial" w:cs="Arial"/>
          <w:b/>
          <w:sz w:val="24"/>
          <w:szCs w:val="24"/>
        </w:rPr>
        <w:t xml:space="preserve">Background and development </w:t>
      </w:r>
    </w:p>
    <w:p w14:paraId="00000005" w14:textId="59BB5337" w:rsidR="00425EF8" w:rsidRDefault="006E2DD6">
      <w:pPr>
        <w:rPr>
          <w:rFonts w:ascii="Arial" w:eastAsia="Arial" w:hAnsi="Arial" w:cs="Arial"/>
          <w:sz w:val="24"/>
          <w:szCs w:val="24"/>
          <w:lang w:val="en-US"/>
        </w:rPr>
      </w:pPr>
      <w:r w:rsidRPr="7E5DDB8A">
        <w:rPr>
          <w:rFonts w:ascii="Arial" w:eastAsia="Arial" w:hAnsi="Arial" w:cs="Arial"/>
          <w:sz w:val="24"/>
          <w:szCs w:val="24"/>
          <w:lang w:val="en-US"/>
        </w:rPr>
        <w:t xml:space="preserve">Diabetes is a long-term metabolic condition that is defined by </w:t>
      </w:r>
      <w:bookmarkStart w:id="6" w:name="_Int_xpQSj79S"/>
      <w:r w:rsidRPr="7E5DDB8A">
        <w:rPr>
          <w:rFonts w:ascii="Arial" w:eastAsia="Arial" w:hAnsi="Arial" w:cs="Arial"/>
          <w:sz w:val="24"/>
          <w:szCs w:val="24"/>
          <w:lang w:val="en-US"/>
        </w:rPr>
        <w:t>high levels</w:t>
      </w:r>
      <w:bookmarkEnd w:id="6"/>
      <w:r w:rsidRPr="7E5DDB8A">
        <w:rPr>
          <w:rFonts w:ascii="Arial" w:eastAsia="Arial" w:hAnsi="Arial" w:cs="Arial"/>
          <w:sz w:val="24"/>
          <w:szCs w:val="24"/>
          <w:lang w:val="en-US"/>
        </w:rPr>
        <w:t xml:space="preserve"> of blood glucose due to impaired insulin production or functioning (Diabetes UK, 2024). Diabetes management in the past has relied on the use of self-monitoring using finger-prick testing, which is effective; however, it doe</w:t>
      </w:r>
      <w:r w:rsidRPr="7E5DDB8A">
        <w:rPr>
          <w:rFonts w:ascii="Arial" w:eastAsia="Arial" w:hAnsi="Arial" w:cs="Arial"/>
          <w:sz w:val="24"/>
          <w:szCs w:val="24"/>
          <w:lang w:val="en-US"/>
        </w:rPr>
        <w:t xml:space="preserve">s not account for changing levels over time, especially overnight </w:t>
      </w:r>
      <w:bookmarkStart w:id="7" w:name="_Int_6qqdK6kc"/>
      <w:r w:rsidRPr="7E5DDB8A">
        <w:rPr>
          <w:rFonts w:ascii="Arial" w:eastAsia="Arial" w:hAnsi="Arial" w:cs="Arial"/>
          <w:sz w:val="24"/>
          <w:szCs w:val="24"/>
          <w:lang w:val="en-US"/>
        </w:rPr>
        <w:t>fluctuations</w:t>
      </w:r>
      <w:bookmarkEnd w:id="7"/>
      <w:r w:rsidRPr="7E5DDB8A">
        <w:rPr>
          <w:rFonts w:ascii="Arial" w:eastAsia="Arial" w:hAnsi="Arial" w:cs="Arial"/>
          <w:sz w:val="24"/>
          <w:szCs w:val="24"/>
          <w:lang w:val="en-US"/>
        </w:rPr>
        <w:t xml:space="preserve"> or post-meal spikes (Diabetes UK, 2024).  Freestyle Libre was created to address these barriers by introducing flash glucose monitoring methods. The system includes a small sensor that is placed under the skin to measure interstitial glucose levels continually (Abbott, 2023). Patients can then scan the sensor using a reader or a smartphone to retrieve real-time glucose readings, providing a more detailed insight into glycemic con</w:t>
      </w:r>
      <w:r w:rsidRPr="7E5DDB8A">
        <w:rPr>
          <w:rFonts w:ascii="Arial" w:eastAsia="Arial" w:hAnsi="Arial" w:cs="Arial"/>
          <w:sz w:val="24"/>
          <w:szCs w:val="24"/>
          <w:lang w:val="en-US"/>
        </w:rPr>
        <w:t xml:space="preserve">trol (Abbott, 2023). The introduction of Freestyle Libre into the NHS is reflective of digital transformation methods aimed at improving long-term condition management, reducing </w:t>
      </w:r>
      <w:bookmarkStart w:id="8" w:name="_Int_LzAWHplr"/>
      <w:r w:rsidRPr="7E5DDB8A">
        <w:rPr>
          <w:rFonts w:ascii="Arial" w:eastAsia="Arial" w:hAnsi="Arial" w:cs="Arial"/>
          <w:sz w:val="24"/>
          <w:szCs w:val="24"/>
          <w:lang w:val="en-US"/>
        </w:rPr>
        <w:t>complications</w:t>
      </w:r>
      <w:bookmarkEnd w:id="8"/>
      <w:r w:rsidRPr="7E5DDB8A">
        <w:rPr>
          <w:rFonts w:ascii="Arial" w:eastAsia="Arial" w:hAnsi="Arial" w:cs="Arial"/>
          <w:sz w:val="24"/>
          <w:szCs w:val="24"/>
          <w:lang w:val="en-US"/>
        </w:rPr>
        <w:t xml:space="preserve"> and enhancing the patient’s ability to self-care (NHS England, 2019). The COVID-19 pandemic </w:t>
      </w:r>
      <w:bookmarkStart w:id="9" w:name="_Int_hBCbUWUp"/>
      <w:r w:rsidRPr="7E5DDB8A">
        <w:rPr>
          <w:rFonts w:ascii="Arial" w:eastAsia="Arial" w:hAnsi="Arial" w:cs="Arial"/>
          <w:sz w:val="24"/>
          <w:szCs w:val="24"/>
          <w:lang w:val="en-US"/>
        </w:rPr>
        <w:t>substantially accelerated</w:t>
      </w:r>
      <w:bookmarkEnd w:id="9"/>
      <w:r w:rsidRPr="7E5DDB8A">
        <w:rPr>
          <w:rFonts w:ascii="Arial" w:eastAsia="Arial" w:hAnsi="Arial" w:cs="Arial"/>
          <w:sz w:val="24"/>
          <w:szCs w:val="24"/>
          <w:lang w:val="en-US"/>
        </w:rPr>
        <w:t xml:space="preserve"> the use of it due to the need for remote monitoring and reduced face-to-face clinical appointments (Getachew et al., 2023). However, implementation of this across the UK has not been consistent due to d</w:t>
      </w:r>
      <w:r w:rsidRPr="7E5DDB8A">
        <w:rPr>
          <w:rFonts w:ascii="Arial" w:eastAsia="Arial" w:hAnsi="Arial" w:cs="Arial"/>
          <w:sz w:val="24"/>
          <w:szCs w:val="24"/>
          <w:lang w:val="en-US"/>
        </w:rPr>
        <w:t xml:space="preserve">ifferences in funding, eligibility </w:t>
      </w:r>
      <w:bookmarkStart w:id="10" w:name="_Int_Bq4lHT4h"/>
      <w:r w:rsidRPr="7E5DDB8A">
        <w:rPr>
          <w:rFonts w:ascii="Arial" w:eastAsia="Arial" w:hAnsi="Arial" w:cs="Arial"/>
          <w:sz w:val="24"/>
          <w:szCs w:val="24"/>
          <w:lang w:val="en-US"/>
        </w:rPr>
        <w:t>criteria</w:t>
      </w:r>
      <w:bookmarkEnd w:id="10"/>
      <w:r w:rsidRPr="7E5DDB8A">
        <w:rPr>
          <w:rFonts w:ascii="Arial" w:eastAsia="Arial" w:hAnsi="Arial" w:cs="Arial"/>
          <w:sz w:val="24"/>
          <w:szCs w:val="24"/>
          <w:lang w:val="en-US"/>
        </w:rPr>
        <w:t xml:space="preserve"> and digital infrastructure (Diabetes UK, 2026). This has led to unequal access to Freestyle Libre, with questions about fairness in the provision of diabetes care in the UK (Diabetes UK, 2026). The Department of Health and Social Care [DHSC] (2022) highlights how successful digital change requires the team to be ready and knowledgeable, organisational compliance</w:t>
      </w:r>
      <w:r w:rsidR="024CEAD6" w:rsidRPr="36CF9CB7">
        <w:rPr>
          <w:rFonts w:ascii="Arial" w:eastAsia="Arial" w:hAnsi="Arial" w:cs="Arial"/>
          <w:sz w:val="24"/>
          <w:szCs w:val="24"/>
          <w:lang w:val="en-US"/>
        </w:rPr>
        <w:t>,</w:t>
      </w:r>
      <w:r w:rsidRPr="7E5DDB8A">
        <w:rPr>
          <w:rFonts w:ascii="Arial" w:eastAsia="Arial" w:hAnsi="Arial" w:cs="Arial"/>
          <w:sz w:val="24"/>
          <w:szCs w:val="24"/>
          <w:lang w:val="en-US"/>
        </w:rPr>
        <w:t xml:space="preserve"> and integrating the change within current workflows. Therefore, Freestyle Libre should not just be con</w:t>
      </w:r>
      <w:r w:rsidRPr="7E5DDB8A">
        <w:rPr>
          <w:rFonts w:ascii="Arial" w:eastAsia="Arial" w:hAnsi="Arial" w:cs="Arial"/>
          <w:sz w:val="24"/>
          <w:szCs w:val="24"/>
          <w:lang w:val="en-US"/>
        </w:rPr>
        <w:t xml:space="preserve">sidered a technological innovation but as a system-wide innovation that needs changes in organisational culture, clinical </w:t>
      </w:r>
      <w:bookmarkStart w:id="11" w:name="_Int_0bTGHVyB"/>
      <w:r w:rsidRPr="7E5DDB8A">
        <w:rPr>
          <w:rFonts w:ascii="Arial" w:eastAsia="Arial" w:hAnsi="Arial" w:cs="Arial"/>
          <w:sz w:val="24"/>
          <w:szCs w:val="24"/>
          <w:lang w:val="en-US"/>
        </w:rPr>
        <w:t>practice</w:t>
      </w:r>
      <w:bookmarkEnd w:id="11"/>
      <w:r w:rsidRPr="7E5DDB8A">
        <w:rPr>
          <w:rFonts w:ascii="Arial" w:eastAsia="Arial" w:hAnsi="Arial" w:cs="Arial"/>
          <w:sz w:val="24"/>
          <w:szCs w:val="24"/>
          <w:lang w:val="en-US"/>
        </w:rPr>
        <w:t xml:space="preserve"> and the patient’s behaviour. </w:t>
      </w:r>
    </w:p>
    <w:p w14:paraId="00000006" w14:textId="77777777" w:rsidR="00425EF8" w:rsidRDefault="006E2DD6">
      <w:pPr>
        <w:rPr>
          <w:rFonts w:ascii="Arial" w:eastAsia="Arial" w:hAnsi="Arial" w:cs="Arial"/>
          <w:b/>
          <w:sz w:val="24"/>
          <w:szCs w:val="24"/>
        </w:rPr>
      </w:pPr>
      <w:r w:rsidRPr="7E5DDB8A">
        <w:rPr>
          <w:rFonts w:ascii="Arial" w:eastAsia="Arial" w:hAnsi="Arial" w:cs="Arial"/>
          <w:b/>
          <w:sz w:val="24"/>
          <w:szCs w:val="24"/>
        </w:rPr>
        <w:t>Workforce impact</w:t>
      </w:r>
    </w:p>
    <w:p w14:paraId="00000007" w14:textId="22C3F0A5" w:rsidR="00425EF8" w:rsidRDefault="006E2DD6">
      <w:pPr>
        <w:rPr>
          <w:rFonts w:ascii="Arial" w:eastAsia="Arial" w:hAnsi="Arial" w:cs="Arial"/>
          <w:sz w:val="24"/>
          <w:szCs w:val="24"/>
          <w:lang w:val="en-US"/>
        </w:rPr>
      </w:pPr>
      <w:r w:rsidRPr="7E5DDB8A">
        <w:rPr>
          <w:rFonts w:ascii="Arial" w:eastAsia="Arial" w:hAnsi="Arial" w:cs="Arial"/>
          <w:sz w:val="24"/>
          <w:szCs w:val="24"/>
          <w:lang w:val="en-US"/>
        </w:rPr>
        <w:t>Freestyle Libre has changed workforce practice within diabetes care. Healthcare professionals have changed their practice from reading separate glucose readings to evaluating continuous glucose data (noting glucose variability and patterns) (Quah et al., 2024). This has therefore changed clinical decision-making, with staff now anal</w:t>
      </w:r>
      <w:r w:rsidRPr="7E5DDB8A">
        <w:rPr>
          <w:rFonts w:ascii="Arial" w:eastAsia="Arial" w:hAnsi="Arial" w:cs="Arial"/>
          <w:sz w:val="24"/>
          <w:szCs w:val="24"/>
          <w:lang w:val="en-US"/>
        </w:rPr>
        <w:t xml:space="preserve">ysing trends, requiring pattern recognition skills (Quah et al., 2024). The Topol Review (2019) highlights how digital technologies are changing the roles of healthcare professionals, with the need for digital knowledge and better analytical skills. Freestyle Libre has resulted in the development of more roles such as the diabetes technology educator, digital diabetes </w:t>
      </w:r>
      <w:bookmarkStart w:id="12" w:name="_Int_OnE6ge65"/>
      <w:r w:rsidRPr="7E5DDB8A">
        <w:rPr>
          <w:rFonts w:ascii="Arial" w:eastAsia="Arial" w:hAnsi="Arial" w:cs="Arial"/>
          <w:sz w:val="24"/>
          <w:szCs w:val="24"/>
          <w:lang w:val="en-US"/>
        </w:rPr>
        <w:t>nurses</w:t>
      </w:r>
      <w:bookmarkEnd w:id="12"/>
      <w:r w:rsidRPr="7E5DDB8A">
        <w:rPr>
          <w:rFonts w:ascii="Arial" w:eastAsia="Arial" w:hAnsi="Arial" w:cs="Arial"/>
          <w:sz w:val="24"/>
          <w:szCs w:val="24"/>
          <w:lang w:val="en-US"/>
        </w:rPr>
        <w:t xml:space="preserve"> and clinical informatics professionals (Abbott, 2023). These roles are vital to educate patients and professionals on how to understan</w:t>
      </w:r>
      <w:r w:rsidRPr="7E5DDB8A">
        <w:rPr>
          <w:rFonts w:ascii="Arial" w:eastAsia="Arial" w:hAnsi="Arial" w:cs="Arial"/>
          <w:sz w:val="24"/>
          <w:szCs w:val="24"/>
          <w:lang w:val="en-US"/>
        </w:rPr>
        <w:t xml:space="preserve">d and apply CGM data effectively in the provision of high-quality, safe care (Diabetes UK, 2024). It must be noted that this digital innovation has also introduced challenges, with Greenhalgh et al (2018) noting that digital systems often increase workload by creating </w:t>
      </w:r>
      <w:r w:rsidR="42B6A346" w:rsidRPr="795C2E5E">
        <w:rPr>
          <w:rFonts w:ascii="Arial" w:eastAsia="Arial" w:hAnsi="Arial" w:cs="Arial"/>
          <w:sz w:val="24"/>
          <w:szCs w:val="24"/>
          <w:lang w:val="en-US"/>
        </w:rPr>
        <w:t>substantial</w:t>
      </w:r>
      <w:r w:rsidRPr="7E5DDB8A">
        <w:rPr>
          <w:rFonts w:ascii="Arial" w:eastAsia="Arial" w:hAnsi="Arial" w:cs="Arial"/>
          <w:sz w:val="24"/>
          <w:szCs w:val="24"/>
          <w:lang w:val="en-US"/>
        </w:rPr>
        <w:t xml:space="preserve"> amounts of data that require interpretation. When caring for those with diabetes, professionals may spend a lot of time reviewing glucose data, which can reduce the time spent with face-to-face patient interaction. There are also b</w:t>
      </w:r>
      <w:r w:rsidRPr="7E5DDB8A">
        <w:rPr>
          <w:rFonts w:ascii="Arial" w:eastAsia="Arial" w:hAnsi="Arial" w:cs="Arial"/>
          <w:sz w:val="24"/>
          <w:szCs w:val="24"/>
          <w:lang w:val="en-US"/>
        </w:rPr>
        <w:t xml:space="preserve">arriers in terms of training, as some NHS settings provide structured training, whilst others utilise informal learning, resulting in differing levels of staff competence and confidence, which could influence care quality (Cieslak and Valor, 2025). Evidence has also shown how teams can become resistant to change, especially when technologies are put in place too quickly (Cieslak and Valor, 2025). Some may view technological improvements such as Freestyle Libre as another complexity within practice, placing </w:t>
      </w:r>
      <w:r w:rsidRPr="7E5DDB8A">
        <w:rPr>
          <w:rFonts w:ascii="Arial" w:eastAsia="Arial" w:hAnsi="Arial" w:cs="Arial"/>
          <w:sz w:val="24"/>
          <w:szCs w:val="24"/>
          <w:lang w:val="en-US"/>
        </w:rPr>
        <w:t xml:space="preserve">pressure on an already high-pressure setting (Ghosh and Bora, 2025). Thus, from a critical perspective, Freestyle Libre improves clinical practice, but may increase workload stress unless structured </w:t>
      </w:r>
      <w:bookmarkStart w:id="13" w:name="_Int_u0ur0t3M"/>
      <w:r w:rsidRPr="7E5DDB8A">
        <w:rPr>
          <w:rFonts w:ascii="Arial" w:eastAsia="Arial" w:hAnsi="Arial" w:cs="Arial"/>
          <w:sz w:val="24"/>
          <w:szCs w:val="24"/>
          <w:lang w:val="en-US"/>
        </w:rPr>
        <w:t>training,</w:t>
      </w:r>
      <w:bookmarkEnd w:id="13"/>
      <w:r w:rsidRPr="7E5DDB8A">
        <w:rPr>
          <w:rFonts w:ascii="Arial" w:eastAsia="Arial" w:hAnsi="Arial" w:cs="Arial"/>
          <w:sz w:val="24"/>
          <w:szCs w:val="24"/>
          <w:lang w:val="en-US"/>
        </w:rPr>
        <w:t xml:space="preserve"> enough capable staff and organisational support systems are in place. </w:t>
      </w:r>
    </w:p>
    <w:p w14:paraId="00000008" w14:textId="77777777" w:rsidR="00425EF8" w:rsidRDefault="006E2DD6">
      <w:pPr>
        <w:rPr>
          <w:rFonts w:ascii="Arial" w:eastAsia="Arial" w:hAnsi="Arial" w:cs="Arial"/>
          <w:b/>
          <w:sz w:val="24"/>
          <w:szCs w:val="24"/>
        </w:rPr>
      </w:pPr>
      <w:r w:rsidRPr="7E5DDB8A">
        <w:rPr>
          <w:rFonts w:ascii="Arial" w:eastAsia="Arial" w:hAnsi="Arial" w:cs="Arial"/>
          <w:b/>
          <w:sz w:val="24"/>
          <w:szCs w:val="24"/>
        </w:rPr>
        <w:t>Service delivery</w:t>
      </w:r>
    </w:p>
    <w:p w14:paraId="00000009" w14:textId="49EA6EFA" w:rsidR="00425EF8" w:rsidRDefault="006E2DD6">
      <w:pPr>
        <w:rPr>
          <w:rFonts w:ascii="Arial" w:eastAsia="Arial" w:hAnsi="Arial" w:cs="Arial"/>
          <w:sz w:val="24"/>
          <w:szCs w:val="24"/>
          <w:lang w:val="en-US"/>
        </w:rPr>
      </w:pPr>
      <w:r w:rsidRPr="7E5DDB8A">
        <w:rPr>
          <w:rFonts w:ascii="Arial" w:eastAsia="Arial" w:hAnsi="Arial" w:cs="Arial"/>
          <w:sz w:val="24"/>
          <w:szCs w:val="24"/>
          <w:lang w:val="en-US"/>
        </w:rPr>
        <w:t>Freestyle Libre has changed service delivery by providing real-time monitoring and remote assessment. It results in early care interventions and the more effective management of diabetes, reducing the risk of advers</w:t>
      </w:r>
      <w:r w:rsidRPr="7E5DDB8A">
        <w:rPr>
          <w:rFonts w:ascii="Arial" w:eastAsia="Arial" w:hAnsi="Arial" w:cs="Arial"/>
          <w:sz w:val="24"/>
          <w:szCs w:val="24"/>
          <w:lang w:val="en-US"/>
        </w:rPr>
        <w:t>e outcomes such as hypoglycaemia and long-term vascular damage (Haak et al., 2017). One of the most beneficial service delivery improvements is the reduction in routine outpatient appointments, as professionals can remotely evaluate glucose data, allowing for a more flexible and efficient use of resources (Blum, 2018). This is in accordance with the wider NHS goals of moving care closer to the patient and reducing unnecessary hospital admissions (NHS England, 2019). Freestyle Libre also improves communicati</w:t>
      </w:r>
      <w:r w:rsidRPr="7E5DDB8A">
        <w:rPr>
          <w:rFonts w:ascii="Arial" w:eastAsia="Arial" w:hAnsi="Arial" w:cs="Arial"/>
          <w:sz w:val="24"/>
          <w:szCs w:val="24"/>
          <w:lang w:val="en-US"/>
        </w:rPr>
        <w:t xml:space="preserve">on within the healthcare team and in collaboration with the patient by providing shared access to the glucose data. This supports the provision of person-centred decision-making and care planning, which is a vital aspect of tailored, </w:t>
      </w:r>
      <w:bookmarkStart w:id="14" w:name="_Int_aBszYbn7"/>
      <w:r w:rsidRPr="7E5DDB8A">
        <w:rPr>
          <w:rFonts w:ascii="Arial" w:eastAsia="Arial" w:hAnsi="Arial" w:cs="Arial"/>
          <w:sz w:val="24"/>
          <w:szCs w:val="24"/>
          <w:lang w:val="en-US"/>
        </w:rPr>
        <w:t>high-quality</w:t>
      </w:r>
      <w:bookmarkEnd w:id="14"/>
      <w:r w:rsidRPr="7E5DDB8A">
        <w:rPr>
          <w:rFonts w:ascii="Arial" w:eastAsia="Arial" w:hAnsi="Arial" w:cs="Arial"/>
          <w:sz w:val="24"/>
          <w:szCs w:val="24"/>
          <w:lang w:val="en-US"/>
        </w:rPr>
        <w:t xml:space="preserve"> and safe care (Blum, 2018). NHS England (2023) notes that Freestyle Libre is associated with better glycaemic control and a reduction in hypoglycaemic episodes, showing objective clinical </w:t>
      </w:r>
      <w:r w:rsidR="3906E2ED" w:rsidRPr="243A3A0A">
        <w:rPr>
          <w:rFonts w:ascii="Arial" w:eastAsia="Arial" w:hAnsi="Arial" w:cs="Arial"/>
          <w:sz w:val="24"/>
          <w:szCs w:val="24"/>
          <w:lang w:val="en-US"/>
        </w:rPr>
        <w:t>benefits</w:t>
      </w:r>
      <w:r w:rsidRPr="7E5DDB8A">
        <w:rPr>
          <w:rFonts w:ascii="Arial" w:eastAsia="Arial" w:hAnsi="Arial" w:cs="Arial"/>
          <w:sz w:val="24"/>
          <w:szCs w:val="24"/>
          <w:lang w:val="en-US"/>
        </w:rPr>
        <w:t xml:space="preserve"> and better service outcomes. However, the Nuffield Trust (2021) </w:t>
      </w:r>
      <w:r w:rsidR="127CE230" w:rsidRPr="3B7D2D35">
        <w:rPr>
          <w:rFonts w:ascii="Arial" w:eastAsia="Arial" w:hAnsi="Arial" w:cs="Arial"/>
          <w:sz w:val="24"/>
          <w:szCs w:val="24"/>
          <w:lang w:val="en-US"/>
        </w:rPr>
        <w:t>discusses</w:t>
      </w:r>
      <w:r w:rsidRPr="7E5DDB8A">
        <w:rPr>
          <w:rFonts w:ascii="Arial" w:eastAsia="Arial" w:hAnsi="Arial" w:cs="Arial"/>
          <w:sz w:val="24"/>
          <w:szCs w:val="24"/>
          <w:lang w:val="en-US"/>
        </w:rPr>
        <w:t xml:space="preserve"> the </w:t>
      </w:r>
      <w:bookmarkStart w:id="15" w:name="_Int_3As5T1Ji"/>
      <w:r w:rsidRPr="7E5DDB8A">
        <w:rPr>
          <w:rFonts w:ascii="Arial" w:eastAsia="Arial" w:hAnsi="Arial" w:cs="Arial"/>
          <w:sz w:val="24"/>
          <w:szCs w:val="24"/>
          <w:lang w:val="en-US"/>
        </w:rPr>
        <w:t>high cost</w:t>
      </w:r>
      <w:bookmarkEnd w:id="15"/>
      <w:r w:rsidRPr="7E5DDB8A">
        <w:rPr>
          <w:rFonts w:ascii="Arial" w:eastAsia="Arial" w:hAnsi="Arial" w:cs="Arial"/>
          <w:sz w:val="24"/>
          <w:szCs w:val="24"/>
          <w:lang w:val="en-US"/>
        </w:rPr>
        <w:t xml:space="preserve"> of sensors and ongoing supply, which is a substantial financial stress on the NHS (and therefore </w:t>
      </w:r>
      <w:bookmarkStart w:id="16" w:name="_Int_CX6hCy61"/>
      <w:r w:rsidRPr="7E5DDB8A">
        <w:rPr>
          <w:rFonts w:ascii="Arial" w:eastAsia="Arial" w:hAnsi="Arial" w:cs="Arial"/>
          <w:sz w:val="24"/>
          <w:szCs w:val="24"/>
          <w:lang w:val="en-US"/>
        </w:rPr>
        <w:t>concerns about</w:t>
      </w:r>
      <w:bookmarkEnd w:id="16"/>
      <w:r w:rsidRPr="7E5DDB8A">
        <w:rPr>
          <w:rFonts w:ascii="Arial" w:eastAsia="Arial" w:hAnsi="Arial" w:cs="Arial"/>
          <w:sz w:val="24"/>
          <w:szCs w:val="24"/>
          <w:lang w:val="en-US"/>
        </w:rPr>
        <w:t xml:space="preserve"> ongoing sustainability). Furthermore, technical failures or sensor inaccuracies can interrupt clinical workflows and make staff question the benefits of digital data (Ferreira et al., 2026). The provision of care is also affected by geographical inequality in terms of access, resulting in care variation and different patient outcomes depending on location (this raises concerns </w:t>
      </w:r>
      <w:r w:rsidRPr="7E5DDB8A">
        <w:rPr>
          <w:rFonts w:ascii="Arial" w:eastAsia="Arial" w:hAnsi="Arial" w:cs="Arial"/>
          <w:sz w:val="24"/>
          <w:szCs w:val="24"/>
          <w:lang w:val="en-US"/>
        </w:rPr>
        <w:t xml:space="preserve">about equality and care consistency) (Ferreira et al., 2026). </w:t>
      </w:r>
    </w:p>
    <w:p w14:paraId="0000000A" w14:textId="77777777" w:rsidR="00425EF8" w:rsidRDefault="006E2DD6">
      <w:pPr>
        <w:rPr>
          <w:rFonts w:ascii="Arial" w:eastAsia="Arial" w:hAnsi="Arial" w:cs="Arial"/>
          <w:b/>
          <w:sz w:val="24"/>
          <w:szCs w:val="24"/>
        </w:rPr>
      </w:pPr>
      <w:r w:rsidRPr="7E5DDB8A">
        <w:rPr>
          <w:rFonts w:ascii="Arial" w:eastAsia="Arial" w:hAnsi="Arial" w:cs="Arial"/>
          <w:b/>
          <w:sz w:val="24"/>
          <w:szCs w:val="24"/>
        </w:rPr>
        <w:t>Impact on the patient and the community</w:t>
      </w:r>
    </w:p>
    <w:p w14:paraId="0000000B" w14:textId="6CCCA231" w:rsidR="00425EF8" w:rsidRDefault="006E2DD6">
      <w:pPr>
        <w:rPr>
          <w:rFonts w:ascii="Arial" w:eastAsia="Arial" w:hAnsi="Arial" w:cs="Arial"/>
          <w:sz w:val="24"/>
          <w:szCs w:val="24"/>
          <w:lang w:val="en-US"/>
        </w:rPr>
      </w:pPr>
      <w:r w:rsidRPr="7E5DDB8A">
        <w:rPr>
          <w:rFonts w:ascii="Arial" w:eastAsia="Arial" w:hAnsi="Arial" w:cs="Arial"/>
          <w:sz w:val="24"/>
          <w:szCs w:val="24"/>
          <w:lang w:val="en-US"/>
        </w:rPr>
        <w:t>Freestyle Libre has had a significant impact on the patient’s experience and self-management in diabetes care. One of the greatest benefits discussed by patients and professionals is removing the need for routine finger-prick testing, which improves patient comfort, reduces the associated pain and improves patient compliance with glucose monitoring (Smith et al., 2023). Patients can see their blood glucose</w:t>
      </w:r>
      <w:r w:rsidRPr="7E5DDB8A">
        <w:rPr>
          <w:rFonts w:ascii="Arial" w:eastAsia="Arial" w:hAnsi="Arial" w:cs="Arial"/>
          <w:sz w:val="24"/>
          <w:szCs w:val="24"/>
          <w:lang w:val="en-US"/>
        </w:rPr>
        <w:t xml:space="preserve"> levels and make immediate changes to their insulin dose, </w:t>
      </w:r>
      <w:bookmarkStart w:id="17" w:name="_Int_cmGOjj40"/>
      <w:r w:rsidRPr="7E5DDB8A">
        <w:rPr>
          <w:rFonts w:ascii="Arial" w:eastAsia="Arial" w:hAnsi="Arial" w:cs="Arial"/>
          <w:sz w:val="24"/>
          <w:szCs w:val="24"/>
          <w:lang w:val="en-US"/>
        </w:rPr>
        <w:t>diet</w:t>
      </w:r>
      <w:bookmarkEnd w:id="17"/>
      <w:r w:rsidRPr="7E5DDB8A">
        <w:rPr>
          <w:rFonts w:ascii="Arial" w:eastAsia="Arial" w:hAnsi="Arial" w:cs="Arial"/>
          <w:sz w:val="24"/>
          <w:szCs w:val="24"/>
          <w:lang w:val="en-US"/>
        </w:rPr>
        <w:t xml:space="preserve"> and general lifestyle, reducing the risk of complications (Nana et al., 2019). Studies suggest that Freestyle Libre improves quality of life, increases treatment </w:t>
      </w:r>
      <w:bookmarkStart w:id="18" w:name="_Int_BqXmrsfS"/>
      <w:r w:rsidRPr="7E5DDB8A">
        <w:rPr>
          <w:rFonts w:ascii="Arial" w:eastAsia="Arial" w:hAnsi="Arial" w:cs="Arial"/>
          <w:sz w:val="24"/>
          <w:szCs w:val="24"/>
          <w:lang w:val="en-US"/>
        </w:rPr>
        <w:t>satisfaction</w:t>
      </w:r>
      <w:bookmarkEnd w:id="18"/>
      <w:r w:rsidRPr="7E5DDB8A">
        <w:rPr>
          <w:rFonts w:ascii="Arial" w:eastAsia="Arial" w:hAnsi="Arial" w:cs="Arial"/>
          <w:sz w:val="24"/>
          <w:szCs w:val="24"/>
          <w:lang w:val="en-US"/>
        </w:rPr>
        <w:t xml:space="preserve"> and reduces the anxieties associated with hypoglycaemia (Alsahli et al., 2024). Patients discuss feeling more in control, autonomous</w:t>
      </w:r>
      <w:r w:rsidR="339DDDBF" w:rsidRPr="2180EDCF">
        <w:rPr>
          <w:rFonts w:ascii="Arial" w:eastAsia="Arial" w:hAnsi="Arial" w:cs="Arial"/>
          <w:sz w:val="24"/>
          <w:szCs w:val="24"/>
          <w:lang w:val="en-US"/>
        </w:rPr>
        <w:t>,</w:t>
      </w:r>
      <w:r w:rsidRPr="7E5DDB8A">
        <w:rPr>
          <w:rFonts w:ascii="Arial" w:eastAsia="Arial" w:hAnsi="Arial" w:cs="Arial"/>
          <w:sz w:val="24"/>
          <w:szCs w:val="24"/>
          <w:lang w:val="en-US"/>
        </w:rPr>
        <w:t xml:space="preserve"> and with more confidence in self-managing their diabetes (Smith et al., 2023). However, from a critical perspective, looking at their blood </w:t>
      </w:r>
      <w:r w:rsidRPr="7E5DDB8A">
        <w:rPr>
          <w:rFonts w:ascii="Arial" w:eastAsia="Arial" w:hAnsi="Arial" w:cs="Arial"/>
          <w:sz w:val="24"/>
          <w:szCs w:val="24"/>
          <w:lang w:val="en-US"/>
        </w:rPr>
        <w:t>glucose levels continually may increase anxiety in some patients due to a constant awareness of glucose changes (Alsahli et al., 2024). Furthermore, the increased responsibility placed on patients to self-care may not be suited to all, especially those with limited health literacy or those with cognitive impairment (Alsahli et al, 2024). Haimi (2023) also discusses the risk of digital exclusion, as those who do not have a smartphone, internet</w:t>
      </w:r>
      <w:r w:rsidR="3CB86904" w:rsidRPr="20445909">
        <w:rPr>
          <w:rFonts w:ascii="Arial" w:eastAsia="Arial" w:hAnsi="Arial" w:cs="Arial"/>
          <w:sz w:val="24"/>
          <w:szCs w:val="24"/>
          <w:lang w:val="en-US"/>
        </w:rPr>
        <w:t>,</w:t>
      </w:r>
      <w:r w:rsidRPr="7E5DDB8A">
        <w:rPr>
          <w:rFonts w:ascii="Arial" w:eastAsia="Arial" w:hAnsi="Arial" w:cs="Arial"/>
          <w:sz w:val="24"/>
          <w:szCs w:val="24"/>
          <w:lang w:val="en-US"/>
        </w:rPr>
        <w:t xml:space="preserve"> or smartphone skills may not be able to benefit from technology.</w:t>
      </w:r>
      <w:r w:rsidRPr="7E5DDB8A">
        <w:rPr>
          <w:rFonts w:ascii="Arial" w:eastAsia="Arial" w:hAnsi="Arial" w:cs="Arial"/>
          <w:sz w:val="24"/>
          <w:szCs w:val="24"/>
          <w:lang w:val="en-US"/>
        </w:rPr>
        <w:t xml:space="preserve"> This may therefore result in wider health inequalities and poorer outcomes for these demographics. </w:t>
      </w:r>
    </w:p>
    <w:p w14:paraId="0000000C" w14:textId="77777777" w:rsidR="00425EF8" w:rsidRDefault="006E2DD6">
      <w:pPr>
        <w:rPr>
          <w:rFonts w:ascii="Arial" w:eastAsia="Arial" w:hAnsi="Arial" w:cs="Arial"/>
          <w:b/>
          <w:sz w:val="24"/>
          <w:szCs w:val="24"/>
        </w:rPr>
      </w:pPr>
      <w:r w:rsidRPr="7E5DDB8A">
        <w:rPr>
          <w:rFonts w:ascii="Arial" w:eastAsia="Arial" w:hAnsi="Arial" w:cs="Arial"/>
          <w:b/>
          <w:sz w:val="24"/>
          <w:szCs w:val="24"/>
        </w:rPr>
        <w:t>Ethical and legal</w:t>
      </w:r>
    </w:p>
    <w:p w14:paraId="0000000D" w14:textId="77777777" w:rsidR="00425EF8" w:rsidRDefault="006E2DD6">
      <w:pPr>
        <w:rPr>
          <w:rFonts w:ascii="Arial" w:eastAsia="Arial" w:hAnsi="Arial" w:cs="Arial"/>
          <w:sz w:val="24"/>
          <w:szCs w:val="24"/>
          <w:lang w:val="en-US"/>
        </w:rPr>
      </w:pPr>
      <w:r w:rsidRPr="7E5DDB8A">
        <w:rPr>
          <w:rFonts w:ascii="Arial" w:eastAsia="Arial" w:hAnsi="Arial" w:cs="Arial"/>
          <w:sz w:val="24"/>
          <w:szCs w:val="24"/>
          <w:lang w:val="en-US"/>
        </w:rPr>
        <w:t xml:space="preserve">Beauchamp and Childress (2019) discuss the main ethical principles of autonomy, beneficence, </w:t>
      </w:r>
      <w:bookmarkStart w:id="19" w:name="_Int_oQOFn226"/>
      <w:r w:rsidRPr="7E5DDB8A">
        <w:rPr>
          <w:rFonts w:ascii="Arial" w:eastAsia="Arial" w:hAnsi="Arial" w:cs="Arial"/>
          <w:sz w:val="24"/>
          <w:szCs w:val="24"/>
          <w:lang w:val="en-US"/>
        </w:rPr>
        <w:t>justice</w:t>
      </w:r>
      <w:bookmarkEnd w:id="19"/>
      <w:r w:rsidRPr="7E5DDB8A">
        <w:rPr>
          <w:rFonts w:ascii="Arial" w:eastAsia="Arial" w:hAnsi="Arial" w:cs="Arial"/>
          <w:sz w:val="24"/>
          <w:szCs w:val="24"/>
          <w:lang w:val="en-US"/>
        </w:rPr>
        <w:t xml:space="preserve"> and non-maleficence, with the need to uphold individual control and decision-making, reduce harm, uphold well-</w:t>
      </w:r>
      <w:bookmarkStart w:id="20" w:name="_Int_bxvHALVw"/>
      <w:r w:rsidRPr="7E5DDB8A">
        <w:rPr>
          <w:rFonts w:ascii="Arial" w:eastAsia="Arial" w:hAnsi="Arial" w:cs="Arial"/>
          <w:sz w:val="24"/>
          <w:szCs w:val="24"/>
          <w:lang w:val="en-US"/>
        </w:rPr>
        <w:t>being</w:t>
      </w:r>
      <w:bookmarkEnd w:id="20"/>
      <w:r w:rsidRPr="7E5DDB8A">
        <w:rPr>
          <w:rFonts w:ascii="Arial" w:eastAsia="Arial" w:hAnsi="Arial" w:cs="Arial"/>
          <w:sz w:val="24"/>
          <w:szCs w:val="24"/>
          <w:lang w:val="en-US"/>
        </w:rPr>
        <w:t xml:space="preserve"> and provide equitable access. Freestyle Libre upholds patient autonomy and enhanced outcomes; however, there are questions in terms of equality and, therefore, the ethical prin</w:t>
      </w:r>
      <w:r w:rsidRPr="7E5DDB8A">
        <w:rPr>
          <w:rFonts w:ascii="Arial" w:eastAsia="Arial" w:hAnsi="Arial" w:cs="Arial"/>
          <w:sz w:val="24"/>
          <w:szCs w:val="24"/>
          <w:lang w:val="en-US"/>
        </w:rPr>
        <w:t>ciple of justice (Kraaijeveld et al., 2020). From a legal perspective, the technology must adhere to UK GDPR and the Data Protection Act 2018, ensuring that patient data is securely, safely and processed and accessed only by authorised individuals (ICO,2023). However, some patients have discussed privacy and data-sharing concerns in relation to tracking tools on the Abbott website, with some discussing worries over the app's terms of consent to share or sell data (Mehorter, 2026). In 2024, a lawsuit was fil</w:t>
      </w:r>
      <w:r w:rsidRPr="7E5DDB8A">
        <w:rPr>
          <w:rFonts w:ascii="Arial" w:eastAsia="Arial" w:hAnsi="Arial" w:cs="Arial"/>
          <w:sz w:val="24"/>
          <w:szCs w:val="24"/>
          <w:lang w:val="en-US"/>
        </w:rPr>
        <w:t xml:space="preserve">ed against Abbott’s Freestyle Libre website, noting that it shared visitor data with third-party tech companies such as Meta (Mehorter, 2026). This breach is likely to have impaired patient trust and confidence in digital healthcare systems. Furthermore, there have been safety recalls due to faulty readings causing adverse events and multiple deaths globally (Seery, 2025). Non-maleficence is therefore not upheld in these cases, placing patients at risk. </w:t>
      </w:r>
    </w:p>
    <w:p w14:paraId="0000000E" w14:textId="77777777" w:rsidR="00425EF8" w:rsidRDefault="006E2DD6">
      <w:pPr>
        <w:rPr>
          <w:rFonts w:ascii="Arial" w:eastAsia="Arial" w:hAnsi="Arial" w:cs="Arial"/>
          <w:b/>
          <w:sz w:val="24"/>
          <w:szCs w:val="24"/>
        </w:rPr>
      </w:pPr>
      <w:r w:rsidRPr="7E5DDB8A">
        <w:rPr>
          <w:rFonts w:ascii="Arial" w:eastAsia="Arial" w:hAnsi="Arial" w:cs="Arial"/>
          <w:b/>
          <w:sz w:val="24"/>
          <w:szCs w:val="24"/>
        </w:rPr>
        <w:t>Critical evaluation</w:t>
      </w:r>
    </w:p>
    <w:p w14:paraId="0000000F" w14:textId="3420ED9B" w:rsidR="00425EF8" w:rsidRDefault="006E2DD6">
      <w:pPr>
        <w:rPr>
          <w:rFonts w:ascii="Arial" w:eastAsia="Arial" w:hAnsi="Arial" w:cs="Arial"/>
          <w:sz w:val="24"/>
          <w:szCs w:val="24"/>
          <w:lang w:val="en-US"/>
        </w:rPr>
      </w:pPr>
      <w:r w:rsidRPr="7E5DDB8A">
        <w:rPr>
          <w:rFonts w:ascii="Arial" w:eastAsia="Arial" w:hAnsi="Arial" w:cs="Arial"/>
          <w:sz w:val="24"/>
          <w:szCs w:val="24"/>
          <w:lang w:val="en-US"/>
        </w:rPr>
        <w:t>Audit data by Deshmukh et al (202</w:t>
      </w:r>
      <w:r w:rsidRPr="7E5DDB8A">
        <w:rPr>
          <w:rFonts w:ascii="Arial" w:eastAsia="Arial" w:hAnsi="Arial" w:cs="Arial"/>
          <w:sz w:val="24"/>
          <w:szCs w:val="24"/>
          <w:lang w:val="en-US"/>
        </w:rPr>
        <w:t xml:space="preserve">0) demonstrated better glucose control and fewer hospital admissions for those with type 1 diabetes using the FLASH glucose monitoring system. It has been identified that those in the UK with type 1 diabetes who use the Freestyle Libre system spend more time in the ideal glucose range over 2 weeks, the more that they scan, and the increased time is linked to a substantial improvement in HbA1c. There is also a reduction in diabetes-related distress and admissions to the hospital, according to Deshmukh et al </w:t>
      </w:r>
      <w:r w:rsidRPr="7E5DDB8A">
        <w:rPr>
          <w:rFonts w:ascii="Arial" w:eastAsia="Arial" w:hAnsi="Arial" w:cs="Arial"/>
          <w:sz w:val="24"/>
          <w:szCs w:val="24"/>
          <w:lang w:val="en-US"/>
        </w:rPr>
        <w:t>(2020). The use of Freestyle Libre was also linked with a reduction in paramedic callouts due to hypoglycaemia, hyperglycaemia and diabetic ketoacidosis. However, from a critical perspective, the audit was supported by an unrestricted educational grant from Abbott, with potential bias. Wright et al (2022) note that healthcare professionals’ opinions in relation to clinical consultations impact the effectiveness of their communication with patients and the blood glucose monitoring of their patients. However,</w:t>
      </w:r>
      <w:r w:rsidRPr="7E5DDB8A">
        <w:rPr>
          <w:rFonts w:ascii="Arial" w:eastAsia="Arial" w:hAnsi="Arial" w:cs="Arial"/>
          <w:sz w:val="24"/>
          <w:szCs w:val="24"/>
          <w:lang w:val="en-US"/>
        </w:rPr>
        <w:t xml:space="preserve"> </w:t>
      </w:r>
      <w:r w:rsidR="274D2CEE" w:rsidRPr="24471E50">
        <w:rPr>
          <w:rFonts w:ascii="Arial" w:eastAsia="Arial" w:hAnsi="Arial" w:cs="Arial"/>
          <w:sz w:val="24"/>
          <w:szCs w:val="24"/>
          <w:lang w:val="en-US"/>
        </w:rPr>
        <w:t>few</w:t>
      </w:r>
      <w:r w:rsidRPr="7E5DDB8A">
        <w:rPr>
          <w:rFonts w:ascii="Arial" w:eastAsia="Arial" w:hAnsi="Arial" w:cs="Arial"/>
          <w:sz w:val="24"/>
          <w:szCs w:val="24"/>
          <w:lang w:val="en-US"/>
        </w:rPr>
        <w:t xml:space="preserve"> studies have aimed to understand the impact of flash glucose monitoring on the experience of implementing clinical consultations. They therefore implemented a qualitative study aiming to explore the impact that flash glucose monitoring has on the clinical practice of healthcare professionals, using semi-structured interviews. The study identified three main themes: providing person-centred care, a change in diabetes </w:t>
      </w:r>
      <w:bookmarkStart w:id="21" w:name="_Int_HetoXtc7"/>
      <w:r w:rsidRPr="7E5DDB8A">
        <w:rPr>
          <w:rFonts w:ascii="Arial" w:eastAsia="Arial" w:hAnsi="Arial" w:cs="Arial"/>
          <w:sz w:val="24"/>
          <w:szCs w:val="24"/>
          <w:lang w:val="en-US"/>
        </w:rPr>
        <w:t>management</w:t>
      </w:r>
      <w:bookmarkEnd w:id="21"/>
      <w:r w:rsidRPr="7E5DDB8A">
        <w:rPr>
          <w:rFonts w:ascii="Arial" w:eastAsia="Arial" w:hAnsi="Arial" w:cs="Arial"/>
          <w:sz w:val="24"/>
          <w:szCs w:val="24"/>
          <w:lang w:val="en-US"/>
        </w:rPr>
        <w:t xml:space="preserve"> and </w:t>
      </w:r>
      <w:bookmarkStart w:id="22" w:name="_Int_HhuDkRPo"/>
      <w:r w:rsidRPr="7E5DDB8A">
        <w:rPr>
          <w:rFonts w:ascii="Arial" w:eastAsia="Arial" w:hAnsi="Arial" w:cs="Arial"/>
          <w:sz w:val="24"/>
          <w:szCs w:val="24"/>
          <w:lang w:val="en-US"/>
        </w:rPr>
        <w:t>time</w:t>
      </w:r>
      <w:bookmarkEnd w:id="22"/>
      <w:r w:rsidRPr="7E5DDB8A">
        <w:rPr>
          <w:rFonts w:ascii="Arial" w:eastAsia="Arial" w:hAnsi="Arial" w:cs="Arial"/>
          <w:sz w:val="24"/>
          <w:szCs w:val="24"/>
          <w:lang w:val="en-US"/>
        </w:rPr>
        <w:t xml:space="preserve"> burden. The themes highlight that flash glucose monitoring supports</w:t>
      </w:r>
      <w:r w:rsidRPr="7E5DDB8A">
        <w:rPr>
          <w:rFonts w:ascii="Arial" w:eastAsia="Arial" w:hAnsi="Arial" w:cs="Arial"/>
          <w:sz w:val="24"/>
          <w:szCs w:val="24"/>
          <w:lang w:val="en-US"/>
        </w:rPr>
        <w:t xml:space="preserve"> person-centred care through the provision of data that enhances communication between patients and professionals. However, preparing for consultations is a timely process, with the need for further training to optimise the ability for professionals to quickly provide monitored data to the patient (Wright et al., 2022). Freestyle Libre has many advantages to patients and professionals; however, there is the risk of inequality, workload </w:t>
      </w:r>
      <w:bookmarkStart w:id="23" w:name="_Int_c7lTz5fI"/>
      <w:r w:rsidRPr="7E5DDB8A">
        <w:rPr>
          <w:rFonts w:ascii="Arial" w:eastAsia="Arial" w:hAnsi="Arial" w:cs="Arial"/>
          <w:sz w:val="24"/>
          <w:szCs w:val="24"/>
          <w:lang w:val="en-US"/>
        </w:rPr>
        <w:t>pressure</w:t>
      </w:r>
      <w:bookmarkEnd w:id="23"/>
      <w:r w:rsidRPr="7E5DDB8A">
        <w:rPr>
          <w:rFonts w:ascii="Arial" w:eastAsia="Arial" w:hAnsi="Arial" w:cs="Arial"/>
          <w:sz w:val="24"/>
          <w:szCs w:val="24"/>
          <w:lang w:val="en-US"/>
        </w:rPr>
        <w:t xml:space="preserve"> and an increased dependence on technology. </w:t>
      </w:r>
    </w:p>
    <w:p w14:paraId="00000010" w14:textId="77777777" w:rsidR="00425EF8" w:rsidRDefault="006E2DD6">
      <w:pPr>
        <w:rPr>
          <w:rFonts w:ascii="Arial" w:eastAsia="Arial" w:hAnsi="Arial" w:cs="Arial"/>
          <w:b/>
          <w:sz w:val="24"/>
          <w:szCs w:val="24"/>
        </w:rPr>
      </w:pPr>
      <w:r w:rsidRPr="7E5DDB8A">
        <w:rPr>
          <w:rFonts w:ascii="Arial" w:eastAsia="Arial" w:hAnsi="Arial" w:cs="Arial"/>
          <w:b/>
          <w:sz w:val="24"/>
          <w:szCs w:val="24"/>
        </w:rPr>
        <w:t>Conclusion</w:t>
      </w:r>
    </w:p>
    <w:p w14:paraId="00000011" w14:textId="197928C3" w:rsidR="00425EF8" w:rsidRDefault="006E2DD6">
      <w:pPr>
        <w:rPr>
          <w:rFonts w:ascii="Arial" w:eastAsia="Arial" w:hAnsi="Arial" w:cs="Arial"/>
          <w:sz w:val="24"/>
          <w:szCs w:val="24"/>
          <w:lang w:val="en-US"/>
        </w:rPr>
      </w:pPr>
      <w:r w:rsidRPr="7E5DDB8A">
        <w:rPr>
          <w:rFonts w:ascii="Arial" w:eastAsia="Arial" w:hAnsi="Arial" w:cs="Arial"/>
          <w:sz w:val="24"/>
          <w:szCs w:val="24"/>
          <w:lang w:val="en-US"/>
        </w:rPr>
        <w:t>Freestyl</w:t>
      </w:r>
      <w:r w:rsidRPr="7E5DDB8A">
        <w:rPr>
          <w:rFonts w:ascii="Arial" w:eastAsia="Arial" w:hAnsi="Arial" w:cs="Arial"/>
          <w:sz w:val="24"/>
          <w:szCs w:val="24"/>
          <w:lang w:val="en-US"/>
        </w:rPr>
        <w:t xml:space="preserve">e Libre is an innovative health technology that has improved diabetes care within the UK, improving glucose monitoring, empowering </w:t>
      </w:r>
      <w:bookmarkStart w:id="24" w:name="_Int_mbIuAZ8g"/>
      <w:r w:rsidRPr="7E5DDB8A">
        <w:rPr>
          <w:rFonts w:ascii="Arial" w:eastAsia="Arial" w:hAnsi="Arial" w:cs="Arial"/>
          <w:sz w:val="24"/>
          <w:szCs w:val="24"/>
          <w:lang w:val="en-US"/>
        </w:rPr>
        <w:t>patients</w:t>
      </w:r>
      <w:bookmarkEnd w:id="24"/>
      <w:r w:rsidRPr="7E5DDB8A">
        <w:rPr>
          <w:rFonts w:ascii="Arial" w:eastAsia="Arial" w:hAnsi="Arial" w:cs="Arial"/>
          <w:sz w:val="24"/>
          <w:szCs w:val="24"/>
          <w:lang w:val="en-US"/>
        </w:rPr>
        <w:t xml:space="preserve"> and supporting better clinical decision-making while supporting more efficient healthcare. Patients no longer </w:t>
      </w:r>
      <w:bookmarkStart w:id="25" w:name="_Int_gCA9fNAu"/>
      <w:r w:rsidRPr="7E5DDB8A">
        <w:rPr>
          <w:rFonts w:ascii="Arial" w:eastAsia="Arial" w:hAnsi="Arial" w:cs="Arial"/>
          <w:sz w:val="24"/>
          <w:szCs w:val="24"/>
          <w:lang w:val="en-US"/>
        </w:rPr>
        <w:t>have to</w:t>
      </w:r>
      <w:bookmarkEnd w:id="25"/>
      <w:r w:rsidRPr="7E5DDB8A">
        <w:rPr>
          <w:rFonts w:ascii="Arial" w:eastAsia="Arial" w:hAnsi="Arial" w:cs="Arial"/>
          <w:sz w:val="24"/>
          <w:szCs w:val="24"/>
          <w:lang w:val="en-US"/>
        </w:rPr>
        <w:t xml:space="preserve"> use finger prick testing, with the ability to obtain regular, accessible insight into their blood glucose levels. However, challenges remain in relation to the cost, workforce changes, digital </w:t>
      </w:r>
      <w:bookmarkStart w:id="26" w:name="_Int_srr0o3rt"/>
      <w:r w:rsidRPr="7E5DDB8A">
        <w:rPr>
          <w:rFonts w:ascii="Arial" w:eastAsia="Arial" w:hAnsi="Arial" w:cs="Arial"/>
          <w:sz w:val="24"/>
          <w:szCs w:val="24"/>
          <w:lang w:val="en-US"/>
        </w:rPr>
        <w:t>inequality</w:t>
      </w:r>
      <w:bookmarkEnd w:id="26"/>
      <w:r w:rsidRPr="7E5DDB8A">
        <w:rPr>
          <w:rFonts w:ascii="Arial" w:eastAsia="Arial" w:hAnsi="Arial" w:cs="Arial"/>
          <w:sz w:val="24"/>
          <w:szCs w:val="24"/>
          <w:lang w:val="en-US"/>
        </w:rPr>
        <w:t xml:space="preserve"> and reliability. The ongoing success of this techn</w:t>
      </w:r>
      <w:r w:rsidRPr="7E5DDB8A">
        <w:rPr>
          <w:rFonts w:ascii="Arial" w:eastAsia="Arial" w:hAnsi="Arial" w:cs="Arial"/>
          <w:sz w:val="24"/>
          <w:szCs w:val="24"/>
          <w:lang w:val="en-US"/>
        </w:rPr>
        <w:t xml:space="preserve">ology relies on funding, resources, equitable access, and structured and tailored training. Research has been carried out to study the direct benefits of the technology with service users; however, more research is required to provide insight, especially following potential errors and sensor issues that may impair societal trust. It is therefore recommended that more research be implemented, in addition to a focus on ethical and inclusive </w:t>
      </w:r>
      <w:bookmarkStart w:id="27" w:name="_Int_d6V59Rmz"/>
      <w:r w:rsidRPr="7E5DDB8A">
        <w:rPr>
          <w:rFonts w:ascii="Arial" w:eastAsia="Arial" w:hAnsi="Arial" w:cs="Arial"/>
          <w:sz w:val="24"/>
          <w:szCs w:val="24"/>
          <w:lang w:val="en-US"/>
        </w:rPr>
        <w:t>support</w:t>
      </w:r>
      <w:bookmarkEnd w:id="27"/>
      <w:r w:rsidRPr="7E5DDB8A">
        <w:rPr>
          <w:rFonts w:ascii="Arial" w:eastAsia="Arial" w:hAnsi="Arial" w:cs="Arial"/>
          <w:sz w:val="24"/>
          <w:szCs w:val="24"/>
          <w:lang w:val="en-US"/>
        </w:rPr>
        <w:t xml:space="preserve"> care. </w:t>
      </w:r>
    </w:p>
    <w:p w14:paraId="00000012" w14:textId="77777777" w:rsidR="00425EF8" w:rsidRDefault="00425EF8">
      <w:pPr>
        <w:rPr>
          <w:rFonts w:ascii="Arial" w:eastAsia="Arial" w:hAnsi="Arial" w:cs="Arial"/>
          <w:sz w:val="24"/>
          <w:szCs w:val="24"/>
        </w:rPr>
      </w:pPr>
    </w:p>
    <w:p w14:paraId="00000013" w14:textId="77777777" w:rsidR="00425EF8" w:rsidRDefault="00425EF8">
      <w:pPr>
        <w:rPr>
          <w:rFonts w:ascii="Arial" w:eastAsia="Arial" w:hAnsi="Arial" w:cs="Arial"/>
          <w:sz w:val="24"/>
          <w:szCs w:val="24"/>
        </w:rPr>
      </w:pPr>
    </w:p>
    <w:p w14:paraId="00000014" w14:textId="77777777" w:rsidR="00425EF8" w:rsidRDefault="00425EF8">
      <w:pPr>
        <w:rPr>
          <w:rFonts w:ascii="Arial" w:eastAsia="Arial" w:hAnsi="Arial" w:cs="Arial"/>
          <w:sz w:val="24"/>
          <w:szCs w:val="24"/>
        </w:rPr>
      </w:pPr>
    </w:p>
    <w:p w14:paraId="00000015" w14:textId="77777777" w:rsidR="00425EF8" w:rsidRDefault="00425EF8">
      <w:pPr>
        <w:rPr>
          <w:rFonts w:ascii="Arial" w:eastAsia="Arial" w:hAnsi="Arial" w:cs="Arial"/>
          <w:sz w:val="24"/>
          <w:szCs w:val="24"/>
        </w:rPr>
      </w:pPr>
    </w:p>
    <w:p w14:paraId="00000016" w14:textId="77777777" w:rsidR="00425EF8" w:rsidRDefault="00425EF8">
      <w:pPr>
        <w:rPr>
          <w:rFonts w:ascii="Arial" w:eastAsia="Arial" w:hAnsi="Arial" w:cs="Arial"/>
          <w:sz w:val="24"/>
          <w:szCs w:val="24"/>
        </w:rPr>
      </w:pPr>
    </w:p>
    <w:p w14:paraId="00000017" w14:textId="77777777" w:rsidR="00425EF8" w:rsidRDefault="00425EF8">
      <w:pPr>
        <w:rPr>
          <w:rFonts w:ascii="Arial" w:eastAsia="Arial" w:hAnsi="Arial" w:cs="Arial"/>
          <w:sz w:val="24"/>
          <w:szCs w:val="24"/>
        </w:rPr>
      </w:pPr>
    </w:p>
    <w:p w14:paraId="00000018" w14:textId="77777777" w:rsidR="00425EF8" w:rsidRDefault="00425EF8">
      <w:pPr>
        <w:rPr>
          <w:rFonts w:ascii="Arial" w:eastAsia="Arial" w:hAnsi="Arial" w:cs="Arial"/>
          <w:sz w:val="24"/>
          <w:szCs w:val="24"/>
        </w:rPr>
      </w:pPr>
    </w:p>
    <w:p w14:paraId="00000019" w14:textId="77777777" w:rsidR="00425EF8" w:rsidRDefault="00425EF8">
      <w:pPr>
        <w:rPr>
          <w:rFonts w:ascii="Arial" w:eastAsia="Arial" w:hAnsi="Arial" w:cs="Arial"/>
          <w:sz w:val="24"/>
          <w:szCs w:val="24"/>
        </w:rPr>
      </w:pPr>
    </w:p>
    <w:p w14:paraId="0000001A" w14:textId="77777777" w:rsidR="00425EF8" w:rsidRDefault="00425EF8">
      <w:pPr>
        <w:rPr>
          <w:rFonts w:ascii="Arial" w:eastAsia="Arial" w:hAnsi="Arial" w:cs="Arial"/>
          <w:sz w:val="24"/>
          <w:szCs w:val="24"/>
        </w:rPr>
      </w:pPr>
    </w:p>
    <w:p w14:paraId="0000001B" w14:textId="77777777" w:rsidR="00425EF8" w:rsidRDefault="00425EF8">
      <w:pPr>
        <w:rPr>
          <w:rFonts w:ascii="Arial" w:eastAsia="Arial" w:hAnsi="Arial" w:cs="Arial"/>
          <w:sz w:val="24"/>
          <w:szCs w:val="24"/>
        </w:rPr>
      </w:pPr>
    </w:p>
    <w:p w14:paraId="0000001C" w14:textId="77777777" w:rsidR="00425EF8" w:rsidRDefault="00425EF8">
      <w:pPr>
        <w:rPr>
          <w:rFonts w:ascii="Arial" w:eastAsia="Arial" w:hAnsi="Arial" w:cs="Arial"/>
          <w:sz w:val="24"/>
          <w:szCs w:val="24"/>
        </w:rPr>
      </w:pPr>
    </w:p>
    <w:p w14:paraId="0000001D" w14:textId="77777777" w:rsidR="00425EF8" w:rsidRDefault="00425EF8">
      <w:pPr>
        <w:rPr>
          <w:rFonts w:ascii="Arial" w:eastAsia="Arial" w:hAnsi="Arial" w:cs="Arial"/>
          <w:sz w:val="24"/>
          <w:szCs w:val="24"/>
        </w:rPr>
      </w:pPr>
    </w:p>
    <w:p w14:paraId="0000001E" w14:textId="77777777" w:rsidR="00425EF8" w:rsidRDefault="00425EF8">
      <w:pPr>
        <w:rPr>
          <w:rFonts w:ascii="Arial" w:eastAsia="Arial" w:hAnsi="Arial" w:cs="Arial"/>
          <w:sz w:val="24"/>
          <w:szCs w:val="24"/>
        </w:rPr>
      </w:pPr>
    </w:p>
    <w:p w14:paraId="0000001F" w14:textId="77777777" w:rsidR="00425EF8" w:rsidRDefault="00425EF8">
      <w:pPr>
        <w:rPr>
          <w:rFonts w:ascii="Arial" w:eastAsia="Arial" w:hAnsi="Arial" w:cs="Arial"/>
          <w:sz w:val="24"/>
          <w:szCs w:val="24"/>
        </w:rPr>
      </w:pPr>
    </w:p>
    <w:p w14:paraId="00000020" w14:textId="77777777" w:rsidR="00425EF8" w:rsidRDefault="00425EF8">
      <w:pPr>
        <w:rPr>
          <w:rFonts w:ascii="Arial" w:eastAsia="Arial" w:hAnsi="Arial" w:cs="Arial"/>
          <w:sz w:val="24"/>
          <w:szCs w:val="24"/>
        </w:rPr>
      </w:pPr>
    </w:p>
    <w:p w14:paraId="00000021" w14:textId="77777777" w:rsidR="00425EF8" w:rsidRDefault="00425EF8">
      <w:pPr>
        <w:rPr>
          <w:rFonts w:ascii="Arial" w:eastAsia="Arial" w:hAnsi="Arial" w:cs="Arial"/>
          <w:sz w:val="24"/>
          <w:szCs w:val="24"/>
        </w:rPr>
      </w:pPr>
    </w:p>
    <w:p w14:paraId="00000022" w14:textId="77777777" w:rsidR="00425EF8" w:rsidRDefault="00425EF8">
      <w:pPr>
        <w:rPr>
          <w:rFonts w:ascii="Arial" w:eastAsia="Arial" w:hAnsi="Arial" w:cs="Arial"/>
          <w:sz w:val="24"/>
          <w:szCs w:val="24"/>
        </w:rPr>
      </w:pPr>
    </w:p>
    <w:p w14:paraId="00000023" w14:textId="77777777" w:rsidR="00425EF8" w:rsidRDefault="00425EF8">
      <w:pPr>
        <w:rPr>
          <w:rFonts w:ascii="Arial" w:eastAsia="Arial" w:hAnsi="Arial" w:cs="Arial"/>
          <w:sz w:val="24"/>
          <w:szCs w:val="24"/>
        </w:rPr>
      </w:pPr>
    </w:p>
    <w:p w14:paraId="00000024" w14:textId="77777777" w:rsidR="00425EF8" w:rsidRDefault="00425EF8">
      <w:pPr>
        <w:rPr>
          <w:rFonts w:ascii="Arial" w:eastAsia="Arial" w:hAnsi="Arial" w:cs="Arial"/>
          <w:sz w:val="24"/>
          <w:szCs w:val="24"/>
        </w:rPr>
      </w:pPr>
    </w:p>
    <w:p w14:paraId="00000025" w14:textId="77777777" w:rsidR="00425EF8" w:rsidRDefault="00425EF8">
      <w:pPr>
        <w:rPr>
          <w:rFonts w:ascii="Arial" w:eastAsia="Arial" w:hAnsi="Arial" w:cs="Arial"/>
          <w:sz w:val="24"/>
          <w:szCs w:val="24"/>
        </w:rPr>
      </w:pPr>
    </w:p>
    <w:p w14:paraId="00000026" w14:textId="77777777" w:rsidR="00425EF8" w:rsidRDefault="00425EF8">
      <w:pPr>
        <w:rPr>
          <w:rFonts w:ascii="Arial" w:eastAsia="Arial" w:hAnsi="Arial" w:cs="Arial"/>
          <w:sz w:val="24"/>
          <w:szCs w:val="24"/>
        </w:rPr>
      </w:pPr>
    </w:p>
    <w:p w14:paraId="1FCCF326" w14:textId="6D51B0BE" w:rsidR="00425EF8" w:rsidRDefault="00425EF8">
      <w:pPr>
        <w:rPr>
          <w:rFonts w:ascii="Arial" w:eastAsia="Arial" w:hAnsi="Arial" w:cs="Arial"/>
          <w:b/>
          <w:sz w:val="24"/>
          <w:szCs w:val="24"/>
        </w:rPr>
      </w:pPr>
    </w:p>
    <w:p w14:paraId="0000002C" w14:textId="5F387FFF" w:rsidR="00425EF8" w:rsidRDefault="006E2DD6">
      <w:pPr>
        <w:rPr>
          <w:rFonts w:ascii="Arial" w:eastAsia="Arial" w:hAnsi="Arial" w:cs="Arial"/>
          <w:b/>
          <w:sz w:val="24"/>
          <w:szCs w:val="24"/>
        </w:rPr>
      </w:pPr>
      <w:r w:rsidRPr="7E5DDB8A">
        <w:rPr>
          <w:rFonts w:ascii="Arial" w:eastAsia="Arial" w:hAnsi="Arial" w:cs="Arial"/>
          <w:b/>
          <w:sz w:val="24"/>
          <w:szCs w:val="24"/>
        </w:rPr>
        <w:t>References</w:t>
      </w:r>
    </w:p>
    <w:p w14:paraId="0000002D" w14:textId="77777777" w:rsidR="00425EF8" w:rsidRDefault="006E2DD6">
      <w:pPr>
        <w:rPr>
          <w:rFonts w:ascii="Arial" w:eastAsia="Arial" w:hAnsi="Arial" w:cs="Arial"/>
          <w:sz w:val="24"/>
          <w:szCs w:val="24"/>
        </w:rPr>
      </w:pPr>
      <w:r w:rsidRPr="7E5DDB8A">
        <w:rPr>
          <w:rFonts w:ascii="Arial" w:eastAsia="Arial" w:hAnsi="Arial" w:cs="Arial"/>
          <w:sz w:val="24"/>
          <w:szCs w:val="24"/>
        </w:rPr>
        <w:t xml:space="preserve">Abbott. (2023) </w:t>
      </w:r>
      <w:r w:rsidRPr="7E5DDB8A">
        <w:rPr>
          <w:rFonts w:ascii="Arial" w:eastAsia="Arial" w:hAnsi="Arial" w:cs="Arial"/>
          <w:i/>
          <w:sz w:val="24"/>
          <w:szCs w:val="24"/>
        </w:rPr>
        <w:t>Freest</w:t>
      </w:r>
      <w:r w:rsidRPr="7E5DDB8A">
        <w:rPr>
          <w:rFonts w:ascii="Arial" w:eastAsia="Arial" w:hAnsi="Arial" w:cs="Arial"/>
          <w:i/>
          <w:sz w:val="24"/>
          <w:szCs w:val="24"/>
        </w:rPr>
        <w:t xml:space="preserve">yle Libre Systems: Continuous Glucose Monitoring Technology, </w:t>
      </w:r>
      <w:r w:rsidRPr="7E5DDB8A">
        <w:rPr>
          <w:rFonts w:ascii="Arial" w:eastAsia="Arial" w:hAnsi="Arial" w:cs="Arial"/>
          <w:sz w:val="24"/>
          <w:szCs w:val="24"/>
        </w:rPr>
        <w:t xml:space="preserve">Abbott Diabetes Care. Available at: </w:t>
      </w:r>
      <w:hyperlink r:id="rId11">
        <w:r w:rsidR="00425EF8" w:rsidRPr="7E5DDB8A">
          <w:rPr>
            <w:rFonts w:ascii="Arial" w:eastAsia="Arial" w:hAnsi="Arial" w:cs="Arial"/>
            <w:color w:val="1155CC"/>
            <w:sz w:val="24"/>
            <w:szCs w:val="24"/>
            <w:u w:val="single"/>
          </w:rPr>
          <w:t>https://www.freestyle.abbott/uk-en/home</w:t>
        </w:r>
      </w:hyperlink>
      <w:r w:rsidRPr="7E5DDB8A">
        <w:rPr>
          <w:rFonts w:ascii="Arial" w:eastAsia="Arial" w:hAnsi="Arial" w:cs="Arial"/>
          <w:sz w:val="24"/>
          <w:szCs w:val="24"/>
        </w:rPr>
        <w:t xml:space="preserve"> Accessed 29. 5.26</w:t>
      </w:r>
    </w:p>
    <w:p w14:paraId="0000002E"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Alsahli, M.A., Alalwan, A., Aburisheh,</w:t>
      </w:r>
      <w:r w:rsidRPr="7E5DDB8A">
        <w:rPr>
          <w:rFonts w:ascii="Arial" w:eastAsia="Arial" w:hAnsi="Arial" w:cs="Arial"/>
          <w:sz w:val="24"/>
          <w:szCs w:val="24"/>
          <w:lang w:val="en-US"/>
        </w:rPr>
        <w:t xml:space="preserve"> K.H., Alarifi, F.F., Alshaya, H.M., Alkholaif, A.F., Shadid, A.M., Alsahli, S.A., Alsahly, A.A. and Alkhalifah, M.K. (2024) ‘Assessing satisfaction, quality of life, and HbA1c changes in type 1 diabetes patients using FreeStyle Libre glucose monitoring’, </w:t>
      </w:r>
      <w:r w:rsidRPr="7E5DDB8A">
        <w:rPr>
          <w:rFonts w:ascii="Arial" w:eastAsia="Arial" w:hAnsi="Arial" w:cs="Arial"/>
          <w:i/>
          <w:sz w:val="24"/>
          <w:szCs w:val="24"/>
          <w:lang w:val="en-US"/>
        </w:rPr>
        <w:t>Journal of Family Medicine and Primary Care</w:t>
      </w:r>
      <w:r w:rsidRPr="7E5DDB8A">
        <w:rPr>
          <w:rFonts w:ascii="Arial" w:eastAsia="Arial" w:hAnsi="Arial" w:cs="Arial"/>
          <w:sz w:val="24"/>
          <w:szCs w:val="24"/>
          <w:lang w:val="en-US"/>
        </w:rPr>
        <w:t xml:space="preserve">, 13(6), pp. 2367–2374. </w:t>
      </w:r>
      <w:hyperlink r:id="rId12">
        <w:r w:rsidR="00425EF8" w:rsidRPr="7E5DDB8A">
          <w:rPr>
            <w:rFonts w:ascii="Arial" w:eastAsia="Arial" w:hAnsi="Arial" w:cs="Arial"/>
            <w:color w:val="1155CC"/>
            <w:sz w:val="24"/>
            <w:szCs w:val="24"/>
            <w:u w:val="single"/>
            <w:lang w:val="en-US"/>
          </w:rPr>
          <w:t>https://doi.org/10.4103/jfmpc.jfmpc_1630_23</w:t>
        </w:r>
      </w:hyperlink>
    </w:p>
    <w:p w14:paraId="0000002F"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Beauchamp, T.L. and Childress, J.F. (2019) </w:t>
      </w:r>
      <w:r w:rsidRPr="7E5DDB8A">
        <w:rPr>
          <w:rFonts w:ascii="Arial" w:eastAsia="Arial" w:hAnsi="Arial" w:cs="Arial"/>
          <w:i/>
          <w:sz w:val="24"/>
          <w:szCs w:val="24"/>
          <w:lang w:val="en-US"/>
        </w:rPr>
        <w:t>Principles of Biomedical Ethics</w:t>
      </w:r>
      <w:r w:rsidRPr="7E5DDB8A">
        <w:rPr>
          <w:rFonts w:ascii="Arial" w:eastAsia="Arial" w:hAnsi="Arial" w:cs="Arial"/>
          <w:sz w:val="24"/>
          <w:szCs w:val="24"/>
          <w:lang w:val="en-US"/>
        </w:rPr>
        <w:t>. 8th edn</w:t>
      </w:r>
      <w:r w:rsidRPr="7E5DDB8A">
        <w:rPr>
          <w:rFonts w:ascii="Arial" w:eastAsia="Arial" w:hAnsi="Arial" w:cs="Arial"/>
          <w:sz w:val="24"/>
          <w:szCs w:val="24"/>
          <w:lang w:val="en-US"/>
        </w:rPr>
        <w:t>, Oxford: Oxford University Press.</w:t>
      </w:r>
    </w:p>
    <w:p w14:paraId="00000030" w14:textId="77777777" w:rsidR="00425EF8" w:rsidRDefault="006E2DD6">
      <w:pPr>
        <w:spacing w:before="240" w:after="240"/>
        <w:jc w:val="both"/>
        <w:rPr>
          <w:rFonts w:ascii="Arial" w:eastAsia="Arial" w:hAnsi="Arial" w:cs="Arial"/>
          <w:sz w:val="24"/>
          <w:szCs w:val="24"/>
        </w:rPr>
      </w:pPr>
      <w:r w:rsidRPr="7E5DDB8A">
        <w:rPr>
          <w:rFonts w:ascii="Arial" w:eastAsia="Arial" w:hAnsi="Arial" w:cs="Arial"/>
          <w:sz w:val="24"/>
          <w:szCs w:val="24"/>
        </w:rPr>
        <w:t xml:space="preserve">Blum, A. (2018) ‘Freestyle Libre Glucose Monitoring System,’ </w:t>
      </w:r>
      <w:r w:rsidRPr="7E5DDB8A">
        <w:rPr>
          <w:rFonts w:ascii="Arial" w:eastAsia="Arial" w:hAnsi="Arial" w:cs="Arial"/>
          <w:i/>
          <w:sz w:val="24"/>
          <w:szCs w:val="24"/>
        </w:rPr>
        <w:t>Clinical Diabetes A Publication of the American Diabetes Association</w:t>
      </w:r>
      <w:r w:rsidRPr="7E5DDB8A">
        <w:rPr>
          <w:rFonts w:ascii="Arial" w:eastAsia="Arial" w:hAnsi="Arial" w:cs="Arial"/>
          <w:sz w:val="24"/>
          <w:szCs w:val="24"/>
        </w:rPr>
        <w:t xml:space="preserve">, </w:t>
      </w:r>
      <w:r w:rsidRPr="7E5DDB8A">
        <w:rPr>
          <w:rFonts w:ascii="Arial" w:eastAsia="Arial" w:hAnsi="Arial" w:cs="Arial"/>
          <w:i/>
          <w:sz w:val="24"/>
          <w:szCs w:val="24"/>
        </w:rPr>
        <w:t>36</w:t>
      </w:r>
      <w:r w:rsidRPr="7E5DDB8A">
        <w:rPr>
          <w:rFonts w:ascii="Arial" w:eastAsia="Arial" w:hAnsi="Arial" w:cs="Arial"/>
          <w:sz w:val="24"/>
          <w:szCs w:val="24"/>
        </w:rPr>
        <w:t>(2), 203. https://doi.org/10.2337/cd17-0130</w:t>
      </w:r>
    </w:p>
    <w:p w14:paraId="00000031"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Bolinder, J., Antuna, R., Geelhoed-Duijvestijn, P., Kröger, J. and Weitgasser, R. (2016) ‘Novel glucose-sensing technology and hypoglycaemia in type 1 diabetes’, </w:t>
      </w:r>
      <w:r w:rsidRPr="7E5DDB8A">
        <w:rPr>
          <w:rFonts w:ascii="Arial" w:eastAsia="Arial" w:hAnsi="Arial" w:cs="Arial"/>
          <w:i/>
          <w:sz w:val="24"/>
          <w:szCs w:val="24"/>
          <w:lang w:val="en-US"/>
        </w:rPr>
        <w:t>The Lancet</w:t>
      </w:r>
      <w:r w:rsidRPr="7E5DDB8A">
        <w:rPr>
          <w:rFonts w:ascii="Arial" w:eastAsia="Arial" w:hAnsi="Arial" w:cs="Arial"/>
          <w:sz w:val="24"/>
          <w:szCs w:val="24"/>
          <w:lang w:val="en-US"/>
        </w:rPr>
        <w:t>, 388(10057), pp. 2254–2263. https://doi.org/10.1016/S0140-6736(16)31535-5</w:t>
      </w:r>
    </w:p>
    <w:p w14:paraId="00000032" w14:textId="77777777" w:rsidR="00425EF8" w:rsidRDefault="006E2DD6">
      <w:pPr>
        <w:spacing w:before="240" w:after="240"/>
        <w:jc w:val="both"/>
        <w:rPr>
          <w:rFonts w:ascii="Arial" w:eastAsia="Arial" w:hAnsi="Arial" w:cs="Arial"/>
          <w:color w:val="1155CC"/>
          <w:sz w:val="24"/>
          <w:szCs w:val="24"/>
          <w:u w:val="single"/>
        </w:rPr>
      </w:pPr>
      <w:r w:rsidRPr="7E5DDB8A">
        <w:rPr>
          <w:rFonts w:ascii="Arial" w:eastAsia="Arial" w:hAnsi="Arial" w:cs="Arial"/>
          <w:sz w:val="24"/>
          <w:szCs w:val="24"/>
        </w:rPr>
        <w:t>Cieslak, V. and Valor, C. (2025) ‘Employee resistance</w:t>
      </w:r>
      <w:r w:rsidRPr="7E5DDB8A">
        <w:rPr>
          <w:rFonts w:ascii="Arial" w:eastAsia="Arial" w:hAnsi="Arial" w:cs="Arial"/>
          <w:sz w:val="24"/>
          <w:szCs w:val="24"/>
        </w:rPr>
        <w:t xml:space="preserve"> to digital transformation in healthcare’, </w:t>
      </w:r>
      <w:r w:rsidRPr="7E5DDB8A">
        <w:rPr>
          <w:rFonts w:ascii="Arial" w:eastAsia="Arial" w:hAnsi="Arial" w:cs="Arial"/>
          <w:i/>
          <w:sz w:val="24"/>
          <w:szCs w:val="24"/>
        </w:rPr>
        <w:t>Cogent Business &amp; Management</w:t>
      </w:r>
      <w:r w:rsidRPr="7E5DDB8A">
        <w:rPr>
          <w:rFonts w:ascii="Arial" w:eastAsia="Arial" w:hAnsi="Arial" w:cs="Arial"/>
          <w:sz w:val="24"/>
          <w:szCs w:val="24"/>
        </w:rPr>
        <w:t>, 12(1).</w:t>
      </w:r>
      <w:hyperlink r:id="rId13">
        <w:r w:rsidR="00425EF8" w:rsidRPr="7E5DDB8A">
          <w:rPr>
            <w:rFonts w:ascii="Arial" w:eastAsia="Arial" w:hAnsi="Arial" w:cs="Arial"/>
            <w:sz w:val="24"/>
            <w:szCs w:val="24"/>
          </w:rPr>
          <w:t xml:space="preserve"> </w:t>
        </w:r>
      </w:hyperlink>
      <w:hyperlink r:id="rId14">
        <w:r w:rsidR="00425EF8" w:rsidRPr="7E5DDB8A">
          <w:rPr>
            <w:rFonts w:ascii="Arial" w:eastAsia="Arial" w:hAnsi="Arial" w:cs="Arial"/>
            <w:color w:val="1155CC"/>
            <w:sz w:val="24"/>
            <w:szCs w:val="24"/>
            <w:u w:val="single"/>
          </w:rPr>
          <w:t>https://doi.org/10.1080/23311975.2024.2442550</w:t>
        </w:r>
      </w:hyperlink>
    </w:p>
    <w:p w14:paraId="00000033" w14:textId="77777777" w:rsidR="00425EF8" w:rsidRDefault="006E2DD6">
      <w:pPr>
        <w:spacing w:before="240" w:after="240"/>
        <w:jc w:val="both"/>
        <w:rPr>
          <w:rFonts w:ascii="Arial" w:eastAsia="Arial" w:hAnsi="Arial" w:cs="Arial"/>
          <w:sz w:val="24"/>
          <w:szCs w:val="24"/>
        </w:rPr>
      </w:pPr>
      <w:r w:rsidRPr="7E5DDB8A">
        <w:rPr>
          <w:rFonts w:ascii="Arial" w:eastAsia="Arial" w:hAnsi="Arial" w:cs="Arial"/>
          <w:sz w:val="24"/>
          <w:szCs w:val="24"/>
        </w:rPr>
        <w:t xml:space="preserve">Diabetes UK. (2026) </w:t>
      </w:r>
      <w:r w:rsidRPr="7E5DDB8A">
        <w:rPr>
          <w:rFonts w:ascii="Arial" w:eastAsia="Arial" w:hAnsi="Arial" w:cs="Arial"/>
          <w:i/>
          <w:sz w:val="24"/>
          <w:szCs w:val="24"/>
        </w:rPr>
        <w:t xml:space="preserve">Study reveals inequity in access to diabetes tech, </w:t>
      </w:r>
      <w:r w:rsidRPr="7E5DDB8A">
        <w:rPr>
          <w:rFonts w:ascii="Arial" w:eastAsia="Arial" w:hAnsi="Arial" w:cs="Arial"/>
          <w:sz w:val="24"/>
          <w:szCs w:val="24"/>
        </w:rPr>
        <w:t xml:space="preserve">London: Diabetes UK. Available at: </w:t>
      </w:r>
      <w:hyperlink r:id="rId15">
        <w:r w:rsidR="00425EF8" w:rsidRPr="7E5DDB8A">
          <w:rPr>
            <w:rFonts w:ascii="Arial" w:eastAsia="Arial" w:hAnsi="Arial" w:cs="Arial"/>
            <w:color w:val="1155CC"/>
            <w:sz w:val="24"/>
            <w:szCs w:val="24"/>
            <w:u w:val="single"/>
          </w:rPr>
          <w:t>https://www.diabetes.org.uk/about-us/news-and-views/cgm-study-access-inequity-in-diabetes-tech</w:t>
        </w:r>
      </w:hyperlink>
      <w:r w:rsidRPr="7E5DDB8A">
        <w:rPr>
          <w:rFonts w:ascii="Arial" w:eastAsia="Arial" w:hAnsi="Arial" w:cs="Arial"/>
          <w:sz w:val="24"/>
          <w:szCs w:val="24"/>
        </w:rPr>
        <w:t xml:space="preserve"> Accessed: 30.5.26 </w:t>
      </w:r>
    </w:p>
    <w:p w14:paraId="00000034" w14:textId="77777777" w:rsidR="00425EF8" w:rsidRDefault="006E2DD6">
      <w:pPr>
        <w:spacing w:before="240" w:after="240"/>
        <w:jc w:val="both"/>
        <w:rPr>
          <w:rFonts w:ascii="Arial" w:eastAsia="Arial" w:hAnsi="Arial" w:cs="Arial"/>
          <w:sz w:val="24"/>
          <w:szCs w:val="24"/>
        </w:rPr>
      </w:pPr>
      <w:r w:rsidRPr="7E5DDB8A">
        <w:rPr>
          <w:rFonts w:ascii="Arial" w:eastAsia="Arial" w:hAnsi="Arial" w:cs="Arial"/>
          <w:sz w:val="24"/>
          <w:szCs w:val="24"/>
        </w:rPr>
        <w:t xml:space="preserve">Diabetes UK. (2024) </w:t>
      </w:r>
      <w:r w:rsidRPr="7E5DDB8A">
        <w:rPr>
          <w:rFonts w:ascii="Arial" w:eastAsia="Arial" w:hAnsi="Arial" w:cs="Arial"/>
          <w:i/>
          <w:sz w:val="24"/>
          <w:szCs w:val="24"/>
        </w:rPr>
        <w:t>What are Continuous Glucose Monitoring</w:t>
      </w:r>
      <w:r w:rsidRPr="7E5DDB8A">
        <w:rPr>
          <w:rFonts w:ascii="Arial" w:eastAsia="Arial" w:hAnsi="Arial" w:cs="Arial"/>
          <w:sz w:val="24"/>
          <w:szCs w:val="24"/>
        </w:rPr>
        <w:t xml:space="preserve">, Available at: </w:t>
      </w:r>
      <w:hyperlink r:id="rId16">
        <w:r w:rsidR="00425EF8" w:rsidRPr="7E5DDB8A">
          <w:rPr>
            <w:rFonts w:ascii="Arial" w:eastAsia="Arial" w:hAnsi="Arial" w:cs="Arial"/>
            <w:color w:val="1155CC"/>
            <w:sz w:val="24"/>
            <w:szCs w:val="24"/>
            <w:u w:val="single"/>
          </w:rPr>
          <w:t>https://www.diabetes.org.uk/about-diabetes/looking-after-diabetes/technology/continuous-glucose-monitors</w:t>
        </w:r>
      </w:hyperlink>
      <w:r w:rsidRPr="7E5DDB8A">
        <w:rPr>
          <w:rFonts w:ascii="Arial" w:eastAsia="Arial" w:hAnsi="Arial" w:cs="Arial"/>
          <w:sz w:val="24"/>
          <w:szCs w:val="24"/>
        </w:rPr>
        <w:t xml:space="preserve"> Accessed: 29.5.26 </w:t>
      </w:r>
    </w:p>
    <w:p w14:paraId="00000035" w14:textId="77777777" w:rsidR="00425EF8" w:rsidRDefault="006E2DD6">
      <w:pPr>
        <w:spacing w:before="240" w:after="240"/>
        <w:jc w:val="both"/>
        <w:rPr>
          <w:rFonts w:ascii="Arial" w:eastAsia="Arial" w:hAnsi="Arial" w:cs="Arial"/>
          <w:sz w:val="24"/>
          <w:szCs w:val="24"/>
        </w:rPr>
      </w:pPr>
      <w:r w:rsidRPr="7E5DDB8A">
        <w:rPr>
          <w:rFonts w:ascii="Arial" w:eastAsia="Arial" w:hAnsi="Arial" w:cs="Arial"/>
          <w:sz w:val="24"/>
          <w:szCs w:val="24"/>
        </w:rPr>
        <w:t xml:space="preserve">Department of Health and Social Care (DHSC) (2022) </w:t>
      </w:r>
      <w:r w:rsidRPr="7E5DDB8A">
        <w:rPr>
          <w:rFonts w:ascii="Arial" w:eastAsia="Arial" w:hAnsi="Arial" w:cs="Arial"/>
          <w:i/>
          <w:sz w:val="24"/>
          <w:szCs w:val="24"/>
        </w:rPr>
        <w:t>Data Saves Lives: Reshaping health and social care with data</w:t>
      </w:r>
      <w:r w:rsidRPr="7E5DDB8A">
        <w:rPr>
          <w:rFonts w:ascii="Arial" w:eastAsia="Arial" w:hAnsi="Arial" w:cs="Arial"/>
          <w:sz w:val="24"/>
          <w:szCs w:val="24"/>
        </w:rPr>
        <w:t>. Lon</w:t>
      </w:r>
      <w:r w:rsidRPr="7E5DDB8A">
        <w:rPr>
          <w:rFonts w:ascii="Arial" w:eastAsia="Arial" w:hAnsi="Arial" w:cs="Arial"/>
          <w:sz w:val="24"/>
          <w:szCs w:val="24"/>
        </w:rPr>
        <w:t>don: DHSC. Available at:</w:t>
      </w:r>
      <w:hyperlink r:id="rId17">
        <w:r w:rsidR="00425EF8" w:rsidRPr="7E5DDB8A">
          <w:rPr>
            <w:rFonts w:ascii="Arial" w:eastAsia="Arial" w:hAnsi="Arial" w:cs="Arial"/>
            <w:sz w:val="24"/>
            <w:szCs w:val="24"/>
          </w:rPr>
          <w:t xml:space="preserve"> </w:t>
        </w:r>
      </w:hyperlink>
      <w:hyperlink r:id="rId18">
        <w:r w:rsidR="00425EF8" w:rsidRPr="7E5DDB8A">
          <w:rPr>
            <w:rFonts w:ascii="Arial" w:eastAsia="Arial" w:hAnsi="Arial" w:cs="Arial"/>
            <w:color w:val="1155CC"/>
            <w:sz w:val="24"/>
            <w:szCs w:val="24"/>
            <w:u w:val="single"/>
          </w:rPr>
          <w:t>https://www.gov.uk/government/publications/data-saves-lives-reshaping-health-and-social-care-with-data</w:t>
        </w:r>
      </w:hyperlink>
      <w:r w:rsidRPr="7E5DDB8A">
        <w:rPr>
          <w:rFonts w:ascii="Arial" w:eastAsia="Arial" w:hAnsi="Arial" w:cs="Arial"/>
          <w:sz w:val="24"/>
          <w:szCs w:val="24"/>
        </w:rPr>
        <w:t xml:space="preserve"> Accessed: 29.5.26 </w:t>
      </w:r>
    </w:p>
    <w:p w14:paraId="00000036"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Ferreira, H. U., Ferreira, P., Faustino, C., Ribeiro, R., Queirós, J., Belo, S. and Friões, F. (2026) ‘Accuracy and Clinica</w:t>
      </w:r>
      <w:r w:rsidRPr="7E5DDB8A">
        <w:rPr>
          <w:rFonts w:ascii="Arial" w:eastAsia="Arial" w:hAnsi="Arial" w:cs="Arial"/>
          <w:sz w:val="24"/>
          <w:szCs w:val="24"/>
          <w:lang w:val="en-US"/>
        </w:rPr>
        <w:t xml:space="preserve">l Safety of the FreeStyle Libre 2 System in an Internal Medicine Intermediate Care Unit,’ </w:t>
      </w:r>
      <w:r w:rsidRPr="7E5DDB8A">
        <w:rPr>
          <w:rFonts w:ascii="Arial" w:eastAsia="Arial" w:hAnsi="Arial" w:cs="Arial"/>
          <w:i/>
          <w:sz w:val="24"/>
          <w:szCs w:val="24"/>
          <w:lang w:val="en-US"/>
        </w:rPr>
        <w:t>Cureus</w:t>
      </w:r>
      <w:r w:rsidRPr="7E5DDB8A">
        <w:rPr>
          <w:rFonts w:ascii="Arial" w:eastAsia="Arial" w:hAnsi="Arial" w:cs="Arial"/>
          <w:sz w:val="24"/>
          <w:szCs w:val="24"/>
          <w:lang w:val="en-US"/>
        </w:rPr>
        <w:t xml:space="preserve">, </w:t>
      </w:r>
      <w:r w:rsidRPr="7E5DDB8A">
        <w:rPr>
          <w:rFonts w:ascii="Arial" w:eastAsia="Arial" w:hAnsi="Arial" w:cs="Arial"/>
          <w:i/>
          <w:sz w:val="24"/>
          <w:szCs w:val="24"/>
          <w:lang w:val="en-US"/>
        </w:rPr>
        <w:t>18</w:t>
      </w:r>
      <w:r w:rsidRPr="7E5DDB8A">
        <w:rPr>
          <w:rFonts w:ascii="Arial" w:eastAsia="Arial" w:hAnsi="Arial" w:cs="Arial"/>
          <w:sz w:val="24"/>
          <w:szCs w:val="24"/>
          <w:lang w:val="en-US"/>
        </w:rPr>
        <w:t>(1), e102150. https://doi.org/10.7759/cureus.102150</w:t>
      </w:r>
    </w:p>
    <w:p w14:paraId="00000037" w14:textId="77777777" w:rsidR="00425EF8" w:rsidRDefault="006E2DD6">
      <w:pPr>
        <w:spacing w:before="240" w:after="240"/>
        <w:jc w:val="both"/>
        <w:rPr>
          <w:rFonts w:ascii="Arial" w:eastAsia="Arial" w:hAnsi="Arial" w:cs="Arial"/>
          <w:color w:val="1155CC"/>
          <w:sz w:val="24"/>
          <w:szCs w:val="24"/>
          <w:u w:val="single"/>
          <w:lang w:val="en-US"/>
        </w:rPr>
      </w:pPr>
      <w:r w:rsidRPr="7E5DDB8A">
        <w:rPr>
          <w:rFonts w:ascii="Arial" w:eastAsia="Arial" w:hAnsi="Arial" w:cs="Arial"/>
          <w:sz w:val="24"/>
          <w:szCs w:val="24"/>
          <w:lang w:val="en-US"/>
        </w:rPr>
        <w:t xml:space="preserve">Getachew, E., Adebeta, T., Muzazu, S., Charlie, L., Said, B., Tesfahunei, H., Wanjiru, C and Kajogoo, V. (2023) ‘Digital health in the era of COVID-19: reshaping healthcare delivery’, </w:t>
      </w:r>
      <w:r w:rsidRPr="7E5DDB8A">
        <w:rPr>
          <w:rFonts w:ascii="Arial" w:eastAsia="Arial" w:hAnsi="Arial" w:cs="Arial"/>
          <w:i/>
          <w:sz w:val="24"/>
          <w:szCs w:val="24"/>
          <w:lang w:val="en-US"/>
        </w:rPr>
        <w:t>Frontiers in Public Health</w:t>
      </w:r>
      <w:r w:rsidRPr="7E5DDB8A">
        <w:rPr>
          <w:rFonts w:ascii="Arial" w:eastAsia="Arial" w:hAnsi="Arial" w:cs="Arial"/>
          <w:sz w:val="24"/>
          <w:szCs w:val="24"/>
          <w:lang w:val="en-US"/>
        </w:rPr>
        <w:t>, 11, 942703.</w:t>
      </w:r>
      <w:hyperlink r:id="rId19">
        <w:r w:rsidR="00425EF8" w:rsidRPr="7E5DDB8A">
          <w:rPr>
            <w:rFonts w:ascii="Arial" w:eastAsia="Arial" w:hAnsi="Arial" w:cs="Arial"/>
            <w:sz w:val="24"/>
            <w:szCs w:val="24"/>
            <w:lang w:val="en-US"/>
          </w:rPr>
          <w:t xml:space="preserve"> </w:t>
        </w:r>
      </w:hyperlink>
      <w:hyperlink r:id="rId20">
        <w:r w:rsidR="00425EF8" w:rsidRPr="7E5DDB8A">
          <w:rPr>
            <w:rFonts w:ascii="Arial" w:eastAsia="Arial" w:hAnsi="Arial" w:cs="Arial"/>
            <w:color w:val="1155CC"/>
            <w:sz w:val="24"/>
            <w:szCs w:val="24"/>
            <w:u w:val="single"/>
            <w:lang w:val="en-US"/>
          </w:rPr>
          <w:t>https://doi.org/10.3389/fpubh.2023.94270</w:t>
        </w:r>
      </w:hyperlink>
      <w:r w:rsidRPr="7E5DDB8A">
        <w:rPr>
          <w:rFonts w:ascii="Arial" w:eastAsia="Arial" w:hAnsi="Arial" w:cs="Arial"/>
          <w:color w:val="1155CC"/>
          <w:sz w:val="24"/>
          <w:szCs w:val="24"/>
          <w:u w:val="single"/>
          <w:lang w:val="en-US"/>
        </w:rPr>
        <w:t>3</w:t>
      </w:r>
    </w:p>
    <w:p w14:paraId="00000038" w14:textId="77777777" w:rsidR="00425EF8" w:rsidRDefault="006E2DD6">
      <w:pPr>
        <w:spacing w:before="240" w:after="240"/>
        <w:jc w:val="both"/>
        <w:rPr>
          <w:rFonts w:ascii="Arial" w:eastAsia="Arial" w:hAnsi="Arial" w:cs="Arial"/>
          <w:b/>
          <w:sz w:val="24"/>
          <w:szCs w:val="24"/>
          <w:lang w:val="en-US"/>
        </w:rPr>
      </w:pPr>
      <w:r w:rsidRPr="7E5DDB8A">
        <w:rPr>
          <w:rFonts w:ascii="Arial" w:eastAsia="Arial" w:hAnsi="Arial" w:cs="Arial"/>
          <w:sz w:val="24"/>
          <w:szCs w:val="24"/>
          <w:lang w:val="en-US"/>
        </w:rPr>
        <w:t xml:space="preserve">Ghosh, </w:t>
      </w:r>
      <w:bookmarkStart w:id="28" w:name="_Int_969XYLEK"/>
      <w:r w:rsidRPr="7E5DDB8A">
        <w:rPr>
          <w:rFonts w:ascii="Arial" w:eastAsia="Arial" w:hAnsi="Arial" w:cs="Arial"/>
          <w:sz w:val="24"/>
          <w:szCs w:val="24"/>
          <w:lang w:val="en-US"/>
        </w:rPr>
        <w:t>M.</w:t>
      </w:r>
      <w:bookmarkEnd w:id="28"/>
      <w:r w:rsidRPr="7E5DDB8A">
        <w:rPr>
          <w:rFonts w:ascii="Arial" w:eastAsia="Arial" w:hAnsi="Arial" w:cs="Arial"/>
          <w:sz w:val="24"/>
          <w:szCs w:val="24"/>
          <w:lang w:val="en-US"/>
        </w:rPr>
        <w:t xml:space="preserve"> and Bora, V. (2025) ‘Evolution in blood glucose monitoring: a comprehensive review of invasive to non-invasive devices and sensors,’ </w:t>
      </w:r>
      <w:r w:rsidRPr="7E5DDB8A">
        <w:rPr>
          <w:rFonts w:ascii="Arial" w:eastAsia="Arial" w:hAnsi="Arial" w:cs="Arial"/>
          <w:i/>
          <w:sz w:val="24"/>
          <w:szCs w:val="24"/>
          <w:lang w:val="en-US"/>
        </w:rPr>
        <w:t xml:space="preserve">Discover Med, </w:t>
      </w:r>
      <w:r w:rsidRPr="7E5DDB8A">
        <w:rPr>
          <w:rFonts w:ascii="Arial" w:eastAsia="Arial" w:hAnsi="Arial" w:cs="Arial"/>
          <w:sz w:val="24"/>
          <w:szCs w:val="24"/>
          <w:lang w:val="en-US"/>
        </w:rPr>
        <w:t xml:space="preserve">2 (74) </w:t>
      </w:r>
      <w:hyperlink r:id="rId21">
        <w:r w:rsidR="00425EF8" w:rsidRPr="7E5DDB8A">
          <w:rPr>
            <w:rFonts w:ascii="Arial" w:eastAsia="Arial" w:hAnsi="Arial" w:cs="Arial"/>
            <w:color w:val="1155CC"/>
            <w:sz w:val="24"/>
            <w:szCs w:val="24"/>
            <w:u w:val="single"/>
            <w:lang w:val="en-US"/>
          </w:rPr>
          <w:t>https://link.springer.com/article/10.1007/s44337-025-00273-1</w:t>
        </w:r>
      </w:hyperlink>
      <w:r w:rsidRPr="7E5DDB8A">
        <w:rPr>
          <w:rFonts w:ascii="Arial" w:eastAsia="Arial" w:hAnsi="Arial" w:cs="Arial"/>
          <w:sz w:val="24"/>
          <w:szCs w:val="24"/>
          <w:lang w:val="en-US"/>
        </w:rPr>
        <w:t xml:space="preserve"> </w:t>
      </w:r>
    </w:p>
    <w:p w14:paraId="00000039" w14:textId="77777777" w:rsidR="00425EF8" w:rsidRDefault="006E2DD6">
      <w:pPr>
        <w:spacing w:before="240" w:after="240"/>
        <w:jc w:val="both"/>
        <w:rPr>
          <w:rFonts w:ascii="Arial" w:eastAsia="Arial" w:hAnsi="Arial" w:cs="Arial"/>
          <w:color w:val="1155CC"/>
          <w:sz w:val="24"/>
          <w:szCs w:val="24"/>
          <w:u w:val="single"/>
          <w:lang w:val="en-US"/>
        </w:rPr>
      </w:pPr>
      <w:r w:rsidRPr="7E5DDB8A">
        <w:rPr>
          <w:rFonts w:ascii="Arial" w:eastAsia="Arial" w:hAnsi="Arial" w:cs="Arial"/>
          <w:sz w:val="24"/>
          <w:szCs w:val="24"/>
          <w:lang w:val="en-US"/>
        </w:rPr>
        <w:t xml:space="preserve">Greenhalgh, T., Wherton, J., Papoutsi, C., Lynch, J., Hughes, </w:t>
      </w:r>
      <w:bookmarkStart w:id="29" w:name="_Int_D3sSVDjV"/>
      <w:r w:rsidRPr="7E5DDB8A">
        <w:rPr>
          <w:rFonts w:ascii="Arial" w:eastAsia="Arial" w:hAnsi="Arial" w:cs="Arial"/>
          <w:sz w:val="24"/>
          <w:szCs w:val="24"/>
          <w:lang w:val="en-US"/>
        </w:rPr>
        <w:t>G.</w:t>
      </w:r>
      <w:bookmarkEnd w:id="29"/>
      <w:r w:rsidRPr="7E5DDB8A">
        <w:rPr>
          <w:rFonts w:ascii="Arial" w:eastAsia="Arial" w:hAnsi="Arial" w:cs="Arial"/>
          <w:sz w:val="24"/>
          <w:szCs w:val="24"/>
          <w:lang w:val="en-US"/>
        </w:rPr>
        <w:t xml:space="preserve"> and Shaw, S. (2018) ‘Beyond adoption: a new framework for evaluating digital health technologies’, </w:t>
      </w:r>
      <w:r w:rsidRPr="7E5DDB8A">
        <w:rPr>
          <w:rFonts w:ascii="Arial" w:eastAsia="Arial" w:hAnsi="Arial" w:cs="Arial"/>
          <w:i/>
          <w:sz w:val="24"/>
          <w:szCs w:val="24"/>
          <w:lang w:val="en-US"/>
        </w:rPr>
        <w:t>Journal of Medica</w:t>
      </w:r>
      <w:r w:rsidRPr="7E5DDB8A">
        <w:rPr>
          <w:rFonts w:ascii="Arial" w:eastAsia="Arial" w:hAnsi="Arial" w:cs="Arial"/>
          <w:i/>
          <w:sz w:val="24"/>
          <w:szCs w:val="24"/>
          <w:lang w:val="en-US"/>
        </w:rPr>
        <w:t>l Internet Research</w:t>
      </w:r>
      <w:r w:rsidRPr="7E5DDB8A">
        <w:rPr>
          <w:rFonts w:ascii="Arial" w:eastAsia="Arial" w:hAnsi="Arial" w:cs="Arial"/>
          <w:sz w:val="24"/>
          <w:szCs w:val="24"/>
          <w:lang w:val="en-US"/>
        </w:rPr>
        <w:t>, 20(11), e8775.</w:t>
      </w:r>
      <w:hyperlink r:id="rId22">
        <w:r w:rsidR="00425EF8" w:rsidRPr="7E5DDB8A">
          <w:rPr>
            <w:rFonts w:ascii="Arial" w:eastAsia="Arial" w:hAnsi="Arial" w:cs="Arial"/>
            <w:sz w:val="24"/>
            <w:szCs w:val="24"/>
            <w:lang w:val="en-US"/>
          </w:rPr>
          <w:t xml:space="preserve"> </w:t>
        </w:r>
      </w:hyperlink>
      <w:hyperlink r:id="rId23">
        <w:r w:rsidR="00425EF8" w:rsidRPr="7E5DDB8A">
          <w:rPr>
            <w:rFonts w:ascii="Arial" w:eastAsia="Arial" w:hAnsi="Arial" w:cs="Arial"/>
            <w:color w:val="1155CC"/>
            <w:sz w:val="24"/>
            <w:szCs w:val="24"/>
            <w:u w:val="single"/>
            <w:lang w:val="en-US"/>
          </w:rPr>
          <w:t>https://doi.org/10.2196/jmir.8775</w:t>
        </w:r>
      </w:hyperlink>
    </w:p>
    <w:p w14:paraId="0000003A"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Haak, T., Hanaire, H., Ajjan, R., Hermanns, N. and Rayman, G. (2017) ‘Flash glucose-sensing technology as a replacement for blood glucose monitoring in type 2 diabetes’, </w:t>
      </w:r>
      <w:r w:rsidRPr="7E5DDB8A">
        <w:rPr>
          <w:rFonts w:ascii="Arial" w:eastAsia="Arial" w:hAnsi="Arial" w:cs="Arial"/>
          <w:i/>
          <w:sz w:val="24"/>
          <w:szCs w:val="24"/>
          <w:lang w:val="en-US"/>
        </w:rPr>
        <w:t>Diabetes Therapy</w:t>
      </w:r>
      <w:r w:rsidRPr="7E5DDB8A">
        <w:rPr>
          <w:rFonts w:ascii="Arial" w:eastAsia="Arial" w:hAnsi="Arial" w:cs="Arial"/>
          <w:sz w:val="24"/>
          <w:szCs w:val="24"/>
          <w:lang w:val="en-US"/>
        </w:rPr>
        <w:t xml:space="preserve">, 8(1), pp. 55–73. </w:t>
      </w:r>
      <w:hyperlink r:id="rId24">
        <w:r w:rsidR="00425EF8" w:rsidRPr="7E5DDB8A">
          <w:rPr>
            <w:rFonts w:ascii="Arial" w:eastAsia="Arial" w:hAnsi="Arial" w:cs="Arial"/>
            <w:color w:val="1155CC"/>
            <w:sz w:val="24"/>
            <w:szCs w:val="24"/>
            <w:u w:val="single"/>
            <w:lang w:val="en-US"/>
          </w:rPr>
          <w:t>https://doi.org/10.1007/s13300-016-0223-6</w:t>
        </w:r>
      </w:hyperlink>
    </w:p>
    <w:p w14:paraId="0000003B" w14:textId="77777777" w:rsidR="00425EF8" w:rsidRDefault="006E2DD6">
      <w:pPr>
        <w:spacing w:before="240" w:after="240"/>
        <w:jc w:val="both"/>
        <w:rPr>
          <w:rFonts w:ascii="Arial" w:eastAsia="Arial" w:hAnsi="Arial" w:cs="Arial"/>
          <w:color w:val="1155CC"/>
          <w:sz w:val="24"/>
          <w:szCs w:val="24"/>
          <w:u w:val="single"/>
        </w:rPr>
      </w:pPr>
      <w:r w:rsidRPr="7E5DDB8A">
        <w:rPr>
          <w:rFonts w:ascii="Arial" w:eastAsia="Arial" w:hAnsi="Arial" w:cs="Arial"/>
          <w:sz w:val="24"/>
          <w:szCs w:val="24"/>
        </w:rPr>
        <w:t>Haimi, M. (2023) ‘Digital healt</w:t>
      </w:r>
      <w:r w:rsidRPr="7E5DDB8A">
        <w:rPr>
          <w:rFonts w:ascii="Arial" w:eastAsia="Arial" w:hAnsi="Arial" w:cs="Arial"/>
          <w:sz w:val="24"/>
          <w:szCs w:val="24"/>
        </w:rPr>
        <w:t xml:space="preserve">h inequalities and telemedicine risks’, </w:t>
      </w:r>
      <w:r w:rsidRPr="7E5DDB8A">
        <w:rPr>
          <w:rFonts w:ascii="Arial" w:eastAsia="Arial" w:hAnsi="Arial" w:cs="Arial"/>
          <w:i/>
          <w:sz w:val="24"/>
          <w:szCs w:val="24"/>
        </w:rPr>
        <w:t>BMC Medical Informatics and Decision Making</w:t>
      </w:r>
      <w:r w:rsidRPr="7E5DDB8A">
        <w:rPr>
          <w:rFonts w:ascii="Arial" w:eastAsia="Arial" w:hAnsi="Arial" w:cs="Arial"/>
          <w:sz w:val="24"/>
          <w:szCs w:val="24"/>
        </w:rPr>
        <w:t>, 23, 95.</w:t>
      </w:r>
      <w:hyperlink r:id="rId25">
        <w:r w:rsidR="00425EF8" w:rsidRPr="7E5DDB8A">
          <w:rPr>
            <w:rFonts w:ascii="Arial" w:eastAsia="Arial" w:hAnsi="Arial" w:cs="Arial"/>
            <w:sz w:val="24"/>
            <w:szCs w:val="24"/>
          </w:rPr>
          <w:t xml:space="preserve"> </w:t>
        </w:r>
      </w:hyperlink>
      <w:hyperlink r:id="rId26">
        <w:r w:rsidR="00425EF8" w:rsidRPr="7E5DDB8A">
          <w:rPr>
            <w:rFonts w:ascii="Arial" w:eastAsia="Arial" w:hAnsi="Arial" w:cs="Arial"/>
            <w:color w:val="1155CC"/>
            <w:sz w:val="24"/>
            <w:szCs w:val="24"/>
            <w:u w:val="single"/>
          </w:rPr>
          <w:t>https://doi.org/10.1186/s12911-023-02194-4</w:t>
        </w:r>
      </w:hyperlink>
    </w:p>
    <w:p w14:paraId="0000003C" w14:textId="77777777" w:rsidR="00425EF8" w:rsidRDefault="006E2DD6">
      <w:pPr>
        <w:spacing w:before="240" w:after="240"/>
        <w:jc w:val="both"/>
        <w:rPr>
          <w:rFonts w:ascii="Arial" w:eastAsia="Arial" w:hAnsi="Arial" w:cs="Arial"/>
          <w:sz w:val="24"/>
          <w:szCs w:val="24"/>
        </w:rPr>
      </w:pPr>
      <w:r w:rsidRPr="7E5DDB8A">
        <w:rPr>
          <w:rFonts w:ascii="Arial" w:eastAsia="Arial" w:hAnsi="Arial" w:cs="Arial"/>
          <w:sz w:val="24"/>
          <w:szCs w:val="24"/>
        </w:rPr>
        <w:t xml:space="preserve">Health Foundation. (2022) </w:t>
      </w:r>
      <w:r w:rsidRPr="7E5DDB8A">
        <w:rPr>
          <w:rFonts w:ascii="Arial" w:eastAsia="Arial" w:hAnsi="Arial" w:cs="Arial"/>
          <w:i/>
          <w:sz w:val="24"/>
          <w:szCs w:val="24"/>
        </w:rPr>
        <w:t>Exploring public attitudes towards the use of digital health technologies and data,</w:t>
      </w:r>
      <w:r w:rsidRPr="7E5DDB8A">
        <w:rPr>
          <w:rFonts w:ascii="Arial" w:eastAsia="Arial" w:hAnsi="Arial" w:cs="Arial"/>
          <w:sz w:val="24"/>
          <w:szCs w:val="24"/>
        </w:rPr>
        <w:t xml:space="preserve"> London: Health Foundation. Available at: </w:t>
      </w:r>
      <w:hyperlink r:id="rId27">
        <w:r w:rsidR="00425EF8" w:rsidRPr="7E5DDB8A">
          <w:rPr>
            <w:rFonts w:ascii="Arial" w:eastAsia="Arial" w:hAnsi="Arial" w:cs="Arial"/>
            <w:color w:val="1155CC"/>
            <w:sz w:val="24"/>
            <w:szCs w:val="24"/>
            <w:u w:val="single"/>
          </w:rPr>
          <w:t>https://www.health.org.uk/reports-and-analysis/briefings/exploring-public-attitudes-towards-the-use-of-digital-health</w:t>
        </w:r>
      </w:hyperlink>
      <w:r w:rsidRPr="7E5DDB8A">
        <w:rPr>
          <w:rFonts w:ascii="Arial" w:eastAsia="Arial" w:hAnsi="Arial" w:cs="Arial"/>
          <w:sz w:val="24"/>
          <w:szCs w:val="24"/>
        </w:rPr>
        <w:t xml:space="preserve"> Accessed: 29.5.26 </w:t>
      </w:r>
    </w:p>
    <w:p w14:paraId="0000003D" w14:textId="77777777" w:rsidR="00425EF8" w:rsidRDefault="006E2DD6">
      <w:pPr>
        <w:spacing w:before="240" w:after="240"/>
        <w:jc w:val="both"/>
        <w:rPr>
          <w:rFonts w:ascii="Arial" w:eastAsia="Arial" w:hAnsi="Arial" w:cs="Arial"/>
          <w:sz w:val="24"/>
          <w:szCs w:val="24"/>
        </w:rPr>
      </w:pPr>
      <w:r w:rsidRPr="7E5DDB8A">
        <w:rPr>
          <w:rFonts w:ascii="Arial" w:eastAsia="Arial" w:hAnsi="Arial" w:cs="Arial"/>
          <w:sz w:val="24"/>
          <w:szCs w:val="24"/>
        </w:rPr>
        <w:t xml:space="preserve">Health Foundation (2026) </w:t>
      </w:r>
      <w:r w:rsidRPr="7E5DDB8A">
        <w:rPr>
          <w:rFonts w:ascii="Arial" w:eastAsia="Arial" w:hAnsi="Arial" w:cs="Arial"/>
          <w:i/>
          <w:sz w:val="24"/>
          <w:szCs w:val="24"/>
        </w:rPr>
        <w:t>Attitudes to Technology and AI in Healthcare,</w:t>
      </w:r>
      <w:r w:rsidRPr="7E5DDB8A">
        <w:rPr>
          <w:rFonts w:ascii="Arial" w:eastAsia="Arial" w:hAnsi="Arial" w:cs="Arial"/>
          <w:sz w:val="24"/>
          <w:szCs w:val="24"/>
        </w:rPr>
        <w:t xml:space="preserve"> London: The Health Foundation. Available at:</w:t>
      </w:r>
      <w:hyperlink r:id="rId28">
        <w:r w:rsidR="00425EF8" w:rsidRPr="7E5DDB8A">
          <w:rPr>
            <w:rFonts w:ascii="Arial" w:eastAsia="Arial" w:hAnsi="Arial" w:cs="Arial"/>
            <w:sz w:val="24"/>
            <w:szCs w:val="24"/>
          </w:rPr>
          <w:t xml:space="preserve"> </w:t>
        </w:r>
      </w:hyperlink>
      <w:hyperlink r:id="rId29">
        <w:r w:rsidR="00425EF8" w:rsidRPr="7E5DDB8A">
          <w:rPr>
            <w:rFonts w:ascii="Arial" w:eastAsia="Arial" w:hAnsi="Arial" w:cs="Arial"/>
            <w:color w:val="1155CC"/>
            <w:sz w:val="24"/>
            <w:szCs w:val="24"/>
            <w:u w:val="single"/>
          </w:rPr>
          <w:t>https://www.health.org.uk/reports-and-analysis/analysis/attitudes-to-technology-and-ai-in-health-care</w:t>
        </w:r>
      </w:hyperlink>
      <w:r w:rsidRPr="7E5DDB8A">
        <w:rPr>
          <w:rFonts w:ascii="Arial" w:eastAsia="Arial" w:hAnsi="Arial" w:cs="Arial"/>
          <w:sz w:val="24"/>
          <w:szCs w:val="24"/>
        </w:rPr>
        <w:t xml:space="preserve"> Accessed: 29.5.26 </w:t>
      </w:r>
    </w:p>
    <w:p w14:paraId="0000003E" w14:textId="77777777" w:rsidR="00425EF8" w:rsidRDefault="006E2DD6">
      <w:pPr>
        <w:spacing w:before="240" w:after="240"/>
        <w:jc w:val="both"/>
        <w:rPr>
          <w:rFonts w:ascii="Arial" w:eastAsia="Arial" w:hAnsi="Arial" w:cs="Arial"/>
          <w:sz w:val="24"/>
          <w:szCs w:val="24"/>
        </w:rPr>
      </w:pPr>
      <w:r w:rsidRPr="7E5DDB8A">
        <w:rPr>
          <w:rFonts w:ascii="Arial" w:eastAsia="Arial" w:hAnsi="Arial" w:cs="Arial"/>
          <w:sz w:val="24"/>
          <w:szCs w:val="24"/>
        </w:rPr>
        <w:t xml:space="preserve">Information Commissioner’s Office (ICO). (2023) </w:t>
      </w:r>
      <w:r w:rsidRPr="7E5DDB8A">
        <w:rPr>
          <w:rFonts w:ascii="Arial" w:eastAsia="Arial" w:hAnsi="Arial" w:cs="Arial"/>
          <w:i/>
          <w:sz w:val="24"/>
          <w:szCs w:val="24"/>
        </w:rPr>
        <w:t>Guide to UK GDPR</w:t>
      </w:r>
      <w:r w:rsidRPr="7E5DDB8A">
        <w:rPr>
          <w:rFonts w:ascii="Arial" w:eastAsia="Arial" w:hAnsi="Arial" w:cs="Arial"/>
          <w:sz w:val="24"/>
          <w:szCs w:val="24"/>
        </w:rPr>
        <w:t>. Available at:</w:t>
      </w:r>
      <w:hyperlink r:id="rId30">
        <w:r w:rsidR="00425EF8" w:rsidRPr="7E5DDB8A">
          <w:rPr>
            <w:rFonts w:ascii="Arial" w:eastAsia="Arial" w:hAnsi="Arial" w:cs="Arial"/>
            <w:sz w:val="24"/>
            <w:szCs w:val="24"/>
          </w:rPr>
          <w:t xml:space="preserve"> </w:t>
        </w:r>
      </w:hyperlink>
      <w:hyperlink r:id="rId31">
        <w:r w:rsidR="00425EF8" w:rsidRPr="7E5DDB8A">
          <w:rPr>
            <w:rFonts w:ascii="Arial" w:eastAsia="Arial" w:hAnsi="Arial" w:cs="Arial"/>
            <w:color w:val="1155CC"/>
            <w:sz w:val="24"/>
            <w:szCs w:val="24"/>
            <w:u w:val="single"/>
          </w:rPr>
          <w:t>https://ico.org.uk/for-organisations/uk-gdpr-guidance-and-resources/</w:t>
        </w:r>
      </w:hyperlink>
      <w:r w:rsidRPr="7E5DDB8A">
        <w:rPr>
          <w:rFonts w:ascii="Arial" w:eastAsia="Arial" w:hAnsi="Arial" w:cs="Arial"/>
          <w:sz w:val="24"/>
          <w:szCs w:val="24"/>
        </w:rPr>
        <w:t xml:space="preserve"> Accessed: 29.5.26 </w:t>
      </w:r>
    </w:p>
    <w:p w14:paraId="0000003F"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Kraaijeveld, S. R. (2020) ‘Continuous Glucose Monitoring as a Matter of Justice,’ </w:t>
      </w:r>
      <w:r w:rsidRPr="7E5DDB8A">
        <w:rPr>
          <w:rFonts w:ascii="Arial" w:eastAsia="Arial" w:hAnsi="Arial" w:cs="Arial"/>
          <w:i/>
          <w:sz w:val="24"/>
          <w:szCs w:val="24"/>
          <w:lang w:val="en-US"/>
        </w:rPr>
        <w:t>Hec Forum</w:t>
      </w:r>
      <w:r w:rsidRPr="7E5DDB8A">
        <w:rPr>
          <w:rFonts w:ascii="Arial" w:eastAsia="Arial" w:hAnsi="Arial" w:cs="Arial"/>
          <w:sz w:val="24"/>
          <w:szCs w:val="24"/>
          <w:lang w:val="en-US"/>
        </w:rPr>
        <w:t xml:space="preserve">, </w:t>
      </w:r>
      <w:r w:rsidRPr="7E5DDB8A">
        <w:rPr>
          <w:rFonts w:ascii="Arial" w:eastAsia="Arial" w:hAnsi="Arial" w:cs="Arial"/>
          <w:i/>
          <w:sz w:val="24"/>
          <w:szCs w:val="24"/>
          <w:lang w:val="en-US"/>
        </w:rPr>
        <w:t>33</w:t>
      </w:r>
      <w:r w:rsidRPr="7E5DDB8A">
        <w:rPr>
          <w:rFonts w:ascii="Arial" w:eastAsia="Arial" w:hAnsi="Arial" w:cs="Arial"/>
          <w:sz w:val="24"/>
          <w:szCs w:val="24"/>
          <w:lang w:val="en-US"/>
        </w:rPr>
        <w:t>(4), 345. https:</w:t>
      </w:r>
      <w:r w:rsidRPr="7E5DDB8A">
        <w:rPr>
          <w:rFonts w:ascii="Arial" w:eastAsia="Arial" w:hAnsi="Arial" w:cs="Arial"/>
          <w:sz w:val="24"/>
          <w:szCs w:val="24"/>
          <w:lang w:val="en-US"/>
        </w:rPr>
        <w:t>//doi.org/10.1007/s10730-020-09413-9</w:t>
      </w:r>
    </w:p>
    <w:p w14:paraId="00000040"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McKee, M., Dunnell, K., Anderson, M., Brayne, C., Charlesworth, A., Johnston-Webber, C., Knapp, M., McGuire, A., Newton, J. N., Taylor, D. and Watt, R. G. (2021) ‘The changing health needs of the UK population,’ </w:t>
      </w:r>
      <w:r w:rsidRPr="7E5DDB8A">
        <w:rPr>
          <w:rFonts w:ascii="Arial" w:eastAsia="Arial" w:hAnsi="Arial" w:cs="Arial"/>
          <w:i/>
          <w:sz w:val="24"/>
          <w:szCs w:val="24"/>
          <w:lang w:val="en-US"/>
        </w:rPr>
        <w:t>Lancet (London, England)</w:t>
      </w:r>
      <w:r w:rsidRPr="7E5DDB8A">
        <w:rPr>
          <w:rFonts w:ascii="Arial" w:eastAsia="Arial" w:hAnsi="Arial" w:cs="Arial"/>
          <w:sz w:val="24"/>
          <w:szCs w:val="24"/>
          <w:lang w:val="en-US"/>
        </w:rPr>
        <w:t xml:space="preserve">, </w:t>
      </w:r>
      <w:r w:rsidRPr="7E5DDB8A">
        <w:rPr>
          <w:rFonts w:ascii="Arial" w:eastAsia="Arial" w:hAnsi="Arial" w:cs="Arial"/>
          <w:i/>
          <w:sz w:val="24"/>
          <w:szCs w:val="24"/>
          <w:lang w:val="en-US"/>
        </w:rPr>
        <w:t>397</w:t>
      </w:r>
      <w:r w:rsidRPr="7E5DDB8A">
        <w:rPr>
          <w:rFonts w:ascii="Arial" w:eastAsia="Arial" w:hAnsi="Arial" w:cs="Arial"/>
          <w:sz w:val="24"/>
          <w:szCs w:val="24"/>
          <w:lang w:val="en-US"/>
        </w:rPr>
        <w:t xml:space="preserve">(10288), 1979. </w:t>
      </w:r>
      <w:hyperlink r:id="rId32">
        <w:r w:rsidR="00425EF8" w:rsidRPr="7E5DDB8A">
          <w:rPr>
            <w:rFonts w:ascii="Arial" w:eastAsia="Arial" w:hAnsi="Arial" w:cs="Arial"/>
            <w:color w:val="1155CC"/>
            <w:sz w:val="24"/>
            <w:szCs w:val="24"/>
            <w:u w:val="single"/>
            <w:lang w:val="en-US"/>
          </w:rPr>
          <w:t>https://doi.org/10.1016/S0140-6736(21)00229-4</w:t>
        </w:r>
      </w:hyperlink>
    </w:p>
    <w:p w14:paraId="00000041"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Mehorter, K. (2026) </w:t>
      </w:r>
      <w:r w:rsidRPr="7E5DDB8A">
        <w:rPr>
          <w:rFonts w:ascii="Arial" w:eastAsia="Arial" w:hAnsi="Arial" w:cs="Arial"/>
          <w:i/>
          <w:sz w:val="24"/>
          <w:szCs w:val="24"/>
          <w:lang w:val="en-US"/>
        </w:rPr>
        <w:t>Class Action Lawsuit Claims FreeStyle Libre Shares Website Users’ Private Info with Faceb</w:t>
      </w:r>
      <w:r w:rsidRPr="7E5DDB8A">
        <w:rPr>
          <w:rFonts w:ascii="Arial" w:eastAsia="Arial" w:hAnsi="Arial" w:cs="Arial"/>
          <w:i/>
          <w:sz w:val="24"/>
          <w:szCs w:val="24"/>
          <w:lang w:val="en-US"/>
        </w:rPr>
        <w:t xml:space="preserve">ook, Google, </w:t>
      </w:r>
      <w:r w:rsidRPr="7E5DDB8A">
        <w:rPr>
          <w:rFonts w:ascii="Arial" w:eastAsia="Arial" w:hAnsi="Arial" w:cs="Arial"/>
          <w:sz w:val="24"/>
          <w:szCs w:val="24"/>
          <w:lang w:val="en-US"/>
        </w:rPr>
        <w:t xml:space="preserve">Class Action. Available at: </w:t>
      </w:r>
      <w:hyperlink r:id="rId33">
        <w:r w:rsidR="00425EF8" w:rsidRPr="7E5DDB8A">
          <w:rPr>
            <w:rFonts w:ascii="Arial" w:eastAsia="Arial" w:hAnsi="Arial" w:cs="Arial"/>
            <w:color w:val="1155CC"/>
            <w:sz w:val="24"/>
            <w:szCs w:val="24"/>
            <w:u w:val="single"/>
            <w:lang w:val="en-US"/>
          </w:rPr>
          <w:t>https://www.classaction.org/news/class-action-lawsuit-claims-freestyle-libre-shares-website-users-private-info-with-facebook-google</w:t>
        </w:r>
      </w:hyperlink>
      <w:r w:rsidRPr="7E5DDB8A">
        <w:rPr>
          <w:rFonts w:ascii="Arial" w:eastAsia="Arial" w:hAnsi="Arial" w:cs="Arial"/>
          <w:sz w:val="24"/>
          <w:szCs w:val="24"/>
          <w:lang w:val="en-US"/>
        </w:rPr>
        <w:t xml:space="preserve"> Accessed: 30.5.26 </w:t>
      </w:r>
    </w:p>
    <w:p w14:paraId="00000042"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Nana, M., Moore, S., Ang, E., Lee, Z. and Bondugulapati, L. (2019) ‘Flash glucose monitoring: Impact on markers of glycaemic control and patient-reported outcomes in indi</w:t>
      </w:r>
      <w:r w:rsidRPr="7E5DDB8A">
        <w:rPr>
          <w:rFonts w:ascii="Arial" w:eastAsia="Arial" w:hAnsi="Arial" w:cs="Arial"/>
          <w:sz w:val="24"/>
          <w:szCs w:val="24"/>
          <w:lang w:val="en-US"/>
        </w:rPr>
        <w:t xml:space="preserve">viduals with type 1 diabetes mellitus in the real-world setting,’ </w:t>
      </w:r>
      <w:r w:rsidRPr="7E5DDB8A">
        <w:rPr>
          <w:rFonts w:ascii="Arial" w:eastAsia="Arial" w:hAnsi="Arial" w:cs="Arial"/>
          <w:i/>
          <w:sz w:val="24"/>
          <w:szCs w:val="24"/>
          <w:lang w:val="en-US"/>
        </w:rPr>
        <w:t>Diabetes Research and Clinical Practice</w:t>
      </w:r>
      <w:r w:rsidRPr="7E5DDB8A">
        <w:rPr>
          <w:rFonts w:ascii="Arial" w:eastAsia="Arial" w:hAnsi="Arial" w:cs="Arial"/>
          <w:sz w:val="24"/>
          <w:szCs w:val="24"/>
          <w:lang w:val="en-US"/>
        </w:rPr>
        <w:t xml:space="preserve">, </w:t>
      </w:r>
      <w:r w:rsidRPr="7E5DDB8A">
        <w:rPr>
          <w:rFonts w:ascii="Arial" w:eastAsia="Arial" w:hAnsi="Arial" w:cs="Arial"/>
          <w:i/>
          <w:sz w:val="24"/>
          <w:szCs w:val="24"/>
          <w:lang w:val="en-US"/>
        </w:rPr>
        <w:t>157</w:t>
      </w:r>
      <w:r w:rsidRPr="7E5DDB8A">
        <w:rPr>
          <w:rFonts w:ascii="Arial" w:eastAsia="Arial" w:hAnsi="Arial" w:cs="Arial"/>
          <w:sz w:val="24"/>
          <w:szCs w:val="24"/>
          <w:lang w:val="en-US"/>
        </w:rPr>
        <w:t>, 107893. https://doi.org/10.1016/j.diabres.2019.107893</w:t>
      </w:r>
    </w:p>
    <w:p w14:paraId="00000043" w14:textId="77777777" w:rsidR="00425EF8" w:rsidRDefault="006E2DD6">
      <w:pPr>
        <w:spacing w:before="240" w:after="240"/>
        <w:jc w:val="both"/>
        <w:rPr>
          <w:rFonts w:ascii="Arial" w:eastAsia="Arial" w:hAnsi="Arial" w:cs="Arial"/>
          <w:sz w:val="24"/>
          <w:szCs w:val="24"/>
        </w:rPr>
      </w:pPr>
      <w:r w:rsidRPr="7E5DDB8A">
        <w:rPr>
          <w:rFonts w:ascii="Arial" w:eastAsia="Arial" w:hAnsi="Arial" w:cs="Arial"/>
          <w:sz w:val="24"/>
          <w:szCs w:val="24"/>
        </w:rPr>
        <w:t xml:space="preserve">NHS England. (2019) </w:t>
      </w:r>
      <w:r w:rsidRPr="7E5DDB8A">
        <w:rPr>
          <w:rFonts w:ascii="Arial" w:eastAsia="Arial" w:hAnsi="Arial" w:cs="Arial"/>
          <w:i/>
          <w:sz w:val="24"/>
          <w:szCs w:val="24"/>
        </w:rPr>
        <w:t>The NHS Long Term Plan</w:t>
      </w:r>
      <w:r w:rsidRPr="7E5DDB8A">
        <w:rPr>
          <w:rFonts w:ascii="Arial" w:eastAsia="Arial" w:hAnsi="Arial" w:cs="Arial"/>
          <w:sz w:val="24"/>
          <w:szCs w:val="24"/>
        </w:rPr>
        <w:t>. Available at:</w:t>
      </w:r>
      <w:hyperlink r:id="rId34">
        <w:r w:rsidR="00425EF8" w:rsidRPr="7E5DDB8A">
          <w:rPr>
            <w:rFonts w:ascii="Arial" w:eastAsia="Arial" w:hAnsi="Arial" w:cs="Arial"/>
            <w:sz w:val="24"/>
            <w:szCs w:val="24"/>
          </w:rPr>
          <w:t xml:space="preserve"> </w:t>
        </w:r>
      </w:hyperlink>
      <w:hyperlink r:id="rId35">
        <w:r w:rsidR="00425EF8" w:rsidRPr="7E5DDB8A">
          <w:rPr>
            <w:rFonts w:ascii="Arial" w:eastAsia="Arial" w:hAnsi="Arial" w:cs="Arial"/>
            <w:color w:val="1155CC"/>
            <w:sz w:val="24"/>
            <w:szCs w:val="24"/>
            <w:u w:val="single"/>
          </w:rPr>
          <w:t>https://www.longtermplan.nhs.uk</w:t>
        </w:r>
      </w:hyperlink>
      <w:r w:rsidRPr="7E5DDB8A">
        <w:rPr>
          <w:rFonts w:ascii="Arial" w:eastAsia="Arial" w:hAnsi="Arial" w:cs="Arial"/>
          <w:sz w:val="24"/>
          <w:szCs w:val="24"/>
        </w:rPr>
        <w:t xml:space="preserve"> Accessed: 29.5.26 </w:t>
      </w:r>
    </w:p>
    <w:p w14:paraId="00000044"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NHS England (2023) </w:t>
      </w:r>
      <w:r w:rsidRPr="7E5DDB8A">
        <w:rPr>
          <w:rFonts w:ascii="Arial" w:eastAsia="Arial" w:hAnsi="Arial" w:cs="Arial"/>
          <w:i/>
          <w:sz w:val="24"/>
          <w:szCs w:val="24"/>
          <w:lang w:val="en-US"/>
        </w:rPr>
        <w:t xml:space="preserve">Hybrid </w:t>
      </w:r>
      <w:bookmarkStart w:id="30" w:name="_Int_eVcmjxy9"/>
      <w:r w:rsidRPr="7E5DDB8A">
        <w:rPr>
          <w:rFonts w:ascii="Arial" w:eastAsia="Arial" w:hAnsi="Arial" w:cs="Arial"/>
          <w:i/>
          <w:sz w:val="24"/>
          <w:szCs w:val="24"/>
          <w:lang w:val="en-US"/>
        </w:rPr>
        <w:t>closed-loop</w:t>
      </w:r>
      <w:bookmarkEnd w:id="30"/>
      <w:r w:rsidRPr="7E5DDB8A">
        <w:rPr>
          <w:rFonts w:ascii="Arial" w:eastAsia="Arial" w:hAnsi="Arial" w:cs="Arial"/>
          <w:i/>
          <w:sz w:val="24"/>
          <w:szCs w:val="24"/>
          <w:lang w:val="en-US"/>
        </w:rPr>
        <w:t xml:space="preserve"> and continuous glucose monitoring guidance</w:t>
      </w:r>
      <w:r w:rsidRPr="7E5DDB8A">
        <w:rPr>
          <w:rFonts w:ascii="Arial" w:eastAsia="Arial" w:hAnsi="Arial" w:cs="Arial"/>
          <w:sz w:val="24"/>
          <w:szCs w:val="24"/>
          <w:lang w:val="en-US"/>
        </w:rPr>
        <w:t>. Available at:</w:t>
      </w:r>
      <w:hyperlink r:id="rId36">
        <w:r w:rsidR="00425EF8" w:rsidRPr="7E5DDB8A">
          <w:rPr>
            <w:rFonts w:ascii="Arial" w:eastAsia="Arial" w:hAnsi="Arial" w:cs="Arial"/>
            <w:sz w:val="24"/>
            <w:szCs w:val="24"/>
            <w:lang w:val="en-US"/>
          </w:rPr>
          <w:t xml:space="preserve"> </w:t>
        </w:r>
      </w:hyperlink>
      <w:hyperlink r:id="rId37">
        <w:r w:rsidR="00425EF8" w:rsidRPr="7E5DDB8A">
          <w:rPr>
            <w:rFonts w:ascii="Arial" w:eastAsia="Arial" w:hAnsi="Arial" w:cs="Arial"/>
            <w:color w:val="1155CC"/>
            <w:sz w:val="24"/>
            <w:szCs w:val="24"/>
            <w:u w:val="single"/>
            <w:lang w:val="en-US"/>
          </w:rPr>
          <w:t>https://www.nhs.uk/tests-and-treatments/cgm-and-hcl-for-diabetes/</w:t>
        </w:r>
      </w:hyperlink>
      <w:r w:rsidRPr="7E5DDB8A">
        <w:rPr>
          <w:rFonts w:ascii="Arial" w:eastAsia="Arial" w:hAnsi="Arial" w:cs="Arial"/>
          <w:sz w:val="24"/>
          <w:szCs w:val="24"/>
          <w:lang w:val="en-US"/>
        </w:rPr>
        <w:t xml:space="preserve"> Accessed: 29.5.26</w:t>
      </w:r>
    </w:p>
    <w:p w14:paraId="00000045" w14:textId="77777777" w:rsidR="00425EF8" w:rsidRDefault="006E2DD6">
      <w:pPr>
        <w:spacing w:before="240" w:after="240"/>
        <w:jc w:val="both"/>
        <w:rPr>
          <w:rFonts w:ascii="Arial" w:eastAsia="Arial" w:hAnsi="Arial" w:cs="Arial"/>
          <w:sz w:val="24"/>
          <w:szCs w:val="24"/>
        </w:rPr>
      </w:pPr>
      <w:r w:rsidRPr="7E5DDB8A">
        <w:rPr>
          <w:rFonts w:ascii="Arial" w:eastAsia="Arial" w:hAnsi="Arial" w:cs="Arial"/>
          <w:sz w:val="24"/>
          <w:szCs w:val="24"/>
        </w:rPr>
        <w:t xml:space="preserve">Nuffield Trust. (2021) </w:t>
      </w:r>
      <w:r w:rsidRPr="7E5DDB8A">
        <w:rPr>
          <w:rFonts w:ascii="Arial" w:eastAsia="Arial" w:hAnsi="Arial" w:cs="Arial"/>
          <w:i/>
          <w:sz w:val="24"/>
          <w:szCs w:val="24"/>
        </w:rPr>
        <w:t>Diabetes Care,</w:t>
      </w:r>
      <w:r w:rsidRPr="7E5DDB8A">
        <w:rPr>
          <w:rFonts w:ascii="Arial" w:eastAsia="Arial" w:hAnsi="Arial" w:cs="Arial"/>
          <w:sz w:val="24"/>
          <w:szCs w:val="24"/>
        </w:rPr>
        <w:t xml:space="preserve"> London: Nuffield Trust. Available at:</w:t>
      </w:r>
      <w:hyperlink r:id="rId38">
        <w:r w:rsidR="00425EF8" w:rsidRPr="7E5DDB8A">
          <w:rPr>
            <w:rFonts w:ascii="Arial" w:eastAsia="Arial" w:hAnsi="Arial" w:cs="Arial"/>
            <w:sz w:val="24"/>
            <w:szCs w:val="24"/>
          </w:rPr>
          <w:t xml:space="preserve"> </w:t>
        </w:r>
      </w:hyperlink>
      <w:hyperlink r:id="rId39">
        <w:r w:rsidR="00425EF8" w:rsidRPr="7E5DDB8A">
          <w:rPr>
            <w:rFonts w:ascii="Arial" w:eastAsia="Arial" w:hAnsi="Arial" w:cs="Arial"/>
            <w:color w:val="1155CC"/>
            <w:sz w:val="24"/>
            <w:szCs w:val="24"/>
            <w:u w:val="single"/>
          </w:rPr>
          <w:t>https://www.nuffieldtrust.org.uk/resource/diabetes-care-for-adults</w:t>
        </w:r>
      </w:hyperlink>
      <w:r w:rsidRPr="7E5DDB8A">
        <w:rPr>
          <w:rFonts w:ascii="Arial" w:eastAsia="Arial" w:hAnsi="Arial" w:cs="Arial"/>
          <w:sz w:val="24"/>
          <w:szCs w:val="24"/>
        </w:rPr>
        <w:t xml:space="preserve"> Accessed: 30.5.26</w:t>
      </w:r>
    </w:p>
    <w:p w14:paraId="00000046"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Quah, P. L., Hua Chai, S. </w:t>
      </w:r>
      <w:bookmarkStart w:id="31" w:name="_Int_KCNtOWkj"/>
      <w:r w:rsidRPr="7E5DDB8A">
        <w:rPr>
          <w:rFonts w:ascii="Arial" w:eastAsia="Arial" w:hAnsi="Arial" w:cs="Arial"/>
          <w:sz w:val="24"/>
          <w:szCs w:val="24"/>
          <w:lang w:val="en-US"/>
        </w:rPr>
        <w:t>M.</w:t>
      </w:r>
      <w:bookmarkEnd w:id="31"/>
      <w:r w:rsidRPr="7E5DDB8A">
        <w:rPr>
          <w:rFonts w:ascii="Arial" w:eastAsia="Arial" w:hAnsi="Arial" w:cs="Arial"/>
          <w:sz w:val="24"/>
          <w:szCs w:val="24"/>
          <w:lang w:val="en-US"/>
        </w:rPr>
        <w:t xml:space="preserve"> and Tan, K. H.</w:t>
      </w:r>
      <w:r w:rsidRPr="7E5DDB8A">
        <w:rPr>
          <w:rFonts w:ascii="Arial" w:eastAsia="Arial" w:hAnsi="Arial" w:cs="Arial"/>
          <w:sz w:val="24"/>
          <w:szCs w:val="24"/>
          <w:lang w:val="en-US"/>
        </w:rPr>
        <w:t xml:space="preserve"> (2024) ‘Differences in glucose readings between the continuous glucose monitoring calibration free interstitial sensors versus capillary blood glucose monitoring by glucometer: An analysis of two cases,’ </w:t>
      </w:r>
      <w:r w:rsidRPr="7E5DDB8A">
        <w:rPr>
          <w:rFonts w:ascii="Arial" w:eastAsia="Arial" w:hAnsi="Arial" w:cs="Arial"/>
          <w:i/>
          <w:sz w:val="24"/>
          <w:szCs w:val="24"/>
          <w:lang w:val="en-US"/>
        </w:rPr>
        <w:t>Metabolism Open</w:t>
      </w:r>
      <w:r w:rsidRPr="7E5DDB8A">
        <w:rPr>
          <w:rFonts w:ascii="Arial" w:eastAsia="Arial" w:hAnsi="Arial" w:cs="Arial"/>
          <w:sz w:val="24"/>
          <w:szCs w:val="24"/>
          <w:lang w:val="en-US"/>
        </w:rPr>
        <w:t xml:space="preserve">, </w:t>
      </w:r>
      <w:r w:rsidRPr="7E5DDB8A">
        <w:rPr>
          <w:rFonts w:ascii="Arial" w:eastAsia="Arial" w:hAnsi="Arial" w:cs="Arial"/>
          <w:i/>
          <w:sz w:val="24"/>
          <w:szCs w:val="24"/>
          <w:lang w:val="en-US"/>
        </w:rPr>
        <w:t>22</w:t>
      </w:r>
      <w:r w:rsidRPr="7E5DDB8A">
        <w:rPr>
          <w:rFonts w:ascii="Arial" w:eastAsia="Arial" w:hAnsi="Arial" w:cs="Arial"/>
          <w:sz w:val="24"/>
          <w:szCs w:val="24"/>
          <w:lang w:val="en-US"/>
        </w:rPr>
        <w:t xml:space="preserve">, 100282. </w:t>
      </w:r>
      <w:hyperlink r:id="rId40">
        <w:r w:rsidR="00425EF8" w:rsidRPr="7E5DDB8A">
          <w:rPr>
            <w:rFonts w:ascii="Arial" w:eastAsia="Arial" w:hAnsi="Arial" w:cs="Arial"/>
            <w:color w:val="1155CC"/>
            <w:sz w:val="24"/>
            <w:szCs w:val="24"/>
            <w:u w:val="single"/>
            <w:lang w:val="en-US"/>
          </w:rPr>
          <w:t>https://doi.org/10.1016/j.metop.2024.100282</w:t>
        </w:r>
      </w:hyperlink>
      <w:r w:rsidRPr="7E5DDB8A">
        <w:rPr>
          <w:rFonts w:ascii="Arial" w:eastAsia="Arial" w:hAnsi="Arial" w:cs="Arial"/>
          <w:sz w:val="24"/>
          <w:szCs w:val="24"/>
          <w:lang w:val="en-US"/>
        </w:rPr>
        <w:t xml:space="preserve"> </w:t>
      </w:r>
    </w:p>
    <w:p w14:paraId="00000047"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Robertson, A., Cresswell, K., Takian, A. and Sheikh, A. (2010) ‘Implementation of electronic health records in healthcare’, </w:t>
      </w:r>
      <w:r w:rsidRPr="7E5DDB8A">
        <w:rPr>
          <w:rFonts w:ascii="Arial" w:eastAsia="Arial" w:hAnsi="Arial" w:cs="Arial"/>
          <w:i/>
          <w:sz w:val="24"/>
          <w:szCs w:val="24"/>
          <w:lang w:val="en-US"/>
        </w:rPr>
        <w:t>PLoS ONE</w:t>
      </w:r>
      <w:r w:rsidRPr="7E5DDB8A">
        <w:rPr>
          <w:rFonts w:ascii="Arial" w:eastAsia="Arial" w:hAnsi="Arial" w:cs="Arial"/>
          <w:sz w:val="24"/>
          <w:szCs w:val="24"/>
          <w:lang w:val="en-US"/>
        </w:rPr>
        <w:t xml:space="preserve">, 5(11), e14123. </w:t>
      </w:r>
      <w:hyperlink r:id="rId41">
        <w:r w:rsidR="00425EF8" w:rsidRPr="7E5DDB8A">
          <w:rPr>
            <w:rFonts w:ascii="Arial" w:eastAsia="Arial" w:hAnsi="Arial" w:cs="Arial"/>
            <w:color w:val="1155CC"/>
            <w:sz w:val="24"/>
            <w:szCs w:val="24"/>
            <w:u w:val="single"/>
            <w:lang w:val="en-US"/>
          </w:rPr>
          <w:t>https://doi.org/10.1371/journal.pone.0014123</w:t>
        </w:r>
      </w:hyperlink>
    </w:p>
    <w:p w14:paraId="00000048"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 xml:space="preserve">Seery, C. (2025) </w:t>
      </w:r>
      <w:r w:rsidRPr="7E5DDB8A">
        <w:rPr>
          <w:rFonts w:ascii="Arial" w:eastAsia="Arial" w:hAnsi="Arial" w:cs="Arial"/>
          <w:i/>
          <w:sz w:val="24"/>
          <w:szCs w:val="24"/>
          <w:lang w:val="en-US"/>
        </w:rPr>
        <w:t xml:space="preserve">FreeStyle Libre: safety notice issued as injuries linked to malfunctioning glucose monitors, </w:t>
      </w:r>
      <w:r w:rsidRPr="7E5DDB8A">
        <w:rPr>
          <w:rFonts w:ascii="Arial" w:eastAsia="Arial" w:hAnsi="Arial" w:cs="Arial"/>
          <w:sz w:val="24"/>
          <w:szCs w:val="24"/>
          <w:lang w:val="en-US"/>
        </w:rPr>
        <w:t xml:space="preserve">London: Diabetes UK. Available at: </w:t>
      </w:r>
      <w:hyperlink r:id="rId42">
        <w:r w:rsidR="00425EF8" w:rsidRPr="7E5DDB8A">
          <w:rPr>
            <w:rFonts w:ascii="Arial" w:eastAsia="Arial" w:hAnsi="Arial" w:cs="Arial"/>
            <w:color w:val="1155CC"/>
            <w:sz w:val="24"/>
            <w:szCs w:val="24"/>
            <w:u w:val="single"/>
            <w:lang w:val="en-US"/>
          </w:rPr>
          <w:t>https://www.diabetes.co.uk/news/2025/dec/700-injuries-and-7-deaths-linked-to-malfunctioning-glucose-monitors.html</w:t>
        </w:r>
      </w:hyperlink>
      <w:r w:rsidRPr="7E5DDB8A">
        <w:rPr>
          <w:rFonts w:ascii="Arial" w:eastAsia="Arial" w:hAnsi="Arial" w:cs="Arial"/>
          <w:sz w:val="24"/>
          <w:szCs w:val="24"/>
          <w:lang w:val="en-US"/>
        </w:rPr>
        <w:t xml:space="preserve"> Accessed: 30.5.26</w:t>
      </w:r>
    </w:p>
    <w:p w14:paraId="00000049"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Smith, I. P., Whi</w:t>
      </w:r>
      <w:r w:rsidRPr="7E5DDB8A">
        <w:rPr>
          <w:rFonts w:ascii="Arial" w:eastAsia="Arial" w:hAnsi="Arial" w:cs="Arial"/>
          <w:sz w:val="24"/>
          <w:szCs w:val="24"/>
          <w:lang w:val="en-US"/>
        </w:rPr>
        <w:t xml:space="preserve">chello, C. L., Veldwijk, J., H Rutten-van Mölken, P. M., M Groothuis-Oudshoorn, C. G. and Vos, R. C. (2023) ‘Diabetes patient preferences for glucose-monitoring technologies: Results from a discrete choice experiment in Poland and the Netherlands,’ </w:t>
      </w:r>
      <w:r w:rsidRPr="7E5DDB8A">
        <w:rPr>
          <w:rFonts w:ascii="Arial" w:eastAsia="Arial" w:hAnsi="Arial" w:cs="Arial"/>
          <w:i/>
          <w:sz w:val="24"/>
          <w:szCs w:val="24"/>
          <w:lang w:val="en-US"/>
        </w:rPr>
        <w:t>BMJ Open Diabetes Research &amp; Care</w:t>
      </w:r>
      <w:r w:rsidRPr="7E5DDB8A">
        <w:rPr>
          <w:rFonts w:ascii="Arial" w:eastAsia="Arial" w:hAnsi="Arial" w:cs="Arial"/>
          <w:sz w:val="24"/>
          <w:szCs w:val="24"/>
          <w:lang w:val="en-US"/>
        </w:rPr>
        <w:t xml:space="preserve">, </w:t>
      </w:r>
      <w:r w:rsidRPr="7E5DDB8A">
        <w:rPr>
          <w:rFonts w:ascii="Arial" w:eastAsia="Arial" w:hAnsi="Arial" w:cs="Arial"/>
          <w:i/>
          <w:sz w:val="24"/>
          <w:szCs w:val="24"/>
          <w:lang w:val="en-US"/>
        </w:rPr>
        <w:t>11</w:t>
      </w:r>
      <w:r w:rsidRPr="7E5DDB8A">
        <w:rPr>
          <w:rFonts w:ascii="Arial" w:eastAsia="Arial" w:hAnsi="Arial" w:cs="Arial"/>
          <w:sz w:val="24"/>
          <w:szCs w:val="24"/>
          <w:lang w:val="en-US"/>
        </w:rPr>
        <w:t>(1), e003025. https://doi.org/10.1136/bmjdrc-2022-003025</w:t>
      </w:r>
    </w:p>
    <w:p w14:paraId="0000004A" w14:textId="77777777" w:rsidR="00425EF8" w:rsidRDefault="006E2DD6">
      <w:pPr>
        <w:spacing w:after="0"/>
        <w:jc w:val="both"/>
        <w:rPr>
          <w:rFonts w:ascii="Arial" w:eastAsia="Arial" w:hAnsi="Arial" w:cs="Arial"/>
          <w:sz w:val="24"/>
          <w:szCs w:val="24"/>
        </w:rPr>
      </w:pPr>
      <w:r w:rsidRPr="7E5DDB8A">
        <w:rPr>
          <w:rFonts w:ascii="Arial" w:eastAsia="Arial" w:hAnsi="Arial" w:cs="Arial"/>
          <w:sz w:val="24"/>
          <w:szCs w:val="24"/>
        </w:rPr>
        <w:t xml:space="preserve">The King’s Fund. (2018) </w:t>
      </w:r>
      <w:r w:rsidRPr="7E5DDB8A">
        <w:rPr>
          <w:rFonts w:ascii="Arial" w:eastAsia="Arial" w:hAnsi="Arial" w:cs="Arial"/>
          <w:i/>
          <w:sz w:val="24"/>
          <w:szCs w:val="24"/>
        </w:rPr>
        <w:t>Digital Change in Health and Social Care,</w:t>
      </w:r>
      <w:r w:rsidRPr="7E5DDB8A">
        <w:rPr>
          <w:rFonts w:ascii="Arial" w:eastAsia="Arial" w:hAnsi="Arial" w:cs="Arial"/>
          <w:sz w:val="24"/>
          <w:szCs w:val="24"/>
        </w:rPr>
        <w:t xml:space="preserve"> London: The King’s Fund. Available at:</w:t>
      </w:r>
      <w:hyperlink r:id="rId43">
        <w:r w:rsidR="00425EF8" w:rsidRPr="7E5DDB8A">
          <w:rPr>
            <w:rFonts w:ascii="Arial" w:eastAsia="Arial" w:hAnsi="Arial" w:cs="Arial"/>
            <w:sz w:val="24"/>
            <w:szCs w:val="24"/>
          </w:rPr>
          <w:t xml:space="preserve"> </w:t>
        </w:r>
      </w:hyperlink>
      <w:hyperlink r:id="rId44">
        <w:r w:rsidR="00425EF8" w:rsidRPr="7E5DDB8A">
          <w:rPr>
            <w:rFonts w:ascii="Arial" w:eastAsia="Arial" w:hAnsi="Arial" w:cs="Arial"/>
            <w:color w:val="1155CC"/>
            <w:sz w:val="24"/>
            <w:szCs w:val="24"/>
            <w:u w:val="single"/>
          </w:rPr>
          <w:t>https://assets.kingsfund.org.uk/f/256914/x/06cea35128/digital_change_health_care_2018.pdf</w:t>
        </w:r>
      </w:hyperlink>
      <w:r w:rsidRPr="7E5DDB8A">
        <w:rPr>
          <w:rFonts w:ascii="Arial" w:eastAsia="Arial" w:hAnsi="Arial" w:cs="Arial"/>
          <w:sz w:val="24"/>
          <w:szCs w:val="24"/>
        </w:rPr>
        <w:t xml:space="preserve"> Accessed: 30.5.26 </w:t>
      </w:r>
    </w:p>
    <w:p w14:paraId="0000004B" w14:textId="77777777" w:rsidR="00425EF8" w:rsidRDefault="006E2DD6">
      <w:pPr>
        <w:spacing w:before="240" w:after="240"/>
        <w:jc w:val="both"/>
        <w:rPr>
          <w:rFonts w:ascii="Arial" w:eastAsia="Arial" w:hAnsi="Arial" w:cs="Arial"/>
          <w:color w:val="1155CC"/>
          <w:sz w:val="24"/>
          <w:szCs w:val="24"/>
          <w:u w:val="single"/>
          <w:lang w:val="en-US"/>
        </w:rPr>
      </w:pPr>
      <w:r w:rsidRPr="7E5DDB8A">
        <w:rPr>
          <w:rFonts w:ascii="Arial" w:eastAsia="Arial" w:hAnsi="Arial" w:cs="Arial"/>
          <w:sz w:val="24"/>
          <w:szCs w:val="24"/>
          <w:lang w:val="en-US"/>
        </w:rPr>
        <w:t xml:space="preserve">Topol, E. (2019) </w:t>
      </w:r>
      <w:r w:rsidRPr="7E5DDB8A">
        <w:rPr>
          <w:rFonts w:ascii="Arial" w:eastAsia="Arial" w:hAnsi="Arial" w:cs="Arial"/>
          <w:i/>
          <w:sz w:val="24"/>
          <w:szCs w:val="24"/>
          <w:lang w:val="en-US"/>
        </w:rPr>
        <w:t>The Topol Review: Preparing the healthcare workforce to deliver the digital future</w:t>
      </w:r>
      <w:r w:rsidRPr="7E5DDB8A">
        <w:rPr>
          <w:rFonts w:ascii="Arial" w:eastAsia="Arial" w:hAnsi="Arial" w:cs="Arial"/>
          <w:sz w:val="24"/>
          <w:szCs w:val="24"/>
          <w:lang w:val="en-US"/>
        </w:rPr>
        <w:t xml:space="preserve">. London: NHS Health </w:t>
      </w:r>
      <w:bookmarkStart w:id="32" w:name="_Int_HQuJlUqC"/>
      <w:r w:rsidRPr="7E5DDB8A">
        <w:rPr>
          <w:rFonts w:ascii="Arial" w:eastAsia="Arial" w:hAnsi="Arial" w:cs="Arial"/>
          <w:sz w:val="24"/>
          <w:szCs w:val="24"/>
          <w:lang w:val="en-US"/>
        </w:rPr>
        <w:t>Education</w:t>
      </w:r>
      <w:bookmarkEnd w:id="32"/>
      <w:r w:rsidRPr="7E5DDB8A">
        <w:rPr>
          <w:rFonts w:ascii="Arial" w:eastAsia="Arial" w:hAnsi="Arial" w:cs="Arial"/>
          <w:sz w:val="24"/>
          <w:szCs w:val="24"/>
          <w:lang w:val="en-US"/>
        </w:rPr>
        <w:t xml:space="preserve"> England. Available at:</w:t>
      </w:r>
      <w:hyperlink r:id="rId45">
        <w:r w:rsidR="00425EF8" w:rsidRPr="7E5DDB8A">
          <w:rPr>
            <w:rFonts w:ascii="Arial" w:eastAsia="Arial" w:hAnsi="Arial" w:cs="Arial"/>
            <w:sz w:val="24"/>
            <w:szCs w:val="24"/>
            <w:lang w:val="en-US"/>
          </w:rPr>
          <w:t xml:space="preserve"> </w:t>
        </w:r>
      </w:hyperlink>
      <w:hyperlink r:id="rId46">
        <w:r w:rsidR="00425EF8" w:rsidRPr="7E5DDB8A">
          <w:rPr>
            <w:rFonts w:ascii="Arial" w:eastAsia="Arial" w:hAnsi="Arial" w:cs="Arial"/>
            <w:color w:val="1155CC"/>
            <w:sz w:val="24"/>
            <w:szCs w:val="24"/>
            <w:u w:val="single"/>
            <w:lang w:val="en-US"/>
          </w:rPr>
          <w:t>https://topol.digitalacademy.nhs.uk/the-topol-review</w:t>
        </w:r>
      </w:hyperlink>
      <w:r w:rsidRPr="7E5DDB8A">
        <w:rPr>
          <w:rFonts w:ascii="Arial" w:eastAsia="Arial" w:hAnsi="Arial" w:cs="Arial"/>
          <w:sz w:val="24"/>
          <w:szCs w:val="24"/>
          <w:lang w:val="en-US"/>
        </w:rPr>
        <w:t xml:space="preserve"> Accessed: 30.5.26 </w:t>
      </w:r>
    </w:p>
    <w:p w14:paraId="0000004C" w14:textId="77777777" w:rsidR="00425EF8" w:rsidRDefault="006E2DD6">
      <w:pPr>
        <w:spacing w:before="240" w:after="240"/>
        <w:jc w:val="both"/>
        <w:rPr>
          <w:rFonts w:ascii="Arial" w:eastAsia="Arial" w:hAnsi="Arial" w:cs="Arial"/>
          <w:sz w:val="24"/>
          <w:szCs w:val="24"/>
          <w:lang w:val="en-US"/>
        </w:rPr>
      </w:pPr>
      <w:r w:rsidRPr="7E5DDB8A">
        <w:rPr>
          <w:rFonts w:ascii="Arial" w:eastAsia="Arial" w:hAnsi="Arial" w:cs="Arial"/>
          <w:sz w:val="24"/>
          <w:szCs w:val="24"/>
          <w:lang w:val="en-US"/>
        </w:rPr>
        <w:t>Weaver, C., Ball, M., Kim, G. and Kiel, J. (2015)</w:t>
      </w:r>
      <w:bookmarkStart w:id="33" w:name="_Int_V8OT2TvY"/>
      <w:r w:rsidRPr="7E5DDB8A">
        <w:rPr>
          <w:rFonts w:ascii="Arial" w:eastAsia="Arial" w:hAnsi="Arial" w:cs="Arial"/>
          <w:sz w:val="24"/>
          <w:szCs w:val="24"/>
          <w:lang w:val="en-US"/>
        </w:rPr>
        <w:t xml:space="preserve"> </w:t>
      </w:r>
      <w:r w:rsidRPr="7E5DDB8A">
        <w:rPr>
          <w:rFonts w:ascii="Arial" w:eastAsia="Arial" w:hAnsi="Arial" w:cs="Arial"/>
          <w:i/>
          <w:sz w:val="24"/>
          <w:szCs w:val="24"/>
          <w:lang w:val="en-US"/>
        </w:rPr>
        <w:t>Healthcare</w:t>
      </w:r>
      <w:bookmarkEnd w:id="33"/>
      <w:r w:rsidRPr="7E5DDB8A">
        <w:rPr>
          <w:rFonts w:ascii="Arial" w:eastAsia="Arial" w:hAnsi="Arial" w:cs="Arial"/>
          <w:i/>
          <w:sz w:val="24"/>
          <w:szCs w:val="24"/>
          <w:lang w:val="en-US"/>
        </w:rPr>
        <w:t xml:space="preserve"> Information Management Systems</w:t>
      </w:r>
      <w:r w:rsidRPr="7E5DDB8A">
        <w:rPr>
          <w:rFonts w:ascii="Arial" w:eastAsia="Arial" w:hAnsi="Arial" w:cs="Arial"/>
          <w:sz w:val="24"/>
          <w:szCs w:val="24"/>
          <w:lang w:val="en-US"/>
        </w:rPr>
        <w:t xml:space="preserve">, </w:t>
      </w:r>
      <w:r w:rsidRPr="21EFA6BE">
        <w:rPr>
          <w:rFonts w:ascii="Arial" w:eastAsia="Arial" w:hAnsi="Arial" w:cs="Arial"/>
          <w:sz w:val="24"/>
          <w:szCs w:val="24"/>
          <w:lang w:val="en-US"/>
        </w:rPr>
        <w:t xml:space="preserve">London: Springer. </w:t>
      </w:r>
    </w:p>
    <w:p w14:paraId="0000004D" w14:textId="77777777" w:rsidR="00425EF8" w:rsidRDefault="006E2DD6">
      <w:pPr>
        <w:spacing w:before="240" w:after="240"/>
        <w:jc w:val="both"/>
        <w:rPr>
          <w:rFonts w:ascii="Arial" w:eastAsia="Arial" w:hAnsi="Arial" w:cs="Arial"/>
          <w:sz w:val="24"/>
          <w:szCs w:val="24"/>
          <w:lang w:val="en-US"/>
        </w:rPr>
      </w:pPr>
      <w:r w:rsidRPr="21EFA6BE">
        <w:rPr>
          <w:rFonts w:ascii="Arial" w:eastAsia="Arial" w:hAnsi="Arial" w:cs="Arial"/>
          <w:sz w:val="24"/>
          <w:szCs w:val="24"/>
          <w:lang w:val="en-US"/>
        </w:rPr>
        <w:t xml:space="preserve">Wright, A., Mattacola, E., Burgess, L., Smith, </w:t>
      </w:r>
      <w:bookmarkStart w:id="34" w:name="_Int_XLjGgesl"/>
      <w:r w:rsidRPr="21EFA6BE">
        <w:rPr>
          <w:rFonts w:ascii="Arial" w:eastAsia="Arial" w:hAnsi="Arial" w:cs="Arial"/>
          <w:sz w:val="24"/>
          <w:szCs w:val="24"/>
          <w:lang w:val="en-US"/>
        </w:rPr>
        <w:t>L.</w:t>
      </w:r>
      <w:bookmarkEnd w:id="34"/>
      <w:r w:rsidRPr="21EFA6BE">
        <w:rPr>
          <w:rFonts w:ascii="Arial" w:eastAsia="Arial" w:hAnsi="Arial" w:cs="Arial"/>
          <w:sz w:val="24"/>
          <w:szCs w:val="24"/>
          <w:lang w:val="en-US"/>
        </w:rPr>
        <w:t xml:space="preserve"> and Finlay, K. (2022) ‘The impact of flash glucose monitoring on the clinical practice of healthcare professionals working in diabetes care,’ </w:t>
      </w:r>
      <w:r w:rsidRPr="21EFA6BE">
        <w:rPr>
          <w:rFonts w:ascii="Arial" w:eastAsia="Arial" w:hAnsi="Arial" w:cs="Arial"/>
          <w:i/>
          <w:sz w:val="24"/>
          <w:szCs w:val="24"/>
          <w:lang w:val="en-US"/>
        </w:rPr>
        <w:t>Diabetes Research and Clinical Practice</w:t>
      </w:r>
      <w:r w:rsidRPr="21EFA6BE">
        <w:rPr>
          <w:rFonts w:ascii="Arial" w:eastAsia="Arial" w:hAnsi="Arial" w:cs="Arial"/>
          <w:sz w:val="24"/>
          <w:szCs w:val="24"/>
          <w:lang w:val="en-US"/>
        </w:rPr>
        <w:t xml:space="preserve">, </w:t>
      </w:r>
      <w:r w:rsidRPr="21EFA6BE">
        <w:rPr>
          <w:rFonts w:ascii="Arial" w:eastAsia="Arial" w:hAnsi="Arial" w:cs="Arial"/>
          <w:i/>
          <w:sz w:val="24"/>
          <w:szCs w:val="24"/>
          <w:lang w:val="en-US"/>
        </w:rPr>
        <w:t>183</w:t>
      </w:r>
      <w:r w:rsidRPr="21EFA6BE">
        <w:rPr>
          <w:rFonts w:ascii="Arial" w:eastAsia="Arial" w:hAnsi="Arial" w:cs="Arial"/>
          <w:sz w:val="24"/>
          <w:szCs w:val="24"/>
          <w:lang w:val="en-US"/>
        </w:rPr>
        <w:t>, 109157. https://doi.org/10.1016/j.diabres.2021.109157</w:t>
      </w:r>
    </w:p>
    <w:sectPr w:rsidR="00425EF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EA0C8" w14:textId="77777777" w:rsidR="006E2DD6" w:rsidRDefault="006E2DD6" w:rsidP="00147DCF">
      <w:pPr>
        <w:spacing w:after="0" w:line="240" w:lineRule="auto"/>
      </w:pPr>
      <w:r>
        <w:separator/>
      </w:r>
    </w:p>
  </w:endnote>
  <w:endnote w:type="continuationSeparator" w:id="0">
    <w:p w14:paraId="4054BA7F" w14:textId="77777777" w:rsidR="006E2DD6" w:rsidRDefault="006E2DD6" w:rsidP="00147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7A491CC0-73F6-432A-80AB-43EDE1AB3F82}"/>
    <w:embedBold r:id="rId2" w:fontKey="{FB131011-520B-47C2-A47B-CD46FBD3FE8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7A0D57B6-FEE4-46E1-883F-208881FE7138}"/>
  </w:font>
  <w:font w:name="Cambria">
    <w:panose1 w:val="02040503050406030204"/>
    <w:charset w:val="00"/>
    <w:family w:val="roman"/>
    <w:pitch w:val="variable"/>
    <w:sig w:usb0="E00006FF" w:usb1="420024FF" w:usb2="02000000" w:usb3="00000000" w:csb0="0000019F" w:csb1="00000000"/>
    <w:embedRegular r:id="rId4" w:fontKey="{048D6B45-93D5-4F1C-BCDA-F7C97DDB5485}"/>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38546" w14:textId="77777777" w:rsidR="006E2DD6" w:rsidRDefault="006E2DD6" w:rsidP="00147DCF">
      <w:pPr>
        <w:spacing w:after="0" w:line="240" w:lineRule="auto"/>
      </w:pPr>
      <w:r>
        <w:separator/>
      </w:r>
    </w:p>
  </w:footnote>
  <w:footnote w:type="continuationSeparator" w:id="0">
    <w:p w14:paraId="53B3B87F" w14:textId="77777777" w:rsidR="006E2DD6" w:rsidRDefault="006E2DD6" w:rsidP="00147D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5EF8"/>
    <w:rsid w:val="00001613"/>
    <w:rsid w:val="0002156F"/>
    <w:rsid w:val="000219A2"/>
    <w:rsid w:val="000379ED"/>
    <w:rsid w:val="00041AAC"/>
    <w:rsid w:val="000477AE"/>
    <w:rsid w:val="00050BE0"/>
    <w:rsid w:val="00056C1A"/>
    <w:rsid w:val="00077D0C"/>
    <w:rsid w:val="00090987"/>
    <w:rsid w:val="00097AA9"/>
    <w:rsid w:val="000B54CD"/>
    <w:rsid w:val="000B5687"/>
    <w:rsid w:val="000B5AA3"/>
    <w:rsid w:val="000C7E62"/>
    <w:rsid w:val="000D191F"/>
    <w:rsid w:val="000E2415"/>
    <w:rsid w:val="000E3313"/>
    <w:rsid w:val="000E7151"/>
    <w:rsid w:val="000F0BBC"/>
    <w:rsid w:val="000F0C89"/>
    <w:rsid w:val="000F68A9"/>
    <w:rsid w:val="00106953"/>
    <w:rsid w:val="00110E51"/>
    <w:rsid w:val="00125774"/>
    <w:rsid w:val="00133A69"/>
    <w:rsid w:val="00136B3D"/>
    <w:rsid w:val="001375DA"/>
    <w:rsid w:val="00140A00"/>
    <w:rsid w:val="00141434"/>
    <w:rsid w:val="00147DCF"/>
    <w:rsid w:val="0015059B"/>
    <w:rsid w:val="001575EF"/>
    <w:rsid w:val="001641C3"/>
    <w:rsid w:val="0016697F"/>
    <w:rsid w:val="00167FB7"/>
    <w:rsid w:val="00170734"/>
    <w:rsid w:val="0017393E"/>
    <w:rsid w:val="00191059"/>
    <w:rsid w:val="00193E3D"/>
    <w:rsid w:val="001A03D9"/>
    <w:rsid w:val="001A4C50"/>
    <w:rsid w:val="001B23A3"/>
    <w:rsid w:val="001D059E"/>
    <w:rsid w:val="001D5A07"/>
    <w:rsid w:val="001E0691"/>
    <w:rsid w:val="001E47B1"/>
    <w:rsid w:val="001E6432"/>
    <w:rsid w:val="001F2643"/>
    <w:rsid w:val="001F2728"/>
    <w:rsid w:val="001F2F7B"/>
    <w:rsid w:val="00202B4F"/>
    <w:rsid w:val="00207041"/>
    <w:rsid w:val="002133C5"/>
    <w:rsid w:val="002158F7"/>
    <w:rsid w:val="00217677"/>
    <w:rsid w:val="002220E1"/>
    <w:rsid w:val="00226099"/>
    <w:rsid w:val="002261EB"/>
    <w:rsid w:val="00226B6F"/>
    <w:rsid w:val="00231E2D"/>
    <w:rsid w:val="00242C9E"/>
    <w:rsid w:val="00257B0A"/>
    <w:rsid w:val="002608B6"/>
    <w:rsid w:val="00260AF2"/>
    <w:rsid w:val="00263AE2"/>
    <w:rsid w:val="002651A1"/>
    <w:rsid w:val="0026542C"/>
    <w:rsid w:val="0028770D"/>
    <w:rsid w:val="00293FAC"/>
    <w:rsid w:val="002A5726"/>
    <w:rsid w:val="002B0F90"/>
    <w:rsid w:val="002B348E"/>
    <w:rsid w:val="002C585A"/>
    <w:rsid w:val="002D45EF"/>
    <w:rsid w:val="002E3C44"/>
    <w:rsid w:val="002E418C"/>
    <w:rsid w:val="002E5001"/>
    <w:rsid w:val="002E67C2"/>
    <w:rsid w:val="002E7A11"/>
    <w:rsid w:val="002F1F8C"/>
    <w:rsid w:val="002F2E15"/>
    <w:rsid w:val="002F66D8"/>
    <w:rsid w:val="00300CA0"/>
    <w:rsid w:val="003067D4"/>
    <w:rsid w:val="00306E81"/>
    <w:rsid w:val="003127AE"/>
    <w:rsid w:val="00314487"/>
    <w:rsid w:val="0032115D"/>
    <w:rsid w:val="003469F0"/>
    <w:rsid w:val="00363449"/>
    <w:rsid w:val="0036477D"/>
    <w:rsid w:val="0038120B"/>
    <w:rsid w:val="00381634"/>
    <w:rsid w:val="003838C8"/>
    <w:rsid w:val="00384E23"/>
    <w:rsid w:val="00392502"/>
    <w:rsid w:val="0039501C"/>
    <w:rsid w:val="003A3886"/>
    <w:rsid w:val="003A58AA"/>
    <w:rsid w:val="003A6B0B"/>
    <w:rsid w:val="003C212C"/>
    <w:rsid w:val="003C4090"/>
    <w:rsid w:val="003D0EBB"/>
    <w:rsid w:val="003D2BCE"/>
    <w:rsid w:val="003D4898"/>
    <w:rsid w:val="003E4893"/>
    <w:rsid w:val="003F106D"/>
    <w:rsid w:val="003F2AB9"/>
    <w:rsid w:val="003F76CF"/>
    <w:rsid w:val="00402659"/>
    <w:rsid w:val="004111CA"/>
    <w:rsid w:val="004159C8"/>
    <w:rsid w:val="004179D7"/>
    <w:rsid w:val="00425EF8"/>
    <w:rsid w:val="004308AD"/>
    <w:rsid w:val="00432DD7"/>
    <w:rsid w:val="00434D72"/>
    <w:rsid w:val="00451470"/>
    <w:rsid w:val="00451594"/>
    <w:rsid w:val="00451653"/>
    <w:rsid w:val="004577DE"/>
    <w:rsid w:val="00471E82"/>
    <w:rsid w:val="004749F9"/>
    <w:rsid w:val="00474D26"/>
    <w:rsid w:val="00483C57"/>
    <w:rsid w:val="004859F5"/>
    <w:rsid w:val="004A1893"/>
    <w:rsid w:val="004A2DA6"/>
    <w:rsid w:val="004A34F4"/>
    <w:rsid w:val="004A7274"/>
    <w:rsid w:val="004A7638"/>
    <w:rsid w:val="004B50AD"/>
    <w:rsid w:val="004B563A"/>
    <w:rsid w:val="004C0982"/>
    <w:rsid w:val="004D3F83"/>
    <w:rsid w:val="004D6C58"/>
    <w:rsid w:val="004D7682"/>
    <w:rsid w:val="004F0A98"/>
    <w:rsid w:val="004F1016"/>
    <w:rsid w:val="004F273C"/>
    <w:rsid w:val="004F3A92"/>
    <w:rsid w:val="00503EE9"/>
    <w:rsid w:val="00515FBC"/>
    <w:rsid w:val="00517011"/>
    <w:rsid w:val="00517087"/>
    <w:rsid w:val="005202EF"/>
    <w:rsid w:val="00520FFE"/>
    <w:rsid w:val="0052589E"/>
    <w:rsid w:val="00540C97"/>
    <w:rsid w:val="00543FEE"/>
    <w:rsid w:val="00546A32"/>
    <w:rsid w:val="00564D4E"/>
    <w:rsid w:val="00574B01"/>
    <w:rsid w:val="00584128"/>
    <w:rsid w:val="00587B64"/>
    <w:rsid w:val="005A20A1"/>
    <w:rsid w:val="005A5036"/>
    <w:rsid w:val="005A5AA2"/>
    <w:rsid w:val="005A75BC"/>
    <w:rsid w:val="005B315F"/>
    <w:rsid w:val="005C48BE"/>
    <w:rsid w:val="005C4A60"/>
    <w:rsid w:val="005C64B5"/>
    <w:rsid w:val="005D7044"/>
    <w:rsid w:val="005D7C78"/>
    <w:rsid w:val="005D7D70"/>
    <w:rsid w:val="005D7DB8"/>
    <w:rsid w:val="005E3956"/>
    <w:rsid w:val="005E59A6"/>
    <w:rsid w:val="005E7A49"/>
    <w:rsid w:val="005F30CB"/>
    <w:rsid w:val="005F488B"/>
    <w:rsid w:val="005F605C"/>
    <w:rsid w:val="005F62F3"/>
    <w:rsid w:val="00604320"/>
    <w:rsid w:val="00606342"/>
    <w:rsid w:val="0061467D"/>
    <w:rsid w:val="00615A6F"/>
    <w:rsid w:val="00617080"/>
    <w:rsid w:val="00620BF6"/>
    <w:rsid w:val="006242AA"/>
    <w:rsid w:val="00624688"/>
    <w:rsid w:val="00624AB1"/>
    <w:rsid w:val="006270F7"/>
    <w:rsid w:val="00627181"/>
    <w:rsid w:val="006338D1"/>
    <w:rsid w:val="00634A04"/>
    <w:rsid w:val="00635EB7"/>
    <w:rsid w:val="00637A5C"/>
    <w:rsid w:val="00641E8A"/>
    <w:rsid w:val="00645EFD"/>
    <w:rsid w:val="006609C6"/>
    <w:rsid w:val="006665E4"/>
    <w:rsid w:val="00671A40"/>
    <w:rsid w:val="00671F65"/>
    <w:rsid w:val="00677650"/>
    <w:rsid w:val="0067778E"/>
    <w:rsid w:val="006811DA"/>
    <w:rsid w:val="00681BDA"/>
    <w:rsid w:val="0068301F"/>
    <w:rsid w:val="006836F2"/>
    <w:rsid w:val="00683835"/>
    <w:rsid w:val="00683876"/>
    <w:rsid w:val="006858FA"/>
    <w:rsid w:val="006926FF"/>
    <w:rsid w:val="006B474B"/>
    <w:rsid w:val="006C222A"/>
    <w:rsid w:val="006C412E"/>
    <w:rsid w:val="006D68F3"/>
    <w:rsid w:val="006D696F"/>
    <w:rsid w:val="006D6FE1"/>
    <w:rsid w:val="006E2DD6"/>
    <w:rsid w:val="006F10A5"/>
    <w:rsid w:val="006F2AF3"/>
    <w:rsid w:val="006F4271"/>
    <w:rsid w:val="007036E5"/>
    <w:rsid w:val="00706B82"/>
    <w:rsid w:val="00711442"/>
    <w:rsid w:val="007145CA"/>
    <w:rsid w:val="00716E25"/>
    <w:rsid w:val="00720582"/>
    <w:rsid w:val="007206D9"/>
    <w:rsid w:val="00720A0B"/>
    <w:rsid w:val="00722F31"/>
    <w:rsid w:val="00724305"/>
    <w:rsid w:val="00724F19"/>
    <w:rsid w:val="00725582"/>
    <w:rsid w:val="00725A4C"/>
    <w:rsid w:val="00726439"/>
    <w:rsid w:val="00727BC8"/>
    <w:rsid w:val="0073472C"/>
    <w:rsid w:val="00734E5A"/>
    <w:rsid w:val="00737536"/>
    <w:rsid w:val="00741FDE"/>
    <w:rsid w:val="007465BC"/>
    <w:rsid w:val="007467F3"/>
    <w:rsid w:val="0076086D"/>
    <w:rsid w:val="00762BE2"/>
    <w:rsid w:val="00762EBE"/>
    <w:rsid w:val="00763AA2"/>
    <w:rsid w:val="00765F9F"/>
    <w:rsid w:val="00766539"/>
    <w:rsid w:val="00771FDA"/>
    <w:rsid w:val="00775404"/>
    <w:rsid w:val="00782779"/>
    <w:rsid w:val="00783112"/>
    <w:rsid w:val="00791EB0"/>
    <w:rsid w:val="007A35B7"/>
    <w:rsid w:val="007A75FA"/>
    <w:rsid w:val="007B0FA9"/>
    <w:rsid w:val="007B3217"/>
    <w:rsid w:val="007B74E5"/>
    <w:rsid w:val="007C1DFC"/>
    <w:rsid w:val="007C4EA1"/>
    <w:rsid w:val="007C70B7"/>
    <w:rsid w:val="007D2FBE"/>
    <w:rsid w:val="007D3758"/>
    <w:rsid w:val="007D4605"/>
    <w:rsid w:val="007E1500"/>
    <w:rsid w:val="007E1E1A"/>
    <w:rsid w:val="007E9BB7"/>
    <w:rsid w:val="007F0446"/>
    <w:rsid w:val="007F187D"/>
    <w:rsid w:val="007F36F2"/>
    <w:rsid w:val="007F48E5"/>
    <w:rsid w:val="00807581"/>
    <w:rsid w:val="00812182"/>
    <w:rsid w:val="00815AC6"/>
    <w:rsid w:val="00825057"/>
    <w:rsid w:val="008321F4"/>
    <w:rsid w:val="0083477F"/>
    <w:rsid w:val="008354B5"/>
    <w:rsid w:val="00842BDA"/>
    <w:rsid w:val="008453CC"/>
    <w:rsid w:val="0086201E"/>
    <w:rsid w:val="00862CB1"/>
    <w:rsid w:val="008667D2"/>
    <w:rsid w:val="00871FAD"/>
    <w:rsid w:val="0087441C"/>
    <w:rsid w:val="00874A61"/>
    <w:rsid w:val="008870EF"/>
    <w:rsid w:val="008A66D9"/>
    <w:rsid w:val="008C19CB"/>
    <w:rsid w:val="008C5FB3"/>
    <w:rsid w:val="008C5FD1"/>
    <w:rsid w:val="008E47A7"/>
    <w:rsid w:val="008E5196"/>
    <w:rsid w:val="008F6FBC"/>
    <w:rsid w:val="009022F0"/>
    <w:rsid w:val="00904492"/>
    <w:rsid w:val="00914190"/>
    <w:rsid w:val="009177ED"/>
    <w:rsid w:val="00926875"/>
    <w:rsid w:val="00932E68"/>
    <w:rsid w:val="00935EA8"/>
    <w:rsid w:val="00936A03"/>
    <w:rsid w:val="00940FA9"/>
    <w:rsid w:val="00953566"/>
    <w:rsid w:val="009542FD"/>
    <w:rsid w:val="009543A6"/>
    <w:rsid w:val="009565A7"/>
    <w:rsid w:val="00962E80"/>
    <w:rsid w:val="00964BDB"/>
    <w:rsid w:val="0096651E"/>
    <w:rsid w:val="0096719E"/>
    <w:rsid w:val="00972935"/>
    <w:rsid w:val="009729C2"/>
    <w:rsid w:val="009806F8"/>
    <w:rsid w:val="00985708"/>
    <w:rsid w:val="009905E3"/>
    <w:rsid w:val="0099142E"/>
    <w:rsid w:val="00993895"/>
    <w:rsid w:val="009A3F5A"/>
    <w:rsid w:val="009B16F2"/>
    <w:rsid w:val="009B6ADE"/>
    <w:rsid w:val="009B7269"/>
    <w:rsid w:val="009C2712"/>
    <w:rsid w:val="009E2093"/>
    <w:rsid w:val="009E3588"/>
    <w:rsid w:val="009F0613"/>
    <w:rsid w:val="009F4D65"/>
    <w:rsid w:val="00A037C2"/>
    <w:rsid w:val="00A0676D"/>
    <w:rsid w:val="00A11929"/>
    <w:rsid w:val="00A16F5A"/>
    <w:rsid w:val="00A20BD4"/>
    <w:rsid w:val="00A25A3A"/>
    <w:rsid w:val="00A26865"/>
    <w:rsid w:val="00A348F9"/>
    <w:rsid w:val="00A40421"/>
    <w:rsid w:val="00A4161F"/>
    <w:rsid w:val="00A421EA"/>
    <w:rsid w:val="00A504A2"/>
    <w:rsid w:val="00A52DF7"/>
    <w:rsid w:val="00A57B47"/>
    <w:rsid w:val="00A67579"/>
    <w:rsid w:val="00A74444"/>
    <w:rsid w:val="00A7569C"/>
    <w:rsid w:val="00A77A84"/>
    <w:rsid w:val="00A803BE"/>
    <w:rsid w:val="00A821CF"/>
    <w:rsid w:val="00A93FAC"/>
    <w:rsid w:val="00AA003A"/>
    <w:rsid w:val="00AA39E5"/>
    <w:rsid w:val="00AA6DA8"/>
    <w:rsid w:val="00AB4BEC"/>
    <w:rsid w:val="00AC1E16"/>
    <w:rsid w:val="00AC4CEB"/>
    <w:rsid w:val="00AC501F"/>
    <w:rsid w:val="00AD1A90"/>
    <w:rsid w:val="00AD3B1B"/>
    <w:rsid w:val="00AD4E7F"/>
    <w:rsid w:val="00AD636F"/>
    <w:rsid w:val="00AD6EAF"/>
    <w:rsid w:val="00AE0B07"/>
    <w:rsid w:val="00AE4DA0"/>
    <w:rsid w:val="00AE5001"/>
    <w:rsid w:val="00AE5F4B"/>
    <w:rsid w:val="00B15C33"/>
    <w:rsid w:val="00B20C67"/>
    <w:rsid w:val="00B27509"/>
    <w:rsid w:val="00B30D3C"/>
    <w:rsid w:val="00B60C5C"/>
    <w:rsid w:val="00B61107"/>
    <w:rsid w:val="00B635C3"/>
    <w:rsid w:val="00B654E9"/>
    <w:rsid w:val="00B66640"/>
    <w:rsid w:val="00B770AA"/>
    <w:rsid w:val="00B77CDC"/>
    <w:rsid w:val="00B92C79"/>
    <w:rsid w:val="00BA15BA"/>
    <w:rsid w:val="00BB1647"/>
    <w:rsid w:val="00BB2612"/>
    <w:rsid w:val="00BB3AFA"/>
    <w:rsid w:val="00BC6615"/>
    <w:rsid w:val="00BD0491"/>
    <w:rsid w:val="00BD709E"/>
    <w:rsid w:val="00BF0051"/>
    <w:rsid w:val="00BF0AEF"/>
    <w:rsid w:val="00BF33AC"/>
    <w:rsid w:val="00BF5874"/>
    <w:rsid w:val="00C0349B"/>
    <w:rsid w:val="00C040CE"/>
    <w:rsid w:val="00C11A61"/>
    <w:rsid w:val="00C3007C"/>
    <w:rsid w:val="00C32215"/>
    <w:rsid w:val="00C44F3B"/>
    <w:rsid w:val="00C4606D"/>
    <w:rsid w:val="00C525BD"/>
    <w:rsid w:val="00C62F84"/>
    <w:rsid w:val="00C63F8E"/>
    <w:rsid w:val="00C65870"/>
    <w:rsid w:val="00C661F4"/>
    <w:rsid w:val="00C76EC9"/>
    <w:rsid w:val="00C83BFD"/>
    <w:rsid w:val="00C83D41"/>
    <w:rsid w:val="00CA39A6"/>
    <w:rsid w:val="00CA5EA0"/>
    <w:rsid w:val="00CA7417"/>
    <w:rsid w:val="00CB27C8"/>
    <w:rsid w:val="00CB737B"/>
    <w:rsid w:val="00CC1704"/>
    <w:rsid w:val="00CC343D"/>
    <w:rsid w:val="00CD0226"/>
    <w:rsid w:val="00CD315E"/>
    <w:rsid w:val="00CE04B6"/>
    <w:rsid w:val="00CE2338"/>
    <w:rsid w:val="00CF25DE"/>
    <w:rsid w:val="00D073F0"/>
    <w:rsid w:val="00D127C4"/>
    <w:rsid w:val="00D1296F"/>
    <w:rsid w:val="00D12DD8"/>
    <w:rsid w:val="00D140C9"/>
    <w:rsid w:val="00D172DC"/>
    <w:rsid w:val="00D261A5"/>
    <w:rsid w:val="00D332AC"/>
    <w:rsid w:val="00D35F21"/>
    <w:rsid w:val="00D36BF3"/>
    <w:rsid w:val="00D37F25"/>
    <w:rsid w:val="00D40025"/>
    <w:rsid w:val="00D50D5C"/>
    <w:rsid w:val="00D64A8A"/>
    <w:rsid w:val="00D6696E"/>
    <w:rsid w:val="00D675FB"/>
    <w:rsid w:val="00D7043F"/>
    <w:rsid w:val="00D875B5"/>
    <w:rsid w:val="00DA161E"/>
    <w:rsid w:val="00DA5EDB"/>
    <w:rsid w:val="00DA7035"/>
    <w:rsid w:val="00DB1FFE"/>
    <w:rsid w:val="00DB4BBE"/>
    <w:rsid w:val="00DD14DC"/>
    <w:rsid w:val="00DD538B"/>
    <w:rsid w:val="00DD7BFE"/>
    <w:rsid w:val="00DE1D9D"/>
    <w:rsid w:val="00DE5CC3"/>
    <w:rsid w:val="00E05404"/>
    <w:rsid w:val="00E06E34"/>
    <w:rsid w:val="00E07D48"/>
    <w:rsid w:val="00E10A93"/>
    <w:rsid w:val="00E216CE"/>
    <w:rsid w:val="00E26E1B"/>
    <w:rsid w:val="00E3150C"/>
    <w:rsid w:val="00E45DEB"/>
    <w:rsid w:val="00E47E0A"/>
    <w:rsid w:val="00E60082"/>
    <w:rsid w:val="00E603D2"/>
    <w:rsid w:val="00E61960"/>
    <w:rsid w:val="00E635D8"/>
    <w:rsid w:val="00E67C24"/>
    <w:rsid w:val="00E72191"/>
    <w:rsid w:val="00E800EE"/>
    <w:rsid w:val="00E82A81"/>
    <w:rsid w:val="00E84BCD"/>
    <w:rsid w:val="00E85C33"/>
    <w:rsid w:val="00EB3441"/>
    <w:rsid w:val="00EB36DC"/>
    <w:rsid w:val="00EB5F20"/>
    <w:rsid w:val="00EC1366"/>
    <w:rsid w:val="00EC5562"/>
    <w:rsid w:val="00EC5FAA"/>
    <w:rsid w:val="00EC6DBA"/>
    <w:rsid w:val="00ED15DD"/>
    <w:rsid w:val="00EE1F62"/>
    <w:rsid w:val="00EE1FEC"/>
    <w:rsid w:val="00EE4AD2"/>
    <w:rsid w:val="00EF26E1"/>
    <w:rsid w:val="00EF7991"/>
    <w:rsid w:val="00F01632"/>
    <w:rsid w:val="00F0519D"/>
    <w:rsid w:val="00F05FF6"/>
    <w:rsid w:val="00F11F76"/>
    <w:rsid w:val="00F12034"/>
    <w:rsid w:val="00F35101"/>
    <w:rsid w:val="00F41B67"/>
    <w:rsid w:val="00F4244F"/>
    <w:rsid w:val="00F559DF"/>
    <w:rsid w:val="00F6679C"/>
    <w:rsid w:val="00F808C1"/>
    <w:rsid w:val="00F82D22"/>
    <w:rsid w:val="00F834C5"/>
    <w:rsid w:val="00F85D94"/>
    <w:rsid w:val="00F86F25"/>
    <w:rsid w:val="00F87C42"/>
    <w:rsid w:val="00FA3492"/>
    <w:rsid w:val="00FC50D3"/>
    <w:rsid w:val="00FD5247"/>
    <w:rsid w:val="00FD530D"/>
    <w:rsid w:val="00FD7683"/>
    <w:rsid w:val="00FF2D33"/>
    <w:rsid w:val="0149CF1F"/>
    <w:rsid w:val="0168A868"/>
    <w:rsid w:val="024CEAD6"/>
    <w:rsid w:val="025D0D0B"/>
    <w:rsid w:val="02C8C911"/>
    <w:rsid w:val="02DD570A"/>
    <w:rsid w:val="03A399A3"/>
    <w:rsid w:val="04F9B139"/>
    <w:rsid w:val="0514EFF9"/>
    <w:rsid w:val="055E81C3"/>
    <w:rsid w:val="0582619D"/>
    <w:rsid w:val="0703AE33"/>
    <w:rsid w:val="0777C00D"/>
    <w:rsid w:val="07BFDCE5"/>
    <w:rsid w:val="080FA58C"/>
    <w:rsid w:val="08187D8E"/>
    <w:rsid w:val="086B0C25"/>
    <w:rsid w:val="0872F4B8"/>
    <w:rsid w:val="08E565BE"/>
    <w:rsid w:val="09BF9EAE"/>
    <w:rsid w:val="0A03F60D"/>
    <w:rsid w:val="0AECFEEC"/>
    <w:rsid w:val="0C356989"/>
    <w:rsid w:val="0C56A642"/>
    <w:rsid w:val="0C8F0D34"/>
    <w:rsid w:val="0CF6532A"/>
    <w:rsid w:val="0D23A057"/>
    <w:rsid w:val="0DF67AB5"/>
    <w:rsid w:val="0DFBA02A"/>
    <w:rsid w:val="0FC8284A"/>
    <w:rsid w:val="106EAFBB"/>
    <w:rsid w:val="10BAF5C7"/>
    <w:rsid w:val="1143CF99"/>
    <w:rsid w:val="11A3BBD8"/>
    <w:rsid w:val="127CE230"/>
    <w:rsid w:val="132EF5B3"/>
    <w:rsid w:val="138C914E"/>
    <w:rsid w:val="13CF587E"/>
    <w:rsid w:val="1579B087"/>
    <w:rsid w:val="15CC110B"/>
    <w:rsid w:val="16690292"/>
    <w:rsid w:val="178295FD"/>
    <w:rsid w:val="178C2AFA"/>
    <w:rsid w:val="17C24D97"/>
    <w:rsid w:val="1BABE48E"/>
    <w:rsid w:val="1BDE49E1"/>
    <w:rsid w:val="1C1DD1D4"/>
    <w:rsid w:val="1C71DB9B"/>
    <w:rsid w:val="1DBB5ADB"/>
    <w:rsid w:val="1E2E4EFA"/>
    <w:rsid w:val="1E3A9A93"/>
    <w:rsid w:val="1EE5F381"/>
    <w:rsid w:val="1F78BD73"/>
    <w:rsid w:val="2009F90F"/>
    <w:rsid w:val="20445909"/>
    <w:rsid w:val="2067284D"/>
    <w:rsid w:val="208BA8B3"/>
    <w:rsid w:val="20D0A4F2"/>
    <w:rsid w:val="20D3D9CF"/>
    <w:rsid w:val="21058BCA"/>
    <w:rsid w:val="215CCA1B"/>
    <w:rsid w:val="2180EDCF"/>
    <w:rsid w:val="21D9FF50"/>
    <w:rsid w:val="21EFA6BE"/>
    <w:rsid w:val="21FE3962"/>
    <w:rsid w:val="222C62A4"/>
    <w:rsid w:val="227CA399"/>
    <w:rsid w:val="22A7CA7D"/>
    <w:rsid w:val="23171C23"/>
    <w:rsid w:val="2343C6AC"/>
    <w:rsid w:val="23D7FE87"/>
    <w:rsid w:val="2432DBDE"/>
    <w:rsid w:val="243A3A0A"/>
    <w:rsid w:val="24471E50"/>
    <w:rsid w:val="25337D21"/>
    <w:rsid w:val="2547883B"/>
    <w:rsid w:val="25A9FC61"/>
    <w:rsid w:val="25D6CBB5"/>
    <w:rsid w:val="25DB8127"/>
    <w:rsid w:val="26B01920"/>
    <w:rsid w:val="26FA0F8D"/>
    <w:rsid w:val="27215B1C"/>
    <w:rsid w:val="274D2CEE"/>
    <w:rsid w:val="27B7F729"/>
    <w:rsid w:val="28664CE4"/>
    <w:rsid w:val="2903A0B1"/>
    <w:rsid w:val="2A0C8840"/>
    <w:rsid w:val="2A6FB8C2"/>
    <w:rsid w:val="2A73521E"/>
    <w:rsid w:val="2A760932"/>
    <w:rsid w:val="2ADA44C6"/>
    <w:rsid w:val="2AFB760B"/>
    <w:rsid w:val="2B6D037F"/>
    <w:rsid w:val="2CDAC586"/>
    <w:rsid w:val="2E0BD690"/>
    <w:rsid w:val="2EFA8F77"/>
    <w:rsid w:val="31048F04"/>
    <w:rsid w:val="31216E83"/>
    <w:rsid w:val="317A38FA"/>
    <w:rsid w:val="3213A612"/>
    <w:rsid w:val="334C23B3"/>
    <w:rsid w:val="338BBCE6"/>
    <w:rsid w:val="338F3751"/>
    <w:rsid w:val="339DDDBF"/>
    <w:rsid w:val="33BADFFC"/>
    <w:rsid w:val="343CFACD"/>
    <w:rsid w:val="349EDDDF"/>
    <w:rsid w:val="34B6536B"/>
    <w:rsid w:val="350F968D"/>
    <w:rsid w:val="35D22D35"/>
    <w:rsid w:val="35EAEA90"/>
    <w:rsid w:val="35F34A16"/>
    <w:rsid w:val="361E60EF"/>
    <w:rsid w:val="364D3608"/>
    <w:rsid w:val="36590294"/>
    <w:rsid w:val="36CF9CB7"/>
    <w:rsid w:val="377EC376"/>
    <w:rsid w:val="37893E59"/>
    <w:rsid w:val="37A0E88A"/>
    <w:rsid w:val="37BFEE91"/>
    <w:rsid w:val="37F0403E"/>
    <w:rsid w:val="382179E1"/>
    <w:rsid w:val="3831BF49"/>
    <w:rsid w:val="3876963E"/>
    <w:rsid w:val="3906E2ED"/>
    <w:rsid w:val="3974B72A"/>
    <w:rsid w:val="3985A76A"/>
    <w:rsid w:val="3AC89FCB"/>
    <w:rsid w:val="3AC9CBFE"/>
    <w:rsid w:val="3B35D2AE"/>
    <w:rsid w:val="3B7D2D35"/>
    <w:rsid w:val="3C1F4CA8"/>
    <w:rsid w:val="3CB86904"/>
    <w:rsid w:val="3D0D819F"/>
    <w:rsid w:val="3E109692"/>
    <w:rsid w:val="3FA6C722"/>
    <w:rsid w:val="3FB0E0B4"/>
    <w:rsid w:val="40382FDA"/>
    <w:rsid w:val="416EABA7"/>
    <w:rsid w:val="419CA304"/>
    <w:rsid w:val="41C87787"/>
    <w:rsid w:val="42B6A346"/>
    <w:rsid w:val="42C954E1"/>
    <w:rsid w:val="431537D3"/>
    <w:rsid w:val="432B8D6B"/>
    <w:rsid w:val="4360B263"/>
    <w:rsid w:val="436EFBE0"/>
    <w:rsid w:val="441339C3"/>
    <w:rsid w:val="44263453"/>
    <w:rsid w:val="45035DED"/>
    <w:rsid w:val="450424E6"/>
    <w:rsid w:val="453FE18F"/>
    <w:rsid w:val="456E1C9F"/>
    <w:rsid w:val="46063208"/>
    <w:rsid w:val="4656D839"/>
    <w:rsid w:val="466E18AD"/>
    <w:rsid w:val="47832BFE"/>
    <w:rsid w:val="47D5939B"/>
    <w:rsid w:val="482EC54F"/>
    <w:rsid w:val="48826A13"/>
    <w:rsid w:val="497B3928"/>
    <w:rsid w:val="4997E77F"/>
    <w:rsid w:val="49CAFBD0"/>
    <w:rsid w:val="4AB41D7D"/>
    <w:rsid w:val="4AFDD00F"/>
    <w:rsid w:val="4BA04634"/>
    <w:rsid w:val="4C0800A0"/>
    <w:rsid w:val="4C2CD8A9"/>
    <w:rsid w:val="4C920A5B"/>
    <w:rsid w:val="4D403A32"/>
    <w:rsid w:val="4D937528"/>
    <w:rsid w:val="4FB1A875"/>
    <w:rsid w:val="50DDF21C"/>
    <w:rsid w:val="50E7E1B1"/>
    <w:rsid w:val="50F7238A"/>
    <w:rsid w:val="51A85415"/>
    <w:rsid w:val="533FFDEC"/>
    <w:rsid w:val="53998EFD"/>
    <w:rsid w:val="53DB0E2A"/>
    <w:rsid w:val="53DF4598"/>
    <w:rsid w:val="53E15EF2"/>
    <w:rsid w:val="53FB6625"/>
    <w:rsid w:val="550C2BA3"/>
    <w:rsid w:val="552F50DF"/>
    <w:rsid w:val="554BBAC4"/>
    <w:rsid w:val="559D6320"/>
    <w:rsid w:val="55A5B855"/>
    <w:rsid w:val="5660D4A9"/>
    <w:rsid w:val="57C03BB6"/>
    <w:rsid w:val="581BF621"/>
    <w:rsid w:val="59808260"/>
    <w:rsid w:val="5A084E20"/>
    <w:rsid w:val="5ABA5949"/>
    <w:rsid w:val="5AE3AC7B"/>
    <w:rsid w:val="5B48631E"/>
    <w:rsid w:val="5B86867F"/>
    <w:rsid w:val="5BB2FE4C"/>
    <w:rsid w:val="5DA5656C"/>
    <w:rsid w:val="5E8DE9C7"/>
    <w:rsid w:val="6104F868"/>
    <w:rsid w:val="61627E8D"/>
    <w:rsid w:val="61D737BB"/>
    <w:rsid w:val="61E6DD55"/>
    <w:rsid w:val="61F743E8"/>
    <w:rsid w:val="622C3AB1"/>
    <w:rsid w:val="62489AAB"/>
    <w:rsid w:val="6266B5FB"/>
    <w:rsid w:val="62FF525E"/>
    <w:rsid w:val="639C683E"/>
    <w:rsid w:val="64EDAE87"/>
    <w:rsid w:val="6584C611"/>
    <w:rsid w:val="65C6EBC6"/>
    <w:rsid w:val="66A6EE2E"/>
    <w:rsid w:val="66AB696E"/>
    <w:rsid w:val="671FE960"/>
    <w:rsid w:val="67C53A08"/>
    <w:rsid w:val="68CF4E06"/>
    <w:rsid w:val="692E5064"/>
    <w:rsid w:val="6939D75B"/>
    <w:rsid w:val="6A8AB78B"/>
    <w:rsid w:val="6ACE41EC"/>
    <w:rsid w:val="6B6B501B"/>
    <w:rsid w:val="6B9DCEB3"/>
    <w:rsid w:val="6BAA51A1"/>
    <w:rsid w:val="6C5814C2"/>
    <w:rsid w:val="6C8E7E9B"/>
    <w:rsid w:val="6D562997"/>
    <w:rsid w:val="6E7150CA"/>
    <w:rsid w:val="6FB04B81"/>
    <w:rsid w:val="6FD47F37"/>
    <w:rsid w:val="701DB154"/>
    <w:rsid w:val="70B27AC7"/>
    <w:rsid w:val="71B42673"/>
    <w:rsid w:val="7209AC9A"/>
    <w:rsid w:val="72723160"/>
    <w:rsid w:val="72AF047A"/>
    <w:rsid w:val="73A39191"/>
    <w:rsid w:val="74317986"/>
    <w:rsid w:val="7469485D"/>
    <w:rsid w:val="747FE07C"/>
    <w:rsid w:val="74AC484E"/>
    <w:rsid w:val="74CA6681"/>
    <w:rsid w:val="74F66FD2"/>
    <w:rsid w:val="759D2728"/>
    <w:rsid w:val="778ABF6C"/>
    <w:rsid w:val="77B82C59"/>
    <w:rsid w:val="787494A2"/>
    <w:rsid w:val="795C2E5E"/>
    <w:rsid w:val="7984284F"/>
    <w:rsid w:val="79AB9835"/>
    <w:rsid w:val="7AF0B474"/>
    <w:rsid w:val="7B601660"/>
    <w:rsid w:val="7B9941DA"/>
    <w:rsid w:val="7D3A7506"/>
    <w:rsid w:val="7D4D31B2"/>
    <w:rsid w:val="7D520AA2"/>
    <w:rsid w:val="7E5DD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8AF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jc w:val="center"/>
      <w:outlineLvl w:val="0"/>
    </w:pPr>
    <w:rPr>
      <w:rFonts w:ascii="Arial" w:eastAsia="Arial" w:hAnsi="Arial" w:cs="Arial"/>
      <w:b/>
      <w:bCs/>
      <w:sz w:val="24"/>
      <w:szCs w:val="24"/>
    </w:rPr>
  </w:style>
  <w:style w:type="paragraph" w:styleId="Heading2">
    <w:name w:val="heading 2"/>
    <w:basedOn w:val="Normal"/>
    <w:next w:val="Normal"/>
    <w:uiPriority w:val="9"/>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Header">
    <w:name w:val="header"/>
    <w:basedOn w:val="Normal"/>
    <w:link w:val="HeaderChar"/>
    <w:uiPriority w:val="99"/>
    <w:unhideWhenUsed/>
    <w:rsid w:val="00147D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DCF"/>
  </w:style>
  <w:style w:type="paragraph" w:styleId="Footer">
    <w:name w:val="footer"/>
    <w:basedOn w:val="Normal"/>
    <w:link w:val="FooterChar"/>
    <w:uiPriority w:val="99"/>
    <w:unhideWhenUsed/>
    <w:rsid w:val="00147D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D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80/23311975.2024.2442550" TargetMode="External"/><Relationship Id="rId18" Type="http://schemas.openxmlformats.org/officeDocument/2006/relationships/hyperlink" Target="https://www.gov.uk/government/publications/data-saves-lives-reshaping-health-and-social-care-with-data" TargetMode="External"/><Relationship Id="rId26" Type="http://schemas.openxmlformats.org/officeDocument/2006/relationships/hyperlink" Target="https://doi.org/10.1186/s12911-023-02194-4" TargetMode="External"/><Relationship Id="rId39" Type="http://schemas.openxmlformats.org/officeDocument/2006/relationships/hyperlink" Target="https://www.nuffieldtrust.org.uk/resource/diabetes-care-for-adults" TargetMode="External"/><Relationship Id="rId21" Type="http://schemas.openxmlformats.org/officeDocument/2006/relationships/hyperlink" Target="https://link.springer.com/article/10.1007/s44337-025-00273-1" TargetMode="External"/><Relationship Id="rId34" Type="http://schemas.openxmlformats.org/officeDocument/2006/relationships/hyperlink" Target="https://www.longtermplan.nhs.uk" TargetMode="External"/><Relationship Id="rId42" Type="http://schemas.openxmlformats.org/officeDocument/2006/relationships/hyperlink" Target="https://www.diabetes.co.uk/news/2025/dec/700-injuries-and-7-deaths-linked-to-malfunctioning-glucose-monitors.html" TargetMode="External"/><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diabetes.org.uk/about-diabetes/looking-after-diabetes/technology/continuous-glucose-monitors" TargetMode="External"/><Relationship Id="rId29" Type="http://schemas.openxmlformats.org/officeDocument/2006/relationships/hyperlink" Target="https://www.health.org.uk/reports-and-analysis/analysis/attitudes-to-technology-and-ai-in-health-car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reestyle.abbott/uk-en/home.html?utm_source=google-ads&amp;utm_medium=search-branded&amp;utm_campaign=adc-dtc-libre-2&amp;gad_source=1&amp;gad_campaignid=756478445&amp;gbraid=0AAAAADdKbMTZ5YxZkftSkGeU_4eWJ4rOa&amp;gclid=Cj0KCQjwlerQBhDMARIsAB16H-V3FWoJPWufIlFvHCTy4i647naes7z463Qok9EbbsHyt7Yq8KT2nBkaAvH7EALw_wcB" TargetMode="External"/><Relationship Id="rId24" Type="http://schemas.openxmlformats.org/officeDocument/2006/relationships/hyperlink" Target="https://doi.org/10.1007/s13300-016-0223-6" TargetMode="External"/><Relationship Id="rId32" Type="http://schemas.openxmlformats.org/officeDocument/2006/relationships/hyperlink" Target="https://doi.org/10.1016/S0140-6736(21)00229-4" TargetMode="External"/><Relationship Id="rId37" Type="http://schemas.openxmlformats.org/officeDocument/2006/relationships/hyperlink" Target="https://www.nhs.uk/tests-and-treatments/cgm-and-hcl-for-diabetes/" TargetMode="External"/><Relationship Id="rId40" Type="http://schemas.openxmlformats.org/officeDocument/2006/relationships/hyperlink" Target="https://doi.org/10.1016/j.metop.2024.100282" TargetMode="External"/><Relationship Id="rId45" Type="http://schemas.openxmlformats.org/officeDocument/2006/relationships/hyperlink" Target="https://topol.hee.nhs.uk" TargetMode="External"/><Relationship Id="rId5" Type="http://schemas.openxmlformats.org/officeDocument/2006/relationships/styles" Target="styles.xml"/><Relationship Id="rId15" Type="http://schemas.openxmlformats.org/officeDocument/2006/relationships/hyperlink" Target="https://www.diabetes.org.uk/about-us/news-and-views/cgm-study-access-inequity-in-diabetes-tech" TargetMode="External"/><Relationship Id="rId23" Type="http://schemas.openxmlformats.org/officeDocument/2006/relationships/hyperlink" Target="https://doi.org/10.2196/jmir.8775" TargetMode="External"/><Relationship Id="rId28" Type="http://schemas.openxmlformats.org/officeDocument/2006/relationships/hyperlink" Target="https://www.health.org.uk" TargetMode="External"/><Relationship Id="rId36" Type="http://schemas.openxmlformats.org/officeDocument/2006/relationships/hyperlink" Target="https://www.england.nhs.uk" TargetMode="External"/><Relationship Id="rId10" Type="http://schemas.openxmlformats.org/officeDocument/2006/relationships/image" Target="media/image1.png"/><Relationship Id="rId19" Type="http://schemas.openxmlformats.org/officeDocument/2006/relationships/hyperlink" Target="https://doi.org/10.3389/fpubh.2023.942703" TargetMode="External"/><Relationship Id="rId31" Type="http://schemas.openxmlformats.org/officeDocument/2006/relationships/hyperlink" Target="https://ico.org.uk/for-organisations/uk-gdpr-guidance-and-resources/" TargetMode="External"/><Relationship Id="rId44" Type="http://schemas.openxmlformats.org/officeDocument/2006/relationships/hyperlink" Target="https://assets.kingsfund.org.uk/f/256914/x/06cea35128/digital_change_health_care_2018.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23311975.2024.2442550" TargetMode="External"/><Relationship Id="rId22" Type="http://schemas.openxmlformats.org/officeDocument/2006/relationships/hyperlink" Target="https://doi.org/10.2196/jmir.8775" TargetMode="External"/><Relationship Id="rId27" Type="http://schemas.openxmlformats.org/officeDocument/2006/relationships/hyperlink" Target="https://www.health.org.uk/reports-and-analysis/briefings/exploring-public-attitudes-towards-the-use-of-digital-health" TargetMode="External"/><Relationship Id="rId30" Type="http://schemas.openxmlformats.org/officeDocument/2006/relationships/hyperlink" Target="https://ico.org.uk/for-organisations/uk-gdpr-guidance-and-resources/" TargetMode="External"/><Relationship Id="rId35" Type="http://schemas.openxmlformats.org/officeDocument/2006/relationships/hyperlink" Target="https://www.longtermplan.nhs.uk" TargetMode="External"/><Relationship Id="rId43" Type="http://schemas.openxmlformats.org/officeDocument/2006/relationships/hyperlink" Target="https://www.kingsfund.org.uk" TargetMode="External"/><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4103/jfmpc.jfmpc_1630_23" TargetMode="External"/><Relationship Id="rId17" Type="http://schemas.openxmlformats.org/officeDocument/2006/relationships/hyperlink" Target="https://www.gov.uk/government/publications/data-saves-lives-reshaping-health-and-social-care-with-data" TargetMode="External"/><Relationship Id="rId25" Type="http://schemas.openxmlformats.org/officeDocument/2006/relationships/hyperlink" Target="https://doi.org/10.1186/s12911-023-02194-4" TargetMode="External"/><Relationship Id="rId33" Type="http://schemas.openxmlformats.org/officeDocument/2006/relationships/hyperlink" Target="https://www.classaction.org/news/class-action-lawsuit-claims-freestyle-libre-shares-website-users-private-info-with-facebook-google" TargetMode="External"/><Relationship Id="rId38" Type="http://schemas.openxmlformats.org/officeDocument/2006/relationships/hyperlink" Target="https://www.nuffieldtrust.org.uk" TargetMode="External"/><Relationship Id="rId46" Type="http://schemas.openxmlformats.org/officeDocument/2006/relationships/hyperlink" Target="https://topol.digitalacademy.nhs.uk/the-topol-review" TargetMode="External"/><Relationship Id="rId20" Type="http://schemas.openxmlformats.org/officeDocument/2006/relationships/hyperlink" Target="https://doi.org/10.3389/fpubh.2023.942703" TargetMode="External"/><Relationship Id="rId41" Type="http://schemas.openxmlformats.org/officeDocument/2006/relationships/hyperlink" Target="https://doi.org/10.1371/journal.pone.001412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fa7062a32aa7937cb85acdb9e3c0e2ef">
  <xsd:schema xmlns:xsd="http://www.w3.org/2001/XMLSchema" xmlns:xs="http://www.w3.org/2001/XMLSchema" xmlns:p="http://schemas.microsoft.com/office/2006/metadata/properties" xmlns:ns3="6642d537-5170-4cd9-a3f2-9ec198ee3eac" targetNamespace="http://schemas.microsoft.com/office/2006/metadata/properties" ma:root="true" ma:fieldsID="faf39aa1023e847bb0a9a422f7b22808"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2B6675-039E-426E-BA7D-75DC40BD1C6F}">
  <ds:schemaRefs>
    <ds:schemaRef ds:uri="http://schemas.microsoft.com/office/2006/metadata/properties"/>
    <ds:schemaRef ds:uri="http://schemas.microsoft.com/office/infopath/2007/PartnerControls"/>
    <ds:schemaRef ds:uri="6642d537-5170-4cd9-a3f2-9ec198ee3eac"/>
  </ds:schemaRefs>
</ds:datastoreItem>
</file>

<file path=customXml/itemProps2.xml><?xml version="1.0" encoding="utf-8"?>
<ds:datastoreItem xmlns:ds="http://schemas.openxmlformats.org/officeDocument/2006/customXml" ds:itemID="{A1885813-2843-4C64-95C4-1D19061907E5}">
  <ds:schemaRefs>
    <ds:schemaRef ds:uri="http://schemas.microsoft.com/sharepoint/v3/contenttype/forms"/>
  </ds:schemaRefs>
</ds:datastoreItem>
</file>

<file path=customXml/itemProps3.xml><?xml version="1.0" encoding="utf-8"?>
<ds:datastoreItem xmlns:ds="http://schemas.openxmlformats.org/officeDocument/2006/customXml" ds:itemID="{19BB41B7-8C4C-4B24-A037-FCD8D64B1F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3732</Words>
  <Characters>21275</Characters>
  <Application>Microsoft Office Word</Application>
  <DocSecurity>4</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24958</CharactersWithSpaces>
  <SharedDoc>false</SharedDoc>
  <HLinks>
    <vt:vector size="216" baseType="variant">
      <vt:variant>
        <vt:i4>1441858</vt:i4>
      </vt:variant>
      <vt:variant>
        <vt:i4>105</vt:i4>
      </vt:variant>
      <vt:variant>
        <vt:i4>0</vt:i4>
      </vt:variant>
      <vt:variant>
        <vt:i4>5</vt:i4>
      </vt:variant>
      <vt:variant>
        <vt:lpwstr>https://topol.digitalacademy.nhs.uk/the-topol-review</vt:lpwstr>
      </vt:variant>
      <vt:variant>
        <vt:lpwstr/>
      </vt:variant>
      <vt:variant>
        <vt:i4>5832781</vt:i4>
      </vt:variant>
      <vt:variant>
        <vt:i4>102</vt:i4>
      </vt:variant>
      <vt:variant>
        <vt:i4>0</vt:i4>
      </vt:variant>
      <vt:variant>
        <vt:i4>5</vt:i4>
      </vt:variant>
      <vt:variant>
        <vt:lpwstr>https://topol.hee.nhs.uk/</vt:lpwstr>
      </vt:variant>
      <vt:variant>
        <vt:lpwstr/>
      </vt:variant>
      <vt:variant>
        <vt:i4>393307</vt:i4>
      </vt:variant>
      <vt:variant>
        <vt:i4>99</vt:i4>
      </vt:variant>
      <vt:variant>
        <vt:i4>0</vt:i4>
      </vt:variant>
      <vt:variant>
        <vt:i4>5</vt:i4>
      </vt:variant>
      <vt:variant>
        <vt:lpwstr>https://assets.kingsfund.org.uk/f/256914/x/06cea35128/digital_change_health_care_2018.pdf</vt:lpwstr>
      </vt:variant>
      <vt:variant>
        <vt:lpwstr/>
      </vt:variant>
      <vt:variant>
        <vt:i4>5701722</vt:i4>
      </vt:variant>
      <vt:variant>
        <vt:i4>96</vt:i4>
      </vt:variant>
      <vt:variant>
        <vt:i4>0</vt:i4>
      </vt:variant>
      <vt:variant>
        <vt:i4>5</vt:i4>
      </vt:variant>
      <vt:variant>
        <vt:lpwstr>https://www.kingsfund.org.uk/</vt:lpwstr>
      </vt:variant>
      <vt:variant>
        <vt:lpwstr/>
      </vt:variant>
      <vt:variant>
        <vt:i4>6029383</vt:i4>
      </vt:variant>
      <vt:variant>
        <vt:i4>93</vt:i4>
      </vt:variant>
      <vt:variant>
        <vt:i4>0</vt:i4>
      </vt:variant>
      <vt:variant>
        <vt:i4>5</vt:i4>
      </vt:variant>
      <vt:variant>
        <vt:lpwstr>https://www.diabetes.co.uk/news/2025/dec/700-injuries-and-7-deaths-linked-to-malfunctioning-glucose-monitors.html</vt:lpwstr>
      </vt:variant>
      <vt:variant>
        <vt:lpwstr/>
      </vt:variant>
      <vt:variant>
        <vt:i4>5177411</vt:i4>
      </vt:variant>
      <vt:variant>
        <vt:i4>90</vt:i4>
      </vt:variant>
      <vt:variant>
        <vt:i4>0</vt:i4>
      </vt:variant>
      <vt:variant>
        <vt:i4>5</vt:i4>
      </vt:variant>
      <vt:variant>
        <vt:lpwstr>https://doi.org/10.1371/journal.pone.0014123</vt:lpwstr>
      </vt:variant>
      <vt:variant>
        <vt:lpwstr/>
      </vt:variant>
      <vt:variant>
        <vt:i4>2424947</vt:i4>
      </vt:variant>
      <vt:variant>
        <vt:i4>87</vt:i4>
      </vt:variant>
      <vt:variant>
        <vt:i4>0</vt:i4>
      </vt:variant>
      <vt:variant>
        <vt:i4>5</vt:i4>
      </vt:variant>
      <vt:variant>
        <vt:lpwstr>https://doi.org/10.1016/j.metop.2024.100282</vt:lpwstr>
      </vt:variant>
      <vt:variant>
        <vt:lpwstr/>
      </vt:variant>
      <vt:variant>
        <vt:i4>7536687</vt:i4>
      </vt:variant>
      <vt:variant>
        <vt:i4>84</vt:i4>
      </vt:variant>
      <vt:variant>
        <vt:i4>0</vt:i4>
      </vt:variant>
      <vt:variant>
        <vt:i4>5</vt:i4>
      </vt:variant>
      <vt:variant>
        <vt:lpwstr>https://www.nuffieldtrust.org.uk/resource/diabetes-care-for-adults</vt:lpwstr>
      </vt:variant>
      <vt:variant>
        <vt:lpwstr/>
      </vt:variant>
      <vt:variant>
        <vt:i4>4325445</vt:i4>
      </vt:variant>
      <vt:variant>
        <vt:i4>81</vt:i4>
      </vt:variant>
      <vt:variant>
        <vt:i4>0</vt:i4>
      </vt:variant>
      <vt:variant>
        <vt:i4>5</vt:i4>
      </vt:variant>
      <vt:variant>
        <vt:lpwstr>https://www.nuffieldtrust.org.uk/</vt:lpwstr>
      </vt:variant>
      <vt:variant>
        <vt:lpwstr/>
      </vt:variant>
      <vt:variant>
        <vt:i4>4587525</vt:i4>
      </vt:variant>
      <vt:variant>
        <vt:i4>78</vt:i4>
      </vt:variant>
      <vt:variant>
        <vt:i4>0</vt:i4>
      </vt:variant>
      <vt:variant>
        <vt:i4>5</vt:i4>
      </vt:variant>
      <vt:variant>
        <vt:lpwstr>https://www.nhs.uk/tests-and-treatments/cgm-and-hcl-for-diabetes/</vt:lpwstr>
      </vt:variant>
      <vt:variant>
        <vt:lpwstr/>
      </vt:variant>
      <vt:variant>
        <vt:i4>2555951</vt:i4>
      </vt:variant>
      <vt:variant>
        <vt:i4>75</vt:i4>
      </vt:variant>
      <vt:variant>
        <vt:i4>0</vt:i4>
      </vt:variant>
      <vt:variant>
        <vt:i4>5</vt:i4>
      </vt:variant>
      <vt:variant>
        <vt:lpwstr>https://www.england.nhs.uk/</vt:lpwstr>
      </vt:variant>
      <vt:variant>
        <vt:lpwstr/>
      </vt:variant>
      <vt:variant>
        <vt:i4>852054</vt:i4>
      </vt:variant>
      <vt:variant>
        <vt:i4>72</vt:i4>
      </vt:variant>
      <vt:variant>
        <vt:i4>0</vt:i4>
      </vt:variant>
      <vt:variant>
        <vt:i4>5</vt:i4>
      </vt:variant>
      <vt:variant>
        <vt:lpwstr>https://www.longtermplan.nhs.uk/</vt:lpwstr>
      </vt:variant>
      <vt:variant>
        <vt:lpwstr/>
      </vt:variant>
      <vt:variant>
        <vt:i4>852054</vt:i4>
      </vt:variant>
      <vt:variant>
        <vt:i4>69</vt:i4>
      </vt:variant>
      <vt:variant>
        <vt:i4>0</vt:i4>
      </vt:variant>
      <vt:variant>
        <vt:i4>5</vt:i4>
      </vt:variant>
      <vt:variant>
        <vt:lpwstr>https://www.longtermplan.nhs.uk/</vt:lpwstr>
      </vt:variant>
      <vt:variant>
        <vt:lpwstr/>
      </vt:variant>
      <vt:variant>
        <vt:i4>6684785</vt:i4>
      </vt:variant>
      <vt:variant>
        <vt:i4>66</vt:i4>
      </vt:variant>
      <vt:variant>
        <vt:i4>0</vt:i4>
      </vt:variant>
      <vt:variant>
        <vt:i4>5</vt:i4>
      </vt:variant>
      <vt:variant>
        <vt:lpwstr>https://www.classaction.org/news/class-action-lawsuit-claims-freestyle-libre-shares-website-users-private-info-with-facebook-google</vt:lpwstr>
      </vt:variant>
      <vt:variant>
        <vt:lpwstr/>
      </vt:variant>
      <vt:variant>
        <vt:i4>917513</vt:i4>
      </vt:variant>
      <vt:variant>
        <vt:i4>63</vt:i4>
      </vt:variant>
      <vt:variant>
        <vt:i4>0</vt:i4>
      </vt:variant>
      <vt:variant>
        <vt:i4>5</vt:i4>
      </vt:variant>
      <vt:variant>
        <vt:lpwstr>https://doi.org/10.1016/S0140-6736(21)00229-4</vt:lpwstr>
      </vt:variant>
      <vt:variant>
        <vt:lpwstr/>
      </vt:variant>
      <vt:variant>
        <vt:i4>1835087</vt:i4>
      </vt:variant>
      <vt:variant>
        <vt:i4>60</vt:i4>
      </vt:variant>
      <vt:variant>
        <vt:i4>0</vt:i4>
      </vt:variant>
      <vt:variant>
        <vt:i4>5</vt:i4>
      </vt:variant>
      <vt:variant>
        <vt:lpwstr>https://ico.org.uk/for-organisations/uk-gdpr-guidance-and-resources/</vt:lpwstr>
      </vt:variant>
      <vt:variant>
        <vt:lpwstr/>
      </vt:variant>
      <vt:variant>
        <vt:i4>1835087</vt:i4>
      </vt:variant>
      <vt:variant>
        <vt:i4>57</vt:i4>
      </vt:variant>
      <vt:variant>
        <vt:i4>0</vt:i4>
      </vt:variant>
      <vt:variant>
        <vt:i4>5</vt:i4>
      </vt:variant>
      <vt:variant>
        <vt:lpwstr>https://ico.org.uk/for-organisations/uk-gdpr-guidance-and-resources/</vt:lpwstr>
      </vt:variant>
      <vt:variant>
        <vt:lpwstr/>
      </vt:variant>
      <vt:variant>
        <vt:i4>5767250</vt:i4>
      </vt:variant>
      <vt:variant>
        <vt:i4>54</vt:i4>
      </vt:variant>
      <vt:variant>
        <vt:i4>0</vt:i4>
      </vt:variant>
      <vt:variant>
        <vt:i4>5</vt:i4>
      </vt:variant>
      <vt:variant>
        <vt:lpwstr>https://www.health.org.uk/reports-and-analysis/analysis/attitudes-to-technology-and-ai-in-health-care</vt:lpwstr>
      </vt:variant>
      <vt:variant>
        <vt:lpwstr/>
      </vt:variant>
      <vt:variant>
        <vt:i4>8060964</vt:i4>
      </vt:variant>
      <vt:variant>
        <vt:i4>51</vt:i4>
      </vt:variant>
      <vt:variant>
        <vt:i4>0</vt:i4>
      </vt:variant>
      <vt:variant>
        <vt:i4>5</vt:i4>
      </vt:variant>
      <vt:variant>
        <vt:lpwstr>https://www.health.org.uk/</vt:lpwstr>
      </vt:variant>
      <vt:variant>
        <vt:lpwstr/>
      </vt:variant>
      <vt:variant>
        <vt:i4>4653062</vt:i4>
      </vt:variant>
      <vt:variant>
        <vt:i4>48</vt:i4>
      </vt:variant>
      <vt:variant>
        <vt:i4>0</vt:i4>
      </vt:variant>
      <vt:variant>
        <vt:i4>5</vt:i4>
      </vt:variant>
      <vt:variant>
        <vt:lpwstr>https://www.health.org.uk/reports-and-analysis/briefings/exploring-public-attitudes-towards-the-use-of-digital-health</vt:lpwstr>
      </vt:variant>
      <vt:variant>
        <vt:lpwstr/>
      </vt:variant>
      <vt:variant>
        <vt:i4>2097209</vt:i4>
      </vt:variant>
      <vt:variant>
        <vt:i4>45</vt:i4>
      </vt:variant>
      <vt:variant>
        <vt:i4>0</vt:i4>
      </vt:variant>
      <vt:variant>
        <vt:i4>5</vt:i4>
      </vt:variant>
      <vt:variant>
        <vt:lpwstr>https://doi.org/10.1186/s12911-023-02194-4</vt:lpwstr>
      </vt:variant>
      <vt:variant>
        <vt:lpwstr/>
      </vt:variant>
      <vt:variant>
        <vt:i4>2097209</vt:i4>
      </vt:variant>
      <vt:variant>
        <vt:i4>42</vt:i4>
      </vt:variant>
      <vt:variant>
        <vt:i4>0</vt:i4>
      </vt:variant>
      <vt:variant>
        <vt:i4>5</vt:i4>
      </vt:variant>
      <vt:variant>
        <vt:lpwstr>https://doi.org/10.1186/s12911-023-02194-4</vt:lpwstr>
      </vt:variant>
      <vt:variant>
        <vt:lpwstr/>
      </vt:variant>
      <vt:variant>
        <vt:i4>524317</vt:i4>
      </vt:variant>
      <vt:variant>
        <vt:i4>39</vt:i4>
      </vt:variant>
      <vt:variant>
        <vt:i4>0</vt:i4>
      </vt:variant>
      <vt:variant>
        <vt:i4>5</vt:i4>
      </vt:variant>
      <vt:variant>
        <vt:lpwstr>https://doi.org/10.1007/s13300-016-0223-6</vt:lpwstr>
      </vt:variant>
      <vt:variant>
        <vt:lpwstr/>
      </vt:variant>
      <vt:variant>
        <vt:i4>589895</vt:i4>
      </vt:variant>
      <vt:variant>
        <vt:i4>36</vt:i4>
      </vt:variant>
      <vt:variant>
        <vt:i4>0</vt:i4>
      </vt:variant>
      <vt:variant>
        <vt:i4>5</vt:i4>
      </vt:variant>
      <vt:variant>
        <vt:lpwstr>https://doi.org/10.2196/jmir.8775</vt:lpwstr>
      </vt:variant>
      <vt:variant>
        <vt:lpwstr/>
      </vt:variant>
      <vt:variant>
        <vt:i4>589895</vt:i4>
      </vt:variant>
      <vt:variant>
        <vt:i4>33</vt:i4>
      </vt:variant>
      <vt:variant>
        <vt:i4>0</vt:i4>
      </vt:variant>
      <vt:variant>
        <vt:i4>5</vt:i4>
      </vt:variant>
      <vt:variant>
        <vt:lpwstr>https://doi.org/10.2196/jmir.8775</vt:lpwstr>
      </vt:variant>
      <vt:variant>
        <vt:lpwstr/>
      </vt:variant>
      <vt:variant>
        <vt:i4>262153</vt:i4>
      </vt:variant>
      <vt:variant>
        <vt:i4>30</vt:i4>
      </vt:variant>
      <vt:variant>
        <vt:i4>0</vt:i4>
      </vt:variant>
      <vt:variant>
        <vt:i4>5</vt:i4>
      </vt:variant>
      <vt:variant>
        <vt:lpwstr>https://link.springer.com/article/10.1007/s44337-025-00273-1</vt:lpwstr>
      </vt:variant>
      <vt:variant>
        <vt:lpwstr/>
      </vt:variant>
      <vt:variant>
        <vt:i4>1900550</vt:i4>
      </vt:variant>
      <vt:variant>
        <vt:i4>27</vt:i4>
      </vt:variant>
      <vt:variant>
        <vt:i4>0</vt:i4>
      </vt:variant>
      <vt:variant>
        <vt:i4>5</vt:i4>
      </vt:variant>
      <vt:variant>
        <vt:lpwstr>https://doi.org/10.3389/fpubh.2023.942703</vt:lpwstr>
      </vt:variant>
      <vt:variant>
        <vt:lpwstr/>
      </vt:variant>
      <vt:variant>
        <vt:i4>1900550</vt:i4>
      </vt:variant>
      <vt:variant>
        <vt:i4>24</vt:i4>
      </vt:variant>
      <vt:variant>
        <vt:i4>0</vt:i4>
      </vt:variant>
      <vt:variant>
        <vt:i4>5</vt:i4>
      </vt:variant>
      <vt:variant>
        <vt:lpwstr>https://doi.org/10.3389/fpubh.2023.942703</vt:lpwstr>
      </vt:variant>
      <vt:variant>
        <vt:lpwstr/>
      </vt:variant>
      <vt:variant>
        <vt:i4>2490473</vt:i4>
      </vt:variant>
      <vt:variant>
        <vt:i4>21</vt:i4>
      </vt:variant>
      <vt:variant>
        <vt:i4>0</vt:i4>
      </vt:variant>
      <vt:variant>
        <vt:i4>5</vt:i4>
      </vt:variant>
      <vt:variant>
        <vt:lpwstr>https://www.gov.uk/government/publications/data-saves-lives-reshaping-health-and-social-care-with-data</vt:lpwstr>
      </vt:variant>
      <vt:variant>
        <vt:lpwstr/>
      </vt:variant>
      <vt:variant>
        <vt:i4>2490473</vt:i4>
      </vt:variant>
      <vt:variant>
        <vt:i4>18</vt:i4>
      </vt:variant>
      <vt:variant>
        <vt:i4>0</vt:i4>
      </vt:variant>
      <vt:variant>
        <vt:i4>5</vt:i4>
      </vt:variant>
      <vt:variant>
        <vt:lpwstr>https://www.gov.uk/government/publications/data-saves-lives-reshaping-health-and-social-care-with-data</vt:lpwstr>
      </vt:variant>
      <vt:variant>
        <vt:lpwstr/>
      </vt:variant>
      <vt:variant>
        <vt:i4>1441856</vt:i4>
      </vt:variant>
      <vt:variant>
        <vt:i4>15</vt:i4>
      </vt:variant>
      <vt:variant>
        <vt:i4>0</vt:i4>
      </vt:variant>
      <vt:variant>
        <vt:i4>5</vt:i4>
      </vt:variant>
      <vt:variant>
        <vt:lpwstr>https://www.diabetes.org.uk/about-diabetes/looking-after-diabetes/technology/continuous-glucose-monitors</vt:lpwstr>
      </vt:variant>
      <vt:variant>
        <vt:lpwstr/>
      </vt:variant>
      <vt:variant>
        <vt:i4>7340146</vt:i4>
      </vt:variant>
      <vt:variant>
        <vt:i4>12</vt:i4>
      </vt:variant>
      <vt:variant>
        <vt:i4>0</vt:i4>
      </vt:variant>
      <vt:variant>
        <vt:i4>5</vt:i4>
      </vt:variant>
      <vt:variant>
        <vt:lpwstr>https://www.diabetes.org.uk/about-us/news-and-views/cgm-study-access-inequity-in-diabetes-tech</vt:lpwstr>
      </vt:variant>
      <vt:variant>
        <vt:lpwstr/>
      </vt:variant>
      <vt:variant>
        <vt:i4>524356</vt:i4>
      </vt:variant>
      <vt:variant>
        <vt:i4>9</vt:i4>
      </vt:variant>
      <vt:variant>
        <vt:i4>0</vt:i4>
      </vt:variant>
      <vt:variant>
        <vt:i4>5</vt:i4>
      </vt:variant>
      <vt:variant>
        <vt:lpwstr>https://doi.org/10.1080/23311975.2024.2442550</vt:lpwstr>
      </vt:variant>
      <vt:variant>
        <vt:lpwstr/>
      </vt:variant>
      <vt:variant>
        <vt:i4>524356</vt:i4>
      </vt:variant>
      <vt:variant>
        <vt:i4>6</vt:i4>
      </vt:variant>
      <vt:variant>
        <vt:i4>0</vt:i4>
      </vt:variant>
      <vt:variant>
        <vt:i4>5</vt:i4>
      </vt:variant>
      <vt:variant>
        <vt:lpwstr>https://doi.org/10.1080/23311975.2024.2442550</vt:lpwstr>
      </vt:variant>
      <vt:variant>
        <vt:lpwstr/>
      </vt:variant>
      <vt:variant>
        <vt:i4>5439493</vt:i4>
      </vt:variant>
      <vt:variant>
        <vt:i4>3</vt:i4>
      </vt:variant>
      <vt:variant>
        <vt:i4>0</vt:i4>
      </vt:variant>
      <vt:variant>
        <vt:i4>5</vt:i4>
      </vt:variant>
      <vt:variant>
        <vt:lpwstr>https://doi.org/10.4103/jfmpc.jfmpc_1630_23</vt:lpwstr>
      </vt:variant>
      <vt:variant>
        <vt:lpwstr/>
      </vt:variant>
      <vt:variant>
        <vt:i4>5963806</vt:i4>
      </vt:variant>
      <vt:variant>
        <vt:i4>0</vt:i4>
      </vt:variant>
      <vt:variant>
        <vt:i4>0</vt:i4>
      </vt:variant>
      <vt:variant>
        <vt:i4>5</vt:i4>
      </vt:variant>
      <vt:variant>
        <vt:lpwstr>https://www.freestyle.abbott/uk-en/home.html?utm_source=google-ads&amp;utm_medium=search-branded&amp;utm_campaign=adc-dtc-libre-2&amp;gad_source=1&amp;gad_campaignid=756478445&amp;gbraid=0AAAAADdKbMTZ5YxZkftSkGeU_4eWJ4rOa&amp;gclid=Cj0KCQjwlerQBhDMARIsAB16H-V3FWoJPWufIlFvHCTy4i647naes7z463Qok9EbbsHyt7Yq8KT2nBkaAvH7EALw_wcB</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Rizvi (2332271)</dc:creator>
  <cp:keywords/>
  <cp:lastModifiedBy/>
  <cp:revision>1</cp:revision>
  <dcterms:created xsi:type="dcterms:W3CDTF">2026-06-03T23:39:00Z</dcterms:created>
  <dcterms:modified xsi:type="dcterms:W3CDTF">2026-06-03T16:29:00Z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