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60082" w:rsidRPr="00A45E55" w:rsidRDefault="007D3FEB" w:rsidP="007D3FEB">
      <w:pPr>
        <w:spacing w:line="480" w:lineRule="auto"/>
        <w:jc w:val="center"/>
        <w:rPr>
          <w:b/>
        </w:rPr>
      </w:pPr>
      <w:r w:rsidRPr="00A45E55">
        <w:rPr>
          <w:b/>
        </w:rPr>
        <w:t>On the Mystery Surrounding the Villa of the Mysteries - Abstract</w:t>
      </w:r>
    </w:p>
    <w:p w:rsidR="00694976" w:rsidRPr="00A45E55" w:rsidRDefault="007D3FEB" w:rsidP="007D3FEB">
      <w:pPr>
        <w:spacing w:line="480" w:lineRule="auto"/>
      </w:pPr>
      <w:r w:rsidRPr="00A45E55">
        <w:rPr>
          <w:b/>
        </w:rPr>
        <w:tab/>
      </w:r>
      <w:r w:rsidRPr="00A45E55">
        <w:t>Since the ancient city of Pompeii was buried under the ashes of the Vesuvius eruption in 79</w:t>
      </w:r>
      <w:r w:rsidR="00BB5C9A" w:rsidRPr="00A45E55">
        <w:t xml:space="preserve"> </w:t>
      </w:r>
      <w:r w:rsidRPr="00A45E55">
        <w:t xml:space="preserve">CE, it </w:t>
      </w:r>
      <w:r w:rsidR="00BB5C9A" w:rsidRPr="00A45E55">
        <w:t xml:space="preserve">deservedly </w:t>
      </w:r>
      <w:r w:rsidRPr="00A45E55">
        <w:t>serves today as one of the most important archaeological sites</w:t>
      </w:r>
      <w:r w:rsidR="00BB5C9A" w:rsidRPr="00A45E55">
        <w:t xml:space="preserve"> regarding Roman h</w:t>
      </w:r>
      <w:r w:rsidR="00571977" w:rsidRPr="00A45E55">
        <w:t>istory. One of the most famous villas in Pompeii is the so-called Villa of the Mysteries, taking its name from an enigmatic</w:t>
      </w:r>
      <w:r w:rsidR="00BB5C9A" w:rsidRPr="00A45E55">
        <w:t xml:space="preserve"> </w:t>
      </w:r>
      <w:r w:rsidR="00571977" w:rsidRPr="00A45E55">
        <w:t>megalographia, found across three walls of a room in the villa. The subject matter of the megalog</w:t>
      </w:r>
      <w:r w:rsidR="00004D43" w:rsidRPr="00A45E55">
        <w:t>raphia has been the subject of</w:t>
      </w:r>
      <w:r w:rsidR="00571977" w:rsidRPr="00A45E55">
        <w:t xml:space="preserve"> great debate since its discovery in 1909 by Amedeo Maiuri (</w:t>
      </w:r>
      <w:r w:rsidR="000319BA" w:rsidRPr="00A45E55">
        <w:t xml:space="preserve">Berry 2007). The purpose of this paper is to investigate the theories surrounding the fresco in the Villa of the Mysteries </w:t>
      </w:r>
      <w:r w:rsidR="00AE1E3C" w:rsidRPr="00A45E55">
        <w:t>and take a</w:t>
      </w:r>
      <w:r w:rsidR="00F61EF1" w:rsidRPr="00A45E55">
        <w:t xml:space="preserve"> stance as to which theory is supported by the most compelling ev</w:t>
      </w:r>
      <w:r w:rsidR="00011FEE" w:rsidRPr="00A45E55">
        <w:t xml:space="preserve">idence. </w:t>
      </w:r>
    </w:p>
    <w:p w:rsidR="00F61EF1" w:rsidRPr="00A45E55" w:rsidRDefault="00191024" w:rsidP="007D3FEB">
      <w:pPr>
        <w:spacing w:line="480" w:lineRule="auto"/>
      </w:pPr>
      <w:r w:rsidRPr="00A45E55">
        <w:tab/>
      </w:r>
      <w:r w:rsidR="00D25A43" w:rsidRPr="00A45E55">
        <w:t>The readings of the fresco vary tremendously, and thus m</w:t>
      </w:r>
      <w:r w:rsidRPr="00A45E55">
        <w:t>y research will</w:t>
      </w:r>
      <w:r w:rsidR="00011FEE" w:rsidRPr="00A45E55">
        <w:t xml:space="preserve"> </w:t>
      </w:r>
      <w:r w:rsidR="00F61EF1" w:rsidRPr="00A45E55">
        <w:t>compare and contrast the different interpretations</w:t>
      </w:r>
      <w:r w:rsidR="00D25A43" w:rsidRPr="00A45E55">
        <w:t xml:space="preserve">. </w:t>
      </w:r>
      <w:r w:rsidRPr="00A45E55">
        <w:t xml:space="preserve">It has now been more than a century since the villa was discovered, </w:t>
      </w:r>
      <w:r w:rsidR="00AE1E3C" w:rsidRPr="00A45E55">
        <w:t xml:space="preserve">and that </w:t>
      </w:r>
      <w:r w:rsidR="00BA23C6" w:rsidRPr="00A45E55">
        <w:t>is</w:t>
      </w:r>
      <w:r w:rsidR="00AE1E3C" w:rsidRPr="00A45E55">
        <w:t xml:space="preserve"> more than enough time for a great plethora of theories to be developed</w:t>
      </w:r>
      <w:r w:rsidR="003E72A7" w:rsidRPr="00A45E55">
        <w:t xml:space="preserve">. I will first </w:t>
      </w:r>
      <w:r w:rsidRPr="00A45E55">
        <w:t xml:space="preserve">look into all the possible explanations </w:t>
      </w:r>
      <w:r w:rsidR="00AE1E3C" w:rsidRPr="00A45E55">
        <w:t>impartially,</w:t>
      </w:r>
      <w:r w:rsidR="003E72A7" w:rsidRPr="00A45E55">
        <w:t xml:space="preserve"> and then I also intend to conduct my very own examination of the iconographic evidence</w:t>
      </w:r>
      <w:r w:rsidRPr="00A45E55">
        <w:t xml:space="preserve">. My ultimate </w:t>
      </w:r>
      <w:r w:rsidR="003E72A7" w:rsidRPr="00A45E55">
        <w:t>goal is to arrange a novel well-</w:t>
      </w:r>
      <w:r w:rsidRPr="00A45E55">
        <w:t xml:space="preserve">structured argument regarding the subject </w:t>
      </w:r>
      <w:r w:rsidR="003E72A7" w:rsidRPr="00A45E55">
        <w:t>matter and purpose of the megalographia</w:t>
      </w:r>
      <w:r w:rsidR="00AE1E3C" w:rsidRPr="00A45E55">
        <w:t xml:space="preserve"> based on</w:t>
      </w:r>
      <w:r w:rsidRPr="00A45E55">
        <w:t xml:space="preserve"> </w:t>
      </w:r>
      <w:r w:rsidR="00AE1E3C" w:rsidRPr="00A45E55">
        <w:t>convincing</w:t>
      </w:r>
      <w:r w:rsidRPr="00A45E55">
        <w:t xml:space="preserve"> evidence</w:t>
      </w:r>
      <w:r w:rsidR="00AE1E3C" w:rsidRPr="00A45E55">
        <w:t xml:space="preserve"> and to also examine why some evidence </w:t>
      </w:r>
      <w:r w:rsidR="00BA23C6" w:rsidRPr="00A45E55">
        <w:t>is</w:t>
      </w:r>
      <w:r w:rsidR="00AE1E3C" w:rsidRPr="00A45E55">
        <w:t xml:space="preserve"> of high value</w:t>
      </w:r>
      <w:r w:rsidRPr="00A45E55">
        <w:t xml:space="preserve">.  </w:t>
      </w:r>
    </w:p>
    <w:p w:rsidR="00D25A43" w:rsidRPr="00A45E55" w:rsidRDefault="00F42C61" w:rsidP="007D3FEB">
      <w:pPr>
        <w:spacing w:line="480" w:lineRule="auto"/>
      </w:pPr>
      <w:r w:rsidRPr="00A45E55">
        <w:tab/>
      </w:r>
      <w:r w:rsidR="00BA23C6" w:rsidRPr="00A45E55">
        <w:t>A</w:t>
      </w:r>
      <w:r w:rsidRPr="00A45E55">
        <w:t xml:space="preserve"> </w:t>
      </w:r>
      <w:r w:rsidR="00D870CE" w:rsidRPr="00A45E55">
        <w:t>prominent</w:t>
      </w:r>
      <w:r w:rsidRPr="00A45E55">
        <w:t xml:space="preserve"> theor</w:t>
      </w:r>
      <w:r w:rsidR="00BA23C6" w:rsidRPr="00A45E55">
        <w:t>y</w:t>
      </w:r>
      <w:r w:rsidRPr="00A45E55">
        <w:t xml:space="preserve"> that</w:t>
      </w:r>
      <w:r w:rsidR="00D870CE" w:rsidRPr="00A45E55">
        <w:t xml:space="preserve"> I</w:t>
      </w:r>
      <w:r w:rsidRPr="00A45E55">
        <w:t xml:space="preserve"> will be exploring is one claiming </w:t>
      </w:r>
      <w:r w:rsidR="00D25A43" w:rsidRPr="00A45E55">
        <w:t xml:space="preserve">that the </w:t>
      </w:r>
      <w:r w:rsidR="00D870CE" w:rsidRPr="00A45E55">
        <w:t xml:space="preserve">fresco </w:t>
      </w:r>
      <w:r w:rsidR="00BA23C6" w:rsidRPr="00A45E55">
        <w:t>depicts</w:t>
      </w:r>
      <w:r w:rsidR="00D870CE" w:rsidRPr="00A45E55">
        <w:t xml:space="preserve"> an initiation to the god Dionysus. </w:t>
      </w:r>
      <w:r w:rsidR="00995E72" w:rsidRPr="00A45E55">
        <w:t xml:space="preserve">I plan to look into ancient sources associated with the cult of Dionysus, such as Euripides' </w:t>
      </w:r>
      <w:r w:rsidR="00995E72" w:rsidRPr="00A45E55">
        <w:rPr>
          <w:i/>
        </w:rPr>
        <w:t>Bacchae</w:t>
      </w:r>
      <w:r w:rsidR="00995E72" w:rsidRPr="00A45E55">
        <w:t xml:space="preserve">, the Orphic Gold Tablets and also The Library of Pseudo-Apollodorus. </w:t>
      </w:r>
      <w:r w:rsidR="00D25A43" w:rsidRPr="00A45E55">
        <w:t>The reason for this is</w:t>
      </w:r>
      <w:r w:rsidR="00995E72" w:rsidRPr="00A45E55">
        <w:t xml:space="preserve"> to gather clues about the Dionysiac cult that are translated into images on the fresc</w:t>
      </w:r>
      <w:r w:rsidR="00D25A43" w:rsidRPr="00A45E55">
        <w:t>o in the Villa of the Mysteries, thus supporting the theories wanting the fresco to be associated with Dionysiac rites.</w:t>
      </w:r>
      <w:r w:rsidR="00995E72" w:rsidRPr="00A45E55">
        <w:t xml:space="preserve"> I will also be exploring modern scholarship supporting this notion</w:t>
      </w:r>
      <w:r w:rsidR="00D25A43" w:rsidRPr="00A45E55">
        <w:t>, by looking into papers on the Villa by</w:t>
      </w:r>
      <w:r w:rsidR="001238A4" w:rsidRPr="00A45E55">
        <w:t xml:space="preserve"> scholars such as Karl Lehman and </w:t>
      </w:r>
      <w:r w:rsidR="001238A4" w:rsidRPr="00A45E55">
        <w:lastRenderedPageBreak/>
        <w:t>Martin P. Nilson</w:t>
      </w:r>
      <w:r w:rsidR="00036EC6" w:rsidRPr="00A45E55">
        <w:t>, and also,</w:t>
      </w:r>
      <w:r w:rsidR="00AA5D20" w:rsidRPr="00A45E55">
        <w:t xml:space="preserve"> in papers stating that this is a scene directly pertaining to an initiation to the Dionysiac mysteries, picturing perhaps a myth related with Dionysus, such as his marriage to Ariadne</w:t>
      </w:r>
      <w:r w:rsidR="00036EC6" w:rsidRPr="00A45E55">
        <w:t xml:space="preserve"> (Lill, 2011).</w:t>
      </w:r>
      <w:r w:rsidR="00AA5D20" w:rsidRPr="00A45E55">
        <w:t xml:space="preserve"> </w:t>
      </w:r>
    </w:p>
    <w:p w:rsidR="00AA5D20" w:rsidRPr="00A45E55" w:rsidRDefault="00036EC6" w:rsidP="007D3FEB">
      <w:pPr>
        <w:spacing w:line="480" w:lineRule="auto"/>
      </w:pPr>
      <w:r w:rsidRPr="00A45E55">
        <w:tab/>
      </w:r>
      <w:r w:rsidR="003E72A7" w:rsidRPr="00A45E55">
        <w:t xml:space="preserve">Other theories that I will include in my research are some based on the location of the room where the megalographia </w:t>
      </w:r>
      <w:r w:rsidR="00BA23C6" w:rsidRPr="00A45E55">
        <w:t>was</w:t>
      </w:r>
      <w:r w:rsidR="003E72A7" w:rsidRPr="00A45E55">
        <w:t xml:space="preserve"> found in. Interestingly, the particular room is not easily accessible; in fact it is the "most secluded corner of the mansion" (Little, 1972). This detail sparked theories supporting that the fresco had a decorative purpose, whether for a room serving as a private place of worship, or for room that served as the bridal suite of the villa.</w:t>
      </w:r>
      <w:r w:rsidR="006825B0" w:rsidRPr="00A45E55">
        <w:t xml:space="preserve"> </w:t>
      </w:r>
      <w:r w:rsidRPr="00A45E55">
        <w:t>In fact</w:t>
      </w:r>
      <w:r w:rsidR="00AE1E3C" w:rsidRPr="00A45E55">
        <w:t>,</w:t>
      </w:r>
      <w:r w:rsidRPr="00A45E55">
        <w:t xml:space="preserve"> the theory that the fresco relates to the marriage rite in general, which is "symbolically represented by Dionysus and Ariadne" is one of the most dominant </w:t>
      </w:r>
      <w:r w:rsidR="00AE1E3C" w:rsidRPr="00A45E55">
        <w:t xml:space="preserve">and well accepted </w:t>
      </w:r>
      <w:r w:rsidRPr="00A45E55">
        <w:t xml:space="preserve">theories at the present time (Lill 2011) and will be discussed very thoroughly in this paper. </w:t>
      </w:r>
      <w:r w:rsidR="006825B0" w:rsidRPr="00A45E55">
        <w:t>In one of the case studies about the villa, it is also said that even the total number of the figures might have something to do with the meaning of the fresco; Alan Little argues that since there are fourteen human figures and fourteen fantastical figures, maybe the megalographia had a social meaning, to stimulate religious imagination in ordinary humans.</w:t>
      </w:r>
      <w:r w:rsidR="00AA5D20" w:rsidRPr="00A45E55">
        <w:t xml:space="preserve"> </w:t>
      </w:r>
    </w:p>
    <w:p w:rsidR="001B17C8" w:rsidRPr="00A45E55" w:rsidRDefault="005F153C" w:rsidP="007D3FEB">
      <w:pPr>
        <w:spacing w:line="480" w:lineRule="auto"/>
      </w:pPr>
      <w:r w:rsidRPr="00A45E55">
        <w:tab/>
      </w:r>
      <w:r w:rsidR="001B17C8" w:rsidRPr="00A45E55">
        <w:t>To my understanding one can never be absolutely certain about the meaning and purpose of the megalographia in the Villa of the Mysteries, unless there is a literary source discovered at some point</w:t>
      </w:r>
      <w:r w:rsidR="00142D32" w:rsidRPr="00A45E55">
        <w:t xml:space="preserve"> related to it</w:t>
      </w:r>
      <w:r w:rsidR="001B17C8" w:rsidRPr="00A45E55">
        <w:t xml:space="preserve">. The meaning of this work of art is of such complexity that it could be a matter of debate even among </w:t>
      </w:r>
      <w:r w:rsidR="00142D32" w:rsidRPr="00A45E55">
        <w:t xml:space="preserve">the </w:t>
      </w:r>
      <w:r w:rsidR="001B17C8" w:rsidRPr="00A45E55">
        <w:t>Romans</w:t>
      </w:r>
      <w:r w:rsidR="00142D32" w:rsidRPr="00A45E55">
        <w:t xml:space="preserve"> of the 1st century CE</w:t>
      </w:r>
      <w:r w:rsidR="001B17C8" w:rsidRPr="00A45E55">
        <w:t xml:space="preserve">. The reason for this is that if the purpose of the fresco was indeed mystical, it would be only those initiated in the mysteries of Dionysus that would be able to </w:t>
      </w:r>
      <w:r w:rsidR="00BA23C6" w:rsidRPr="00A45E55">
        <w:t>decipher</w:t>
      </w:r>
      <w:r w:rsidR="001B17C8" w:rsidRPr="00A45E55">
        <w:t xml:space="preserve"> the meaning of it, assuming that it pertained to the mystery of the initiation. My intention thus is not to achieve an absolute and unshakeable conclusion about the fresco, but to research and</w:t>
      </w:r>
      <w:r w:rsidR="00142D32" w:rsidRPr="00A45E55">
        <w:t xml:space="preserve"> discover which theory is supported by the most </w:t>
      </w:r>
      <w:r w:rsidR="00142D32" w:rsidRPr="00A45E55">
        <w:lastRenderedPageBreak/>
        <w:t>persuasive evidence</w:t>
      </w:r>
      <w:r w:rsidR="001B17C8" w:rsidRPr="00A45E55">
        <w:t xml:space="preserve">, and why such evidence may be considered strong. Is the evidence that piled up to </w:t>
      </w:r>
      <w:r w:rsidR="00142D32" w:rsidRPr="00A45E55">
        <w:t xml:space="preserve">compose </w:t>
      </w:r>
      <w:r w:rsidR="001B17C8" w:rsidRPr="00A45E55">
        <w:t xml:space="preserve">these theories literary or simply iconographical? </w:t>
      </w:r>
      <w:r w:rsidR="00142D32" w:rsidRPr="00A45E55">
        <w:t xml:space="preserve">Is any given theory the conclusion of a single scholar or are there many scholars supporting the same theories? Which one is the most prominent theory and why? Which of the published theories is the least accepted one and why? </w:t>
      </w:r>
      <w:r w:rsidR="00BA23C6" w:rsidRPr="00A45E55">
        <w:t xml:space="preserve"> T</w:t>
      </w:r>
      <w:r w:rsidR="00142D32" w:rsidRPr="00A45E55">
        <w:t>hese are some of the questions that I plan to answer in this paper.</w:t>
      </w:r>
    </w:p>
    <w:p w:rsidR="005F153C" w:rsidRPr="00A45E55" w:rsidRDefault="00142D32" w:rsidP="005F153C">
      <w:pPr>
        <w:spacing w:line="480" w:lineRule="auto"/>
      </w:pPr>
      <w:r w:rsidRPr="00A45E55">
        <w:tab/>
      </w:r>
      <w:r w:rsidR="005F153C" w:rsidRPr="00A45E55">
        <w:t>To gather my sources so far, I have looked in online databases and online library catalogues, but I am also collecting material from the Library of the University of Illinois in Chicago. To conduct my own examination of the megalographia, I intend to analyze the easily accessed images of the frescoes online and also those that can be found in academic textbooks. For the purposes of my research, I am also planning to, ideally, visit Pompeii, in order to be able to have a closer look at the megalographia, as I believe that examining the fresco and the villa in person will provide me with an even greater insight and understanding. In order for my research to be as thorough, objective and inclusive as possible, I plan to collect as much of the available sc</w:t>
      </w:r>
      <w:r w:rsidR="00004D43" w:rsidRPr="00A45E55">
        <w:t xml:space="preserve">holarship </w:t>
      </w:r>
      <w:r w:rsidR="00B76C5F" w:rsidRPr="00A45E55">
        <w:t xml:space="preserve">as </w:t>
      </w:r>
      <w:r w:rsidR="00004D43" w:rsidRPr="00A45E55">
        <w:t>there is</w:t>
      </w:r>
      <w:r w:rsidR="005F153C" w:rsidRPr="00A45E55">
        <w:t>. I aim to exhaust all of my available resources and read through as much as possible before proceeding to conducting my own investigation, and possibly developing my own theory about the mysterious room in the Villa of the Mysteries.</w:t>
      </w:r>
      <w:r w:rsidR="00004D43" w:rsidRPr="00A45E55">
        <w:t xml:space="preserve"> I believe that it is </w:t>
      </w:r>
      <w:r w:rsidR="00B76C5F" w:rsidRPr="00A45E55">
        <w:t>pertinent</w:t>
      </w:r>
      <w:r w:rsidR="00004D43" w:rsidRPr="00A45E55">
        <w:t xml:space="preserve"> to develop my research in this manner so that I will have a very thorough knowledge regarding the megalographia before proceeding to any </w:t>
      </w:r>
      <w:r w:rsidR="00B76C5F" w:rsidRPr="00A45E55">
        <w:t>conclusi</w:t>
      </w:r>
      <w:r w:rsidR="008F02C4" w:rsidRPr="00A45E55">
        <w:t>ons</w:t>
      </w:r>
      <w:r w:rsidR="00004D43" w:rsidRPr="00A45E55">
        <w:t xml:space="preserve"> of my own.</w:t>
      </w:r>
    </w:p>
    <w:p w:rsidR="00142D32" w:rsidRPr="00A45E55" w:rsidRDefault="00142D32" w:rsidP="007D3FEB">
      <w:pPr>
        <w:spacing w:line="480" w:lineRule="auto"/>
      </w:pPr>
    </w:p>
    <w:p w:rsidR="006825B0" w:rsidRPr="00A45E55" w:rsidRDefault="006825B0" w:rsidP="000319BA">
      <w:pPr>
        <w:spacing w:line="480" w:lineRule="auto"/>
      </w:pPr>
      <w:r w:rsidRPr="00A45E55">
        <w:tab/>
        <w:t xml:space="preserve"> </w:t>
      </w:r>
    </w:p>
    <w:p w:rsidR="005F153C" w:rsidRPr="00A45E55" w:rsidRDefault="005F153C" w:rsidP="000319BA">
      <w:pPr>
        <w:spacing w:line="480" w:lineRule="auto"/>
      </w:pPr>
    </w:p>
    <w:p w:rsidR="00AE1E3C" w:rsidRPr="00A45E55" w:rsidRDefault="00AE1E3C" w:rsidP="000319BA">
      <w:pPr>
        <w:spacing w:line="480" w:lineRule="auto"/>
      </w:pPr>
    </w:p>
    <w:p w:rsidR="005F153C" w:rsidRPr="00A45E55" w:rsidRDefault="005F153C" w:rsidP="000319BA">
      <w:pPr>
        <w:spacing w:line="480" w:lineRule="auto"/>
      </w:pPr>
    </w:p>
    <w:p w:rsidR="006825B0" w:rsidRPr="00A45E55" w:rsidRDefault="000319BA" w:rsidP="0091671D">
      <w:pPr>
        <w:spacing w:line="480" w:lineRule="auto"/>
        <w:rPr>
          <w:b/>
        </w:rPr>
      </w:pPr>
      <w:r w:rsidRPr="00A45E55">
        <w:rPr>
          <w:b/>
        </w:rPr>
        <w:lastRenderedPageBreak/>
        <w:t>Lis</w:t>
      </w:r>
      <w:bookmarkStart w:id="0" w:name="_GoBack"/>
      <w:bookmarkEnd w:id="0"/>
      <w:r w:rsidRPr="00A45E55">
        <w:rPr>
          <w:b/>
        </w:rPr>
        <w:t>t of References:</w:t>
      </w:r>
    </w:p>
    <w:p w:rsidR="001238A4" w:rsidRPr="00A45E55" w:rsidRDefault="001238A4" w:rsidP="00004D43">
      <w:pPr>
        <w:rPr>
          <w:b/>
        </w:rPr>
      </w:pPr>
      <w:r w:rsidRPr="00A45E55">
        <w:rPr>
          <w:rFonts w:eastAsia="Times New Roman"/>
          <w:color w:val="000000"/>
          <w:shd w:val="clear" w:color="auto" w:fill="FFFFFF"/>
        </w:rPr>
        <w:t>Bernabé, A., Chase, M., Jiménez San Cristobal, A., Olmos Romera, R. and Olmos, S. (2008). </w:t>
      </w:r>
      <w:r w:rsidRPr="00A45E55">
        <w:rPr>
          <w:rFonts w:eastAsia="Times New Roman"/>
          <w:i/>
          <w:iCs/>
          <w:color w:val="000000"/>
          <w:shd w:val="clear" w:color="auto" w:fill="FFFFFF"/>
        </w:rPr>
        <w:t>Instructions for the netherworld</w:t>
      </w:r>
      <w:r w:rsidRPr="00A45E55">
        <w:rPr>
          <w:rFonts w:eastAsia="Times New Roman"/>
          <w:color w:val="000000"/>
          <w:shd w:val="clear" w:color="auto" w:fill="FFFFFF"/>
        </w:rPr>
        <w:t>. Leiden: Brill.</w:t>
      </w:r>
    </w:p>
    <w:p w:rsidR="001238A4" w:rsidRPr="00A45E55" w:rsidRDefault="001238A4" w:rsidP="00004D43">
      <w:pPr>
        <w:rPr>
          <w:rFonts w:eastAsia="Times New Roman"/>
          <w:color w:val="000000"/>
          <w:shd w:val="clear" w:color="auto" w:fill="FFFFFF"/>
        </w:rPr>
      </w:pPr>
    </w:p>
    <w:p w:rsidR="000319BA" w:rsidRPr="00A45E55" w:rsidRDefault="000319BA" w:rsidP="00004D43">
      <w:pPr>
        <w:rPr>
          <w:rFonts w:eastAsia="Times New Roman"/>
          <w:color w:val="000000"/>
          <w:shd w:val="clear" w:color="auto" w:fill="FFFFFF"/>
        </w:rPr>
      </w:pPr>
      <w:r w:rsidRPr="00A45E55">
        <w:rPr>
          <w:rFonts w:eastAsia="Times New Roman"/>
          <w:color w:val="000000"/>
          <w:shd w:val="clear" w:color="auto" w:fill="FFFFFF"/>
        </w:rPr>
        <w:t>Berry, J. (2007). </w:t>
      </w:r>
      <w:r w:rsidRPr="00A45E55">
        <w:rPr>
          <w:rFonts w:eastAsia="Times New Roman"/>
          <w:i/>
          <w:iCs/>
          <w:color w:val="000000"/>
          <w:shd w:val="clear" w:color="auto" w:fill="FFFFFF"/>
        </w:rPr>
        <w:t>The Complete Pompeii</w:t>
      </w:r>
      <w:r w:rsidRPr="00A45E55">
        <w:rPr>
          <w:rFonts w:eastAsia="Times New Roman"/>
          <w:color w:val="000000"/>
          <w:shd w:val="clear" w:color="auto" w:fill="FFFFFF"/>
        </w:rPr>
        <w:t>. London: Thames &amp; Hudson, pp.202-203.</w:t>
      </w:r>
    </w:p>
    <w:p w:rsidR="00004D43" w:rsidRPr="00A45E55" w:rsidRDefault="00004D43" w:rsidP="00004D43">
      <w:pPr>
        <w:rPr>
          <w:rFonts w:eastAsia="Times New Roman"/>
          <w:color w:val="000000"/>
          <w:shd w:val="clear" w:color="auto" w:fill="FFFFFF"/>
        </w:rPr>
      </w:pPr>
    </w:p>
    <w:p w:rsidR="00004D43" w:rsidRPr="00A45E55" w:rsidRDefault="00004D43" w:rsidP="00004D43">
      <w:pPr>
        <w:rPr>
          <w:rFonts w:eastAsia="Times New Roman"/>
        </w:rPr>
      </w:pPr>
      <w:r w:rsidRPr="00A45E55">
        <w:rPr>
          <w:rFonts w:eastAsia="Times New Roman"/>
          <w:shd w:val="clear" w:color="auto" w:fill="FFFFFF"/>
        </w:rPr>
        <w:t>Gazda, E. (2000). </w:t>
      </w:r>
      <w:r w:rsidRPr="00A45E55">
        <w:rPr>
          <w:rFonts w:eastAsia="Times New Roman"/>
          <w:i/>
          <w:iCs/>
          <w:shd w:val="clear" w:color="auto" w:fill="FFFFFF"/>
        </w:rPr>
        <w:t>The Villa of the Mysteries in Pompeii</w:t>
      </w:r>
      <w:r w:rsidRPr="00A45E55">
        <w:rPr>
          <w:rFonts w:eastAsia="Times New Roman"/>
          <w:shd w:val="clear" w:color="auto" w:fill="FFFFFF"/>
        </w:rPr>
        <w:t>. Ann Arbor, Mich.: Kelsey Museum of Archaeology</w:t>
      </w:r>
    </w:p>
    <w:p w:rsidR="005F6FAE" w:rsidRPr="00A45E55" w:rsidRDefault="005F6FAE" w:rsidP="00004D43">
      <w:pPr>
        <w:rPr>
          <w:rFonts w:eastAsia="Times New Roman"/>
          <w:shd w:val="clear" w:color="auto" w:fill="FFFFFF"/>
        </w:rPr>
      </w:pPr>
    </w:p>
    <w:p w:rsidR="00321AE4" w:rsidRPr="00A45E55" w:rsidRDefault="00321AE4" w:rsidP="00004D43">
      <w:pPr>
        <w:rPr>
          <w:rFonts w:eastAsia="Times New Roman"/>
        </w:rPr>
      </w:pPr>
      <w:r w:rsidRPr="00A45E55">
        <w:rPr>
          <w:rFonts w:eastAsia="Times New Roman"/>
          <w:shd w:val="clear" w:color="auto" w:fill="FFFFFF"/>
        </w:rPr>
        <w:t>Hard, R. (1997). </w:t>
      </w:r>
      <w:r w:rsidRPr="00A45E55">
        <w:rPr>
          <w:rFonts w:eastAsia="Times New Roman"/>
          <w:i/>
          <w:iCs/>
          <w:shd w:val="clear" w:color="auto" w:fill="FFFFFF"/>
        </w:rPr>
        <w:t>Apollodorus The Library of Greek Mythology</w:t>
      </w:r>
      <w:r w:rsidRPr="00A45E55">
        <w:rPr>
          <w:rFonts w:eastAsia="Times New Roman"/>
          <w:shd w:val="clear" w:color="auto" w:fill="FFFFFF"/>
        </w:rPr>
        <w:t>. Oxford: Oxford University Press.</w:t>
      </w:r>
    </w:p>
    <w:p w:rsidR="00321AE4" w:rsidRPr="00A45E55" w:rsidRDefault="00321AE4" w:rsidP="00004D43">
      <w:pPr>
        <w:rPr>
          <w:rFonts w:eastAsia="Times New Roman"/>
          <w:shd w:val="clear" w:color="auto" w:fill="FFFFFF"/>
        </w:rPr>
      </w:pPr>
    </w:p>
    <w:p w:rsidR="00004D43" w:rsidRPr="00A45E55" w:rsidRDefault="005F6FAE" w:rsidP="00004D43">
      <w:pPr>
        <w:shd w:val="clear" w:color="auto" w:fill="FFFFFF"/>
        <w:ind w:hanging="120"/>
      </w:pPr>
      <w:r w:rsidRPr="00A45E55">
        <w:t xml:space="preserve">  Hayes, E., Nimis, S., Johnston, I. and Murray, G. (2015). </w:t>
      </w:r>
      <w:r w:rsidRPr="00A45E55">
        <w:rPr>
          <w:i/>
          <w:iCs/>
        </w:rPr>
        <w:t>Euripides' Bacchae</w:t>
      </w:r>
      <w:r w:rsidRPr="00A45E55">
        <w:t>. 1st ed. Oxford: Faenum Publishing, Ltd.</w:t>
      </w:r>
    </w:p>
    <w:p w:rsidR="00004D43" w:rsidRPr="00A45E55" w:rsidRDefault="00004D43" w:rsidP="00004D43">
      <w:pPr>
        <w:shd w:val="clear" w:color="auto" w:fill="FFFFFF"/>
        <w:ind w:hanging="120"/>
      </w:pPr>
    </w:p>
    <w:p w:rsidR="0091671D" w:rsidRPr="00A45E55" w:rsidRDefault="00004D43" w:rsidP="00004D43">
      <w:pPr>
        <w:pStyle w:val="NormalWeb"/>
        <w:spacing w:before="0" w:beforeAutospacing="0"/>
        <w:rPr>
          <w:color w:val="000000" w:themeColor="text1"/>
          <w:sz w:val="24"/>
          <w:szCs w:val="24"/>
        </w:rPr>
      </w:pPr>
      <w:r w:rsidRPr="00A45E55">
        <w:rPr>
          <w:color w:val="000000" w:themeColor="text1"/>
          <w:sz w:val="24"/>
          <w:szCs w:val="24"/>
        </w:rPr>
        <w:t>Hearnshaw, V. (1999). The Dionysiac Cycle in the Villa of the Mysteries: A Re-reading. </w:t>
      </w:r>
      <w:r w:rsidRPr="00A45E55">
        <w:rPr>
          <w:i/>
          <w:iCs/>
          <w:color w:val="000000" w:themeColor="text1"/>
          <w:sz w:val="24"/>
          <w:szCs w:val="24"/>
        </w:rPr>
        <w:t>Mediterranean Archaeology</w:t>
      </w:r>
      <w:r w:rsidRPr="00A45E55">
        <w:rPr>
          <w:color w:val="000000" w:themeColor="text1"/>
          <w:sz w:val="24"/>
          <w:szCs w:val="24"/>
        </w:rPr>
        <w:t>, [online] 12, pp.43-50. Available at: http://www.jstor.org/stable/24667847 [Accessed 20 Feb. 2019].</w:t>
      </w:r>
    </w:p>
    <w:p w:rsidR="0091671D" w:rsidRPr="00A45E55" w:rsidRDefault="0091671D" w:rsidP="00004D43">
      <w:pPr>
        <w:shd w:val="clear" w:color="auto" w:fill="FFFFFF"/>
        <w:ind w:hanging="120"/>
        <w:rPr>
          <w:color w:val="000000"/>
        </w:rPr>
      </w:pPr>
      <w:r w:rsidRPr="00A45E55">
        <w:t xml:space="preserve">  Lehman, K. (1962). Ignorance and Search in the Villa of the Mysteries. </w:t>
      </w:r>
      <w:r w:rsidRPr="00A45E55">
        <w:rPr>
          <w:i/>
          <w:iCs/>
        </w:rPr>
        <w:t>Journal</w:t>
      </w:r>
      <w:r w:rsidRPr="00A45E55">
        <w:rPr>
          <w:i/>
          <w:iCs/>
          <w:color w:val="000000"/>
        </w:rPr>
        <w:t xml:space="preserve"> of Roman Studies</w:t>
      </w:r>
      <w:r w:rsidRPr="00A45E55">
        <w:rPr>
          <w:color w:val="000000"/>
        </w:rPr>
        <w:t>, 52 (1-2), pp.62-68.</w:t>
      </w:r>
    </w:p>
    <w:p w:rsidR="00036EC6" w:rsidRPr="00A45E55" w:rsidRDefault="00036EC6" w:rsidP="00004D43">
      <w:pPr>
        <w:shd w:val="clear" w:color="auto" w:fill="FFFFFF"/>
        <w:ind w:hanging="120"/>
        <w:rPr>
          <w:color w:val="000000"/>
        </w:rPr>
      </w:pPr>
    </w:p>
    <w:p w:rsidR="00036EC6" w:rsidRPr="00A45E55" w:rsidRDefault="00036EC6" w:rsidP="00004D43">
      <w:pPr>
        <w:rPr>
          <w:rFonts w:eastAsia="Times New Roman"/>
        </w:rPr>
      </w:pPr>
      <w:r w:rsidRPr="00A45E55">
        <w:rPr>
          <w:rFonts w:eastAsia="Times New Roman"/>
          <w:shd w:val="clear" w:color="auto" w:fill="FFFFFF"/>
        </w:rPr>
        <w:t>Lill, A. 2011, "Myths of Pompeii: reality and legacy", </w:t>
      </w:r>
      <w:r w:rsidRPr="00A45E55">
        <w:rPr>
          <w:rFonts w:eastAsia="Times New Roman"/>
          <w:i/>
          <w:iCs/>
          <w:shd w:val="clear" w:color="auto" w:fill="FFFFFF"/>
        </w:rPr>
        <w:t>Baltic Journal of Art History, </w:t>
      </w:r>
      <w:r w:rsidRPr="00A45E55">
        <w:rPr>
          <w:rFonts w:eastAsia="Times New Roman"/>
          <w:shd w:val="clear" w:color="auto" w:fill="FFFFFF"/>
        </w:rPr>
        <w:t>vol. 3.</w:t>
      </w:r>
    </w:p>
    <w:p w:rsidR="00321AE4" w:rsidRPr="00A45E55" w:rsidRDefault="00321AE4" w:rsidP="00004D43">
      <w:pPr>
        <w:rPr>
          <w:color w:val="000000"/>
        </w:rPr>
      </w:pPr>
    </w:p>
    <w:p w:rsidR="00321AE4" w:rsidRPr="00A45E55" w:rsidRDefault="00321AE4" w:rsidP="00004D43">
      <w:pPr>
        <w:rPr>
          <w:rFonts w:eastAsia="Times New Roman"/>
          <w:color w:val="auto"/>
        </w:rPr>
      </w:pPr>
      <w:r w:rsidRPr="00A45E55">
        <w:rPr>
          <w:rFonts w:eastAsia="Times New Roman"/>
          <w:color w:val="000000"/>
          <w:shd w:val="clear" w:color="auto" w:fill="FFFFFF"/>
        </w:rPr>
        <w:t>Little, A. (1972). </w:t>
      </w:r>
      <w:r w:rsidRPr="00A45E55">
        <w:rPr>
          <w:rFonts w:eastAsia="Times New Roman"/>
          <w:i/>
          <w:iCs/>
          <w:color w:val="000000"/>
          <w:shd w:val="clear" w:color="auto" w:fill="FFFFFF"/>
        </w:rPr>
        <w:t>A Roman Bridal Drama in the Villa of the Mysteries</w:t>
      </w:r>
      <w:r w:rsidRPr="00A45E55">
        <w:rPr>
          <w:rFonts w:eastAsia="Times New Roman"/>
          <w:color w:val="000000"/>
          <w:shd w:val="clear" w:color="auto" w:fill="FFFFFF"/>
        </w:rPr>
        <w:t>. Kennebunk: Star Press.</w:t>
      </w:r>
    </w:p>
    <w:p w:rsidR="00995E72" w:rsidRPr="00A45E55" w:rsidRDefault="00995E72" w:rsidP="00004D43">
      <w:pPr>
        <w:rPr>
          <w:rFonts w:eastAsia="Times New Roman"/>
          <w:color w:val="000000"/>
          <w:shd w:val="clear" w:color="auto" w:fill="FFFFFF"/>
        </w:rPr>
      </w:pPr>
    </w:p>
    <w:p w:rsidR="00995E72" w:rsidRPr="001238A4" w:rsidRDefault="00995E72" w:rsidP="00004D43">
      <w:pPr>
        <w:rPr>
          <w:rFonts w:eastAsia="Times New Roman"/>
          <w:color w:val="auto"/>
        </w:rPr>
      </w:pPr>
      <w:r w:rsidRPr="00A45E55">
        <w:rPr>
          <w:rFonts w:eastAsia="Times New Roman"/>
          <w:color w:val="000000"/>
          <w:shd w:val="clear" w:color="auto" w:fill="FFFFFF"/>
        </w:rPr>
        <w:t>Nilsson, M. (1975). </w:t>
      </w:r>
      <w:r w:rsidRPr="00A45E55">
        <w:rPr>
          <w:rFonts w:eastAsia="Times New Roman"/>
          <w:i/>
          <w:iCs/>
          <w:color w:val="000000"/>
          <w:shd w:val="clear" w:color="auto" w:fill="FFFFFF"/>
        </w:rPr>
        <w:t>The Dionysiac mysteries of the Hellenistic and Roman age</w:t>
      </w:r>
      <w:r w:rsidRPr="00A45E55">
        <w:rPr>
          <w:rFonts w:eastAsia="Times New Roman"/>
          <w:color w:val="000000"/>
          <w:shd w:val="clear" w:color="auto" w:fill="FFFFFF"/>
        </w:rPr>
        <w:t>. New York: Arno Press.</w:t>
      </w:r>
    </w:p>
    <w:p w:rsidR="000319BA" w:rsidRPr="001238A4" w:rsidRDefault="000319BA" w:rsidP="00004D43">
      <w:pPr>
        <w:rPr>
          <w:b/>
        </w:rPr>
      </w:pPr>
    </w:p>
    <w:sectPr w:rsidR="000319BA" w:rsidRPr="001238A4" w:rsidSect="007D3FEB">
      <w:footerReference w:type="even"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F3EC2" w:rsidRDefault="000F3EC2" w:rsidP="00F42C61">
      <w:r>
        <w:separator/>
      </w:r>
    </w:p>
  </w:endnote>
  <w:endnote w:type="continuationSeparator" w:id="0">
    <w:p w:rsidR="000F3EC2" w:rsidRDefault="000F3EC2" w:rsidP="00F42C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04D43" w:rsidRDefault="00004D43" w:rsidP="00F42C6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004D43" w:rsidRDefault="00004D43" w:rsidP="00F42C61">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04D43" w:rsidRDefault="00004D43" w:rsidP="00F42C6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45E55">
      <w:rPr>
        <w:rStyle w:val="PageNumber"/>
        <w:noProof/>
      </w:rPr>
      <w:t>1</w:t>
    </w:r>
    <w:r>
      <w:rPr>
        <w:rStyle w:val="PageNumber"/>
      </w:rPr>
      <w:fldChar w:fldCharType="end"/>
    </w:r>
  </w:p>
  <w:p w:rsidR="00004D43" w:rsidRDefault="00004D43" w:rsidP="00F42C61">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F3EC2" w:rsidRDefault="000F3EC2" w:rsidP="00F42C61">
      <w:r>
        <w:separator/>
      </w:r>
    </w:p>
  </w:footnote>
  <w:footnote w:type="continuationSeparator" w:id="0">
    <w:p w:rsidR="000F3EC2" w:rsidRDefault="000F3EC2" w:rsidP="00F42C6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D3FEB"/>
    <w:rsid w:val="00004D43"/>
    <w:rsid w:val="00011FEE"/>
    <w:rsid w:val="000319BA"/>
    <w:rsid w:val="00036EC6"/>
    <w:rsid w:val="000F3EC2"/>
    <w:rsid w:val="001238A4"/>
    <w:rsid w:val="00142D32"/>
    <w:rsid w:val="00191024"/>
    <w:rsid w:val="001B17C8"/>
    <w:rsid w:val="00321AE4"/>
    <w:rsid w:val="003E72A7"/>
    <w:rsid w:val="004B35DD"/>
    <w:rsid w:val="004E3EC1"/>
    <w:rsid w:val="00571977"/>
    <w:rsid w:val="005F153C"/>
    <w:rsid w:val="005F6FAE"/>
    <w:rsid w:val="00650036"/>
    <w:rsid w:val="006825B0"/>
    <w:rsid w:val="00694976"/>
    <w:rsid w:val="00750FF1"/>
    <w:rsid w:val="007D3FEB"/>
    <w:rsid w:val="008F02C4"/>
    <w:rsid w:val="0091671D"/>
    <w:rsid w:val="00995E72"/>
    <w:rsid w:val="00A45E55"/>
    <w:rsid w:val="00A60082"/>
    <w:rsid w:val="00AA5D20"/>
    <w:rsid w:val="00AE1E3C"/>
    <w:rsid w:val="00B76C5F"/>
    <w:rsid w:val="00BA23C6"/>
    <w:rsid w:val="00BB5C9A"/>
    <w:rsid w:val="00D25A43"/>
    <w:rsid w:val="00D579C7"/>
    <w:rsid w:val="00D870CE"/>
    <w:rsid w:val="00DB4335"/>
    <w:rsid w:val="00E23984"/>
    <w:rsid w:val="00F42C61"/>
    <w:rsid w:val="00F61EF1"/>
    <w:rsid w:val="00FA03AA"/>
    <w:rsid w:val="00FD7A2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EastAsia" w:hAnsi="Times New Roman" w:cs="Times New Roman"/>
        <w:color w:val="000000" w:themeColor="text1"/>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F42C61"/>
    <w:pPr>
      <w:tabs>
        <w:tab w:val="center" w:pos="4320"/>
        <w:tab w:val="right" w:pos="8640"/>
      </w:tabs>
    </w:pPr>
  </w:style>
  <w:style w:type="character" w:customStyle="1" w:styleId="FooterChar">
    <w:name w:val="Footer Char"/>
    <w:basedOn w:val="DefaultParagraphFont"/>
    <w:link w:val="Footer"/>
    <w:uiPriority w:val="99"/>
    <w:rsid w:val="00F42C61"/>
  </w:style>
  <w:style w:type="character" w:styleId="PageNumber">
    <w:name w:val="page number"/>
    <w:basedOn w:val="DefaultParagraphFont"/>
    <w:uiPriority w:val="99"/>
    <w:semiHidden/>
    <w:unhideWhenUsed/>
    <w:rsid w:val="00F42C61"/>
  </w:style>
  <w:style w:type="paragraph" w:styleId="NormalWeb">
    <w:name w:val="Normal (Web)"/>
    <w:basedOn w:val="Normal"/>
    <w:uiPriority w:val="99"/>
    <w:unhideWhenUsed/>
    <w:rsid w:val="0091671D"/>
    <w:pPr>
      <w:spacing w:before="100" w:beforeAutospacing="1" w:after="100" w:afterAutospacing="1"/>
    </w:pPr>
    <w:rPr>
      <w:color w:val="auto"/>
      <w:sz w:val="20"/>
      <w:szCs w:val="20"/>
    </w:rPr>
  </w:style>
  <w:style w:type="character" w:customStyle="1" w:styleId="selectable">
    <w:name w:val="selectable"/>
    <w:basedOn w:val="DefaultParagraphFont"/>
    <w:rsid w:val="0091671D"/>
  </w:style>
  <w:style w:type="character" w:styleId="Emphasis">
    <w:name w:val="Emphasis"/>
    <w:basedOn w:val="DefaultParagraphFont"/>
    <w:uiPriority w:val="20"/>
    <w:qFormat/>
    <w:rsid w:val="00004D43"/>
    <w:rPr>
      <w:i/>
      <w:iCs/>
    </w:rPr>
  </w:style>
  <w:style w:type="paragraph" w:styleId="Header">
    <w:name w:val="header"/>
    <w:basedOn w:val="Normal"/>
    <w:link w:val="HeaderChar"/>
    <w:uiPriority w:val="99"/>
    <w:unhideWhenUsed/>
    <w:rsid w:val="00A45E55"/>
    <w:pPr>
      <w:tabs>
        <w:tab w:val="center" w:pos="4320"/>
        <w:tab w:val="right" w:pos="8640"/>
      </w:tabs>
    </w:pPr>
  </w:style>
  <w:style w:type="character" w:customStyle="1" w:styleId="HeaderChar">
    <w:name w:val="Header Char"/>
    <w:basedOn w:val="DefaultParagraphFont"/>
    <w:link w:val="Header"/>
    <w:uiPriority w:val="99"/>
    <w:rsid w:val="00A45E55"/>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EastAsia" w:hAnsi="Times New Roman" w:cs="Times New Roman"/>
        <w:color w:val="000000" w:themeColor="text1"/>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F42C61"/>
    <w:pPr>
      <w:tabs>
        <w:tab w:val="center" w:pos="4320"/>
        <w:tab w:val="right" w:pos="8640"/>
      </w:tabs>
    </w:pPr>
  </w:style>
  <w:style w:type="character" w:customStyle="1" w:styleId="FooterChar">
    <w:name w:val="Footer Char"/>
    <w:basedOn w:val="DefaultParagraphFont"/>
    <w:link w:val="Footer"/>
    <w:uiPriority w:val="99"/>
    <w:rsid w:val="00F42C61"/>
  </w:style>
  <w:style w:type="character" w:styleId="PageNumber">
    <w:name w:val="page number"/>
    <w:basedOn w:val="DefaultParagraphFont"/>
    <w:uiPriority w:val="99"/>
    <w:semiHidden/>
    <w:unhideWhenUsed/>
    <w:rsid w:val="00F42C61"/>
  </w:style>
  <w:style w:type="paragraph" w:styleId="NormalWeb">
    <w:name w:val="Normal (Web)"/>
    <w:basedOn w:val="Normal"/>
    <w:uiPriority w:val="99"/>
    <w:unhideWhenUsed/>
    <w:rsid w:val="0091671D"/>
    <w:pPr>
      <w:spacing w:before="100" w:beforeAutospacing="1" w:after="100" w:afterAutospacing="1"/>
    </w:pPr>
    <w:rPr>
      <w:color w:val="auto"/>
      <w:sz w:val="20"/>
      <w:szCs w:val="20"/>
    </w:rPr>
  </w:style>
  <w:style w:type="character" w:customStyle="1" w:styleId="selectable">
    <w:name w:val="selectable"/>
    <w:basedOn w:val="DefaultParagraphFont"/>
    <w:rsid w:val="0091671D"/>
  </w:style>
  <w:style w:type="character" w:styleId="Emphasis">
    <w:name w:val="Emphasis"/>
    <w:basedOn w:val="DefaultParagraphFont"/>
    <w:uiPriority w:val="20"/>
    <w:qFormat/>
    <w:rsid w:val="00004D43"/>
    <w:rPr>
      <w:i/>
      <w:iCs/>
    </w:rPr>
  </w:style>
  <w:style w:type="paragraph" w:styleId="Header">
    <w:name w:val="header"/>
    <w:basedOn w:val="Normal"/>
    <w:link w:val="HeaderChar"/>
    <w:uiPriority w:val="99"/>
    <w:unhideWhenUsed/>
    <w:rsid w:val="00A45E55"/>
    <w:pPr>
      <w:tabs>
        <w:tab w:val="center" w:pos="4320"/>
        <w:tab w:val="right" w:pos="8640"/>
      </w:tabs>
    </w:pPr>
  </w:style>
  <w:style w:type="character" w:customStyle="1" w:styleId="HeaderChar">
    <w:name w:val="Header Char"/>
    <w:basedOn w:val="DefaultParagraphFont"/>
    <w:link w:val="Header"/>
    <w:uiPriority w:val="99"/>
    <w:rsid w:val="00A45E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0361711">
      <w:bodyDiv w:val="1"/>
      <w:marLeft w:val="0"/>
      <w:marRight w:val="0"/>
      <w:marTop w:val="0"/>
      <w:marBottom w:val="0"/>
      <w:divBdr>
        <w:top w:val="none" w:sz="0" w:space="0" w:color="auto"/>
        <w:left w:val="none" w:sz="0" w:space="0" w:color="auto"/>
        <w:bottom w:val="none" w:sz="0" w:space="0" w:color="auto"/>
        <w:right w:val="none" w:sz="0" w:space="0" w:color="auto"/>
      </w:divBdr>
    </w:div>
    <w:div w:id="265309350">
      <w:bodyDiv w:val="1"/>
      <w:marLeft w:val="0"/>
      <w:marRight w:val="0"/>
      <w:marTop w:val="0"/>
      <w:marBottom w:val="0"/>
      <w:divBdr>
        <w:top w:val="none" w:sz="0" w:space="0" w:color="auto"/>
        <w:left w:val="none" w:sz="0" w:space="0" w:color="auto"/>
        <w:bottom w:val="none" w:sz="0" w:space="0" w:color="auto"/>
        <w:right w:val="none" w:sz="0" w:space="0" w:color="auto"/>
      </w:divBdr>
    </w:div>
    <w:div w:id="540095556">
      <w:bodyDiv w:val="1"/>
      <w:marLeft w:val="0"/>
      <w:marRight w:val="0"/>
      <w:marTop w:val="0"/>
      <w:marBottom w:val="0"/>
      <w:divBdr>
        <w:top w:val="none" w:sz="0" w:space="0" w:color="auto"/>
        <w:left w:val="none" w:sz="0" w:space="0" w:color="auto"/>
        <w:bottom w:val="none" w:sz="0" w:space="0" w:color="auto"/>
        <w:right w:val="none" w:sz="0" w:space="0" w:color="auto"/>
      </w:divBdr>
    </w:div>
    <w:div w:id="715276653">
      <w:bodyDiv w:val="1"/>
      <w:marLeft w:val="0"/>
      <w:marRight w:val="0"/>
      <w:marTop w:val="0"/>
      <w:marBottom w:val="0"/>
      <w:divBdr>
        <w:top w:val="none" w:sz="0" w:space="0" w:color="auto"/>
        <w:left w:val="none" w:sz="0" w:space="0" w:color="auto"/>
        <w:bottom w:val="none" w:sz="0" w:space="0" w:color="auto"/>
        <w:right w:val="none" w:sz="0" w:space="0" w:color="auto"/>
      </w:divBdr>
    </w:div>
    <w:div w:id="901714357">
      <w:bodyDiv w:val="1"/>
      <w:marLeft w:val="0"/>
      <w:marRight w:val="0"/>
      <w:marTop w:val="0"/>
      <w:marBottom w:val="0"/>
      <w:divBdr>
        <w:top w:val="none" w:sz="0" w:space="0" w:color="auto"/>
        <w:left w:val="none" w:sz="0" w:space="0" w:color="auto"/>
        <w:bottom w:val="none" w:sz="0" w:space="0" w:color="auto"/>
        <w:right w:val="none" w:sz="0" w:space="0" w:color="auto"/>
      </w:divBdr>
    </w:div>
    <w:div w:id="1030178748">
      <w:bodyDiv w:val="1"/>
      <w:marLeft w:val="0"/>
      <w:marRight w:val="0"/>
      <w:marTop w:val="0"/>
      <w:marBottom w:val="0"/>
      <w:divBdr>
        <w:top w:val="none" w:sz="0" w:space="0" w:color="auto"/>
        <w:left w:val="none" w:sz="0" w:space="0" w:color="auto"/>
        <w:bottom w:val="none" w:sz="0" w:space="0" w:color="auto"/>
        <w:right w:val="none" w:sz="0" w:space="0" w:color="auto"/>
      </w:divBdr>
    </w:div>
    <w:div w:id="1200781495">
      <w:bodyDiv w:val="1"/>
      <w:marLeft w:val="0"/>
      <w:marRight w:val="0"/>
      <w:marTop w:val="0"/>
      <w:marBottom w:val="0"/>
      <w:divBdr>
        <w:top w:val="none" w:sz="0" w:space="0" w:color="auto"/>
        <w:left w:val="none" w:sz="0" w:space="0" w:color="auto"/>
        <w:bottom w:val="none" w:sz="0" w:space="0" w:color="auto"/>
        <w:right w:val="none" w:sz="0" w:space="0" w:color="auto"/>
      </w:divBdr>
    </w:div>
    <w:div w:id="1205676170">
      <w:bodyDiv w:val="1"/>
      <w:marLeft w:val="0"/>
      <w:marRight w:val="0"/>
      <w:marTop w:val="0"/>
      <w:marBottom w:val="0"/>
      <w:divBdr>
        <w:top w:val="none" w:sz="0" w:space="0" w:color="auto"/>
        <w:left w:val="none" w:sz="0" w:space="0" w:color="auto"/>
        <w:bottom w:val="none" w:sz="0" w:space="0" w:color="auto"/>
        <w:right w:val="none" w:sz="0" w:space="0" w:color="auto"/>
      </w:divBdr>
    </w:div>
    <w:div w:id="1535538480">
      <w:bodyDiv w:val="1"/>
      <w:marLeft w:val="0"/>
      <w:marRight w:val="0"/>
      <w:marTop w:val="0"/>
      <w:marBottom w:val="0"/>
      <w:divBdr>
        <w:top w:val="none" w:sz="0" w:space="0" w:color="auto"/>
        <w:left w:val="none" w:sz="0" w:space="0" w:color="auto"/>
        <w:bottom w:val="none" w:sz="0" w:space="0" w:color="auto"/>
        <w:right w:val="none" w:sz="0" w:space="0" w:color="auto"/>
      </w:divBdr>
    </w:div>
    <w:div w:id="156699338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1047</Words>
  <Characters>5972</Characters>
  <Application>Microsoft Macintosh Word</Application>
  <DocSecurity>0</DocSecurity>
  <Lines>49</Lines>
  <Paragraphs>14</Paragraphs>
  <ScaleCrop>false</ScaleCrop>
  <HeadingPairs>
    <vt:vector size="2" baseType="variant">
      <vt:variant>
        <vt:lpstr>Τίτλος</vt:lpstr>
      </vt:variant>
      <vt:variant>
        <vt:i4>1</vt:i4>
      </vt:variant>
    </vt:vector>
  </HeadingPairs>
  <TitlesOfParts>
    <vt:vector size="1" baseType="lpstr">
      <vt:lpstr/>
    </vt:vector>
  </TitlesOfParts>
  <Company/>
  <LinksUpToDate>false</LinksUpToDate>
  <CharactersWithSpaces>7005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 Anninos</dc:creator>
  <cp:keywords/>
  <dc:description/>
  <cp:lastModifiedBy>Eva Anninos</cp:lastModifiedBy>
  <cp:revision>2</cp:revision>
  <dcterms:created xsi:type="dcterms:W3CDTF">2019-03-15T17:23:00Z</dcterms:created>
  <dcterms:modified xsi:type="dcterms:W3CDTF">2019-03-15T17:23:00Z</dcterms:modified>
</cp:coreProperties>
</file>