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EA68A9" w14:textId="2BC6A3E1" w:rsidR="006C3711" w:rsidRDefault="00736AE7" w:rsidP="00F6212D">
      <w:pPr>
        <w:rPr>
          <w:rFonts w:ascii="Segoe UI" w:hAnsi="Segoe UI" w:cs="Segoe UI"/>
        </w:rPr>
      </w:pPr>
      <w:r w:rsidRPr="00DB2187">
        <w:rPr>
          <w:rFonts w:ascii="Segoe UI" w:hAnsi="Segoe UI" w:cs="Segoe UI"/>
        </w:rPr>
        <w:t xml:space="preserve">The patriarchs and matriarchs of the first book in the Hebrew Bible are some of the most important figures in Judaism. </w:t>
      </w:r>
      <w:r w:rsidR="00717671" w:rsidRPr="00DB2187">
        <w:rPr>
          <w:rFonts w:ascii="Segoe UI" w:hAnsi="Segoe UI" w:cs="Segoe UI"/>
        </w:rPr>
        <w:t xml:space="preserve">These stories in Genesis of the first fathers and mothers of Judaism are </w:t>
      </w:r>
      <w:r w:rsidR="004843D2" w:rsidRPr="00DB2187">
        <w:rPr>
          <w:rFonts w:ascii="Segoe UI" w:hAnsi="Segoe UI" w:cs="Segoe UI"/>
        </w:rPr>
        <w:t>timelessly relatable, with the characters acting not only in virtue and obedience to God but also plagued by the flaws that affect all humans.</w:t>
      </w:r>
      <w:r w:rsidR="00027176" w:rsidRPr="00DB2187">
        <w:rPr>
          <w:rFonts w:ascii="Segoe UI" w:hAnsi="Segoe UI" w:cs="Segoe UI"/>
        </w:rPr>
        <w:t xml:space="preserve"> </w:t>
      </w:r>
      <w:r w:rsidR="00063B80">
        <w:rPr>
          <w:rFonts w:ascii="Segoe UI" w:hAnsi="Segoe UI" w:cs="Segoe UI"/>
        </w:rPr>
        <w:t>Gossai argues that the “themes of the stories are profoundly human themes. They capture the persistent interaction between God and humankind.”</w:t>
      </w:r>
      <w:r w:rsidR="00063B80">
        <w:rPr>
          <w:rStyle w:val="FootnoteReference"/>
          <w:rFonts w:ascii="Segoe UI" w:hAnsi="Segoe UI" w:cs="Segoe UI"/>
        </w:rPr>
        <w:footnoteReference w:id="1"/>
      </w:r>
      <w:r w:rsidR="00063B80">
        <w:rPr>
          <w:rFonts w:ascii="Segoe UI" w:hAnsi="Segoe UI" w:cs="Segoe UI"/>
        </w:rPr>
        <w:t xml:space="preserve"> </w:t>
      </w:r>
      <w:r w:rsidR="00027176" w:rsidRPr="00DB2187">
        <w:rPr>
          <w:rFonts w:ascii="Segoe UI" w:hAnsi="Segoe UI" w:cs="Segoe UI"/>
        </w:rPr>
        <w:t xml:space="preserve">This report will investigate what makes the patriarchs and matriarchs so significant </w:t>
      </w:r>
      <w:r w:rsidR="00AA33F2" w:rsidRPr="00DB2187">
        <w:rPr>
          <w:rFonts w:ascii="Segoe UI" w:hAnsi="Segoe UI" w:cs="Segoe UI"/>
        </w:rPr>
        <w:t xml:space="preserve">in the </w:t>
      </w:r>
      <w:r w:rsidR="003046B0" w:rsidRPr="00DB2187">
        <w:rPr>
          <w:rFonts w:ascii="Segoe UI" w:hAnsi="Segoe UI" w:cs="Segoe UI"/>
        </w:rPr>
        <w:t>Hebrew Bible and</w:t>
      </w:r>
      <w:r w:rsidR="00AA33F2" w:rsidRPr="00DB2187">
        <w:rPr>
          <w:rFonts w:ascii="Segoe UI" w:hAnsi="Segoe UI" w:cs="Segoe UI"/>
        </w:rPr>
        <w:t xml:space="preserve"> will argue that the </w:t>
      </w:r>
      <w:r w:rsidR="00820484" w:rsidRPr="00DB2187">
        <w:rPr>
          <w:rFonts w:ascii="Segoe UI" w:hAnsi="Segoe UI" w:cs="Segoe UI"/>
        </w:rPr>
        <w:t xml:space="preserve">stories of these figures </w:t>
      </w:r>
      <w:r w:rsidR="006C3711" w:rsidRPr="00DB2187">
        <w:rPr>
          <w:rFonts w:ascii="Segoe UI" w:hAnsi="Segoe UI" w:cs="Segoe UI"/>
        </w:rPr>
        <w:t>induce a collective social memory that acts as a reminder to both the people of Israel and God himself of the covenants between them, and</w:t>
      </w:r>
      <w:r w:rsidR="00DB2187" w:rsidRPr="00DB2187">
        <w:rPr>
          <w:rFonts w:ascii="Segoe UI" w:hAnsi="Segoe UI" w:cs="Segoe UI"/>
        </w:rPr>
        <w:t xml:space="preserve"> thus showcases divine promise and fulfilment.</w:t>
      </w:r>
      <w:r w:rsidR="00063B80">
        <w:rPr>
          <w:rFonts w:ascii="Segoe UI" w:hAnsi="Segoe UI" w:cs="Segoe UI"/>
        </w:rPr>
        <w:t xml:space="preserve"> </w:t>
      </w:r>
    </w:p>
    <w:p w14:paraId="11D16996" w14:textId="01CB989C" w:rsidR="00AB53B1" w:rsidRDefault="00EF175F" w:rsidP="00F6212D">
      <w:pPr>
        <w:rPr>
          <w:rFonts w:ascii="Segoe UI" w:hAnsi="Segoe UI" w:cs="Segoe UI"/>
        </w:rPr>
      </w:pPr>
      <w:r>
        <w:rPr>
          <w:rFonts w:ascii="Segoe UI" w:hAnsi="Segoe UI" w:cs="Segoe UI"/>
        </w:rPr>
        <w:t xml:space="preserve">Firstly, the stories of the patriarchs and matriarchs </w:t>
      </w:r>
      <w:r w:rsidR="00F90D75">
        <w:rPr>
          <w:rFonts w:ascii="Segoe UI" w:hAnsi="Segoe UI" w:cs="Segoe UI"/>
        </w:rPr>
        <w:t>serve</w:t>
      </w:r>
      <w:r w:rsidR="00DE00AE">
        <w:rPr>
          <w:rFonts w:ascii="Segoe UI" w:hAnsi="Segoe UI" w:cs="Segoe UI"/>
        </w:rPr>
        <w:t>d historically</w:t>
      </w:r>
      <w:r w:rsidR="00F90D75">
        <w:rPr>
          <w:rFonts w:ascii="Segoe UI" w:hAnsi="Segoe UI" w:cs="Segoe UI"/>
        </w:rPr>
        <w:t xml:space="preserve"> to clearly define the differences between the Israelites and the pagans who surrounded them in their geographical location.</w:t>
      </w:r>
      <w:r w:rsidR="002F4EE6">
        <w:rPr>
          <w:rStyle w:val="FootnoteReference"/>
          <w:rFonts w:ascii="Segoe UI" w:hAnsi="Segoe UI" w:cs="Segoe UI"/>
        </w:rPr>
        <w:footnoteReference w:id="2"/>
      </w:r>
      <w:r w:rsidR="00F90D75">
        <w:rPr>
          <w:rFonts w:ascii="Segoe UI" w:hAnsi="Segoe UI" w:cs="Segoe UI"/>
        </w:rPr>
        <w:t xml:space="preserve"> </w:t>
      </w:r>
      <w:r w:rsidR="00A538EB">
        <w:rPr>
          <w:rFonts w:ascii="Segoe UI" w:hAnsi="Segoe UI" w:cs="Segoe UI"/>
        </w:rPr>
        <w:t>There are numerous examples of this deliberate separation throughout Genesis 12-</w:t>
      </w:r>
      <w:r w:rsidR="00F24FE4">
        <w:rPr>
          <w:rFonts w:ascii="Segoe UI" w:hAnsi="Segoe UI" w:cs="Segoe UI"/>
        </w:rPr>
        <w:t xml:space="preserve">36, one key example being the Binding of Isaac in Genesis </w:t>
      </w:r>
      <w:r w:rsidR="00002C6C">
        <w:rPr>
          <w:rFonts w:ascii="Segoe UI" w:hAnsi="Segoe UI" w:cs="Segoe UI"/>
        </w:rPr>
        <w:t xml:space="preserve">22, also known as the </w:t>
      </w:r>
      <w:r w:rsidR="00002C6C" w:rsidRPr="00275FC7">
        <w:rPr>
          <w:rFonts w:ascii="Segoe UI" w:hAnsi="Segoe UI" w:cs="Segoe UI"/>
        </w:rPr>
        <w:t>Akedah</w:t>
      </w:r>
      <w:r w:rsidR="00002C6C">
        <w:rPr>
          <w:rFonts w:ascii="Segoe UI" w:hAnsi="Segoe UI" w:cs="Segoe UI"/>
          <w:i/>
          <w:iCs/>
        </w:rPr>
        <w:t xml:space="preserve"> </w:t>
      </w:r>
      <w:r w:rsidR="00002C6C">
        <w:rPr>
          <w:rFonts w:ascii="Segoe UI" w:hAnsi="Segoe UI" w:cs="Segoe UI"/>
        </w:rPr>
        <w:t>in Jewish thought.</w:t>
      </w:r>
      <w:r w:rsidR="003046B0">
        <w:rPr>
          <w:rStyle w:val="FootnoteReference"/>
          <w:rFonts w:ascii="Segoe UI" w:hAnsi="Segoe UI" w:cs="Segoe UI"/>
        </w:rPr>
        <w:footnoteReference w:id="3"/>
      </w:r>
      <w:r w:rsidR="00002C6C">
        <w:rPr>
          <w:rFonts w:ascii="Segoe UI" w:hAnsi="Segoe UI" w:cs="Segoe UI"/>
        </w:rPr>
        <w:t xml:space="preserve"> </w:t>
      </w:r>
      <w:r w:rsidR="00C32257">
        <w:rPr>
          <w:rFonts w:ascii="Segoe UI" w:hAnsi="Segoe UI" w:cs="Segoe UI"/>
        </w:rPr>
        <w:t>In God’s messenger calling out to Abraham to stay his hand before he can sacrifice Isaac (Gen</w:t>
      </w:r>
      <w:r w:rsidR="00275FC7">
        <w:rPr>
          <w:rFonts w:ascii="Segoe UI" w:hAnsi="Segoe UI" w:cs="Segoe UI"/>
        </w:rPr>
        <w:t>.</w:t>
      </w:r>
      <w:r w:rsidR="00C32257">
        <w:rPr>
          <w:rFonts w:ascii="Segoe UI" w:hAnsi="Segoe UI" w:cs="Segoe UI"/>
        </w:rPr>
        <w:t xml:space="preserve"> </w:t>
      </w:r>
      <w:r w:rsidR="00CB7095">
        <w:rPr>
          <w:rFonts w:ascii="Segoe UI" w:hAnsi="Segoe UI" w:cs="Segoe UI"/>
        </w:rPr>
        <w:t>22.11)</w:t>
      </w:r>
      <w:r w:rsidR="006A46BC">
        <w:rPr>
          <w:rFonts w:ascii="Segoe UI" w:hAnsi="Segoe UI" w:cs="Segoe UI"/>
        </w:rPr>
        <w:t>, the Akedah effectively makes clear God’s view on human sacrifice. While he commands Abraham to kill his son, it is merely a test, and God provides instead a ram for sacrifice (</w:t>
      </w:r>
      <w:r w:rsidR="008D1D1E">
        <w:rPr>
          <w:rFonts w:ascii="Segoe UI" w:hAnsi="Segoe UI" w:cs="Segoe UI"/>
        </w:rPr>
        <w:t>Gen</w:t>
      </w:r>
      <w:r w:rsidR="00275FC7">
        <w:rPr>
          <w:rFonts w:ascii="Segoe UI" w:hAnsi="Segoe UI" w:cs="Segoe UI"/>
        </w:rPr>
        <w:t>.</w:t>
      </w:r>
      <w:r w:rsidR="008D1D1E">
        <w:rPr>
          <w:rFonts w:ascii="Segoe UI" w:hAnsi="Segoe UI" w:cs="Segoe UI"/>
        </w:rPr>
        <w:t xml:space="preserve"> 22.13). This account of the Binding of Isaac </w:t>
      </w:r>
      <w:r w:rsidR="003D686E">
        <w:rPr>
          <w:rFonts w:ascii="Segoe UI" w:hAnsi="Segoe UI" w:cs="Segoe UI"/>
        </w:rPr>
        <w:t xml:space="preserve">has been interpreted as having many different moral and social meanings, with some arguing that it serves an etiological meaning, explaining why animals are used instead of humans for sacrifice. However, </w:t>
      </w:r>
      <w:r w:rsidR="00516734">
        <w:rPr>
          <w:rFonts w:ascii="Segoe UI" w:hAnsi="Segoe UI" w:cs="Segoe UI"/>
        </w:rPr>
        <w:t xml:space="preserve">in </w:t>
      </w:r>
      <w:r w:rsidR="00516734">
        <w:rPr>
          <w:rFonts w:ascii="Segoe UI" w:hAnsi="Segoe UI" w:cs="Segoe UI"/>
          <w:i/>
          <w:iCs/>
        </w:rPr>
        <w:t xml:space="preserve">The Believer and the Modern Study of the Bible, </w:t>
      </w:r>
      <w:r w:rsidR="00516734">
        <w:rPr>
          <w:rFonts w:ascii="Segoe UI" w:hAnsi="Segoe UI" w:cs="Segoe UI"/>
        </w:rPr>
        <w:t>the authors describ</w:t>
      </w:r>
      <w:r w:rsidR="002C7945">
        <w:rPr>
          <w:rFonts w:ascii="Segoe UI" w:hAnsi="Segoe UI" w:cs="Segoe UI"/>
        </w:rPr>
        <w:t>e how this story condemns child sacrifice, which was at the time was prevalent in Canaanite culture.</w:t>
      </w:r>
      <w:r w:rsidR="00A47972">
        <w:rPr>
          <w:rStyle w:val="FootnoteReference"/>
          <w:rFonts w:ascii="Segoe UI" w:hAnsi="Segoe UI" w:cs="Segoe UI"/>
        </w:rPr>
        <w:footnoteReference w:id="4"/>
      </w:r>
      <w:r w:rsidR="002C7945">
        <w:rPr>
          <w:rFonts w:ascii="Segoe UI" w:hAnsi="Segoe UI" w:cs="Segoe UI"/>
        </w:rPr>
        <w:t xml:space="preserve"> For example, Jeremiah 7.31 and Micah 6.6-7 </w:t>
      </w:r>
      <w:r w:rsidR="00F06050">
        <w:rPr>
          <w:rFonts w:ascii="Segoe UI" w:hAnsi="Segoe UI" w:cs="Segoe UI"/>
        </w:rPr>
        <w:t>all point to the fundamental problem inherent to God’s command to sacrifice Isaac</w:t>
      </w:r>
      <w:r w:rsidR="00715ECE">
        <w:rPr>
          <w:rFonts w:ascii="Segoe UI" w:hAnsi="Segoe UI" w:cs="Segoe UI"/>
        </w:rPr>
        <w:t xml:space="preserve">, which is that </w:t>
      </w:r>
      <w:r w:rsidR="00F06050">
        <w:rPr>
          <w:rFonts w:ascii="Segoe UI" w:hAnsi="Segoe UI" w:cs="Segoe UI"/>
        </w:rPr>
        <w:t>it could be identified with the burning child sacrifice to the Canaanite god Molech.</w:t>
      </w:r>
      <w:r w:rsidR="00715ECE">
        <w:rPr>
          <w:rStyle w:val="FootnoteReference"/>
          <w:rFonts w:ascii="Segoe UI" w:hAnsi="Segoe UI" w:cs="Segoe UI"/>
        </w:rPr>
        <w:footnoteReference w:id="5"/>
      </w:r>
      <w:r w:rsidR="00F06050">
        <w:rPr>
          <w:rFonts w:ascii="Segoe UI" w:hAnsi="Segoe UI" w:cs="Segoe UI"/>
        </w:rPr>
        <w:t xml:space="preserve"> </w:t>
      </w:r>
      <w:r w:rsidR="008866E6">
        <w:rPr>
          <w:rFonts w:ascii="Segoe UI" w:hAnsi="Segoe UI" w:cs="Segoe UI"/>
        </w:rPr>
        <w:t xml:space="preserve">The </w:t>
      </w:r>
      <w:r w:rsidR="00C410BD">
        <w:rPr>
          <w:rFonts w:ascii="Segoe UI" w:hAnsi="Segoe UI" w:cs="Segoe UI"/>
        </w:rPr>
        <w:t xml:space="preserve">authors argue that, “By placing Abraham in his time and culture, the </w:t>
      </w:r>
      <w:r w:rsidR="00C410BD">
        <w:rPr>
          <w:rFonts w:ascii="Segoe UI" w:hAnsi="Segoe UI" w:cs="Segoe UI"/>
          <w:i/>
          <w:iCs/>
        </w:rPr>
        <w:t xml:space="preserve">Akedah </w:t>
      </w:r>
      <w:r w:rsidR="00C410BD">
        <w:rPr>
          <w:rFonts w:ascii="Segoe UI" w:hAnsi="Segoe UI" w:cs="Segoe UI"/>
        </w:rPr>
        <w:t>can once again be read, as it always was and will be, as a parable for eternal human devotion to God.</w:t>
      </w:r>
      <w:r w:rsidR="008866E6">
        <w:rPr>
          <w:rFonts w:ascii="Segoe UI" w:hAnsi="Segoe UI" w:cs="Segoe UI"/>
        </w:rPr>
        <w:t>”</w:t>
      </w:r>
      <w:r w:rsidR="008866E6">
        <w:rPr>
          <w:rStyle w:val="FootnoteReference"/>
          <w:rFonts w:ascii="Segoe UI" w:hAnsi="Segoe UI" w:cs="Segoe UI"/>
        </w:rPr>
        <w:footnoteReference w:id="6"/>
      </w:r>
      <w:r w:rsidR="008866E6">
        <w:rPr>
          <w:rFonts w:ascii="Segoe UI" w:hAnsi="Segoe UI" w:cs="Segoe UI"/>
        </w:rPr>
        <w:t xml:space="preserve"> </w:t>
      </w:r>
      <w:r w:rsidR="0040609C">
        <w:rPr>
          <w:rFonts w:ascii="Segoe UI" w:hAnsi="Segoe UI" w:cs="Segoe UI"/>
        </w:rPr>
        <w:t xml:space="preserve">Using historical context therefore, we can ascertain that the </w:t>
      </w:r>
      <w:r w:rsidR="00005016">
        <w:rPr>
          <w:rFonts w:ascii="Segoe UI" w:hAnsi="Segoe UI" w:cs="Segoe UI"/>
        </w:rPr>
        <w:t xml:space="preserve">story </w:t>
      </w:r>
      <w:r w:rsidR="0040609C">
        <w:rPr>
          <w:rFonts w:ascii="Segoe UI" w:hAnsi="Segoe UI" w:cs="Segoe UI"/>
        </w:rPr>
        <w:t xml:space="preserve">of the Binding of Isaac </w:t>
      </w:r>
      <w:r w:rsidR="00005016">
        <w:rPr>
          <w:rFonts w:ascii="Segoe UI" w:hAnsi="Segoe UI" w:cs="Segoe UI"/>
        </w:rPr>
        <w:t xml:space="preserve">in Genesis 22 </w:t>
      </w:r>
      <w:r w:rsidR="00472FAB">
        <w:rPr>
          <w:rFonts w:ascii="Segoe UI" w:hAnsi="Segoe UI" w:cs="Segoe UI"/>
        </w:rPr>
        <w:t xml:space="preserve">was likely written to separate pagan beliefs, particularly the Canaanite </w:t>
      </w:r>
      <w:r w:rsidR="00631790">
        <w:rPr>
          <w:rFonts w:ascii="Segoe UI" w:hAnsi="Segoe UI" w:cs="Segoe UI"/>
        </w:rPr>
        <w:t xml:space="preserve">belief in child sacrifice, from Israelite beliefs. </w:t>
      </w:r>
      <w:r w:rsidR="002D6616">
        <w:rPr>
          <w:rFonts w:ascii="Segoe UI" w:hAnsi="Segoe UI" w:cs="Segoe UI"/>
        </w:rPr>
        <w:t xml:space="preserve">Furthermore, </w:t>
      </w:r>
      <w:r w:rsidR="00607B5B">
        <w:rPr>
          <w:rFonts w:ascii="Segoe UI" w:hAnsi="Segoe UI" w:cs="Segoe UI"/>
        </w:rPr>
        <w:t xml:space="preserve">James B Jordan argued that the stories of the patriarchs acted </w:t>
      </w:r>
      <w:r w:rsidR="005D3B0E">
        <w:rPr>
          <w:rFonts w:ascii="Segoe UI" w:hAnsi="Segoe UI" w:cs="Segoe UI"/>
        </w:rPr>
        <w:t>to</w:t>
      </w:r>
      <w:r w:rsidR="00607B5B">
        <w:rPr>
          <w:rFonts w:ascii="Segoe UI" w:hAnsi="Segoe UI" w:cs="Segoe UI"/>
        </w:rPr>
        <w:t xml:space="preserve"> separate the Israelites from pagan ideals of heroism and honour.</w:t>
      </w:r>
      <w:r w:rsidR="00C67F1B">
        <w:rPr>
          <w:rStyle w:val="FootnoteReference"/>
          <w:rFonts w:ascii="Segoe UI" w:hAnsi="Segoe UI" w:cs="Segoe UI"/>
        </w:rPr>
        <w:footnoteReference w:id="7"/>
      </w:r>
      <w:r w:rsidR="005D3B0E">
        <w:rPr>
          <w:rFonts w:ascii="Segoe UI" w:hAnsi="Segoe UI" w:cs="Segoe UI"/>
        </w:rPr>
        <w:t xml:space="preserve"> </w:t>
      </w:r>
      <w:r w:rsidR="00AB53B1">
        <w:rPr>
          <w:rFonts w:ascii="Segoe UI" w:hAnsi="Segoe UI" w:cs="Segoe UI"/>
        </w:rPr>
        <w:t xml:space="preserve">For example, Jordan states, </w:t>
      </w:r>
    </w:p>
    <w:p w14:paraId="11C120FB" w14:textId="45FD37B6" w:rsidR="00DB2187" w:rsidRDefault="00AB53B1" w:rsidP="00AB53B1">
      <w:pPr>
        <w:ind w:left="720"/>
        <w:rPr>
          <w:rFonts w:ascii="Segoe UI" w:hAnsi="Segoe UI" w:cs="Segoe UI"/>
        </w:rPr>
      </w:pPr>
      <w:r>
        <w:rPr>
          <w:rFonts w:ascii="Segoe UI" w:hAnsi="Segoe UI" w:cs="Segoe UI"/>
        </w:rPr>
        <w:lastRenderedPageBreak/>
        <w:t>From the pagan point of view, Abram did not act honourably when he told Sarai to tell Pharaoh that she was his sister and not his wife […] he was acting in faith to preserve God’s kingdom. And God vindicated him.</w:t>
      </w:r>
      <w:r>
        <w:rPr>
          <w:rStyle w:val="FootnoteReference"/>
          <w:rFonts w:ascii="Segoe UI" w:hAnsi="Segoe UI" w:cs="Segoe UI"/>
        </w:rPr>
        <w:footnoteReference w:id="8"/>
      </w:r>
    </w:p>
    <w:p w14:paraId="5CC7A4B1" w14:textId="6456C8F6" w:rsidR="00285027" w:rsidRDefault="00B51AC3" w:rsidP="00B51AC3">
      <w:pPr>
        <w:rPr>
          <w:rFonts w:ascii="Segoe UI" w:hAnsi="Segoe UI" w:cs="Segoe UI"/>
        </w:rPr>
      </w:pPr>
      <w:r>
        <w:rPr>
          <w:rFonts w:ascii="Segoe UI" w:hAnsi="Segoe UI" w:cs="Segoe UI"/>
        </w:rPr>
        <w:t xml:space="preserve">Finally, the </w:t>
      </w:r>
      <w:r w:rsidR="00F02D74">
        <w:rPr>
          <w:rFonts w:ascii="Segoe UI" w:hAnsi="Segoe UI" w:cs="Segoe UI"/>
        </w:rPr>
        <w:t xml:space="preserve">constant relocation of the patriarchs is also vital, according to Jordan, </w:t>
      </w:r>
      <w:r w:rsidR="00285027">
        <w:rPr>
          <w:rFonts w:ascii="Segoe UI" w:hAnsi="Segoe UI" w:cs="Segoe UI"/>
        </w:rPr>
        <w:t>in understanding how the stories helped to separate the Israelites from their pagan neighbours.</w:t>
      </w:r>
      <w:r w:rsidR="00F6212D">
        <w:rPr>
          <w:rFonts w:ascii="Segoe UI" w:hAnsi="Segoe UI" w:cs="Segoe UI"/>
        </w:rPr>
        <w:t xml:space="preserve"> </w:t>
      </w:r>
      <w:r w:rsidR="00285027">
        <w:rPr>
          <w:rFonts w:ascii="Segoe UI" w:hAnsi="Segoe UI" w:cs="Segoe UI"/>
        </w:rPr>
        <w:t xml:space="preserve">Jordan argues that as the pagan does not trust in God, he makes his own country and kin paramount; for example, in the </w:t>
      </w:r>
      <w:r w:rsidR="00285027">
        <w:rPr>
          <w:rFonts w:ascii="Segoe UI" w:hAnsi="Segoe UI" w:cs="Segoe UI"/>
          <w:i/>
          <w:iCs/>
        </w:rPr>
        <w:t xml:space="preserve">Odyssey, </w:t>
      </w:r>
      <w:r w:rsidR="00285027">
        <w:rPr>
          <w:rFonts w:ascii="Segoe UI" w:hAnsi="Segoe UI" w:cs="Segoe UI"/>
        </w:rPr>
        <w:t>Odysseus’ only goal is to return home.</w:t>
      </w:r>
      <w:r w:rsidR="00671CEC">
        <w:rPr>
          <w:rStyle w:val="FootnoteReference"/>
          <w:rFonts w:ascii="Segoe UI" w:hAnsi="Segoe UI" w:cs="Segoe UI"/>
        </w:rPr>
        <w:footnoteReference w:id="9"/>
      </w:r>
      <w:r w:rsidR="00671CEC">
        <w:rPr>
          <w:rFonts w:ascii="Segoe UI" w:hAnsi="Segoe UI" w:cs="Segoe UI"/>
        </w:rPr>
        <w:t xml:space="preserve"> </w:t>
      </w:r>
      <w:r w:rsidR="00FF0FC8">
        <w:rPr>
          <w:rFonts w:ascii="Segoe UI" w:hAnsi="Segoe UI" w:cs="Segoe UI"/>
        </w:rPr>
        <w:t xml:space="preserve">In contrast, the stories of the relocations of the patriarchs, particularly </w:t>
      </w:r>
      <w:r w:rsidR="004A77E2">
        <w:rPr>
          <w:rFonts w:ascii="Segoe UI" w:hAnsi="Segoe UI" w:cs="Segoe UI"/>
        </w:rPr>
        <w:t xml:space="preserve">those of Abraham and </w:t>
      </w:r>
      <w:r w:rsidR="00E3336D">
        <w:rPr>
          <w:rFonts w:ascii="Segoe UI" w:hAnsi="Segoe UI" w:cs="Segoe UI"/>
        </w:rPr>
        <w:t>Jacob, suggest that the Israelites should be “willing, like Abram, to leave family and country behind to serve God.”</w:t>
      </w:r>
      <w:r w:rsidR="00E3336D">
        <w:rPr>
          <w:rStyle w:val="FootnoteReference"/>
          <w:rFonts w:ascii="Segoe UI" w:hAnsi="Segoe UI" w:cs="Segoe UI"/>
        </w:rPr>
        <w:footnoteReference w:id="10"/>
      </w:r>
      <w:r w:rsidR="00393CAA">
        <w:rPr>
          <w:rFonts w:ascii="Segoe UI" w:hAnsi="Segoe UI" w:cs="Segoe UI"/>
        </w:rPr>
        <w:t xml:space="preserve"> In summary, the </w:t>
      </w:r>
      <w:r w:rsidR="00542CDC">
        <w:rPr>
          <w:rFonts w:ascii="Segoe UI" w:hAnsi="Segoe UI" w:cs="Segoe UI"/>
        </w:rPr>
        <w:t xml:space="preserve">patriarchal narratives separated the Israelites from the pagans they were surrounded by, and so </w:t>
      </w:r>
      <w:r w:rsidR="00F76A69">
        <w:rPr>
          <w:rFonts w:ascii="Segoe UI" w:hAnsi="Segoe UI" w:cs="Segoe UI"/>
        </w:rPr>
        <w:t xml:space="preserve">are </w:t>
      </w:r>
      <w:r w:rsidR="00542CDC">
        <w:rPr>
          <w:rFonts w:ascii="Segoe UI" w:hAnsi="Segoe UI" w:cs="Segoe UI"/>
        </w:rPr>
        <w:t xml:space="preserve">significant in the Hebrew Bible, as they helped to </w:t>
      </w:r>
      <w:r w:rsidR="00F76A69">
        <w:rPr>
          <w:rFonts w:ascii="Segoe UI" w:hAnsi="Segoe UI" w:cs="Segoe UI"/>
        </w:rPr>
        <w:t xml:space="preserve">create a communal identity for the Israelites, distinct from other religions, both in the past and in the present. </w:t>
      </w:r>
    </w:p>
    <w:p w14:paraId="6D1CFE5D" w14:textId="50E3CF6E" w:rsidR="00F76A69" w:rsidRDefault="00EF3439" w:rsidP="00B51AC3">
      <w:pPr>
        <w:rPr>
          <w:rFonts w:ascii="Segoe UI" w:hAnsi="Segoe UI" w:cs="Segoe UI"/>
        </w:rPr>
      </w:pPr>
      <w:r>
        <w:rPr>
          <w:rFonts w:ascii="Segoe UI" w:hAnsi="Segoe UI" w:cs="Segoe UI"/>
        </w:rPr>
        <w:t xml:space="preserve">Secondly, the </w:t>
      </w:r>
      <w:r w:rsidR="00BF1AF5">
        <w:rPr>
          <w:rFonts w:ascii="Segoe UI" w:hAnsi="Segoe UI" w:cs="Segoe UI"/>
        </w:rPr>
        <w:t xml:space="preserve">patriarchal narratives are significant in the Hebrew Bible due to them setting the precedent for </w:t>
      </w:r>
      <w:r w:rsidR="00145CD6">
        <w:rPr>
          <w:rFonts w:ascii="Segoe UI" w:hAnsi="Segoe UI" w:cs="Segoe UI"/>
        </w:rPr>
        <w:t xml:space="preserve">Jewish thought around encounters and conversation with God. </w:t>
      </w:r>
      <w:r w:rsidR="001F43C8">
        <w:rPr>
          <w:rFonts w:ascii="Segoe UI" w:hAnsi="Segoe UI" w:cs="Segoe UI"/>
        </w:rPr>
        <w:t xml:space="preserve">The patriarchs and matriarchs often converse with God throughout Genesis, from </w:t>
      </w:r>
      <w:r w:rsidR="00415B3D">
        <w:rPr>
          <w:rFonts w:ascii="Segoe UI" w:hAnsi="Segoe UI" w:cs="Segoe UI"/>
        </w:rPr>
        <w:t>Genesis 18 when the Lord visits Abraham and Sarah</w:t>
      </w:r>
      <w:r w:rsidR="009958D4">
        <w:rPr>
          <w:rFonts w:ascii="Segoe UI" w:hAnsi="Segoe UI" w:cs="Segoe UI"/>
        </w:rPr>
        <w:t xml:space="preserve">, to Genesis 28 </w:t>
      </w:r>
      <w:r w:rsidR="00D001BD">
        <w:rPr>
          <w:rFonts w:ascii="Segoe UI" w:hAnsi="Segoe UI" w:cs="Segoe UI"/>
        </w:rPr>
        <w:t xml:space="preserve">when Jacob sees the famous ladder and converses with God in a </w:t>
      </w:r>
      <w:r w:rsidR="00CA55AA">
        <w:rPr>
          <w:rFonts w:ascii="Segoe UI" w:hAnsi="Segoe UI" w:cs="Segoe UI"/>
        </w:rPr>
        <w:t>dream, and finally to Jacob’s wrestling with God in Genesis 32.</w:t>
      </w:r>
      <w:r w:rsidR="00202471">
        <w:rPr>
          <w:rFonts w:ascii="Segoe UI" w:hAnsi="Segoe UI" w:cs="Segoe UI"/>
        </w:rPr>
        <w:t xml:space="preserve"> </w:t>
      </w:r>
      <w:r w:rsidR="008F072B">
        <w:rPr>
          <w:rFonts w:ascii="Segoe UI" w:hAnsi="Segoe UI" w:cs="Segoe UI"/>
        </w:rPr>
        <w:t>These encounters with God have been greatly influential in how Jewish people talk to God, both in private and public worship. While there is a great deal of respect given to God, there is also a</w:t>
      </w:r>
      <w:r w:rsidR="00F83EFF">
        <w:rPr>
          <w:rFonts w:ascii="Segoe UI" w:hAnsi="Segoe UI" w:cs="Segoe UI"/>
        </w:rPr>
        <w:t xml:space="preserve">n element of negotiation; for example, mirroring Abraham when he tries to persuade God to </w:t>
      </w:r>
      <w:r w:rsidR="007F43A2">
        <w:rPr>
          <w:rFonts w:ascii="Segoe UI" w:hAnsi="Segoe UI" w:cs="Segoe UI"/>
        </w:rPr>
        <w:t>spare the people of Sodom and Gomorrah in Genesis 18</w:t>
      </w:r>
      <w:r w:rsidR="004B38CF">
        <w:rPr>
          <w:rFonts w:ascii="Segoe UI" w:hAnsi="Segoe UI" w:cs="Segoe UI"/>
        </w:rPr>
        <w:t xml:space="preserve">, or </w:t>
      </w:r>
      <w:r w:rsidR="000B74A7">
        <w:rPr>
          <w:rFonts w:ascii="Segoe UI" w:hAnsi="Segoe UI" w:cs="Segoe UI"/>
        </w:rPr>
        <w:t xml:space="preserve">Jacob, who after his vision of an angelic ladder, tells God that if He will protect him on his journey, </w:t>
      </w:r>
      <w:r w:rsidR="00BD4AEF">
        <w:rPr>
          <w:rFonts w:ascii="Segoe UI" w:hAnsi="Segoe UI" w:cs="Segoe UI"/>
        </w:rPr>
        <w:t>he’ll give everything he has to God (Gen. 28.20-22). This has</w:t>
      </w:r>
      <w:r w:rsidR="00945F94">
        <w:rPr>
          <w:rFonts w:ascii="Segoe UI" w:hAnsi="Segoe UI" w:cs="Segoe UI"/>
        </w:rPr>
        <w:t xml:space="preserve"> </w:t>
      </w:r>
      <w:r w:rsidR="00BD4AEF">
        <w:rPr>
          <w:rFonts w:ascii="Segoe UI" w:hAnsi="Segoe UI" w:cs="Segoe UI"/>
        </w:rPr>
        <w:t>shaped how Jewish people speak to God, as Rabbi Evan Krame argues, “calling out to God is part of our emotional and spiritual DNA. […] Speaking to God, even bargaining with God, is sound spirituality.”</w:t>
      </w:r>
      <w:r w:rsidR="00A20BB9">
        <w:rPr>
          <w:rStyle w:val="FootnoteReference"/>
          <w:rFonts w:ascii="Segoe UI" w:hAnsi="Segoe UI" w:cs="Segoe UI"/>
        </w:rPr>
        <w:footnoteReference w:id="11"/>
      </w:r>
      <w:r w:rsidR="00BD4AEF">
        <w:rPr>
          <w:rFonts w:ascii="Segoe UI" w:hAnsi="Segoe UI" w:cs="Segoe UI"/>
        </w:rPr>
        <w:t xml:space="preserve"> </w:t>
      </w:r>
      <w:r w:rsidR="008A31B4">
        <w:rPr>
          <w:rFonts w:ascii="Segoe UI" w:hAnsi="Segoe UI" w:cs="Segoe UI"/>
        </w:rPr>
        <w:t>In addition, questioning of God is something that is represented in the patriarchal narratives, by</w:t>
      </w:r>
      <w:r w:rsidR="003046B0">
        <w:rPr>
          <w:rFonts w:ascii="Segoe UI" w:hAnsi="Segoe UI" w:cs="Segoe UI"/>
        </w:rPr>
        <w:t xml:space="preserve"> both</w:t>
      </w:r>
      <w:r w:rsidR="008A31B4">
        <w:rPr>
          <w:rFonts w:ascii="Segoe UI" w:hAnsi="Segoe UI" w:cs="Segoe UI"/>
        </w:rPr>
        <w:t xml:space="preserve"> the patriarchs and matriarchs. </w:t>
      </w:r>
      <w:r w:rsidR="0008377E">
        <w:rPr>
          <w:rFonts w:ascii="Segoe UI" w:hAnsi="Segoe UI" w:cs="Segoe UI"/>
        </w:rPr>
        <w:t>Sarah laughed at God’s proclamation that she w</w:t>
      </w:r>
      <w:r w:rsidR="00844110">
        <w:rPr>
          <w:rFonts w:ascii="Segoe UI" w:hAnsi="Segoe UI" w:cs="Segoe UI"/>
        </w:rPr>
        <w:t>ould</w:t>
      </w:r>
      <w:r w:rsidR="0008377E">
        <w:rPr>
          <w:rFonts w:ascii="Segoe UI" w:hAnsi="Segoe UI" w:cs="Segoe UI"/>
        </w:rPr>
        <w:t xml:space="preserve"> conceive (Gen</w:t>
      </w:r>
      <w:r w:rsidR="00844110">
        <w:rPr>
          <w:rFonts w:ascii="Segoe UI" w:hAnsi="Segoe UI" w:cs="Segoe UI"/>
        </w:rPr>
        <w:t xml:space="preserve"> 18.12)</w:t>
      </w:r>
      <w:r w:rsidR="00BF08E0">
        <w:rPr>
          <w:rFonts w:ascii="Segoe UI" w:hAnsi="Segoe UI" w:cs="Segoe UI"/>
        </w:rPr>
        <w:t xml:space="preserve">. Jacob wrestled with God, showing that he, even as a great patriarch and the father of the twelve tribes of Israel, still struggled both literally and metaphorically with God. </w:t>
      </w:r>
      <w:r w:rsidR="00A20BB9">
        <w:rPr>
          <w:rFonts w:ascii="Segoe UI" w:hAnsi="Segoe UI" w:cs="Segoe UI"/>
        </w:rPr>
        <w:t xml:space="preserve">The patriarchal narratives in this respect </w:t>
      </w:r>
      <w:r w:rsidR="00A51541">
        <w:rPr>
          <w:rFonts w:ascii="Segoe UI" w:hAnsi="Segoe UI" w:cs="Segoe UI"/>
        </w:rPr>
        <w:t xml:space="preserve">sanction and even encourage questioning and negotiation with God, setting the stage for Jewish thought around conversation with God for centuries to come. </w:t>
      </w:r>
    </w:p>
    <w:p w14:paraId="01A0DDEF" w14:textId="293D3D30" w:rsidR="00393498" w:rsidRDefault="005A245D" w:rsidP="00B51AC3">
      <w:pPr>
        <w:rPr>
          <w:rFonts w:ascii="Segoe UI" w:hAnsi="Segoe UI" w:cs="Segoe UI"/>
        </w:rPr>
      </w:pPr>
      <w:r>
        <w:rPr>
          <w:rFonts w:ascii="Segoe UI" w:hAnsi="Segoe UI" w:cs="Segoe UI"/>
        </w:rPr>
        <w:t xml:space="preserve">The books Genesis 12-36 are often named the patriarchal narratives; however this arguably is misleading, </w:t>
      </w:r>
      <w:r w:rsidR="006E1FA2">
        <w:rPr>
          <w:rFonts w:ascii="Segoe UI" w:hAnsi="Segoe UI" w:cs="Segoe UI"/>
        </w:rPr>
        <w:t>as the stories also focus on the lives of the matriarchs</w:t>
      </w:r>
      <w:r w:rsidR="00F62F36">
        <w:rPr>
          <w:rFonts w:ascii="Segoe UI" w:hAnsi="Segoe UI" w:cs="Segoe UI"/>
        </w:rPr>
        <w:t xml:space="preserve">, including Sarah, Rebekah, Leah and Rachel. </w:t>
      </w:r>
      <w:r w:rsidR="00242C2D">
        <w:rPr>
          <w:rFonts w:ascii="Segoe UI" w:hAnsi="Segoe UI" w:cs="Segoe UI"/>
        </w:rPr>
        <w:t>Lesser known than Sarah, Rebekah, Leah</w:t>
      </w:r>
      <w:r w:rsidR="000E081F">
        <w:rPr>
          <w:rFonts w:ascii="Segoe UI" w:hAnsi="Segoe UI" w:cs="Segoe UI"/>
        </w:rPr>
        <w:t>,</w:t>
      </w:r>
      <w:r w:rsidR="00242C2D">
        <w:rPr>
          <w:rFonts w:ascii="Segoe UI" w:hAnsi="Segoe UI" w:cs="Segoe UI"/>
        </w:rPr>
        <w:t xml:space="preserve"> and Rachel all feature in the narratives, with their stories shaped by one thing: their ability to conceive</w:t>
      </w:r>
      <w:r w:rsidR="00893AF5">
        <w:rPr>
          <w:rFonts w:ascii="Segoe UI" w:hAnsi="Segoe UI" w:cs="Segoe UI"/>
        </w:rPr>
        <w:t xml:space="preserve">. </w:t>
      </w:r>
      <w:r w:rsidR="00616325">
        <w:rPr>
          <w:rFonts w:ascii="Segoe UI" w:hAnsi="Segoe UI" w:cs="Segoe UI"/>
        </w:rPr>
        <w:t xml:space="preserve">The </w:t>
      </w:r>
      <w:r w:rsidR="002D3B3E">
        <w:rPr>
          <w:rFonts w:ascii="Segoe UI" w:hAnsi="Segoe UI" w:cs="Segoe UI"/>
        </w:rPr>
        <w:t xml:space="preserve">plotlines of </w:t>
      </w:r>
      <w:r w:rsidR="002D3B3E">
        <w:rPr>
          <w:rFonts w:ascii="Segoe UI" w:hAnsi="Segoe UI" w:cs="Segoe UI"/>
        </w:rPr>
        <w:lastRenderedPageBreak/>
        <w:t xml:space="preserve">Leah and Rachel in particular </w:t>
      </w:r>
      <w:r w:rsidR="00843A1F">
        <w:rPr>
          <w:rFonts w:ascii="Segoe UI" w:hAnsi="Segoe UI" w:cs="Segoe UI"/>
        </w:rPr>
        <w:t xml:space="preserve">emphasise God’s power over a woman’s ability to conceive; it could be argued that in fact this was deliberately orchestrated to present God as supreme, as he alone could limit </w:t>
      </w:r>
      <w:r w:rsidR="00881DA0">
        <w:rPr>
          <w:rFonts w:ascii="Segoe UI" w:hAnsi="Segoe UI" w:cs="Segoe UI"/>
        </w:rPr>
        <w:t xml:space="preserve">or </w:t>
      </w:r>
      <w:r w:rsidR="00843A1F">
        <w:rPr>
          <w:rFonts w:ascii="Segoe UI" w:hAnsi="Segoe UI" w:cs="Segoe UI"/>
        </w:rPr>
        <w:t xml:space="preserve">allow female creative power. </w:t>
      </w:r>
      <w:r w:rsidR="00881DA0">
        <w:rPr>
          <w:rFonts w:ascii="Segoe UI" w:hAnsi="Segoe UI" w:cs="Segoe UI"/>
        </w:rPr>
        <w:t xml:space="preserve">Furthermore, </w:t>
      </w:r>
      <w:r w:rsidR="00B826E7">
        <w:rPr>
          <w:rFonts w:ascii="Segoe UI" w:hAnsi="Segoe UI" w:cs="Segoe UI"/>
        </w:rPr>
        <w:t xml:space="preserve">the emphasis on barrenness throughout the narratives of Leah and Rachel </w:t>
      </w:r>
      <w:r w:rsidR="00B20570">
        <w:rPr>
          <w:rFonts w:ascii="Segoe UI" w:hAnsi="Segoe UI" w:cs="Segoe UI"/>
        </w:rPr>
        <w:t xml:space="preserve">highlights the key concern for the patriarchs and matriarchs: the issue of descendants. </w:t>
      </w:r>
      <w:r w:rsidR="001076CD">
        <w:rPr>
          <w:rFonts w:ascii="Segoe UI" w:hAnsi="Segoe UI" w:cs="Segoe UI"/>
        </w:rPr>
        <w:t xml:space="preserve">The stories of the matriarchs and patriarchs establish the importance of genealogy and descendants to create a collective identity for Jewish people. </w:t>
      </w:r>
      <w:r w:rsidR="00AB7C90">
        <w:rPr>
          <w:rFonts w:ascii="Segoe UI" w:hAnsi="Segoe UI" w:cs="Segoe UI"/>
        </w:rPr>
        <w:t>These narrative</w:t>
      </w:r>
      <w:r w:rsidR="003D5859">
        <w:rPr>
          <w:rFonts w:ascii="Segoe UI" w:hAnsi="Segoe UI" w:cs="Segoe UI"/>
        </w:rPr>
        <w:t>s</w:t>
      </w:r>
      <w:r w:rsidR="00AB7C90">
        <w:rPr>
          <w:rFonts w:ascii="Segoe UI" w:hAnsi="Segoe UI" w:cs="Segoe UI"/>
        </w:rPr>
        <w:t xml:space="preserve"> also offer</w:t>
      </w:r>
      <w:r w:rsidR="00A36AD9">
        <w:rPr>
          <w:rFonts w:ascii="Segoe UI" w:hAnsi="Segoe UI" w:cs="Segoe UI"/>
        </w:rPr>
        <w:t xml:space="preserve"> hope for women who cannot have children; as</w:t>
      </w:r>
      <w:r w:rsidR="003D5859">
        <w:rPr>
          <w:rFonts w:ascii="Segoe UI" w:hAnsi="Segoe UI" w:cs="Segoe UI"/>
        </w:rPr>
        <w:t xml:space="preserve"> Gossai argues in his book </w:t>
      </w:r>
      <w:r w:rsidR="003D5859">
        <w:rPr>
          <w:rFonts w:ascii="Segoe UI" w:hAnsi="Segoe UI" w:cs="Segoe UI"/>
          <w:i/>
          <w:iCs/>
        </w:rPr>
        <w:t xml:space="preserve">Barrenness and Blessing, </w:t>
      </w:r>
      <w:r w:rsidR="003D5859">
        <w:rPr>
          <w:rFonts w:ascii="Segoe UI" w:hAnsi="Segoe UI" w:cs="Segoe UI"/>
        </w:rPr>
        <w:t>through the patriarchal narratives, “the barren receive a promise; hope comes to those who live beyond conventional hope.”</w:t>
      </w:r>
      <w:r w:rsidR="003D5859">
        <w:rPr>
          <w:rStyle w:val="FootnoteReference"/>
          <w:rFonts w:ascii="Segoe UI" w:hAnsi="Segoe UI" w:cs="Segoe UI"/>
        </w:rPr>
        <w:footnoteReference w:id="12"/>
      </w:r>
      <w:r w:rsidR="00616325">
        <w:rPr>
          <w:rFonts w:ascii="Segoe UI" w:hAnsi="Segoe UI" w:cs="Segoe UI"/>
        </w:rPr>
        <w:t xml:space="preserve"> </w:t>
      </w:r>
      <w:r w:rsidR="00892350">
        <w:rPr>
          <w:rFonts w:ascii="Segoe UI" w:hAnsi="Segoe UI" w:cs="Segoe UI"/>
        </w:rPr>
        <w:t xml:space="preserve">To summarise, the matriarchal narrative’s focus on childbearing and barrenness </w:t>
      </w:r>
      <w:r w:rsidR="0082232D">
        <w:rPr>
          <w:rFonts w:ascii="Segoe UI" w:hAnsi="Segoe UI" w:cs="Segoe UI"/>
        </w:rPr>
        <w:t xml:space="preserve">has several purposes, </w:t>
      </w:r>
      <w:r w:rsidR="00852A91">
        <w:rPr>
          <w:rFonts w:ascii="Segoe UI" w:hAnsi="Segoe UI" w:cs="Segoe UI"/>
        </w:rPr>
        <w:t xml:space="preserve">with arguably the most important being to cement the significance of descendants and create a genealogical lineage for Jewish people. </w:t>
      </w:r>
    </w:p>
    <w:p w14:paraId="2D611C13" w14:textId="78165406" w:rsidR="007B6E49" w:rsidRDefault="00010C2D" w:rsidP="00B51AC3">
      <w:pPr>
        <w:rPr>
          <w:rFonts w:ascii="Segoe UI" w:hAnsi="Segoe UI" w:cs="Segoe UI"/>
        </w:rPr>
      </w:pPr>
      <w:r>
        <w:rPr>
          <w:rFonts w:ascii="Segoe UI" w:hAnsi="Segoe UI" w:cs="Segoe UI"/>
        </w:rPr>
        <w:t>Finally, the stories of the patriarchs serve as a reminder later in the Hebrew Bible of the covenant</w:t>
      </w:r>
      <w:r w:rsidR="004C1BE8">
        <w:rPr>
          <w:rFonts w:ascii="Segoe UI" w:hAnsi="Segoe UI" w:cs="Segoe UI"/>
        </w:rPr>
        <w:t xml:space="preserve">s between the God of Israel and his people. </w:t>
      </w:r>
      <w:r w:rsidR="00B11EAC">
        <w:rPr>
          <w:rFonts w:ascii="Segoe UI" w:hAnsi="Segoe UI" w:cs="Segoe UI"/>
        </w:rPr>
        <w:t>In Exodus, God calls to Moses after hearing the groaning of his people under slavery</w:t>
      </w:r>
      <w:r w:rsidR="00C41117">
        <w:rPr>
          <w:rFonts w:ascii="Segoe UI" w:hAnsi="Segoe UI" w:cs="Segoe UI"/>
        </w:rPr>
        <w:t>, and it states clearly that “God remembered his covenant with Abraham, Isaac, and Jacob. God looked upon the Israelites and God took notice of them.” (Ex. 2.25)</w:t>
      </w:r>
      <w:r w:rsidR="00D36DF4">
        <w:rPr>
          <w:rFonts w:ascii="Segoe UI" w:hAnsi="Segoe UI" w:cs="Segoe UI"/>
        </w:rPr>
        <w:t xml:space="preserve"> In addition, when God orders Moses to speak to the Israelites, </w:t>
      </w:r>
      <w:r w:rsidR="007F0553">
        <w:rPr>
          <w:rFonts w:ascii="Segoe UI" w:hAnsi="Segoe UI" w:cs="Segoe UI"/>
        </w:rPr>
        <w:t>He tells Moses to say that he is the God of their ancestors</w:t>
      </w:r>
      <w:r w:rsidR="00F30C87">
        <w:rPr>
          <w:rFonts w:ascii="Segoe UI" w:hAnsi="Segoe UI" w:cs="Segoe UI"/>
        </w:rPr>
        <w:t xml:space="preserve">- </w:t>
      </w:r>
      <w:r w:rsidR="007F0553">
        <w:rPr>
          <w:rFonts w:ascii="Segoe UI" w:hAnsi="Segoe UI" w:cs="Segoe UI"/>
        </w:rPr>
        <w:t>“the God of Abraham, the God of Isaac, and the God of Jacob, has sent me to you</w:t>
      </w:r>
      <w:r w:rsidR="00F30C87">
        <w:rPr>
          <w:rFonts w:ascii="Segoe UI" w:hAnsi="Segoe UI" w:cs="Segoe UI"/>
        </w:rPr>
        <w:t>.” (Ex. 3.15) Th</w:t>
      </w:r>
      <w:r w:rsidR="008A407D">
        <w:rPr>
          <w:rFonts w:ascii="Segoe UI" w:hAnsi="Segoe UI" w:cs="Segoe UI"/>
        </w:rPr>
        <w:t xml:space="preserve">ese examples from Exodus </w:t>
      </w:r>
      <w:r w:rsidR="004A1D40">
        <w:rPr>
          <w:rFonts w:ascii="Segoe UI" w:hAnsi="Segoe UI" w:cs="Segoe UI"/>
        </w:rPr>
        <w:t xml:space="preserve">highlight how the collective memory of the patriarchs reminds both </w:t>
      </w:r>
      <w:r w:rsidR="00B24FC8">
        <w:rPr>
          <w:rFonts w:ascii="Segoe UI" w:hAnsi="Segoe UI" w:cs="Segoe UI"/>
        </w:rPr>
        <w:t>the people of Israel and their God of the covenants between them</w:t>
      </w:r>
      <w:r w:rsidR="003875FC">
        <w:rPr>
          <w:rFonts w:ascii="Segoe UI" w:hAnsi="Segoe UI" w:cs="Segoe UI"/>
        </w:rPr>
        <w:t xml:space="preserve">. </w:t>
      </w:r>
    </w:p>
    <w:p w14:paraId="042FB93F" w14:textId="05D04039" w:rsidR="00873A1D" w:rsidRDefault="00BA1A0D" w:rsidP="00B51AC3">
      <w:pPr>
        <w:rPr>
          <w:rFonts w:ascii="Segoe UI" w:hAnsi="Segoe UI" w:cs="Segoe UI"/>
        </w:rPr>
      </w:pPr>
      <w:r>
        <w:rPr>
          <w:rFonts w:ascii="Segoe UI" w:hAnsi="Segoe UI" w:cs="Segoe UI"/>
        </w:rPr>
        <w:t xml:space="preserve">In conclusion, </w:t>
      </w:r>
      <w:r w:rsidR="008A6C14">
        <w:rPr>
          <w:rFonts w:ascii="Segoe UI" w:hAnsi="Segoe UI" w:cs="Segoe UI"/>
        </w:rPr>
        <w:t>the patriarchs and matriarchs are significant in the Hebrew Bible as their stories</w:t>
      </w:r>
      <w:r w:rsidR="009D2F20">
        <w:rPr>
          <w:rFonts w:ascii="Segoe UI" w:hAnsi="Segoe UI" w:cs="Segoe UI"/>
        </w:rPr>
        <w:t xml:space="preserve"> </w:t>
      </w:r>
      <w:r w:rsidR="00D2428E">
        <w:rPr>
          <w:rFonts w:ascii="Segoe UI" w:hAnsi="Segoe UI" w:cs="Segoe UI"/>
        </w:rPr>
        <w:t xml:space="preserve">have shaped how Jewish people </w:t>
      </w:r>
      <w:r w:rsidR="00E46D96">
        <w:rPr>
          <w:rFonts w:ascii="Segoe UI" w:hAnsi="Segoe UI" w:cs="Segoe UI"/>
        </w:rPr>
        <w:t xml:space="preserve">view themselves and their God. When it comes to viewing themselves, </w:t>
      </w:r>
      <w:r w:rsidR="00AC77F3">
        <w:rPr>
          <w:rFonts w:ascii="Segoe UI" w:hAnsi="Segoe UI" w:cs="Segoe UI"/>
        </w:rPr>
        <w:t>Jewish people historically could separate themselves from the</w:t>
      </w:r>
      <w:r w:rsidR="00471466">
        <w:rPr>
          <w:rFonts w:ascii="Segoe UI" w:hAnsi="Segoe UI" w:cs="Segoe UI"/>
        </w:rPr>
        <w:t xml:space="preserve">ir pagan neighbours, and in the present can have a communal identity </w:t>
      </w:r>
      <w:r w:rsidR="00C13D5F">
        <w:rPr>
          <w:rFonts w:ascii="Segoe UI" w:hAnsi="Segoe UI" w:cs="Segoe UI"/>
        </w:rPr>
        <w:t xml:space="preserve">from their knowledge of their origins in Abraham and Sarah, and in Jacob, father of the twelve tribes of Israel. </w:t>
      </w:r>
      <w:r w:rsidR="00FF4751">
        <w:rPr>
          <w:rFonts w:ascii="Segoe UI" w:hAnsi="Segoe UI" w:cs="Segoe UI"/>
        </w:rPr>
        <w:t xml:space="preserve">In addition, the patriarchal and matriarchal narratives </w:t>
      </w:r>
      <w:r w:rsidR="00C75343">
        <w:rPr>
          <w:rFonts w:ascii="Segoe UI" w:hAnsi="Segoe UI" w:cs="Segoe UI"/>
        </w:rPr>
        <w:t>have given Jewish people a lens through which to see their God</w:t>
      </w:r>
      <w:r w:rsidR="007B6E49">
        <w:rPr>
          <w:rFonts w:ascii="Segoe UI" w:hAnsi="Segoe UI" w:cs="Segoe UI"/>
        </w:rPr>
        <w:t xml:space="preserve">, and their relationship with him, through reminders of the covenant he made with the patriarchs of Israel. </w:t>
      </w:r>
    </w:p>
    <w:p w14:paraId="213C8168" w14:textId="241098AA" w:rsidR="007B6E49" w:rsidRDefault="007B6E49" w:rsidP="00B51AC3">
      <w:pPr>
        <w:rPr>
          <w:rFonts w:ascii="Segoe UI" w:hAnsi="Segoe UI" w:cs="Segoe UI"/>
        </w:rPr>
      </w:pPr>
    </w:p>
    <w:p w14:paraId="2BBD7A84" w14:textId="1F11DBBE" w:rsidR="00602445" w:rsidRDefault="00602445" w:rsidP="00B51AC3">
      <w:pPr>
        <w:rPr>
          <w:rFonts w:ascii="Segoe UI" w:hAnsi="Segoe UI" w:cs="Segoe UI"/>
        </w:rPr>
      </w:pPr>
    </w:p>
    <w:p w14:paraId="0B27CDEF" w14:textId="11140F5C" w:rsidR="00602445" w:rsidRDefault="00602445" w:rsidP="00B51AC3">
      <w:pPr>
        <w:rPr>
          <w:rFonts w:ascii="Segoe UI" w:hAnsi="Segoe UI" w:cs="Segoe UI"/>
        </w:rPr>
      </w:pPr>
    </w:p>
    <w:p w14:paraId="499E057A" w14:textId="4E44F6FB" w:rsidR="00602445" w:rsidRDefault="00602445" w:rsidP="00B51AC3">
      <w:pPr>
        <w:rPr>
          <w:rFonts w:ascii="Segoe UI" w:hAnsi="Segoe UI" w:cs="Segoe UI"/>
        </w:rPr>
      </w:pPr>
    </w:p>
    <w:p w14:paraId="46C3D6F8" w14:textId="621AD57D" w:rsidR="00602445" w:rsidRDefault="00602445" w:rsidP="00B51AC3">
      <w:pPr>
        <w:rPr>
          <w:rFonts w:ascii="Segoe UI" w:hAnsi="Segoe UI" w:cs="Segoe UI"/>
        </w:rPr>
      </w:pPr>
    </w:p>
    <w:p w14:paraId="7E68FDBB" w14:textId="77777777" w:rsidR="00602445" w:rsidRPr="00096E32" w:rsidRDefault="00602445" w:rsidP="00602445">
      <w:pPr>
        <w:pStyle w:val="NormalWeb"/>
        <w:spacing w:before="0" w:beforeAutospacing="0" w:after="240" w:afterAutospacing="0" w:line="360" w:lineRule="auto"/>
        <w:rPr>
          <w:rFonts w:ascii="Segoe UI" w:hAnsi="Segoe UI" w:cs="Segoe UI"/>
          <w:sz w:val="36"/>
          <w:szCs w:val="36"/>
        </w:rPr>
      </w:pPr>
      <w:r w:rsidRPr="00096E32">
        <w:rPr>
          <w:rFonts w:ascii="Segoe UI" w:hAnsi="Segoe UI" w:cs="Segoe UI"/>
          <w:sz w:val="36"/>
          <w:szCs w:val="36"/>
        </w:rPr>
        <w:lastRenderedPageBreak/>
        <w:t>Bibliography</w:t>
      </w:r>
    </w:p>
    <w:p w14:paraId="1CDAF249" w14:textId="77777777" w:rsidR="00602445" w:rsidRPr="00096E32" w:rsidRDefault="00602445" w:rsidP="00602445">
      <w:pPr>
        <w:pStyle w:val="NormalWeb"/>
        <w:spacing w:before="0" w:beforeAutospacing="0" w:after="240" w:afterAutospacing="0" w:line="360" w:lineRule="auto"/>
        <w:ind w:hanging="720"/>
        <w:rPr>
          <w:rFonts w:ascii="Segoe UI" w:hAnsi="Segoe UI" w:cs="Segoe UI"/>
        </w:rPr>
      </w:pPr>
      <w:r w:rsidRPr="00096E32">
        <w:rPr>
          <w:rFonts w:ascii="Segoe UI" w:hAnsi="Segoe UI" w:cs="Segoe UI"/>
        </w:rPr>
        <w:t xml:space="preserve">Ganzel, Tova, Yehudah Brandes, and DoiṭshḤayutah, </w:t>
      </w:r>
      <w:r w:rsidRPr="00096E32">
        <w:rPr>
          <w:rFonts w:ascii="Segoe UI" w:hAnsi="Segoe UI" w:cs="Segoe UI"/>
          <w:i/>
          <w:iCs/>
        </w:rPr>
        <w:t>The Believer and the Modern Study of the Bible</w:t>
      </w:r>
      <w:r w:rsidRPr="00096E32">
        <w:rPr>
          <w:rFonts w:ascii="Segoe UI" w:hAnsi="Segoe UI" w:cs="Segoe UI"/>
        </w:rPr>
        <w:t xml:space="preserve"> (Boston: Academic Studies Press, 2019) &lt;https://www.academia.edu/40503471/The_Believer_and_the_Modern_Study_of_the_Bible_full_text&gt; [accessed 25 February 2023]</w:t>
      </w:r>
    </w:p>
    <w:p w14:paraId="168D9E08" w14:textId="77777777" w:rsidR="00602445" w:rsidRPr="00096E32" w:rsidRDefault="00602445" w:rsidP="00602445">
      <w:pPr>
        <w:pStyle w:val="NormalWeb"/>
        <w:spacing w:before="0" w:beforeAutospacing="0" w:after="240" w:afterAutospacing="0" w:line="360" w:lineRule="auto"/>
        <w:ind w:hanging="720"/>
        <w:rPr>
          <w:rFonts w:ascii="Segoe UI" w:hAnsi="Segoe UI" w:cs="Segoe UI"/>
        </w:rPr>
      </w:pPr>
      <w:r w:rsidRPr="00096E32">
        <w:rPr>
          <w:rFonts w:ascii="Segoe UI" w:hAnsi="Segoe UI" w:cs="Segoe UI"/>
        </w:rPr>
        <w:t xml:space="preserve">Hemchand Gossai, </w:t>
      </w:r>
      <w:r w:rsidRPr="00096E32">
        <w:rPr>
          <w:rFonts w:ascii="Segoe UI" w:hAnsi="Segoe UI" w:cs="Segoe UI"/>
          <w:i/>
          <w:iCs/>
        </w:rPr>
        <w:t>Barrenness and Blessing : Abraham, Sarah, and the Journey of Faith</w:t>
      </w:r>
      <w:r w:rsidRPr="00096E32">
        <w:rPr>
          <w:rFonts w:ascii="Segoe UI" w:hAnsi="Segoe UI" w:cs="Segoe UI"/>
        </w:rPr>
        <w:t xml:space="preserve"> (Eugene, Or.: Cascade Books, 2008)</w:t>
      </w:r>
    </w:p>
    <w:p w14:paraId="51F465A2" w14:textId="77777777" w:rsidR="00602445" w:rsidRPr="00096E32" w:rsidRDefault="00602445" w:rsidP="00602445">
      <w:pPr>
        <w:pStyle w:val="NormalWeb"/>
        <w:spacing w:before="0" w:beforeAutospacing="0" w:after="240" w:afterAutospacing="0" w:line="360" w:lineRule="auto"/>
        <w:ind w:hanging="720"/>
        <w:rPr>
          <w:rFonts w:ascii="Segoe UI" w:hAnsi="Segoe UI" w:cs="Segoe UI"/>
        </w:rPr>
      </w:pPr>
      <w:r w:rsidRPr="00096E32">
        <w:rPr>
          <w:rFonts w:ascii="Segoe UI" w:hAnsi="Segoe UI" w:cs="Segoe UI"/>
        </w:rPr>
        <w:t xml:space="preserve">Jewish Virtual Library, ‘Akedah’, </w:t>
      </w:r>
      <w:r w:rsidRPr="00096E32">
        <w:rPr>
          <w:rFonts w:ascii="Segoe UI" w:hAnsi="Segoe UI" w:cs="Segoe UI"/>
          <w:i/>
          <w:iCs/>
        </w:rPr>
        <w:t>Www.jewishvirtuallibrary.org</w:t>
      </w:r>
      <w:r w:rsidRPr="00096E32">
        <w:rPr>
          <w:rFonts w:ascii="Segoe UI" w:hAnsi="Segoe UI" w:cs="Segoe UI"/>
        </w:rPr>
        <w:t>, 2008 &lt;https://www.jewishvirtuallibrary.org/akedah&gt;</w:t>
      </w:r>
    </w:p>
    <w:p w14:paraId="27EBD1B1" w14:textId="0CB372C7" w:rsidR="00602445" w:rsidRPr="00096E32" w:rsidRDefault="00602445" w:rsidP="00602445">
      <w:pPr>
        <w:pStyle w:val="NormalWeb"/>
        <w:spacing w:before="0" w:beforeAutospacing="0" w:after="240" w:afterAutospacing="0" w:line="360" w:lineRule="auto"/>
        <w:ind w:hanging="720"/>
        <w:rPr>
          <w:rFonts w:ascii="Segoe UI" w:hAnsi="Segoe UI" w:cs="Segoe UI"/>
        </w:rPr>
      </w:pPr>
      <w:r w:rsidRPr="00096E32">
        <w:rPr>
          <w:rFonts w:ascii="Segoe UI" w:hAnsi="Segoe UI" w:cs="Segoe UI"/>
        </w:rPr>
        <w:t xml:space="preserve">Jordan, James B, </w:t>
      </w:r>
      <w:r w:rsidRPr="00096E32">
        <w:rPr>
          <w:rFonts w:ascii="Segoe UI" w:hAnsi="Segoe UI" w:cs="Segoe UI"/>
          <w:i/>
          <w:iCs/>
        </w:rPr>
        <w:t>Primeval Saints</w:t>
      </w:r>
      <w:r w:rsidRPr="00096E32">
        <w:rPr>
          <w:rFonts w:ascii="Segoe UI" w:hAnsi="Segoe UI" w:cs="Segoe UI"/>
        </w:rPr>
        <w:t xml:space="preserve"> (Canon Press &amp; Book Service,</w:t>
      </w:r>
      <w:r w:rsidR="009E44ED">
        <w:rPr>
          <w:rFonts w:ascii="Segoe UI" w:hAnsi="Segoe UI" w:cs="Segoe UI"/>
        </w:rPr>
        <w:t xml:space="preserve"> Idaho,</w:t>
      </w:r>
      <w:r w:rsidRPr="00096E32">
        <w:rPr>
          <w:rFonts w:ascii="Segoe UI" w:hAnsi="Segoe UI" w:cs="Segoe UI"/>
        </w:rPr>
        <w:t xml:space="preserve"> 2001)</w:t>
      </w:r>
    </w:p>
    <w:p w14:paraId="1CD844FA" w14:textId="77777777" w:rsidR="00602445" w:rsidRPr="00096E32" w:rsidRDefault="00602445" w:rsidP="00602445">
      <w:pPr>
        <w:pStyle w:val="NormalWeb"/>
        <w:spacing w:before="0" w:beforeAutospacing="0" w:after="240" w:afterAutospacing="0" w:line="360" w:lineRule="auto"/>
        <w:ind w:hanging="720"/>
        <w:rPr>
          <w:rFonts w:ascii="Segoe UI" w:hAnsi="Segoe UI" w:cs="Segoe UI"/>
        </w:rPr>
      </w:pPr>
      <w:r w:rsidRPr="00096E32">
        <w:rPr>
          <w:rFonts w:ascii="Segoe UI" w:hAnsi="Segoe UI" w:cs="Segoe UI"/>
        </w:rPr>
        <w:t xml:space="preserve">Krame, Evan, ‘Bargaining with God’, </w:t>
      </w:r>
      <w:r w:rsidRPr="00096E32">
        <w:rPr>
          <w:rFonts w:ascii="Segoe UI" w:hAnsi="Segoe UI" w:cs="Segoe UI"/>
          <w:i/>
          <w:iCs/>
        </w:rPr>
        <w:t>The Jewish Studio</w:t>
      </w:r>
      <w:r w:rsidRPr="00096E32">
        <w:rPr>
          <w:rFonts w:ascii="Segoe UI" w:hAnsi="Segoe UI" w:cs="Segoe UI"/>
        </w:rPr>
        <w:t>, 2015 &lt;https://thejewishstudio.org/bargaining-with-god/&gt; [accessed 27 February 2023]</w:t>
      </w:r>
    </w:p>
    <w:p w14:paraId="06F16676" w14:textId="77777777" w:rsidR="00602445" w:rsidRDefault="00602445" w:rsidP="00B51AC3">
      <w:pPr>
        <w:rPr>
          <w:rFonts w:ascii="Segoe UI" w:hAnsi="Segoe UI" w:cs="Segoe UI"/>
        </w:rPr>
      </w:pPr>
    </w:p>
    <w:p w14:paraId="4050BFBF" w14:textId="77777777" w:rsidR="00852A91" w:rsidRDefault="00852A91" w:rsidP="00B51AC3">
      <w:pPr>
        <w:rPr>
          <w:rFonts w:ascii="Segoe UI" w:hAnsi="Segoe UI" w:cs="Segoe UI"/>
        </w:rPr>
      </w:pPr>
    </w:p>
    <w:p w14:paraId="485074AF" w14:textId="77777777" w:rsidR="00393498" w:rsidRDefault="00393498" w:rsidP="00B51AC3">
      <w:pPr>
        <w:rPr>
          <w:rFonts w:ascii="Segoe UI" w:hAnsi="Segoe UI" w:cs="Segoe UI"/>
        </w:rPr>
      </w:pPr>
    </w:p>
    <w:p w14:paraId="544D21A0" w14:textId="77777777" w:rsidR="00A36AD9" w:rsidRPr="003D5859" w:rsidRDefault="00A36AD9" w:rsidP="00B51AC3">
      <w:pPr>
        <w:rPr>
          <w:rFonts w:ascii="Segoe UI" w:hAnsi="Segoe UI" w:cs="Segoe UI"/>
        </w:rPr>
      </w:pPr>
    </w:p>
    <w:p w14:paraId="706C6064" w14:textId="77777777" w:rsidR="00CA55AA" w:rsidRPr="00285027" w:rsidRDefault="00CA55AA" w:rsidP="00B51AC3">
      <w:pPr>
        <w:rPr>
          <w:rFonts w:ascii="Segoe UI" w:hAnsi="Segoe UI" w:cs="Segoe UI"/>
        </w:rPr>
      </w:pPr>
    </w:p>
    <w:p w14:paraId="534EC061" w14:textId="77777777" w:rsidR="00DB2187" w:rsidRDefault="00DB2187" w:rsidP="006C3711">
      <w:pPr>
        <w:ind w:left="360"/>
      </w:pPr>
    </w:p>
    <w:sectPr w:rsidR="00DB218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2E8158" w14:textId="77777777" w:rsidR="008B0C0B" w:rsidRDefault="008B0C0B" w:rsidP="00A47972">
      <w:pPr>
        <w:spacing w:after="0" w:line="240" w:lineRule="auto"/>
      </w:pPr>
      <w:r>
        <w:separator/>
      </w:r>
    </w:p>
  </w:endnote>
  <w:endnote w:type="continuationSeparator" w:id="0">
    <w:p w14:paraId="4A87E327" w14:textId="77777777" w:rsidR="008B0C0B" w:rsidRDefault="008B0C0B" w:rsidP="00A479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56051" w14:textId="77777777" w:rsidR="008B0C0B" w:rsidRDefault="008B0C0B" w:rsidP="00A47972">
      <w:pPr>
        <w:spacing w:after="0" w:line="240" w:lineRule="auto"/>
      </w:pPr>
      <w:r>
        <w:separator/>
      </w:r>
    </w:p>
  </w:footnote>
  <w:footnote w:type="continuationSeparator" w:id="0">
    <w:p w14:paraId="57DBFD9C" w14:textId="77777777" w:rsidR="008B0C0B" w:rsidRDefault="008B0C0B" w:rsidP="00A47972">
      <w:pPr>
        <w:spacing w:after="0" w:line="240" w:lineRule="auto"/>
      </w:pPr>
      <w:r>
        <w:continuationSeparator/>
      </w:r>
    </w:p>
  </w:footnote>
  <w:footnote w:id="1">
    <w:p w14:paraId="7E89C0DB" w14:textId="77E9BC82" w:rsidR="00063B80" w:rsidRPr="00E73B39" w:rsidRDefault="00063B80" w:rsidP="00E73B39">
      <w:pPr>
        <w:rPr>
          <w:b/>
          <w:bCs/>
        </w:rPr>
      </w:pPr>
      <w:r>
        <w:rPr>
          <w:rStyle w:val="FootnoteReference"/>
        </w:rPr>
        <w:footnoteRef/>
      </w:r>
      <w:r>
        <w:t xml:space="preserve"> </w:t>
      </w:r>
      <w:r w:rsidR="00E73B39" w:rsidRPr="00E73B39">
        <w:rPr>
          <w:sz w:val="20"/>
          <w:szCs w:val="20"/>
        </w:rPr>
        <w:t xml:space="preserve">Hemchand Gossai, </w:t>
      </w:r>
      <w:r w:rsidR="00E73B39" w:rsidRPr="00E73B39">
        <w:rPr>
          <w:i/>
          <w:iCs/>
          <w:sz w:val="20"/>
          <w:szCs w:val="20"/>
        </w:rPr>
        <w:t>Barrenness and Blessing: Abraham, Sarah, and the Journey of Faith</w:t>
      </w:r>
      <w:r w:rsidR="00E73B39" w:rsidRPr="00E73B39">
        <w:rPr>
          <w:sz w:val="20"/>
          <w:szCs w:val="20"/>
        </w:rPr>
        <w:t xml:space="preserve"> (Eugene, Or.: Cascade Books, 2008) p.xii.</w:t>
      </w:r>
    </w:p>
  </w:footnote>
  <w:footnote w:id="2">
    <w:p w14:paraId="7AAA3DC2" w14:textId="71196AF6" w:rsidR="002F4EE6" w:rsidRPr="00786489" w:rsidRDefault="002F4EE6" w:rsidP="00786489">
      <w:pPr>
        <w:rPr>
          <w:b/>
          <w:bCs/>
        </w:rPr>
      </w:pPr>
      <w:r w:rsidRPr="00786489">
        <w:rPr>
          <w:rStyle w:val="FootnoteReference"/>
          <w:b/>
          <w:bCs/>
        </w:rPr>
        <w:footnoteRef/>
      </w:r>
      <w:r w:rsidRPr="00786489">
        <w:rPr>
          <w:b/>
          <w:bCs/>
        </w:rPr>
        <w:t xml:space="preserve"> </w:t>
      </w:r>
      <w:r w:rsidR="00786489" w:rsidRPr="00786489">
        <w:rPr>
          <w:sz w:val="20"/>
          <w:szCs w:val="20"/>
        </w:rPr>
        <w:t xml:space="preserve">James B Jordan, </w:t>
      </w:r>
      <w:r w:rsidR="00786489" w:rsidRPr="00786489">
        <w:rPr>
          <w:i/>
          <w:iCs/>
          <w:sz w:val="20"/>
          <w:szCs w:val="20"/>
        </w:rPr>
        <w:t>Primeval Saints</w:t>
      </w:r>
      <w:r w:rsidR="00786489" w:rsidRPr="00786489">
        <w:rPr>
          <w:sz w:val="20"/>
          <w:szCs w:val="20"/>
        </w:rPr>
        <w:t xml:space="preserve"> (Canon Press &amp; Book Service, 2001) p. 11.</w:t>
      </w:r>
      <w:r w:rsidR="00786489" w:rsidRPr="00786489">
        <w:rPr>
          <w:b/>
          <w:bCs/>
          <w:sz w:val="20"/>
          <w:szCs w:val="20"/>
        </w:rPr>
        <w:t xml:space="preserve"> </w:t>
      </w:r>
    </w:p>
  </w:footnote>
  <w:footnote w:id="3">
    <w:p w14:paraId="0F614A1A" w14:textId="23330180" w:rsidR="003046B0" w:rsidRPr="003046B0" w:rsidRDefault="003046B0" w:rsidP="003046B0">
      <w:pPr>
        <w:rPr>
          <w:b/>
          <w:bCs/>
        </w:rPr>
      </w:pPr>
      <w:r>
        <w:rPr>
          <w:rStyle w:val="FootnoteReference"/>
        </w:rPr>
        <w:footnoteRef/>
      </w:r>
      <w:r>
        <w:t xml:space="preserve"> </w:t>
      </w:r>
      <w:r w:rsidRPr="003046B0">
        <w:rPr>
          <w:sz w:val="20"/>
          <w:szCs w:val="20"/>
        </w:rPr>
        <w:t xml:space="preserve">Jewish Virtual Library, ‘Akedah’, </w:t>
      </w:r>
      <w:r w:rsidRPr="003046B0">
        <w:rPr>
          <w:i/>
          <w:iCs/>
          <w:sz w:val="20"/>
          <w:szCs w:val="20"/>
        </w:rPr>
        <w:t>Www.jewishvirtuallibrary.org</w:t>
      </w:r>
      <w:r w:rsidRPr="003046B0">
        <w:rPr>
          <w:sz w:val="20"/>
          <w:szCs w:val="20"/>
        </w:rPr>
        <w:t>, 2008</w:t>
      </w:r>
      <w:r w:rsidR="00931E7F">
        <w:rPr>
          <w:sz w:val="20"/>
          <w:szCs w:val="20"/>
        </w:rPr>
        <w:t>.</w:t>
      </w:r>
      <w:r w:rsidRPr="003046B0">
        <w:rPr>
          <w:sz w:val="20"/>
          <w:szCs w:val="20"/>
        </w:rPr>
        <w:t xml:space="preserve"> &lt;</w:t>
      </w:r>
      <w:hyperlink r:id="rId1" w:history="1">
        <w:r w:rsidRPr="003046B0">
          <w:rPr>
            <w:rStyle w:val="Hyperlink"/>
            <w:sz w:val="20"/>
            <w:szCs w:val="20"/>
          </w:rPr>
          <w:t>https://www.jewishvirtuallibrary.org/akedah</w:t>
        </w:r>
      </w:hyperlink>
      <w:r w:rsidRPr="003046B0">
        <w:rPr>
          <w:sz w:val="20"/>
          <w:szCs w:val="20"/>
        </w:rPr>
        <w:t>&gt;.</w:t>
      </w:r>
    </w:p>
  </w:footnote>
  <w:footnote w:id="4">
    <w:p w14:paraId="55D6F42C" w14:textId="7C1E746D" w:rsidR="00A352F1" w:rsidRDefault="00A47972">
      <w:pPr>
        <w:pStyle w:val="FootnoteText"/>
      </w:pPr>
      <w:r>
        <w:rPr>
          <w:rStyle w:val="FootnoteReference"/>
        </w:rPr>
        <w:footnoteRef/>
      </w:r>
      <w:r>
        <w:t xml:space="preserve"> </w:t>
      </w:r>
      <w:r w:rsidR="00A352F1">
        <w:t>Tova Ganzel, Yehudah Brandes, and Doiṭsh</w:t>
      </w:r>
      <w:r w:rsidR="004831FE">
        <w:t xml:space="preserve"> </w:t>
      </w:r>
      <w:r w:rsidR="00A352F1">
        <w:t xml:space="preserve">Ḥayutah, </w:t>
      </w:r>
      <w:r w:rsidR="00A352F1">
        <w:rPr>
          <w:i/>
          <w:iCs/>
        </w:rPr>
        <w:t>The Believer and the Modern Study of the Bible</w:t>
      </w:r>
      <w:r w:rsidR="00A352F1">
        <w:t xml:space="preserve"> (Boston: Academic Studies Press, 2019)</w:t>
      </w:r>
      <w:r w:rsidR="00931E7F">
        <w:t xml:space="preserve"> </w:t>
      </w:r>
      <w:r w:rsidR="00A352F1">
        <w:t>&lt;</w:t>
      </w:r>
      <w:hyperlink r:id="rId2" w:history="1">
        <w:r w:rsidR="00A352F1">
          <w:rPr>
            <w:rStyle w:val="Hyperlink"/>
          </w:rPr>
          <w:t>https://www.academia.edu/40503471/The_Believer_and_the_Modern_Study_of_the_Bible_full_text</w:t>
        </w:r>
      </w:hyperlink>
      <w:r w:rsidR="00A352F1">
        <w:t>&gt; [accessed 25 February 2023]</w:t>
      </w:r>
      <w:r w:rsidR="00950643">
        <w:t xml:space="preserve"> p.</w:t>
      </w:r>
      <w:r w:rsidR="00715ECE">
        <w:t xml:space="preserve"> 380</w:t>
      </w:r>
      <w:r w:rsidR="00931E7F">
        <w:t>.</w:t>
      </w:r>
    </w:p>
  </w:footnote>
  <w:footnote w:id="5">
    <w:p w14:paraId="57DFAC77" w14:textId="6E63A28C" w:rsidR="00715ECE" w:rsidRPr="00D0467B" w:rsidRDefault="00715ECE">
      <w:pPr>
        <w:pStyle w:val="FootnoteText"/>
      </w:pPr>
      <w:r>
        <w:rPr>
          <w:rStyle w:val="FootnoteReference"/>
        </w:rPr>
        <w:footnoteRef/>
      </w:r>
      <w:r>
        <w:t xml:space="preserve"> Ganzel, Brandes and Hayutah</w:t>
      </w:r>
      <w:r w:rsidR="008866E6">
        <w:t>,</w:t>
      </w:r>
      <w:r>
        <w:t xml:space="preserve"> </w:t>
      </w:r>
      <w:r>
        <w:rPr>
          <w:i/>
          <w:iCs/>
        </w:rPr>
        <w:t>The Believer</w:t>
      </w:r>
      <w:r w:rsidR="00D0467B">
        <w:rPr>
          <w:i/>
          <w:iCs/>
        </w:rPr>
        <w:t xml:space="preserve">, </w:t>
      </w:r>
      <w:r w:rsidR="00D0467B">
        <w:t xml:space="preserve">2019, p. 381. </w:t>
      </w:r>
    </w:p>
  </w:footnote>
  <w:footnote w:id="6">
    <w:p w14:paraId="482546F1" w14:textId="636680AF" w:rsidR="008866E6" w:rsidRPr="005D3B0E" w:rsidRDefault="008866E6">
      <w:pPr>
        <w:pStyle w:val="FootnoteText"/>
        <w:rPr>
          <w:sz w:val="18"/>
          <w:szCs w:val="18"/>
        </w:rPr>
      </w:pPr>
      <w:r>
        <w:rPr>
          <w:rStyle w:val="FootnoteReference"/>
        </w:rPr>
        <w:footnoteRef/>
      </w:r>
      <w:r>
        <w:t xml:space="preserve"> </w:t>
      </w:r>
      <w:r w:rsidRPr="005D3B0E">
        <w:rPr>
          <w:sz w:val="18"/>
          <w:szCs w:val="18"/>
        </w:rPr>
        <w:t xml:space="preserve">Ganzel, Brandes and Hayutah, </w:t>
      </w:r>
      <w:r w:rsidRPr="005D3B0E">
        <w:rPr>
          <w:i/>
          <w:iCs/>
          <w:sz w:val="18"/>
          <w:szCs w:val="18"/>
        </w:rPr>
        <w:t xml:space="preserve">The Believer, </w:t>
      </w:r>
      <w:r w:rsidRPr="005D3B0E">
        <w:rPr>
          <w:sz w:val="18"/>
          <w:szCs w:val="18"/>
        </w:rPr>
        <w:t xml:space="preserve">2019, p. 393. </w:t>
      </w:r>
    </w:p>
  </w:footnote>
  <w:footnote w:id="7">
    <w:p w14:paraId="19B1FC59" w14:textId="7DDD2630" w:rsidR="00C67F1B" w:rsidRPr="00AB53B1" w:rsidRDefault="00C67F1B" w:rsidP="00AB53B1">
      <w:pPr>
        <w:rPr>
          <w:sz w:val="18"/>
          <w:szCs w:val="18"/>
        </w:rPr>
      </w:pPr>
      <w:r w:rsidRPr="005D3B0E">
        <w:rPr>
          <w:rStyle w:val="FootnoteReference"/>
          <w:sz w:val="18"/>
          <w:szCs w:val="18"/>
        </w:rPr>
        <w:footnoteRef/>
      </w:r>
      <w:r w:rsidRPr="005D3B0E">
        <w:rPr>
          <w:sz w:val="18"/>
          <w:szCs w:val="18"/>
        </w:rPr>
        <w:t xml:space="preserve"> </w:t>
      </w:r>
      <w:r w:rsidR="005D3B0E" w:rsidRPr="005D3B0E">
        <w:rPr>
          <w:sz w:val="18"/>
          <w:szCs w:val="18"/>
        </w:rPr>
        <w:t xml:space="preserve">James B Jordan, </w:t>
      </w:r>
      <w:r w:rsidR="005D3B0E" w:rsidRPr="005D3B0E">
        <w:rPr>
          <w:i/>
          <w:iCs/>
          <w:sz w:val="18"/>
          <w:szCs w:val="18"/>
        </w:rPr>
        <w:t>Primeval Saints</w:t>
      </w:r>
      <w:r w:rsidR="005D3B0E" w:rsidRPr="005D3B0E">
        <w:rPr>
          <w:sz w:val="18"/>
          <w:szCs w:val="18"/>
        </w:rPr>
        <w:t xml:space="preserve"> (Canon Press &amp; Book Service, </w:t>
      </w:r>
      <w:r w:rsidR="009E44ED">
        <w:rPr>
          <w:sz w:val="18"/>
          <w:szCs w:val="18"/>
        </w:rPr>
        <w:t xml:space="preserve">Idaho, </w:t>
      </w:r>
      <w:r w:rsidR="005D3B0E" w:rsidRPr="005D3B0E">
        <w:rPr>
          <w:sz w:val="18"/>
          <w:szCs w:val="18"/>
        </w:rPr>
        <w:t xml:space="preserve">2001) p. 11. </w:t>
      </w:r>
    </w:p>
  </w:footnote>
  <w:footnote w:id="8">
    <w:p w14:paraId="3AADBA20" w14:textId="290F2B4F" w:rsidR="00AB53B1" w:rsidRDefault="00AB53B1">
      <w:pPr>
        <w:pStyle w:val="FootnoteText"/>
      </w:pPr>
      <w:r>
        <w:rPr>
          <w:rStyle w:val="FootnoteReference"/>
        </w:rPr>
        <w:footnoteRef/>
      </w:r>
      <w:r>
        <w:t xml:space="preserve"> </w:t>
      </w:r>
      <w:r w:rsidR="00B51AC3" w:rsidRPr="00B51AC3">
        <w:rPr>
          <w:sz w:val="18"/>
          <w:szCs w:val="18"/>
        </w:rPr>
        <w:t>Jordan, Primeval Saints, p. 11.</w:t>
      </w:r>
      <w:r w:rsidR="00B51AC3">
        <w:t xml:space="preserve"> </w:t>
      </w:r>
    </w:p>
  </w:footnote>
  <w:footnote w:id="9">
    <w:p w14:paraId="39EB43E1" w14:textId="7259D45E" w:rsidR="00671CEC" w:rsidRDefault="00671CEC">
      <w:pPr>
        <w:pStyle w:val="FootnoteText"/>
      </w:pPr>
      <w:r>
        <w:rPr>
          <w:rStyle w:val="FootnoteReference"/>
        </w:rPr>
        <w:footnoteRef/>
      </w:r>
      <w:r>
        <w:t xml:space="preserve"> Ibid., p.11 </w:t>
      </w:r>
    </w:p>
  </w:footnote>
  <w:footnote w:id="10">
    <w:p w14:paraId="01C8AD43" w14:textId="57296ED2" w:rsidR="00E3336D" w:rsidRDefault="00E3336D">
      <w:pPr>
        <w:pStyle w:val="FootnoteText"/>
      </w:pPr>
      <w:r>
        <w:rPr>
          <w:rStyle w:val="FootnoteReference"/>
        </w:rPr>
        <w:footnoteRef/>
      </w:r>
      <w:r>
        <w:t xml:space="preserve"> </w:t>
      </w:r>
      <w:r w:rsidR="00671CEC">
        <w:t xml:space="preserve">Ibid., p. 11. </w:t>
      </w:r>
    </w:p>
  </w:footnote>
  <w:footnote w:id="11">
    <w:p w14:paraId="2EADBAE9" w14:textId="0C65E708" w:rsidR="00A20BB9" w:rsidRDefault="00A20BB9">
      <w:pPr>
        <w:pStyle w:val="FootnoteText"/>
      </w:pPr>
      <w:r>
        <w:rPr>
          <w:rStyle w:val="FootnoteReference"/>
        </w:rPr>
        <w:footnoteRef/>
      </w:r>
      <w:r>
        <w:t xml:space="preserve"> </w:t>
      </w:r>
      <w:r w:rsidR="00C07700">
        <w:t xml:space="preserve">Evan Krame, ‘Bargaining with God’, </w:t>
      </w:r>
      <w:r w:rsidR="00C07700">
        <w:rPr>
          <w:i/>
          <w:iCs/>
        </w:rPr>
        <w:t>The Jewish Studio</w:t>
      </w:r>
      <w:r w:rsidR="00C07700">
        <w:t>, 2015 &lt;</w:t>
      </w:r>
      <w:hyperlink r:id="rId3" w:history="1">
        <w:r w:rsidR="00C07700">
          <w:rPr>
            <w:rStyle w:val="Hyperlink"/>
          </w:rPr>
          <w:t>https://thejewishstudio.org/bargaining-with-god/</w:t>
        </w:r>
      </w:hyperlink>
      <w:r w:rsidR="00C07700">
        <w:t>&gt; [accessed 27 February 2023].</w:t>
      </w:r>
    </w:p>
  </w:footnote>
  <w:footnote w:id="12">
    <w:p w14:paraId="4123E133" w14:textId="77777777" w:rsidR="00616325" w:rsidRDefault="003D5859" w:rsidP="00616325">
      <w:pPr>
        <w:rPr>
          <w:b/>
          <w:bCs/>
        </w:rPr>
      </w:pPr>
      <w:r>
        <w:rPr>
          <w:rStyle w:val="FootnoteReference"/>
        </w:rPr>
        <w:footnoteRef/>
      </w:r>
      <w:r>
        <w:t xml:space="preserve"> </w:t>
      </w:r>
      <w:r w:rsidR="00616325">
        <w:t xml:space="preserve">Hemchand Gossai, </w:t>
      </w:r>
      <w:r w:rsidR="00616325">
        <w:rPr>
          <w:i/>
          <w:iCs/>
        </w:rPr>
        <w:t>Barrenness and Blessing: Abraham, Sarah, and the Journey of Faith</w:t>
      </w:r>
      <w:r w:rsidR="00616325">
        <w:t xml:space="preserve"> (Eugene, Or.: Cascade Books, 2008) p.xii.</w:t>
      </w:r>
    </w:p>
    <w:p w14:paraId="322244A0" w14:textId="18834329" w:rsidR="003D5859" w:rsidRDefault="003D5859">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92788E"/>
    <w:multiLevelType w:val="hybridMultilevel"/>
    <w:tmpl w:val="3F38D68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73123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Q0MzAwMDMxMDEzMDVV0lEKTi0uzszPAykwqQUANQ/JmCwAAAA="/>
  </w:docVars>
  <w:rsids>
    <w:rsidRoot w:val="00AC6323"/>
    <w:rsid w:val="00002C6C"/>
    <w:rsid w:val="00005016"/>
    <w:rsid w:val="00010C2D"/>
    <w:rsid w:val="00012FFF"/>
    <w:rsid w:val="00027176"/>
    <w:rsid w:val="00047AAF"/>
    <w:rsid w:val="00063B80"/>
    <w:rsid w:val="0008377E"/>
    <w:rsid w:val="00096E32"/>
    <w:rsid w:val="000B74A7"/>
    <w:rsid w:val="000E081F"/>
    <w:rsid w:val="00106131"/>
    <w:rsid w:val="001076CD"/>
    <w:rsid w:val="00145CD6"/>
    <w:rsid w:val="00146D01"/>
    <w:rsid w:val="001F43C8"/>
    <w:rsid w:val="00202471"/>
    <w:rsid w:val="00242C2D"/>
    <w:rsid w:val="00275FC7"/>
    <w:rsid w:val="00285027"/>
    <w:rsid w:val="002C7945"/>
    <w:rsid w:val="002D3B3E"/>
    <w:rsid w:val="002D6616"/>
    <w:rsid w:val="002F4EE6"/>
    <w:rsid w:val="003046B0"/>
    <w:rsid w:val="003875FC"/>
    <w:rsid w:val="00393498"/>
    <w:rsid w:val="00393CAA"/>
    <w:rsid w:val="003D5859"/>
    <w:rsid w:val="003D686E"/>
    <w:rsid w:val="0040609C"/>
    <w:rsid w:val="00415B3D"/>
    <w:rsid w:val="00455D45"/>
    <w:rsid w:val="00471466"/>
    <w:rsid w:val="00472FAB"/>
    <w:rsid w:val="004831FE"/>
    <w:rsid w:val="004843D2"/>
    <w:rsid w:val="004A1D40"/>
    <w:rsid w:val="004A77E2"/>
    <w:rsid w:val="004B38CF"/>
    <w:rsid w:val="004C1BE8"/>
    <w:rsid w:val="00516734"/>
    <w:rsid w:val="00542CDC"/>
    <w:rsid w:val="005A245D"/>
    <w:rsid w:val="005D3B0E"/>
    <w:rsid w:val="00602445"/>
    <w:rsid w:val="00607B5B"/>
    <w:rsid w:val="00616325"/>
    <w:rsid w:val="00631790"/>
    <w:rsid w:val="00671CEC"/>
    <w:rsid w:val="006A46BC"/>
    <w:rsid w:val="006C3711"/>
    <w:rsid w:val="006D1229"/>
    <w:rsid w:val="006E1FA2"/>
    <w:rsid w:val="00715ECE"/>
    <w:rsid w:val="00717671"/>
    <w:rsid w:val="00736AE7"/>
    <w:rsid w:val="00786489"/>
    <w:rsid w:val="007B6E49"/>
    <w:rsid w:val="007F0553"/>
    <w:rsid w:val="007F43A2"/>
    <w:rsid w:val="00815C8C"/>
    <w:rsid w:val="00820484"/>
    <w:rsid w:val="0082232D"/>
    <w:rsid w:val="00843A1F"/>
    <w:rsid w:val="00844110"/>
    <w:rsid w:val="00852A91"/>
    <w:rsid w:val="00873A1D"/>
    <w:rsid w:val="00881DA0"/>
    <w:rsid w:val="008866E6"/>
    <w:rsid w:val="0088704A"/>
    <w:rsid w:val="00892350"/>
    <w:rsid w:val="00893AF5"/>
    <w:rsid w:val="008A31B4"/>
    <w:rsid w:val="008A407D"/>
    <w:rsid w:val="008A6C14"/>
    <w:rsid w:val="008B0C0B"/>
    <w:rsid w:val="008D1D1E"/>
    <w:rsid w:val="008F072B"/>
    <w:rsid w:val="008F1E13"/>
    <w:rsid w:val="00930875"/>
    <w:rsid w:val="00931E7F"/>
    <w:rsid w:val="00945F94"/>
    <w:rsid w:val="00950643"/>
    <w:rsid w:val="00953705"/>
    <w:rsid w:val="009567BA"/>
    <w:rsid w:val="009958D4"/>
    <w:rsid w:val="009C6BD8"/>
    <w:rsid w:val="009D2F20"/>
    <w:rsid w:val="009E44ED"/>
    <w:rsid w:val="00A20BB9"/>
    <w:rsid w:val="00A352F1"/>
    <w:rsid w:val="00A36AD9"/>
    <w:rsid w:val="00A47972"/>
    <w:rsid w:val="00A51541"/>
    <w:rsid w:val="00A538EB"/>
    <w:rsid w:val="00AA33F2"/>
    <w:rsid w:val="00AB53B1"/>
    <w:rsid w:val="00AB7C90"/>
    <w:rsid w:val="00AC6323"/>
    <w:rsid w:val="00AC77F3"/>
    <w:rsid w:val="00B11EAC"/>
    <w:rsid w:val="00B151B5"/>
    <w:rsid w:val="00B20570"/>
    <w:rsid w:val="00B24FC8"/>
    <w:rsid w:val="00B51AC3"/>
    <w:rsid w:val="00B826E7"/>
    <w:rsid w:val="00BA1A0D"/>
    <w:rsid w:val="00BD4AEF"/>
    <w:rsid w:val="00BF08E0"/>
    <w:rsid w:val="00BF1AF5"/>
    <w:rsid w:val="00BF262C"/>
    <w:rsid w:val="00C07700"/>
    <w:rsid w:val="00C13D5F"/>
    <w:rsid w:val="00C32257"/>
    <w:rsid w:val="00C410BD"/>
    <w:rsid w:val="00C41117"/>
    <w:rsid w:val="00C67F1B"/>
    <w:rsid w:val="00C75343"/>
    <w:rsid w:val="00CA55AA"/>
    <w:rsid w:val="00CB7095"/>
    <w:rsid w:val="00D001BD"/>
    <w:rsid w:val="00D0467B"/>
    <w:rsid w:val="00D2428E"/>
    <w:rsid w:val="00D36DF4"/>
    <w:rsid w:val="00DB2187"/>
    <w:rsid w:val="00DE00AE"/>
    <w:rsid w:val="00DF3413"/>
    <w:rsid w:val="00E3336D"/>
    <w:rsid w:val="00E46D96"/>
    <w:rsid w:val="00E73B39"/>
    <w:rsid w:val="00E80AA4"/>
    <w:rsid w:val="00EF175F"/>
    <w:rsid w:val="00EF3439"/>
    <w:rsid w:val="00F02D74"/>
    <w:rsid w:val="00F06050"/>
    <w:rsid w:val="00F0717B"/>
    <w:rsid w:val="00F24FE4"/>
    <w:rsid w:val="00F3077A"/>
    <w:rsid w:val="00F30C87"/>
    <w:rsid w:val="00F6212D"/>
    <w:rsid w:val="00F62F36"/>
    <w:rsid w:val="00F76A69"/>
    <w:rsid w:val="00F83EFF"/>
    <w:rsid w:val="00F90D75"/>
    <w:rsid w:val="00FB1678"/>
    <w:rsid w:val="00FD714E"/>
    <w:rsid w:val="00FF0FC8"/>
    <w:rsid w:val="00FF47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19227"/>
  <w15:chartTrackingRefBased/>
  <w15:docId w15:val="{0EC6EF01-769F-4D49-98AE-B03B61F25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5D45"/>
    <w:pPr>
      <w:ind w:left="720"/>
      <w:contextualSpacing/>
    </w:pPr>
  </w:style>
  <w:style w:type="paragraph" w:styleId="FootnoteText">
    <w:name w:val="footnote text"/>
    <w:basedOn w:val="Normal"/>
    <w:link w:val="FootnoteTextChar"/>
    <w:uiPriority w:val="99"/>
    <w:semiHidden/>
    <w:unhideWhenUsed/>
    <w:rsid w:val="00A4797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47972"/>
    <w:rPr>
      <w:sz w:val="20"/>
      <w:szCs w:val="20"/>
    </w:rPr>
  </w:style>
  <w:style w:type="character" w:styleId="FootnoteReference">
    <w:name w:val="footnote reference"/>
    <w:basedOn w:val="DefaultParagraphFont"/>
    <w:uiPriority w:val="99"/>
    <w:semiHidden/>
    <w:unhideWhenUsed/>
    <w:rsid w:val="00A47972"/>
    <w:rPr>
      <w:vertAlign w:val="superscript"/>
    </w:rPr>
  </w:style>
  <w:style w:type="character" w:styleId="Hyperlink">
    <w:name w:val="Hyperlink"/>
    <w:basedOn w:val="DefaultParagraphFont"/>
    <w:uiPriority w:val="99"/>
    <w:semiHidden/>
    <w:unhideWhenUsed/>
    <w:rsid w:val="00A352F1"/>
    <w:rPr>
      <w:color w:val="0000FF"/>
      <w:u w:val="single"/>
    </w:rPr>
  </w:style>
  <w:style w:type="paragraph" w:styleId="NormalWeb">
    <w:name w:val="Normal (Web)"/>
    <w:basedOn w:val="Normal"/>
    <w:uiPriority w:val="99"/>
    <w:semiHidden/>
    <w:unhideWhenUsed/>
    <w:rsid w:val="0060244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121411">
      <w:bodyDiv w:val="1"/>
      <w:marLeft w:val="0"/>
      <w:marRight w:val="0"/>
      <w:marTop w:val="0"/>
      <w:marBottom w:val="0"/>
      <w:divBdr>
        <w:top w:val="none" w:sz="0" w:space="0" w:color="auto"/>
        <w:left w:val="none" w:sz="0" w:space="0" w:color="auto"/>
        <w:bottom w:val="none" w:sz="0" w:space="0" w:color="auto"/>
        <w:right w:val="none" w:sz="0" w:space="0" w:color="auto"/>
      </w:divBdr>
      <w:divsChild>
        <w:div w:id="17695390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3" Type="http://schemas.openxmlformats.org/officeDocument/2006/relationships/hyperlink" Target="https://thejewishstudio.org/bargaining-with-god/" TargetMode="External"/><Relationship Id="rId2" Type="http://schemas.openxmlformats.org/officeDocument/2006/relationships/hyperlink" Target="https://www.academia.edu/40503471/The_Believer_and_the_Modern_Study_of_the_Bible_full_text" TargetMode="External"/><Relationship Id="rId1" Type="http://schemas.openxmlformats.org/officeDocument/2006/relationships/hyperlink" Target="https://www.jewishvirtuallibrary.org/akeda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7" ma:contentTypeDescription="Create a new document." ma:contentTypeScope="" ma:versionID="0ef4ecc521b8d6f06cdac3bd32cd63cc">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58b41258b2523ac01862546d22236ac5"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0B31C2-AE90-484A-AD58-181D18067C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461f81f1-dbc4-4122-adb0-1c0e154b8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89B754-C31C-47D1-874C-C2D7C351AC1E}">
  <ds:schemaRefs>
    <ds:schemaRef ds:uri="http://schemas.microsoft.com/office/2006/metadata/properties"/>
    <ds:schemaRef ds:uri="http://schemas.microsoft.com/office/infopath/2007/PartnerControls"/>
    <ds:schemaRef ds:uri="a450a3cc-050d-4aca-8a4e-543025a63de0"/>
  </ds:schemaRefs>
</ds:datastoreItem>
</file>

<file path=customXml/itemProps3.xml><?xml version="1.0" encoding="utf-8"?>
<ds:datastoreItem xmlns:ds="http://schemas.openxmlformats.org/officeDocument/2006/customXml" ds:itemID="{92CCE2E6-0414-4560-B6C7-B09FCBB22E6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4</Pages>
  <Words>1358</Words>
  <Characters>7742</Characters>
  <Application>Microsoft Office Word</Application>
  <DocSecurity>0</DocSecurity>
  <Lines>64</Lines>
  <Paragraphs>18</Paragraphs>
  <ScaleCrop>false</ScaleCrop>
  <Company/>
  <LinksUpToDate>false</LinksUpToDate>
  <CharactersWithSpaces>9082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Neve Pule (2219959)</dc:creator>
  <cp:keywords/>
  <dc:description/>
  <cp:lastModifiedBy>Neve</cp:lastModifiedBy>
  <cp:revision>145</cp:revision>
  <dcterms:created xsi:type="dcterms:W3CDTF">2023-02-27T08:26:00Z</dcterms:created>
  <dcterms:modified xsi:type="dcterms:W3CDTF">2023-03-13T11:24:00Z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