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tblpX="108"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7"/>
        <w:gridCol w:w="5889"/>
      </w:tblGrid>
      <w:tr w:rsidR="009C297C" w:rsidRPr="00FE4403" w14:paraId="7917B6DC" w14:textId="77777777" w:rsidTr="001E1FA5">
        <w:trPr>
          <w:trHeight w:val="572"/>
        </w:trPr>
        <w:tc>
          <w:tcPr>
            <w:tcW w:w="4860" w:type="dxa"/>
            <w:tcBorders>
              <w:top w:val="single" w:sz="6" w:space="0" w:color="auto"/>
              <w:left w:val="double" w:sz="4" w:space="0" w:color="auto"/>
              <w:bottom w:val="single" w:sz="6" w:space="0" w:color="auto"/>
              <w:right w:val="single" w:sz="6" w:space="0" w:color="auto"/>
            </w:tcBorders>
          </w:tcPr>
          <w:p w14:paraId="6238B8AA" w14:textId="77777777" w:rsidR="009C297C" w:rsidRPr="00FE4403" w:rsidRDefault="009C297C" w:rsidP="001E1FA5">
            <w:pPr>
              <w:rPr>
                <w:rFonts w:ascii="Calibri" w:hAnsi="Calibri"/>
              </w:rPr>
            </w:pPr>
            <w:r w:rsidRPr="00FE4403">
              <w:rPr>
                <w:rFonts w:ascii="Calibri" w:hAnsi="Calibri"/>
              </w:rPr>
              <w:t xml:space="preserve">What do you consider are the best aspects of this piece of work?    </w:t>
            </w:r>
          </w:p>
        </w:tc>
        <w:tc>
          <w:tcPr>
            <w:tcW w:w="6339" w:type="dxa"/>
            <w:tcBorders>
              <w:top w:val="single" w:sz="6" w:space="0" w:color="auto"/>
              <w:left w:val="single" w:sz="6" w:space="0" w:color="auto"/>
              <w:bottom w:val="single" w:sz="6" w:space="0" w:color="auto"/>
              <w:right w:val="double" w:sz="4" w:space="0" w:color="auto"/>
            </w:tcBorders>
          </w:tcPr>
          <w:p w14:paraId="35112EF8" w14:textId="0D004F3B" w:rsidR="009C297C" w:rsidRPr="00FE4403" w:rsidRDefault="001E62E4" w:rsidP="001E1FA5">
            <w:pPr>
              <w:rPr>
                <w:rFonts w:ascii="Calibri" w:hAnsi="Calibri"/>
              </w:rPr>
            </w:pPr>
            <w:r>
              <w:rPr>
                <w:rFonts w:ascii="Calibri" w:hAnsi="Calibri"/>
              </w:rPr>
              <w:t>Sections on how praise can have a negative effect</w:t>
            </w:r>
          </w:p>
          <w:p w14:paraId="14075A16" w14:textId="77777777" w:rsidR="009C297C" w:rsidRPr="00FE4403" w:rsidRDefault="009C297C" w:rsidP="001E1FA5">
            <w:pPr>
              <w:rPr>
                <w:rFonts w:ascii="Calibri" w:hAnsi="Calibri"/>
              </w:rPr>
            </w:pPr>
          </w:p>
        </w:tc>
      </w:tr>
      <w:tr w:rsidR="009C297C" w:rsidRPr="00FE4403" w14:paraId="598AD2C4" w14:textId="77777777" w:rsidTr="001E1FA5">
        <w:trPr>
          <w:trHeight w:val="571"/>
        </w:trPr>
        <w:tc>
          <w:tcPr>
            <w:tcW w:w="4860" w:type="dxa"/>
            <w:tcBorders>
              <w:top w:val="single" w:sz="6" w:space="0" w:color="auto"/>
              <w:left w:val="double" w:sz="4" w:space="0" w:color="auto"/>
              <w:bottom w:val="single" w:sz="6" w:space="0" w:color="auto"/>
              <w:right w:val="single" w:sz="6" w:space="0" w:color="auto"/>
            </w:tcBorders>
          </w:tcPr>
          <w:p w14:paraId="2BCA445F" w14:textId="2D7E82AB" w:rsidR="009C297C" w:rsidRPr="00FE4403" w:rsidRDefault="009C297C" w:rsidP="001E1FA5">
            <w:pPr>
              <w:rPr>
                <w:rFonts w:ascii="Calibri" w:hAnsi="Calibri"/>
              </w:rPr>
            </w:pPr>
            <w:r w:rsidRPr="00FE4403">
              <w:rPr>
                <w:rFonts w:ascii="Calibri" w:hAnsi="Calibri"/>
              </w:rPr>
              <w:t>Which aspects do you consider could have been improved in this piece of work?</w:t>
            </w:r>
          </w:p>
        </w:tc>
        <w:tc>
          <w:tcPr>
            <w:tcW w:w="6339" w:type="dxa"/>
            <w:tcBorders>
              <w:top w:val="single" w:sz="6" w:space="0" w:color="auto"/>
              <w:left w:val="single" w:sz="6" w:space="0" w:color="auto"/>
              <w:bottom w:val="single" w:sz="6" w:space="0" w:color="auto"/>
              <w:right w:val="double" w:sz="4" w:space="0" w:color="auto"/>
            </w:tcBorders>
          </w:tcPr>
          <w:p w14:paraId="69DCE003" w14:textId="58EA3EF8" w:rsidR="009C297C" w:rsidRPr="00FE4403" w:rsidRDefault="001E62E4" w:rsidP="001E1FA5">
            <w:pPr>
              <w:rPr>
                <w:rFonts w:ascii="Calibri" w:hAnsi="Calibri"/>
              </w:rPr>
            </w:pPr>
            <w:r>
              <w:rPr>
                <w:rFonts w:ascii="Calibri" w:hAnsi="Calibri"/>
              </w:rPr>
              <w:t>Concluding sections</w:t>
            </w:r>
          </w:p>
        </w:tc>
      </w:tr>
      <w:tr w:rsidR="009C297C" w:rsidRPr="00FE4403" w14:paraId="62745990" w14:textId="77777777" w:rsidTr="001E1FA5">
        <w:trPr>
          <w:trHeight w:val="571"/>
        </w:trPr>
        <w:tc>
          <w:tcPr>
            <w:tcW w:w="4860" w:type="dxa"/>
            <w:tcBorders>
              <w:top w:val="single" w:sz="6" w:space="0" w:color="auto"/>
              <w:left w:val="double" w:sz="4" w:space="0" w:color="auto"/>
              <w:bottom w:val="double" w:sz="4" w:space="0" w:color="auto"/>
              <w:right w:val="single" w:sz="6" w:space="0" w:color="auto"/>
            </w:tcBorders>
          </w:tcPr>
          <w:p w14:paraId="39DAEC87" w14:textId="6967940A" w:rsidR="009C297C" w:rsidRPr="00FE4403" w:rsidRDefault="009C297C" w:rsidP="001E1FA5">
            <w:pPr>
              <w:rPr>
                <w:rFonts w:ascii="Calibri" w:hAnsi="Calibri"/>
              </w:rPr>
            </w:pPr>
            <w:r w:rsidRPr="00FE4403">
              <w:rPr>
                <w:rFonts w:ascii="Calibri" w:hAnsi="Calibri"/>
              </w:rPr>
              <w:t>What have you found most satisfying whilst undertaking this submission?</w:t>
            </w:r>
          </w:p>
        </w:tc>
        <w:tc>
          <w:tcPr>
            <w:tcW w:w="6339" w:type="dxa"/>
            <w:tcBorders>
              <w:top w:val="single" w:sz="6" w:space="0" w:color="auto"/>
              <w:left w:val="single" w:sz="6" w:space="0" w:color="auto"/>
              <w:bottom w:val="double" w:sz="4" w:space="0" w:color="auto"/>
              <w:right w:val="double" w:sz="4" w:space="0" w:color="auto"/>
            </w:tcBorders>
          </w:tcPr>
          <w:p w14:paraId="7E281858" w14:textId="45A72D22" w:rsidR="009C297C" w:rsidRPr="00FE4403" w:rsidRDefault="00F5662D" w:rsidP="001E1FA5">
            <w:pPr>
              <w:rPr>
                <w:rFonts w:ascii="Calibri" w:hAnsi="Calibri"/>
              </w:rPr>
            </w:pPr>
            <w:r>
              <w:rPr>
                <w:rFonts w:ascii="Calibri" w:hAnsi="Calibri"/>
              </w:rPr>
              <w:t>Discovering the different ways praise can impact children</w:t>
            </w:r>
            <w:bookmarkStart w:id="0" w:name="_GoBack"/>
            <w:bookmarkEnd w:id="0"/>
          </w:p>
          <w:p w14:paraId="633AD117" w14:textId="77777777" w:rsidR="009C297C" w:rsidRPr="00FE4403" w:rsidRDefault="009C297C" w:rsidP="001E1FA5">
            <w:pPr>
              <w:rPr>
                <w:rFonts w:ascii="Calibri" w:hAnsi="Calibri"/>
              </w:rPr>
            </w:pPr>
          </w:p>
        </w:tc>
      </w:tr>
    </w:tbl>
    <w:p w14:paraId="640656B1" w14:textId="77777777" w:rsidR="009C297C" w:rsidRDefault="009C297C" w:rsidP="00F31485">
      <w:pPr>
        <w:spacing w:line="360" w:lineRule="auto"/>
        <w:jc w:val="both"/>
        <w:rPr>
          <w:rFonts w:ascii="Arial" w:hAnsi="Arial" w:cs="Arial"/>
          <w:sz w:val="24"/>
        </w:rPr>
      </w:pPr>
    </w:p>
    <w:p w14:paraId="3F3429F0" w14:textId="3A016ED9" w:rsidR="00F31485" w:rsidRPr="007B0886" w:rsidRDefault="00F31485" w:rsidP="00F31485">
      <w:pPr>
        <w:spacing w:line="360" w:lineRule="auto"/>
        <w:jc w:val="both"/>
        <w:rPr>
          <w:rFonts w:ascii="Arial" w:hAnsi="Arial" w:cs="Arial"/>
          <w:sz w:val="24"/>
        </w:rPr>
      </w:pPr>
      <w:r w:rsidRPr="007B0886">
        <w:rPr>
          <w:rFonts w:ascii="Arial" w:hAnsi="Arial" w:cs="Arial"/>
          <w:sz w:val="24"/>
        </w:rPr>
        <w:t>Classroom management has traditionally been thought of as the means by which teachers gain control over their children, with a heavy focus on compliance and obedience. The main method of doing this was usually the introduction of rules and the application of sanctions when these rules were broken, the hope being that the sanction would deter children from misbehaving in future. Nowadays, however, there is a different view of classroom management; it is no longer all about discipline and control, and the focus has shifted towards ensuring that children’s needs are met, in both academic and non-academic terms, and promoting desired behaviour through positive rather than punitive means.</w:t>
      </w:r>
    </w:p>
    <w:p w14:paraId="4F39A7DD"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Dreikurs (</w:t>
      </w:r>
      <w:r w:rsidRPr="007B0886">
        <w:rPr>
          <w:rFonts w:ascii="Arial" w:hAnsi="Arial" w:cs="Arial"/>
          <w:i/>
          <w:sz w:val="24"/>
        </w:rPr>
        <w:t xml:space="preserve">cited in </w:t>
      </w:r>
      <w:r w:rsidRPr="007B0886">
        <w:rPr>
          <w:rFonts w:ascii="Arial" w:hAnsi="Arial" w:cs="Arial"/>
          <w:sz w:val="24"/>
        </w:rPr>
        <w:t xml:space="preserve">Tauber, 2007) argues that children have a lifelong need to feel that they belong; humans are social beings, biologically programmed to be a part of a group. This is especially true in school situations, where friendships and social groups are one of, if not the most important aspects of children’s lives. Children want to feel that they fit in with their peers and will do whatever is necessary in order to make this happen. If they see that others gain respect and approval by defying adult authority and talking back to the teacher whenever an instruction is given, for example, they may start copying this behaviour in the hope of gaining peer respect themselves. On the other hand, if praise or reward from the teacher, for instance, is considered a great achievement, the children who want to fit in will start trying to win the teacher’s approval, so that they will in turn gain the approval of their friends. In short, Dreikurs suggests that a child’s every action is driven by a need to be recognised as a worthy member of a group; whether the child does this through positive behaviours or negative ones depends both on the child’s individual situation and the responses of adults and their peers to each type of behaviour. </w:t>
      </w:r>
    </w:p>
    <w:p w14:paraId="71E9B4A8"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 xml:space="preserve">This implies that any form of praise or rewards used by teachers must be meaningful to a child, or they will not work hard to gain it. They must also be consistent; any reward or sanction not consistently applied quickly loses meaning, and can even lead to children doubting a teacher’s authority. Davies (2006) argues that all rules, rewards and sanctions must be clearly outlined at the beginning of the academic year, constantly referred to so that both children and adults remember them, and when they are needed, applied in the exact same way by all members of staff. For example, if one teacher rewards a child for something, but another teacher does not, the child will begin to wonder if the reward means anything. The same is true if one child is praised for something, </w:t>
      </w:r>
      <w:r w:rsidRPr="007B0886">
        <w:rPr>
          <w:rFonts w:ascii="Arial" w:hAnsi="Arial" w:cs="Arial"/>
          <w:sz w:val="24"/>
        </w:rPr>
        <w:lastRenderedPageBreak/>
        <w:t xml:space="preserve">but another is ignored or not treated with equal appreciation when they have done the same thing as the first child, to the same or even to a higher standard. The second child will feel, quite rightly, that they have been unfairly treated; they may consider the teacher biased, and decide that they no longer want to work hard for them. Moreover, if this child is praised for something in future, the praise may not mean anything to them, as they may have already decided that the teacher does not like them; praise from someone who dislikes one is usually considered worthless.      </w:t>
      </w:r>
    </w:p>
    <w:p w14:paraId="2DC47609"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Rogers (2007) suggests that praise should form part of an overall positive classroom ethos, known as positive discipline. Although many people think otherwise, discipline should not be entirely focused on punishing or correcting unwanted behaviour, but ‘concerned with guidance and instruction; it is the way we teach and enhance a social order where rights and responsibilities are balanced’ (Rogers, 2007: 51). In other words, teachers should focus on promoting positive behaviour rather than confronting challenging episodes, and encourage the repetition of the former whilst dissuading children from continuing the latter. One of the most effective, and often easiest, ways to do this is to praise and reward children when they display the desired behaviour, in the hope that this will make them want to repeat it; the idea is that because the child enjoys gaining the reward, they will repeat the action that led to it in future. Once the majority of the children in the class are following this pattern, teaching becomes less about controlling and dealing with behaviour, and more about guidance and support, as Rogers argues it should be.</w:t>
      </w:r>
    </w:p>
    <w:p w14:paraId="64F10B69"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However, using the promise of rewards to shape children’s behaviour is seen by some thinkers as a form of manipulation, with school simply being a place where adults exercise their control over children. Kohn (</w:t>
      </w:r>
      <w:r w:rsidRPr="007B0886">
        <w:rPr>
          <w:rFonts w:ascii="Arial" w:hAnsi="Arial" w:cs="Arial"/>
          <w:i/>
          <w:sz w:val="24"/>
        </w:rPr>
        <w:t>cited in</w:t>
      </w:r>
      <w:r w:rsidRPr="007B0886">
        <w:rPr>
          <w:rFonts w:ascii="Arial" w:hAnsi="Arial" w:cs="Arial"/>
          <w:sz w:val="24"/>
        </w:rPr>
        <w:t xml:space="preserve"> Brandt, 1995) argues that praising and rewarding children for behaving well is just as damaging as punishing them for behaving badly; positive reinforcement is, in its simplest form, using something that children want as a means of forcing them to act the way adults desire. Moreover, using any kind of reward as the motivation for doing something, be that behaving or completing a task, undermines the child’s natural intrinsic motivation to do it, and reduces their level of interest in whatever they are doing. Kohn believes that children should not need the extrinsic motivation of a reward, be that praise or otherwise, to behave appropriately in the classroom and apply themselves to their learning; the lesson and its content should be engaging and interesting enough that they do this without even having to think about it. If this does not happen, then the curriculum needs to be addressed, and if necessary, altered to be more interesting and relevant to children. Children should not need to be bribed into completing work that they have no enthusiasm for; motivation is not something that can be taught or instilled by someone else. It comes from within; when teachers are given advice on how to motivate children, all that they are really doing is being taught how to make children comply with classroom rules.   </w:t>
      </w:r>
    </w:p>
    <w:p w14:paraId="0E4FBAAD"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 xml:space="preserve">This implies that praise can have a potentially severe impact on the learning behaviour of children if it is not used correctly in the classroom; here, “correctly” refers to the part of the learning process </w:t>
      </w:r>
      <w:r w:rsidRPr="007B0886">
        <w:rPr>
          <w:rFonts w:ascii="Arial" w:hAnsi="Arial" w:cs="Arial"/>
          <w:sz w:val="24"/>
        </w:rPr>
        <w:lastRenderedPageBreak/>
        <w:t xml:space="preserve">that adults are praising. Dweck (no date) suggests that praising end achievement and perceived intelligence leads to the development of a fixed mindset among children, whereby failure or difficulty are seen as catastrophic, and rather than embracing the challenge of learning, children will simply give up when the task becomes too difficult. This is because they have come to believe that they are only successful and clever if they can complete the task and gain the highest reward possible, be that praise, a physical reward or a grade; therefore by being unable to do so, they are, in their own minds, stupid. If, on the other hand, it is the child’s effort, focus and perseverance that are praised, they will still feel a sense of pride for how hard they have worked, or the amount of effort they have put into the task, regardless of whether they completed it, or gained a high grade, or not. They will come to see failure and challenge as learning opportunities, and ways to improve, rather than barriers that can never be overcome. This is what is known as the growth mindset, the belief that even though one did not succeed this time, they will next time, provided they continue to persevere and work to the best of their ability.   </w:t>
      </w:r>
    </w:p>
    <w:p w14:paraId="23B9382B"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 xml:space="preserve">The effectiveness of praise and other classroom management systems will also depend on the nature of the teacher-child interaction, and the impact that teacher and child have on one another and one another’s behaviour. Ginott (1972 </w:t>
      </w:r>
      <w:r w:rsidRPr="007B0886">
        <w:rPr>
          <w:rFonts w:ascii="Arial" w:hAnsi="Arial" w:cs="Arial"/>
          <w:i/>
          <w:sz w:val="24"/>
        </w:rPr>
        <w:t xml:space="preserve">cited in </w:t>
      </w:r>
      <w:r w:rsidRPr="007B0886">
        <w:rPr>
          <w:rFonts w:ascii="Arial" w:hAnsi="Arial" w:cs="Arial"/>
          <w:sz w:val="24"/>
        </w:rPr>
        <w:t xml:space="preserve">Dubon, 2011) noticed a direct link between the way a child is addressed by the teacher, and how the child then behaves; the child’s behaviour is reactive, responding to the way the teacher is behaving. For example, if the teacher remains calm and steady throughout the lesson, the children are more likely to work in a calm and ordered manner, as opposed to a lesson where the teacher is on edge and raising their voice, in which case the children are more likely to become unruly. Ginott states that ‘students accept responsibility for their behaviour and the teacher accepts responsibility for creating a climate for proper behaviour’ (Ginott, 1972 </w:t>
      </w:r>
      <w:r w:rsidRPr="007B0886">
        <w:rPr>
          <w:rFonts w:ascii="Arial" w:hAnsi="Arial" w:cs="Arial"/>
          <w:i/>
          <w:sz w:val="24"/>
        </w:rPr>
        <w:t xml:space="preserve">cited in </w:t>
      </w:r>
      <w:r w:rsidRPr="007B0886">
        <w:rPr>
          <w:rFonts w:ascii="Arial" w:hAnsi="Arial" w:cs="Arial"/>
          <w:sz w:val="24"/>
        </w:rPr>
        <w:t xml:space="preserve">Dubon, 2011: 3). This “climate” should be driven by respect and clear communication, not punishment, discipline and consequences. Children do not need rewards and sanctions in order to know how to behave. </w:t>
      </w:r>
    </w:p>
    <w:p w14:paraId="13ACA1BD"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However, Glasser (</w:t>
      </w:r>
      <w:r w:rsidRPr="007B0886">
        <w:rPr>
          <w:rFonts w:ascii="Arial" w:hAnsi="Arial" w:cs="Arial"/>
          <w:i/>
          <w:sz w:val="24"/>
        </w:rPr>
        <w:t xml:space="preserve">cited in </w:t>
      </w:r>
      <w:r w:rsidRPr="007B0886">
        <w:rPr>
          <w:rFonts w:ascii="Arial" w:hAnsi="Arial" w:cs="Arial"/>
          <w:sz w:val="24"/>
        </w:rPr>
        <w:t xml:space="preserve">Dubon, 2011) criticised this theory on the basis that all behaviour is an actively-made choice, usually chosen in reaction to an aspect of the environment; in this case, the behaviour is a reaction to the presence of rules, rewards and punishments. Children decide how to behave based on the possibility of being rewarded for their behaviour, or punished for it, if receiving a sanction wins them popularity amongst their peers, for instance. </w:t>
      </w:r>
    </w:p>
    <w:p w14:paraId="60C59A83"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 xml:space="preserve">In the latter case, when children are more concerned with peer group status, which in this instance will probably be gained by breaking rules and getting a reaction from the teacher, praise is likely to be of little use in managing behaviour. The children will not be interested in gaining it; if anything, it may make them more difficult to deal with, as they may start bullying the members of the class who are praised by the teacher. Rather than focusing on these children and waiting for a moment when they can be praised for something, the suggestion now is that the teacher should ignore them as far </w:t>
      </w:r>
      <w:r w:rsidRPr="007B0886">
        <w:rPr>
          <w:rFonts w:ascii="Arial" w:hAnsi="Arial" w:cs="Arial"/>
          <w:sz w:val="24"/>
        </w:rPr>
        <w:lastRenderedPageBreak/>
        <w:t xml:space="preserve">as is possible, if their disruption is low-level and not causing any serious problems. For example, if the children are whispering to one another when the teacher is addressing the whole class, the teacher could simply stop and wait for silence, without scolding the children specifically. This denies them the reaction they are seeking; the idea is that if the teacher can continue in this way, the children will eventually become bored of seeking a situation which is never going to occur, and their disruptive behaviour will stop (Rogers, 2015).  </w:t>
      </w:r>
    </w:p>
    <w:p w14:paraId="17C57F0A"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 xml:space="preserve">There are other occasions when praise may not be useful in classroom management; in some cases this is down to how a child has been affected by their early experiences. Geddes (2006) argues that children with an avoidant attachment disorder, caused by rejection in the early years, have developed the need to be autonomous and self-sufficient, and do not react well to the efforts of teachers to form a relationship with them. The children may appear to be shy, hostile or emotionally detached; it is often wrongly believed that they need “bringing out of their shell”, or that with support, they will become more engaged with those around them. Since they are usually very focused on their work, and direct all their energy into the task at hand, teachers sometimes try publicly praising them for their effort and achievement, for example hoping to give them a sense of pride and allow them to see that their peers appreciate what they can do. However, this is more likely to make the child’s situation worse, as the task represents a sort of safety barrier between them and the teacher, with whom they are unwilling to form a relationship. This has nothing to do with the teacher, but comes from the child’s early years, when they were forced to become independent and avoidant in order to survive; as a result, relationships with others are often perceived as dangerous. Accepting praise means letting someone else in, which constitutes the first stages of forming a relationship, something that the child will be afraid to do.   </w:t>
      </w:r>
    </w:p>
    <w:p w14:paraId="0EA7683F"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 xml:space="preserve">On the other hand, Petty (2009) argues that praise can be a useful tool for encouraging children to stay on task, even when the children in question would rather be talking to their friends than working. Continuing the tactical ignoring argument made by Rogers, above, Petty suggests using behaviour control methods which end only in boredom for the children who are being disruptive; if an action only ever has a dull outcome, children are unlikely to repeat it. To ensure that the children become gradually less inclined to behave disruptively in future, the teacher should always try to find something praiseworthy in what the children are doing, having dealt with their unwanted behaviour, as this finishes the process on a positive note. This in turn helps keep the overall classroom ethos positive and directed towards learning, rather than a scene of constant confrontation. </w:t>
      </w:r>
    </w:p>
    <w:p w14:paraId="4756E28C"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 xml:space="preserve">Meanwhile, Grigg (2015) continues the argument that praise needs to be used carefully, because the unwise use of it has as much chance of negatively affecting children’s behaviour as it does of positively affecting this. If teachers only praise those children who constantly work hard, are always focused and cause minimal disruption, then their peers who may need, for example, reminding to focus on a regular basis may come to believe that the teacher only expects them to misbehave. </w:t>
      </w:r>
      <w:r w:rsidRPr="007B0886">
        <w:rPr>
          <w:rFonts w:ascii="Arial" w:hAnsi="Arial" w:cs="Arial"/>
          <w:sz w:val="24"/>
        </w:rPr>
        <w:lastRenderedPageBreak/>
        <w:t>When an adult does not expect good behaviour of a child, the child is less likely to display it, because subconsciously they believe that this is not what the adult wants them to do. They will live up to the adult’s expectations, whether these are good or bad, because this is how they think they are meant to behave. If they are never praised even when they do display desired behaviour, they will quickly stop doing so as without adult recognition, the effort will seem worthless.</w:t>
      </w:r>
    </w:p>
    <w:p w14:paraId="6B3DEE65"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 xml:space="preserve">Similarly, Singh (2012 </w:t>
      </w:r>
      <w:r w:rsidRPr="007B0886">
        <w:rPr>
          <w:rFonts w:ascii="Arial" w:hAnsi="Arial" w:cs="Arial"/>
          <w:i/>
          <w:sz w:val="24"/>
        </w:rPr>
        <w:t xml:space="preserve">cited in </w:t>
      </w:r>
      <w:r w:rsidRPr="007B0886">
        <w:rPr>
          <w:rFonts w:ascii="Arial" w:hAnsi="Arial" w:cs="Arial"/>
          <w:sz w:val="24"/>
        </w:rPr>
        <w:t xml:space="preserve">Grigg, 2015) argues that teachers need to be especially careful with praise and expectations if there are children in the class with additional learning needs, or ALN. Because children with ALN often struggle with day-to-day activities which their peers find comparatively easy, they may be praised for what their peers perceive to be only a little effort or even nothing. This may lead to resentment on the part of peers, who feel that they are having to put in twice as much effort for the same reward; resentment in turn can lead to deliberate social exclusion and also bullying. Moreover, the behaviour of the child with ALN may become worse, because they may feel that they now have a reason to misbehave, for example ‘a child with ADHD will use his diagnosis as an excuse for bad behaviour because he knows he can’ (Singh, 2012 </w:t>
      </w:r>
      <w:r w:rsidRPr="007B0886">
        <w:rPr>
          <w:rFonts w:ascii="Arial" w:hAnsi="Arial" w:cs="Arial"/>
          <w:i/>
          <w:sz w:val="24"/>
        </w:rPr>
        <w:t xml:space="preserve">cited in </w:t>
      </w:r>
      <w:r w:rsidRPr="007B0886">
        <w:rPr>
          <w:rFonts w:ascii="Arial" w:hAnsi="Arial" w:cs="Arial"/>
          <w:sz w:val="24"/>
        </w:rPr>
        <w:t xml:space="preserve">Grigg, 2015: 368). The child may come to feel that they cannot be scolded for their behaviour simply because they have an additional need. They may think that rules do not apply to them, and then complain when they are reprimanded for misbehaving, claiming that they cannot help what they do, because this is what they will have heard adults tell their peers about them. All children should feel that rules, rewards and sanctions apply equally to them, regardless of additional needs; as mentioned above, if one child is praised for an achievement, then others should also be praised for reaching it. Using praise differently for children with additional needs slightly defeats the point of trying to include them in the class in the first place, as it highlights the perceived difference between them and their peers.  </w:t>
      </w:r>
    </w:p>
    <w:p w14:paraId="41EF9B37"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 xml:space="preserve">In contrast, Lowry (2016) suggests that praise can be a useful way of raising children’s self-esteem, and keeping this at a high level, especially when the children in question have additional needs. When a child continually struggles with a particular task or in a certain situation, they often develop a sense of learned helplessness, in which they come to feel despondent due to repeated failure; many children who fit this description often think that they cannot do anything at all, and may call themselves stupid. Praising them for what they can do, however small this might be, shows them that they can succeed after all, despite feeling that the odds are against them. This encourages them to keep trying and work hard, even when the situation is challenging. </w:t>
      </w:r>
    </w:p>
    <w:p w14:paraId="20227702"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 xml:space="preserve">Lowry also argues, however, that overusing praise can be just as damaging as constantly telling a child that their work is unsatisfactory. One reason for this is that ‘the more praise children receive, the more they rely on adult evaluations instead of forming their own judgements’ (Lowry, 2016 para 8). They become what Lowry calls praise junkies, dependent on adult approval to know that they have achieved the goal which they set out to reach. Also, this approval serves as a form of </w:t>
      </w:r>
      <w:r w:rsidRPr="007B0886">
        <w:rPr>
          <w:rFonts w:ascii="Arial" w:hAnsi="Arial" w:cs="Arial"/>
          <w:sz w:val="24"/>
        </w:rPr>
        <w:lastRenderedPageBreak/>
        <w:t>judgement on the child’s work, which the child does not deserve; they should be able to feel justifiably proud of what they have done, and not have to subject their efforts to adult scrutiny in order to know whether they have succeeded or failed. Furthermore, when children are praised for achieving highly on a regular basis, they can often feel under pressure to continue to do so, even in subjects where they are not particularly skilled. This leads to an unwillingness to take risks, as the child now fears failure; they have become so used to receiving nothing but positive feedback that they may feel that they themselves are a failure if they do not achieve as highly as they have been doing previously.</w:t>
      </w:r>
    </w:p>
    <w:p w14:paraId="653C3C06" w14:textId="77777777" w:rsidR="00F31485" w:rsidRPr="007B0886" w:rsidRDefault="00F31485" w:rsidP="00F31485">
      <w:pPr>
        <w:spacing w:line="360" w:lineRule="auto"/>
        <w:jc w:val="both"/>
        <w:rPr>
          <w:rFonts w:ascii="Arial" w:hAnsi="Arial" w:cs="Arial"/>
          <w:sz w:val="24"/>
        </w:rPr>
      </w:pPr>
      <w:r w:rsidRPr="007B0886">
        <w:rPr>
          <w:rFonts w:ascii="Arial" w:hAnsi="Arial" w:cs="Arial"/>
          <w:sz w:val="24"/>
        </w:rPr>
        <w:t xml:space="preserve">From the arguments presented here, it seems that praise is something which needs to be used with care in the classroom; whilst it may be, in many situations, a useful and effective tool of classroom management, it can also have a negative effect on children’s work ethic and general wellbeing. Some children will react well to being praised and be driven by it to work harder; others may dislike it and be turned away from trying hard by its use. It is also important to remember that, when praising a child’s work, the effort and perseverance should be more highly praised than the finished product, as this is what will encourage the child to keep trying in future, even in the face of challenges.  </w:t>
      </w:r>
    </w:p>
    <w:p w14:paraId="4313AC72" w14:textId="77777777" w:rsidR="00F31485" w:rsidRDefault="00F31485" w:rsidP="00F31485">
      <w:pPr>
        <w:spacing w:line="360" w:lineRule="auto"/>
        <w:jc w:val="both"/>
        <w:rPr>
          <w:rFonts w:ascii="Arial" w:hAnsi="Arial" w:cs="Arial"/>
          <w:sz w:val="24"/>
          <w:u w:val="single"/>
        </w:rPr>
      </w:pPr>
      <w:r>
        <w:rPr>
          <w:rFonts w:ascii="Arial" w:hAnsi="Arial" w:cs="Arial"/>
          <w:sz w:val="24"/>
          <w:u w:val="single"/>
        </w:rPr>
        <w:t>Reference list</w:t>
      </w:r>
    </w:p>
    <w:p w14:paraId="64CB718C" w14:textId="77777777" w:rsidR="00F31485" w:rsidRDefault="00F31485" w:rsidP="00F31485">
      <w:pPr>
        <w:spacing w:line="360" w:lineRule="auto"/>
        <w:jc w:val="both"/>
        <w:rPr>
          <w:rFonts w:ascii="Arial" w:hAnsi="Arial" w:cs="Arial"/>
          <w:color w:val="FF0000"/>
          <w:sz w:val="24"/>
        </w:rPr>
      </w:pPr>
      <w:r w:rsidRPr="00380666">
        <w:rPr>
          <w:rFonts w:ascii="Arial" w:hAnsi="Arial" w:cs="Arial"/>
          <w:sz w:val="24"/>
        </w:rPr>
        <w:t xml:space="preserve">Brandt, R. (1995) </w:t>
      </w:r>
      <w:r w:rsidRPr="00380666">
        <w:rPr>
          <w:rFonts w:ascii="Arial" w:hAnsi="Arial" w:cs="Arial"/>
          <w:i/>
          <w:sz w:val="24"/>
        </w:rPr>
        <w:t xml:space="preserve">Punished by Rewards? – A Conversation with Alfie Kohn. </w:t>
      </w:r>
      <w:hyperlink r:id="rId4" w:history="1">
        <w:r w:rsidRPr="00572799">
          <w:rPr>
            <w:rStyle w:val="Hyperlink"/>
            <w:rFonts w:ascii="Arial" w:hAnsi="Arial" w:cs="Arial"/>
            <w:sz w:val="24"/>
          </w:rPr>
          <w:t>https://www.alfiekohn.org/article/punished-rewards-article/</w:t>
        </w:r>
      </w:hyperlink>
      <w:r w:rsidRPr="00380666">
        <w:rPr>
          <w:rFonts w:ascii="Arial" w:hAnsi="Arial" w:cs="Arial"/>
          <w:i/>
          <w:sz w:val="24"/>
        </w:rPr>
        <w:t xml:space="preserve"> </w:t>
      </w:r>
      <w:r w:rsidRPr="00380666">
        <w:rPr>
          <w:rFonts w:ascii="Arial" w:hAnsi="Arial" w:cs="Arial"/>
          <w:sz w:val="24"/>
        </w:rPr>
        <w:t>(Accessed: 21</w:t>
      </w:r>
      <w:r w:rsidRPr="00380666">
        <w:rPr>
          <w:rFonts w:ascii="Arial" w:hAnsi="Arial" w:cs="Arial"/>
          <w:sz w:val="24"/>
          <w:vertAlign w:val="superscript"/>
        </w:rPr>
        <w:t>st</w:t>
      </w:r>
      <w:r w:rsidRPr="00380666">
        <w:rPr>
          <w:rFonts w:ascii="Arial" w:hAnsi="Arial" w:cs="Arial"/>
          <w:sz w:val="24"/>
        </w:rPr>
        <w:t xml:space="preserve"> February 2018). </w:t>
      </w:r>
    </w:p>
    <w:p w14:paraId="6BCFE36B" w14:textId="77777777" w:rsidR="00F31485" w:rsidRDefault="00F31485" w:rsidP="00F31485">
      <w:pPr>
        <w:spacing w:line="360" w:lineRule="auto"/>
        <w:jc w:val="both"/>
        <w:rPr>
          <w:rFonts w:ascii="Arial" w:hAnsi="Arial" w:cs="Arial"/>
          <w:i/>
          <w:sz w:val="24"/>
        </w:rPr>
      </w:pPr>
      <w:r w:rsidRPr="00CD4A4B">
        <w:rPr>
          <w:rFonts w:ascii="Arial" w:hAnsi="Arial" w:cs="Arial"/>
          <w:sz w:val="24"/>
        </w:rPr>
        <w:t xml:space="preserve">Davies, S. (2006) </w:t>
      </w:r>
      <w:r w:rsidRPr="00CD4A4B">
        <w:rPr>
          <w:rFonts w:ascii="Arial" w:hAnsi="Arial" w:cs="Arial"/>
          <w:i/>
          <w:sz w:val="24"/>
        </w:rPr>
        <w:t xml:space="preserve">The essential guide to teaching. </w:t>
      </w:r>
      <w:r w:rsidRPr="00CD4A4B">
        <w:rPr>
          <w:rFonts w:ascii="Arial" w:hAnsi="Arial" w:cs="Arial"/>
          <w:sz w:val="24"/>
        </w:rPr>
        <w:t xml:space="preserve">Harlow: Pearson Education Limited. </w:t>
      </w:r>
      <w:r w:rsidRPr="00CD4A4B">
        <w:rPr>
          <w:rFonts w:ascii="Arial" w:hAnsi="Arial" w:cs="Arial"/>
          <w:i/>
          <w:sz w:val="24"/>
        </w:rPr>
        <w:t xml:space="preserve"> </w:t>
      </w:r>
    </w:p>
    <w:p w14:paraId="21547EBA" w14:textId="77777777" w:rsidR="00F31485" w:rsidRDefault="00F31485" w:rsidP="00F31485">
      <w:pPr>
        <w:spacing w:line="360" w:lineRule="auto"/>
        <w:jc w:val="both"/>
        <w:rPr>
          <w:rFonts w:ascii="Arial" w:hAnsi="Arial" w:cs="Arial"/>
          <w:sz w:val="24"/>
        </w:rPr>
      </w:pPr>
      <w:r w:rsidRPr="001B7A02">
        <w:rPr>
          <w:rFonts w:ascii="Arial" w:hAnsi="Arial" w:cs="Arial"/>
          <w:sz w:val="24"/>
        </w:rPr>
        <w:t xml:space="preserve">Dubon, E. (2011) </w:t>
      </w:r>
      <w:r w:rsidRPr="001B7A02">
        <w:rPr>
          <w:rFonts w:ascii="Arial" w:hAnsi="Arial" w:cs="Arial"/>
          <w:i/>
          <w:sz w:val="24"/>
        </w:rPr>
        <w:t xml:space="preserve">Haim Ginott – Theory on Congruent Communication. </w:t>
      </w:r>
      <w:hyperlink r:id="rId5" w:history="1">
        <w:r w:rsidRPr="00D1776D">
          <w:rPr>
            <w:rStyle w:val="Hyperlink"/>
            <w:rFonts w:ascii="Arial" w:hAnsi="Arial" w:cs="Arial"/>
            <w:sz w:val="24"/>
          </w:rPr>
          <w:t>https://prezi.com/dmtdwwsyqjzg/haim-ginott-theory-on-congruent-communication/</w:t>
        </w:r>
      </w:hyperlink>
      <w:r>
        <w:rPr>
          <w:rFonts w:ascii="Arial" w:hAnsi="Arial" w:cs="Arial"/>
          <w:i/>
          <w:color w:val="FF0000"/>
          <w:sz w:val="24"/>
        </w:rPr>
        <w:t xml:space="preserve"> </w:t>
      </w:r>
      <w:r w:rsidRPr="001B7A02">
        <w:rPr>
          <w:rFonts w:ascii="Arial" w:hAnsi="Arial" w:cs="Arial"/>
          <w:sz w:val="24"/>
        </w:rPr>
        <w:t>(Accessed: 19</w:t>
      </w:r>
      <w:r w:rsidRPr="001B7A02">
        <w:rPr>
          <w:rFonts w:ascii="Arial" w:hAnsi="Arial" w:cs="Arial"/>
          <w:sz w:val="24"/>
          <w:vertAlign w:val="superscript"/>
        </w:rPr>
        <w:t>th</w:t>
      </w:r>
      <w:r w:rsidRPr="001B7A02">
        <w:rPr>
          <w:rFonts w:ascii="Arial" w:hAnsi="Arial" w:cs="Arial"/>
          <w:sz w:val="24"/>
        </w:rPr>
        <w:t xml:space="preserve"> April 2018). </w:t>
      </w:r>
    </w:p>
    <w:p w14:paraId="418E6CFA" w14:textId="77777777" w:rsidR="00F31485" w:rsidRDefault="00F31485" w:rsidP="00F31485">
      <w:pPr>
        <w:spacing w:line="360" w:lineRule="auto"/>
        <w:jc w:val="both"/>
        <w:rPr>
          <w:rFonts w:ascii="Arial" w:hAnsi="Arial" w:cs="Arial"/>
          <w:sz w:val="24"/>
        </w:rPr>
      </w:pPr>
      <w:r w:rsidRPr="00C54878">
        <w:rPr>
          <w:rFonts w:ascii="Arial" w:hAnsi="Arial" w:cs="Arial"/>
          <w:sz w:val="24"/>
        </w:rPr>
        <w:t xml:space="preserve">Dweck, C. (no date) </w:t>
      </w:r>
      <w:r w:rsidRPr="00C54878">
        <w:rPr>
          <w:rFonts w:ascii="Arial" w:hAnsi="Arial" w:cs="Arial"/>
          <w:i/>
          <w:sz w:val="24"/>
        </w:rPr>
        <w:t xml:space="preserve">The power of believing that you can improve. </w:t>
      </w:r>
      <w:hyperlink r:id="rId6" w:history="1">
        <w:r w:rsidRPr="001E45C2">
          <w:rPr>
            <w:rStyle w:val="Hyperlink"/>
            <w:rFonts w:ascii="Arial" w:hAnsi="Arial" w:cs="Arial"/>
            <w:sz w:val="24"/>
          </w:rPr>
          <w:t>https://www.ted.com/talks/carol_dweck_the_power_of_believing_that_you_can_improve/transcript</w:t>
        </w:r>
      </w:hyperlink>
      <w:r>
        <w:rPr>
          <w:rFonts w:ascii="Arial" w:hAnsi="Arial" w:cs="Arial"/>
          <w:i/>
          <w:color w:val="FF0000"/>
          <w:sz w:val="24"/>
        </w:rPr>
        <w:t xml:space="preserve"> </w:t>
      </w:r>
      <w:r w:rsidRPr="00C54878">
        <w:rPr>
          <w:rFonts w:ascii="Arial" w:hAnsi="Arial" w:cs="Arial"/>
          <w:sz w:val="24"/>
        </w:rPr>
        <w:t>(Accessed: 17</w:t>
      </w:r>
      <w:r w:rsidRPr="00C54878">
        <w:rPr>
          <w:rFonts w:ascii="Arial" w:hAnsi="Arial" w:cs="Arial"/>
          <w:sz w:val="24"/>
          <w:vertAlign w:val="superscript"/>
        </w:rPr>
        <w:t>th</w:t>
      </w:r>
      <w:r w:rsidRPr="00C54878">
        <w:rPr>
          <w:rFonts w:ascii="Arial" w:hAnsi="Arial" w:cs="Arial"/>
          <w:sz w:val="24"/>
        </w:rPr>
        <w:t xml:space="preserve"> April 2018). </w:t>
      </w:r>
    </w:p>
    <w:p w14:paraId="0FF790A2" w14:textId="77777777" w:rsidR="00F31485" w:rsidRPr="0069390A" w:rsidRDefault="00F31485" w:rsidP="00F31485">
      <w:pPr>
        <w:spacing w:line="360" w:lineRule="auto"/>
        <w:jc w:val="both"/>
        <w:rPr>
          <w:rFonts w:ascii="Arial" w:hAnsi="Arial" w:cs="Arial"/>
          <w:sz w:val="24"/>
        </w:rPr>
      </w:pPr>
      <w:r w:rsidRPr="0069390A">
        <w:rPr>
          <w:rFonts w:ascii="Arial" w:hAnsi="Arial" w:cs="Arial"/>
          <w:sz w:val="24"/>
        </w:rPr>
        <w:t xml:space="preserve">Geddes, H. (2006) </w:t>
      </w:r>
      <w:r w:rsidRPr="0069390A">
        <w:rPr>
          <w:rFonts w:ascii="Arial" w:hAnsi="Arial" w:cs="Arial"/>
          <w:i/>
          <w:sz w:val="24"/>
        </w:rPr>
        <w:t xml:space="preserve">Attachment in the Classroom. </w:t>
      </w:r>
      <w:r w:rsidRPr="0069390A">
        <w:rPr>
          <w:rFonts w:ascii="Arial" w:hAnsi="Arial" w:cs="Arial"/>
          <w:sz w:val="24"/>
        </w:rPr>
        <w:t xml:space="preserve">London: Worth Publishing Limited. </w:t>
      </w:r>
    </w:p>
    <w:p w14:paraId="27745A37" w14:textId="77777777" w:rsidR="00F31485" w:rsidRDefault="00F31485" w:rsidP="00F31485">
      <w:pPr>
        <w:spacing w:line="360" w:lineRule="auto"/>
        <w:jc w:val="both"/>
        <w:rPr>
          <w:rFonts w:ascii="Arial" w:hAnsi="Arial" w:cs="Arial"/>
          <w:sz w:val="24"/>
        </w:rPr>
      </w:pPr>
      <w:r>
        <w:rPr>
          <w:rFonts w:ascii="Arial" w:hAnsi="Arial" w:cs="Arial"/>
          <w:sz w:val="24"/>
        </w:rPr>
        <w:t xml:space="preserve">Grigg, R. (2015) </w:t>
      </w:r>
      <w:r>
        <w:rPr>
          <w:rFonts w:ascii="Arial" w:hAnsi="Arial" w:cs="Arial"/>
          <w:i/>
          <w:sz w:val="24"/>
        </w:rPr>
        <w:t xml:space="preserve">Becoming an Outstanding Primary School Teacher. </w:t>
      </w:r>
      <w:r>
        <w:rPr>
          <w:rFonts w:ascii="Arial" w:hAnsi="Arial" w:cs="Arial"/>
          <w:sz w:val="24"/>
        </w:rPr>
        <w:t xml:space="preserve">Oxon: Routledge. </w:t>
      </w:r>
    </w:p>
    <w:p w14:paraId="35B5AEC5" w14:textId="77777777" w:rsidR="00F31485" w:rsidRPr="00E26BBF" w:rsidRDefault="00F31485" w:rsidP="00F31485">
      <w:pPr>
        <w:spacing w:line="360" w:lineRule="auto"/>
        <w:jc w:val="both"/>
        <w:rPr>
          <w:rFonts w:ascii="Arial" w:hAnsi="Arial" w:cs="Arial"/>
          <w:color w:val="FF0000"/>
          <w:sz w:val="24"/>
        </w:rPr>
      </w:pPr>
      <w:r w:rsidRPr="000E0F90">
        <w:rPr>
          <w:rFonts w:ascii="Arial" w:hAnsi="Arial" w:cs="Arial"/>
          <w:sz w:val="24"/>
        </w:rPr>
        <w:t xml:space="preserve">Lowry, L. (2016) </w:t>
      </w:r>
      <w:r w:rsidRPr="000E0F90">
        <w:rPr>
          <w:rFonts w:ascii="Arial" w:hAnsi="Arial" w:cs="Arial"/>
          <w:i/>
          <w:sz w:val="24"/>
        </w:rPr>
        <w:t xml:space="preserve">“Good job!” Is Praising Young Children a Good idea? </w:t>
      </w:r>
      <w:hyperlink r:id="rId7" w:history="1">
        <w:r w:rsidRPr="00E26BBF">
          <w:rPr>
            <w:rStyle w:val="Hyperlink"/>
            <w:rFonts w:ascii="Arial" w:hAnsi="Arial" w:cs="Arial"/>
            <w:sz w:val="24"/>
          </w:rPr>
          <w:t>http://www.hanen.org/Helpful-Info/Articles/Good-job!-Is-Praising-Young-Children-a-Good-idea.aspx</w:t>
        </w:r>
      </w:hyperlink>
      <w:r w:rsidRPr="00E26BBF">
        <w:rPr>
          <w:rFonts w:ascii="Arial" w:hAnsi="Arial" w:cs="Arial"/>
          <w:color w:val="FF0000"/>
          <w:sz w:val="24"/>
        </w:rPr>
        <w:t xml:space="preserve"> </w:t>
      </w:r>
      <w:r w:rsidRPr="000E0F90">
        <w:rPr>
          <w:rFonts w:ascii="Arial" w:hAnsi="Arial" w:cs="Arial"/>
          <w:sz w:val="24"/>
        </w:rPr>
        <w:t>(Accessed: 22</w:t>
      </w:r>
      <w:r w:rsidRPr="000E0F90">
        <w:rPr>
          <w:rFonts w:ascii="Arial" w:hAnsi="Arial" w:cs="Arial"/>
          <w:sz w:val="24"/>
          <w:vertAlign w:val="superscript"/>
        </w:rPr>
        <w:t>nd</w:t>
      </w:r>
      <w:r w:rsidRPr="000E0F90">
        <w:rPr>
          <w:rFonts w:ascii="Arial" w:hAnsi="Arial" w:cs="Arial"/>
          <w:sz w:val="24"/>
        </w:rPr>
        <w:t xml:space="preserve"> April 2018). </w:t>
      </w:r>
    </w:p>
    <w:p w14:paraId="15FE9DA7" w14:textId="77777777" w:rsidR="00F31485" w:rsidRDefault="00F31485" w:rsidP="00F31485">
      <w:pPr>
        <w:spacing w:line="360" w:lineRule="auto"/>
        <w:jc w:val="both"/>
        <w:rPr>
          <w:rFonts w:ascii="Arial" w:hAnsi="Arial" w:cs="Arial"/>
          <w:i/>
          <w:sz w:val="24"/>
        </w:rPr>
      </w:pPr>
      <w:r>
        <w:rPr>
          <w:rFonts w:ascii="Arial" w:hAnsi="Arial" w:cs="Arial"/>
          <w:sz w:val="24"/>
        </w:rPr>
        <w:t xml:space="preserve">Petty, G. (2009) </w:t>
      </w:r>
      <w:r>
        <w:rPr>
          <w:rFonts w:ascii="Arial" w:hAnsi="Arial" w:cs="Arial"/>
          <w:i/>
          <w:sz w:val="24"/>
        </w:rPr>
        <w:t xml:space="preserve">Teaching Today – A Practical Guide </w:t>
      </w:r>
      <w:r>
        <w:rPr>
          <w:rFonts w:ascii="Arial" w:hAnsi="Arial" w:cs="Arial"/>
          <w:sz w:val="24"/>
        </w:rPr>
        <w:t>(4</w:t>
      </w:r>
      <w:r w:rsidRPr="00D22898">
        <w:rPr>
          <w:rFonts w:ascii="Arial" w:hAnsi="Arial" w:cs="Arial"/>
          <w:sz w:val="24"/>
          <w:vertAlign w:val="superscript"/>
        </w:rPr>
        <w:t>th</w:t>
      </w:r>
      <w:r>
        <w:rPr>
          <w:rFonts w:ascii="Arial" w:hAnsi="Arial" w:cs="Arial"/>
          <w:sz w:val="24"/>
        </w:rPr>
        <w:t xml:space="preserve"> edn). </w:t>
      </w:r>
      <w:r>
        <w:rPr>
          <w:rFonts w:ascii="Arial" w:hAnsi="Arial" w:cs="Arial"/>
          <w:i/>
          <w:sz w:val="24"/>
        </w:rPr>
        <w:t>Dawsonera</w:t>
      </w:r>
      <w:r>
        <w:rPr>
          <w:rFonts w:ascii="Arial" w:hAnsi="Arial" w:cs="Arial"/>
          <w:sz w:val="24"/>
        </w:rPr>
        <w:t xml:space="preserve"> [online]</w:t>
      </w:r>
      <w:r>
        <w:rPr>
          <w:rFonts w:ascii="Arial" w:hAnsi="Arial" w:cs="Arial"/>
          <w:i/>
          <w:sz w:val="24"/>
        </w:rPr>
        <w:t xml:space="preserve">. </w:t>
      </w:r>
      <w:r>
        <w:rPr>
          <w:rFonts w:ascii="Arial" w:hAnsi="Arial" w:cs="Arial"/>
          <w:sz w:val="24"/>
        </w:rPr>
        <w:t xml:space="preserve">Available at: </w:t>
      </w:r>
      <w:hyperlink r:id="rId8" w:history="1">
        <w:r w:rsidRPr="00EC1550">
          <w:rPr>
            <w:rStyle w:val="Hyperlink"/>
            <w:rFonts w:ascii="Arial" w:hAnsi="Arial" w:cs="Arial"/>
            <w:sz w:val="24"/>
          </w:rPr>
          <w:t>https://www-dawsonera-com.ezproxy.uwtsd.ac.uk/readonline/9781408507346</w:t>
        </w:r>
      </w:hyperlink>
      <w:r>
        <w:rPr>
          <w:rFonts w:ascii="Arial" w:hAnsi="Arial" w:cs="Arial"/>
          <w:sz w:val="24"/>
        </w:rPr>
        <w:t xml:space="preserve"> (Accessed: 20</w:t>
      </w:r>
      <w:r w:rsidRPr="00856409">
        <w:rPr>
          <w:rFonts w:ascii="Arial" w:hAnsi="Arial" w:cs="Arial"/>
          <w:sz w:val="24"/>
          <w:vertAlign w:val="superscript"/>
        </w:rPr>
        <w:t>th</w:t>
      </w:r>
      <w:r>
        <w:rPr>
          <w:rFonts w:ascii="Arial" w:hAnsi="Arial" w:cs="Arial"/>
          <w:sz w:val="24"/>
        </w:rPr>
        <w:t xml:space="preserve"> April 2018). </w:t>
      </w:r>
      <w:r>
        <w:rPr>
          <w:rFonts w:ascii="Arial" w:hAnsi="Arial" w:cs="Arial"/>
          <w:i/>
          <w:sz w:val="24"/>
        </w:rPr>
        <w:t xml:space="preserve"> </w:t>
      </w:r>
    </w:p>
    <w:p w14:paraId="63F2BA3A" w14:textId="77777777" w:rsidR="00F31485" w:rsidRDefault="00F31485" w:rsidP="00F31485">
      <w:pPr>
        <w:spacing w:line="360" w:lineRule="auto"/>
        <w:jc w:val="both"/>
        <w:rPr>
          <w:rFonts w:ascii="Arial" w:hAnsi="Arial" w:cs="Arial"/>
          <w:i/>
          <w:sz w:val="24"/>
        </w:rPr>
      </w:pPr>
      <w:r>
        <w:rPr>
          <w:rFonts w:ascii="Arial" w:hAnsi="Arial" w:cs="Arial"/>
          <w:sz w:val="24"/>
        </w:rPr>
        <w:lastRenderedPageBreak/>
        <w:t xml:space="preserve">Rogers, B. (2007) </w:t>
      </w:r>
      <w:r>
        <w:rPr>
          <w:rFonts w:ascii="Arial" w:hAnsi="Arial" w:cs="Arial"/>
          <w:i/>
          <w:sz w:val="24"/>
        </w:rPr>
        <w:t xml:space="preserve">Behaviour Management – A Whole-School Approach </w:t>
      </w:r>
      <w:r>
        <w:rPr>
          <w:rFonts w:ascii="Arial" w:hAnsi="Arial" w:cs="Arial"/>
          <w:sz w:val="24"/>
        </w:rPr>
        <w:t>(2</w:t>
      </w:r>
      <w:r w:rsidRPr="00DF6E89">
        <w:rPr>
          <w:rFonts w:ascii="Arial" w:hAnsi="Arial" w:cs="Arial"/>
          <w:sz w:val="24"/>
          <w:vertAlign w:val="superscript"/>
        </w:rPr>
        <w:t>nd</w:t>
      </w:r>
      <w:r>
        <w:rPr>
          <w:rFonts w:ascii="Arial" w:hAnsi="Arial" w:cs="Arial"/>
          <w:sz w:val="24"/>
        </w:rPr>
        <w:t xml:space="preserve"> edn)</w:t>
      </w:r>
      <w:r>
        <w:rPr>
          <w:rFonts w:ascii="Arial" w:hAnsi="Arial" w:cs="Arial"/>
          <w:i/>
          <w:sz w:val="24"/>
        </w:rPr>
        <w:t xml:space="preserve">. </w:t>
      </w:r>
      <w:r>
        <w:rPr>
          <w:rFonts w:ascii="Arial" w:hAnsi="Arial" w:cs="Arial"/>
          <w:sz w:val="24"/>
        </w:rPr>
        <w:t xml:space="preserve">London: SAGE Publications Limited. </w:t>
      </w:r>
      <w:r>
        <w:rPr>
          <w:rFonts w:ascii="Arial" w:hAnsi="Arial" w:cs="Arial"/>
          <w:i/>
          <w:sz w:val="24"/>
        </w:rPr>
        <w:t xml:space="preserve"> </w:t>
      </w:r>
    </w:p>
    <w:p w14:paraId="71DF2380" w14:textId="77777777" w:rsidR="00F31485" w:rsidRDefault="00F31485" w:rsidP="00F31485">
      <w:pPr>
        <w:spacing w:line="360" w:lineRule="auto"/>
        <w:jc w:val="both"/>
        <w:rPr>
          <w:rFonts w:ascii="Arial" w:hAnsi="Arial" w:cs="Arial"/>
          <w:sz w:val="24"/>
        </w:rPr>
      </w:pPr>
      <w:r w:rsidRPr="003156A3">
        <w:rPr>
          <w:rFonts w:ascii="Arial" w:hAnsi="Arial" w:cs="Arial"/>
          <w:sz w:val="24"/>
        </w:rPr>
        <w:t xml:space="preserve">Rogers, B. (2015) </w:t>
      </w:r>
      <w:r w:rsidRPr="003156A3">
        <w:rPr>
          <w:rFonts w:ascii="Arial" w:hAnsi="Arial" w:cs="Arial"/>
          <w:i/>
          <w:sz w:val="24"/>
        </w:rPr>
        <w:t xml:space="preserve">Classroom Behaviour – A practical guide to effective teaching, behaviour management and colleague support. </w:t>
      </w:r>
      <w:r w:rsidRPr="003156A3">
        <w:rPr>
          <w:rFonts w:ascii="Arial" w:hAnsi="Arial" w:cs="Arial"/>
          <w:sz w:val="24"/>
        </w:rPr>
        <w:t xml:space="preserve">London: SAGE Publications Limited. </w:t>
      </w:r>
    </w:p>
    <w:p w14:paraId="1861DCF0" w14:textId="77777777" w:rsidR="00F31485" w:rsidRDefault="00F31485" w:rsidP="00F31485">
      <w:pPr>
        <w:spacing w:line="360" w:lineRule="auto"/>
        <w:jc w:val="both"/>
        <w:rPr>
          <w:rFonts w:ascii="Arial" w:hAnsi="Arial" w:cs="Arial"/>
          <w:sz w:val="24"/>
        </w:rPr>
      </w:pPr>
      <w:r>
        <w:rPr>
          <w:rFonts w:ascii="Arial" w:hAnsi="Arial" w:cs="Arial"/>
          <w:sz w:val="24"/>
        </w:rPr>
        <w:t xml:space="preserve">Tauber, R. (2007) </w:t>
      </w:r>
      <w:r>
        <w:rPr>
          <w:rFonts w:ascii="Arial" w:hAnsi="Arial" w:cs="Arial"/>
          <w:i/>
          <w:sz w:val="24"/>
        </w:rPr>
        <w:t xml:space="preserve">Classroom Management – Sound Theory &amp; Effective Practice </w:t>
      </w:r>
      <w:r>
        <w:rPr>
          <w:rFonts w:ascii="Arial" w:hAnsi="Arial" w:cs="Arial"/>
          <w:sz w:val="24"/>
        </w:rPr>
        <w:t>(4</w:t>
      </w:r>
      <w:r w:rsidRPr="003A7E47">
        <w:rPr>
          <w:rFonts w:ascii="Arial" w:hAnsi="Arial" w:cs="Arial"/>
          <w:sz w:val="24"/>
          <w:vertAlign w:val="superscript"/>
        </w:rPr>
        <w:t>th</w:t>
      </w:r>
      <w:r>
        <w:rPr>
          <w:rFonts w:ascii="Arial" w:hAnsi="Arial" w:cs="Arial"/>
          <w:sz w:val="24"/>
        </w:rPr>
        <w:t xml:space="preserve"> edn.)</w:t>
      </w:r>
      <w:r>
        <w:rPr>
          <w:rFonts w:ascii="Arial" w:hAnsi="Arial" w:cs="Arial"/>
          <w:i/>
          <w:sz w:val="24"/>
        </w:rPr>
        <w:t xml:space="preserve">. </w:t>
      </w:r>
      <w:r>
        <w:rPr>
          <w:rFonts w:ascii="Arial" w:hAnsi="Arial" w:cs="Arial"/>
          <w:sz w:val="24"/>
        </w:rPr>
        <w:t xml:space="preserve">Westport: Praeger Publishers. </w:t>
      </w:r>
    </w:p>
    <w:p w14:paraId="52D7AA24" w14:textId="77777777" w:rsidR="00F31485" w:rsidRPr="007B0886" w:rsidRDefault="00F31485" w:rsidP="00F31485">
      <w:pPr>
        <w:spacing w:line="360" w:lineRule="auto"/>
        <w:jc w:val="both"/>
        <w:rPr>
          <w:rFonts w:ascii="Arial" w:hAnsi="Arial" w:cs="Arial"/>
          <w:sz w:val="24"/>
        </w:rPr>
      </w:pPr>
    </w:p>
    <w:p w14:paraId="5DB10B14" w14:textId="77777777" w:rsidR="00FE0637" w:rsidRDefault="00FE0637"/>
    <w:sectPr w:rsidR="00FE0637" w:rsidSect="0011309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485"/>
    <w:rsid w:val="001E62E4"/>
    <w:rsid w:val="006C1027"/>
    <w:rsid w:val="007512CA"/>
    <w:rsid w:val="007E678E"/>
    <w:rsid w:val="009C297C"/>
    <w:rsid w:val="00F31485"/>
    <w:rsid w:val="00F5662D"/>
    <w:rsid w:val="00FE0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83136"/>
  <w15:chartTrackingRefBased/>
  <w15:docId w15:val="{113BD5B8-3F01-4FEC-8AAF-C229CE705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314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512CA"/>
    <w:pPr>
      <w:spacing w:after="0" w:line="240" w:lineRule="auto"/>
    </w:pPr>
  </w:style>
  <w:style w:type="character" w:styleId="Hyperlink">
    <w:name w:val="Hyperlink"/>
    <w:basedOn w:val="DefaultParagraphFont"/>
    <w:uiPriority w:val="99"/>
    <w:unhideWhenUsed/>
    <w:rsid w:val="00F314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awsonera-com.ezproxy.uwtsd.ac.uk/readonline/9781408507346" TargetMode="External"/><Relationship Id="rId3" Type="http://schemas.openxmlformats.org/officeDocument/2006/relationships/webSettings" Target="webSettings.xml"/><Relationship Id="rId7" Type="http://schemas.openxmlformats.org/officeDocument/2006/relationships/hyperlink" Target="http://www.hanen.org/Helpful-Info/Articles/Good-job!-Is-Praising-Young-Children-a-Good-idea.asp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ed.com/talks/carol_dweck_the_power_of_believing_that_you_can_improve/transcript" TargetMode="External"/><Relationship Id="rId5" Type="http://schemas.openxmlformats.org/officeDocument/2006/relationships/hyperlink" Target="https://prezi.com/dmtdwwsyqjzg/haim-ginott-theory-on-congruent-communication/" TargetMode="External"/><Relationship Id="rId10" Type="http://schemas.openxmlformats.org/officeDocument/2006/relationships/theme" Target="theme/theme1.xml"/><Relationship Id="rId4" Type="http://schemas.openxmlformats.org/officeDocument/2006/relationships/hyperlink" Target="https://www.alfiekohn.org/article/punished-rewards-articl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3038</Words>
  <Characters>17319</Characters>
  <Application>Microsoft Office Word</Application>
  <DocSecurity>0</DocSecurity>
  <Lines>144</Lines>
  <Paragraphs>40</Paragraphs>
  <ScaleCrop>false</ScaleCrop>
  <Company/>
  <LinksUpToDate>false</LinksUpToDate>
  <CharactersWithSpaces>20317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Rosie Mai Rivers Cole</dc:creator>
  <cp:keywords/>
  <dc:description/>
  <cp:lastModifiedBy>Rosie Mai Rivers Cole</cp:lastModifiedBy>
  <cp:revision>6</cp:revision>
  <dcterms:created xsi:type="dcterms:W3CDTF">2018-04-25T13:01:00Z</dcterms:created>
  <dcterms:modified xsi:type="dcterms:W3CDTF">2018-04-25T13:06:00Z</dcterms:modified>
</cp:coreProperties>
</file>