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1B3E1EA" w14:textId="77777777" w:rsidR="008A6CA0" w:rsidRDefault="008A6CA0" w:rsidP="008A6CA0">
            <w:pPr>
              <w:ind w:right="-957"/>
              <w:rPr>
                <w:rFonts w:ascii="Times New Roman" w:hAnsi="Times New Roman" w:cs="Times New Roman"/>
                <w:b/>
                <w:sz w:val="48"/>
              </w:rPr>
            </w:pPr>
            <w:r>
              <w:rPr>
                <w:rFonts w:ascii="Times New Roman" w:hAnsi="Times New Roman" w:cs="Times New Roman"/>
                <w:b/>
                <w:sz w:val="48"/>
              </w:rPr>
              <w:t>Learner’s name: Mellissa Watkins</w:t>
            </w:r>
          </w:p>
          <w:p w14:paraId="6CEE7C03" w14:textId="77777777" w:rsidR="008A6CA0" w:rsidRDefault="008A6CA0" w:rsidP="008A6CA0">
            <w:pPr>
              <w:ind w:right="-957"/>
              <w:rPr>
                <w:rFonts w:ascii="Times New Roman" w:hAnsi="Times New Roman" w:cs="Times New Roman"/>
                <w:b/>
                <w:sz w:val="48"/>
              </w:rPr>
            </w:pPr>
          </w:p>
          <w:p w14:paraId="14186D2A" w14:textId="77777777" w:rsidR="008A6CA0" w:rsidRDefault="008A6CA0" w:rsidP="008A6CA0">
            <w:pPr>
              <w:ind w:right="-957"/>
              <w:rPr>
                <w:rFonts w:ascii="Times New Roman" w:hAnsi="Times New Roman" w:cs="Times New Roman"/>
                <w:b/>
                <w:sz w:val="48"/>
              </w:rPr>
            </w:pPr>
            <w:r>
              <w:rPr>
                <w:rFonts w:ascii="Times New Roman" w:hAnsi="Times New Roman" w:cs="Times New Roman"/>
                <w:b/>
                <w:sz w:val="48"/>
              </w:rPr>
              <w:t>Email address: M.watkins@npt.gov.uk</w:t>
            </w:r>
          </w:p>
          <w:p w14:paraId="0820A839" w14:textId="77777777" w:rsidR="008A6CA0" w:rsidRDefault="008A6CA0" w:rsidP="008A6CA0">
            <w:pPr>
              <w:ind w:right="-957"/>
              <w:rPr>
                <w:rFonts w:ascii="Times New Roman" w:hAnsi="Times New Roman" w:cs="Times New Roman"/>
                <w:b/>
                <w:sz w:val="48"/>
              </w:rPr>
            </w:pPr>
          </w:p>
          <w:p w14:paraId="67E23C84" w14:textId="77777777" w:rsidR="008A6CA0" w:rsidRPr="005D3F07" w:rsidRDefault="008A6CA0" w:rsidP="008A6CA0">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6D387B6D" w14:textId="77777777" w:rsidR="008A6CA0" w:rsidRPr="005D3F07" w:rsidRDefault="008A6CA0" w:rsidP="008A6CA0">
            <w:pPr>
              <w:ind w:right="-957"/>
              <w:rPr>
                <w:rFonts w:ascii="Times New Roman" w:hAnsi="Times New Roman" w:cs="Times New Roman"/>
                <w:b/>
                <w:sz w:val="48"/>
              </w:rPr>
            </w:pPr>
            <w:r>
              <w:rPr>
                <w:rFonts w:ascii="Times New Roman" w:hAnsi="Times New Roman" w:cs="Times New Roman"/>
                <w:b/>
                <w:sz w:val="48"/>
              </w:rPr>
              <w:t>2316856</w:t>
            </w:r>
          </w:p>
          <w:p w14:paraId="5F84129B" w14:textId="2AE3FEE2" w:rsidR="0085230E" w:rsidRPr="005D3F07" w:rsidRDefault="008A6CA0" w:rsidP="008A6CA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51938FF6" w:rsidR="00D3203C" w:rsidRDefault="00D3203C" w:rsidP="00FF7EBB">
            <w:pPr>
              <w:jc w:val="both"/>
              <w:rPr>
                <w:i/>
                <w:sz w:val="24"/>
                <w:szCs w:val="24"/>
              </w:rPr>
            </w:pPr>
          </w:p>
          <w:p w14:paraId="54D94657" w14:textId="7F73878D"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rPr>
            </w:pPr>
            <w:r w:rsidRPr="00934559">
              <w:rPr>
                <w:rStyle w:val="normaltextrun"/>
                <w:rFonts w:asciiTheme="minorHAnsi" w:hAnsiTheme="minorHAnsi" w:cstheme="minorHAnsi"/>
              </w:rPr>
              <w:t>In order to critically reflect on my case study, I will be following the Gibbs reflective cycle</w:t>
            </w:r>
            <w:r w:rsidR="002C5360">
              <w:rPr>
                <w:rStyle w:val="normaltextrun"/>
                <w:rFonts w:asciiTheme="minorHAnsi" w:hAnsiTheme="minorHAnsi" w:cstheme="minorHAnsi"/>
              </w:rPr>
              <w:t xml:space="preserve"> (1988)</w:t>
            </w:r>
            <w:r w:rsidRPr="00934559">
              <w:rPr>
                <w:rStyle w:val="normaltextrun"/>
                <w:rFonts w:asciiTheme="minorHAnsi" w:hAnsiTheme="minorHAnsi" w:cstheme="minorHAnsi"/>
              </w:rPr>
              <w:t>, as studies have shown this is a positive framework still used today (</w:t>
            </w:r>
            <w:proofErr w:type="spellStart"/>
            <w:r w:rsidRPr="00934559">
              <w:rPr>
                <w:rStyle w:val="normaltextrun"/>
                <w:rFonts w:asciiTheme="minorHAnsi" w:hAnsiTheme="minorHAnsi" w:cstheme="minorHAnsi"/>
              </w:rPr>
              <w:t>Nurlatifah</w:t>
            </w:r>
            <w:proofErr w:type="spellEnd"/>
            <w:r w:rsidRPr="00934559">
              <w:rPr>
                <w:rStyle w:val="normaltextrun"/>
                <w:rFonts w:asciiTheme="minorHAnsi" w:hAnsiTheme="minorHAnsi" w:cstheme="minorHAnsi"/>
              </w:rPr>
              <w:t xml:space="preserve"> et al, 2023). Gibbs reflective cycle follows 6 stages; Description, Feelings, Evaluation, Analysis, Conclusion and Action Plan which will enable me to learn and improve from my experiences.</w:t>
            </w:r>
            <w:r w:rsidRPr="00934559">
              <w:rPr>
                <w:rStyle w:val="eop"/>
                <w:rFonts w:asciiTheme="minorHAnsi" w:hAnsiTheme="minorHAnsi" w:cstheme="minorHAnsi"/>
              </w:rPr>
              <w:t> </w:t>
            </w:r>
          </w:p>
          <w:p w14:paraId="2E6C6228"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0EFE5740"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rPr>
            </w:pPr>
            <w:r w:rsidRPr="00934559">
              <w:rPr>
                <w:rStyle w:val="normaltextrun"/>
                <w:rFonts w:asciiTheme="minorHAnsi" w:hAnsiTheme="minorHAnsi" w:cstheme="minorHAnsi"/>
              </w:rPr>
              <w:t>I am a registered social worker under Social Care Wales and currently employed in a long term community children's team. Within my role and in line with Social Services and Well-being (Wales) Act (SSWBA, 2014), the three learning outcomes; Analysis in Assessment, Working Collaboratively and Professional Judgement in Increasingly Complex Situations are prominent alongside safeguarding children. As a front line child protection social worker, I follow many legislations and legal frameworks, such as SSWBA (2014) which informs social workers to follow the five principles; Well-being, Voice and Control, Prevention and Early Intervention, Multi-agency Working and Co-production. The principles are essential within our day to day tasks and assessments, however according to recent study (Llewellyn et al 2023) there are still barriers to this approach, as there can be a power imbalance between the professional and individual which can hinder communication and a tokenistic approach to listening. Therefore it is also important to follow the Codes of Professional Practice (SSWBA, 2014) which informs us of the importance of building rapport and trust, acting with integrity and being accountable for the quality of work. </w:t>
            </w:r>
            <w:r w:rsidRPr="00934559">
              <w:rPr>
                <w:rStyle w:val="eop"/>
                <w:rFonts w:asciiTheme="minorHAnsi" w:hAnsiTheme="minorHAnsi" w:cstheme="minorHAnsi"/>
              </w:rPr>
              <w:t> </w:t>
            </w:r>
          </w:p>
          <w:p w14:paraId="4E65E700"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365BC00B"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rPr>
              <w:lastRenderedPageBreak/>
              <w:t xml:space="preserve">Social workers in Wales also follow the guidelines of the All Wales Safeguarding Procedures which provides guidance in taking a person-centred approach, enabling the individual to be in the centre of the decision-making process (Phillips, 2016). All Wales Safeguarding Procedures works alongside SSWBA (2014) and Working Together to Safeguard People, ensuring professionals follow the legislative framework when safeguarding children and adults, the legal framework informs social workers of timeframe of visits, meetings and assessments. </w:t>
            </w:r>
            <w:r w:rsidRPr="00934559">
              <w:rPr>
                <w:rStyle w:val="normaltextrun"/>
                <w:rFonts w:asciiTheme="minorHAnsi" w:hAnsiTheme="minorHAnsi" w:cstheme="minorHAnsi"/>
                <w:color w:val="222222"/>
                <w:shd w:val="clear" w:color="auto" w:fill="FFFFFF"/>
              </w:rPr>
              <w:t>Legal framework is to ensure that a social worker is moving forward and to support the decision making (Johns, 2005).</w:t>
            </w:r>
            <w:r w:rsidRPr="00934559">
              <w:rPr>
                <w:rStyle w:val="eop"/>
                <w:rFonts w:asciiTheme="minorHAnsi" w:hAnsiTheme="minorHAnsi" w:cstheme="minorHAnsi"/>
                <w:color w:val="222222"/>
              </w:rPr>
              <w:t> </w:t>
            </w:r>
          </w:p>
          <w:p w14:paraId="78E3460D"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42035BAE"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rPr>
              <w:t xml:space="preserve">The interface between the social services provision in Wales and other regions including the European as well as outside the EU, involves a complex interplay of legislative frameworks, policies and collaborative practice. In Wales, social workers follow the guidance of SSWBA (2014) however England follows Children Act 1989 (SCW, 2018). In Wales, social workers are also guided by the Children Act 1989 when completing child protection procedures, such as S47 or S7 and S37 when in private law proceedings. Before </w:t>
            </w:r>
            <w:proofErr w:type="spellStart"/>
            <w:r w:rsidRPr="00934559">
              <w:rPr>
                <w:rStyle w:val="normaltextrun"/>
                <w:rFonts w:asciiTheme="minorHAnsi" w:hAnsiTheme="minorHAnsi" w:cstheme="minorHAnsi"/>
              </w:rPr>
              <w:t>Brexit</w:t>
            </w:r>
            <w:proofErr w:type="spellEnd"/>
            <w:r w:rsidRPr="00934559">
              <w:rPr>
                <w:rStyle w:val="normaltextrun"/>
                <w:rFonts w:asciiTheme="minorHAnsi" w:hAnsiTheme="minorHAnsi" w:cstheme="minorHAnsi"/>
              </w:rPr>
              <w:t xml:space="preserve"> which occurred in 2020, social services in Wales were guided by the EU regulations, more so in regards to data protection and workers' rights (Pinker, 2017</w:t>
            </w:r>
            <w:r w:rsidRPr="00934559">
              <w:rPr>
                <w:rStyle w:val="normaltextrun"/>
                <w:rFonts w:asciiTheme="minorHAnsi" w:hAnsiTheme="minorHAnsi" w:cstheme="minorHAnsi"/>
                <w:color w:val="222222"/>
                <w:shd w:val="clear" w:color="auto" w:fill="FFFFFF"/>
              </w:rPr>
              <w:t xml:space="preserve">). It was decided after </w:t>
            </w:r>
            <w:proofErr w:type="spellStart"/>
            <w:r w:rsidRPr="00934559">
              <w:rPr>
                <w:rStyle w:val="normaltextrun"/>
                <w:rFonts w:asciiTheme="minorHAnsi" w:hAnsiTheme="minorHAnsi" w:cstheme="minorHAnsi"/>
                <w:color w:val="222222"/>
                <w:shd w:val="clear" w:color="auto" w:fill="FFFFFF"/>
              </w:rPr>
              <w:t>Brexit</w:t>
            </w:r>
            <w:proofErr w:type="spellEnd"/>
            <w:r w:rsidRPr="00934559">
              <w:rPr>
                <w:rStyle w:val="normaltextrun"/>
                <w:rFonts w:asciiTheme="minorHAnsi" w:hAnsiTheme="minorHAnsi" w:cstheme="minorHAnsi"/>
                <w:color w:val="222222"/>
                <w:shd w:val="clear" w:color="auto" w:fill="FFFFFF"/>
              </w:rPr>
              <w:t xml:space="preserve"> to continue with some of the EU standards in order to remain consistent with the service provision, however one of the main impacts of </w:t>
            </w:r>
            <w:proofErr w:type="spellStart"/>
            <w:r w:rsidRPr="00934559">
              <w:rPr>
                <w:rStyle w:val="normaltextrun"/>
                <w:rFonts w:asciiTheme="minorHAnsi" w:hAnsiTheme="minorHAnsi" w:cstheme="minorHAnsi"/>
                <w:color w:val="222222"/>
                <w:shd w:val="clear" w:color="auto" w:fill="FFFFFF"/>
              </w:rPr>
              <w:t>Brexit</w:t>
            </w:r>
            <w:proofErr w:type="spellEnd"/>
            <w:r w:rsidRPr="00934559">
              <w:rPr>
                <w:rStyle w:val="normaltextrun"/>
                <w:rFonts w:asciiTheme="minorHAnsi" w:hAnsiTheme="minorHAnsi" w:cstheme="minorHAnsi"/>
                <w:color w:val="222222"/>
                <w:shd w:val="clear" w:color="auto" w:fill="FFFFFF"/>
              </w:rPr>
              <w:t xml:space="preserve"> is the funding, as Wales had to seek alternative sources of funding </w:t>
            </w:r>
            <w:r w:rsidRPr="00934559">
              <w:rPr>
                <w:rStyle w:val="normaltextrun"/>
                <w:rFonts w:asciiTheme="minorHAnsi" w:hAnsiTheme="minorHAnsi" w:cstheme="minorHAnsi"/>
              </w:rPr>
              <w:t>(</w:t>
            </w:r>
            <w:proofErr w:type="spellStart"/>
            <w:r w:rsidRPr="00934559">
              <w:rPr>
                <w:rStyle w:val="normaltextrun"/>
                <w:rFonts w:asciiTheme="minorHAnsi" w:hAnsiTheme="minorHAnsi" w:cstheme="minorHAnsi"/>
              </w:rPr>
              <w:t>Leruth</w:t>
            </w:r>
            <w:proofErr w:type="spellEnd"/>
            <w:r w:rsidRPr="00934559">
              <w:rPr>
                <w:rStyle w:val="normaltextrun"/>
                <w:rFonts w:asciiTheme="minorHAnsi" w:hAnsiTheme="minorHAnsi" w:cstheme="minorHAnsi"/>
              </w:rPr>
              <w:t xml:space="preserve"> and </w:t>
            </w:r>
            <w:r w:rsidRPr="00934559">
              <w:rPr>
                <w:rStyle w:val="normaltextrun"/>
                <w:rFonts w:asciiTheme="minorHAnsi" w:hAnsiTheme="minorHAnsi" w:cstheme="minorHAnsi"/>
                <w:color w:val="222222"/>
                <w:shd w:val="clear" w:color="auto" w:fill="FFFFFF"/>
              </w:rPr>
              <w:t>Taylor-</w:t>
            </w:r>
            <w:proofErr w:type="spellStart"/>
            <w:r w:rsidRPr="00934559">
              <w:rPr>
                <w:rStyle w:val="normaltextrun"/>
                <w:rFonts w:asciiTheme="minorHAnsi" w:hAnsiTheme="minorHAnsi" w:cstheme="minorHAnsi"/>
                <w:color w:val="222222"/>
                <w:shd w:val="clear" w:color="auto" w:fill="FFFFFF"/>
              </w:rPr>
              <w:t>Gooby</w:t>
            </w:r>
            <w:proofErr w:type="spellEnd"/>
            <w:r w:rsidRPr="00934559">
              <w:rPr>
                <w:rStyle w:val="normaltextrun"/>
                <w:rFonts w:asciiTheme="minorHAnsi" w:hAnsiTheme="minorHAnsi" w:cstheme="minorHAnsi"/>
                <w:color w:val="222222"/>
                <w:shd w:val="clear" w:color="auto" w:fill="FFFFFF"/>
              </w:rPr>
              <w:t>, 2021) which is still seen to be having an negative impact on resources and some provisions to date (Thompson, 2024). Outside of the EU, Wales continues to adhere to the standards and conventions in order to promote the human rights of the children and adults (Parliament, House of Commons, 2018).</w:t>
            </w:r>
            <w:r w:rsidRPr="00934559">
              <w:rPr>
                <w:rStyle w:val="eop"/>
                <w:rFonts w:asciiTheme="minorHAnsi" w:hAnsiTheme="minorHAnsi" w:cstheme="minorHAnsi"/>
                <w:color w:val="222222"/>
              </w:rPr>
              <w:t xml:space="preserve">  However, there can be conflicts in regards to respecting the rights of the families as Human Rights Act 1998, Article 8 states everyone has the right to a private life which cannot be upheld in respects of safeguarding investigation. Moreover, due to the conflict between rights and essential social work procedures, there are certain rights which cannot be interfered with, these are called absolute rights such as Article 3 prohibition of torture and inhumane or degrading treatment (Human Rights, 1998). However, there are rights which are classified as qualified rights which can be interfered with and in this case it is when there are significant safeguarding concerns. </w:t>
            </w:r>
          </w:p>
          <w:p w14:paraId="15E0FEE6"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p>
          <w:p w14:paraId="739F8B7A"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eop"/>
                <w:rFonts w:asciiTheme="minorHAnsi" w:hAnsiTheme="minorHAnsi" w:cstheme="minorHAnsi"/>
                <w:color w:val="222222"/>
              </w:rPr>
              <w:t>In regards to Welsh context there are a few key differences between Wales and the UK, as mentioned in the previous paragraph Wales follow guidance from Welsh legislations such as SSWBA (2014) and All Wales Safeguarding Procedures whilst England continue to seek guidance from Children Act 1989. Another key difference between England and Wales, England no longer has a child protection register, instead they follow a child protection plan, whilst Wales, Scotland and Northern Ireland continue to implement using the Child Protection Register. I feel a benefit of having a register is this enables professionals such as Education, Health and Police to identify if a child they are supporting is at risk of significant harm (</w:t>
            </w:r>
            <w:proofErr w:type="spellStart"/>
            <w:r w:rsidRPr="00934559">
              <w:rPr>
                <w:rStyle w:val="eop"/>
                <w:rFonts w:asciiTheme="minorHAnsi" w:hAnsiTheme="minorHAnsi" w:cstheme="minorHAnsi"/>
                <w:color w:val="222222"/>
              </w:rPr>
              <w:t>Bywaters</w:t>
            </w:r>
            <w:proofErr w:type="spellEnd"/>
            <w:r w:rsidRPr="00934559">
              <w:rPr>
                <w:rStyle w:val="eop"/>
                <w:rFonts w:asciiTheme="minorHAnsi" w:hAnsiTheme="minorHAnsi" w:cstheme="minorHAnsi"/>
                <w:color w:val="222222"/>
              </w:rPr>
              <w:t xml:space="preserve"> et al, 2020). In March 2022, Wales introduced a legislation to stop all forms of physical abuse which included physical chastisement, The Children (Abolition of Defence of Reasonable Punishment) (Wales) Act 2020, however Scotland were the first country in the UK to implement this  in 2019, Northern Ireland and England have yet to enforce this legislation to stop physical chastisement. </w:t>
            </w:r>
          </w:p>
          <w:p w14:paraId="4AB6C3ED"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eop"/>
                <w:rFonts w:asciiTheme="minorHAnsi" w:hAnsiTheme="minorHAnsi" w:cstheme="minorHAnsi"/>
                <w:color w:val="222222"/>
              </w:rPr>
              <w:t xml:space="preserve">Another main aspect of Welsh context would be the 'Active Offer'. In line with SSWBA (2014), social workers must in good practice, provide the 'Active Offer' to families to ensure all visits and meetings are conducted in the language of their choice, offering the service without families needing to </w:t>
            </w:r>
            <w:r w:rsidRPr="00934559">
              <w:rPr>
                <w:rStyle w:val="eop"/>
                <w:rFonts w:asciiTheme="minorHAnsi" w:hAnsiTheme="minorHAnsi" w:cstheme="minorHAnsi"/>
                <w:color w:val="222222"/>
              </w:rPr>
              <w:lastRenderedPageBreak/>
              <w:t>request it  and ensuring the service is person-centred and respectful of the individual (Verity et al, 2023).</w:t>
            </w:r>
          </w:p>
          <w:p w14:paraId="608737A2"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p>
          <w:p w14:paraId="3E6E2834"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FF0000"/>
              </w:rPr>
            </w:pPr>
            <w:r w:rsidRPr="00934559">
              <w:rPr>
                <w:rStyle w:val="normaltextrun"/>
                <w:rFonts w:asciiTheme="minorHAnsi" w:hAnsiTheme="minorHAnsi" w:cstheme="minorHAnsi"/>
                <w:color w:val="222222"/>
                <w:shd w:val="clear" w:color="auto" w:fill="FFFFFF"/>
              </w:rPr>
              <w:t>Safeguarding involves protecting individuals from harm, abuse and neglect. While the core principles of safeguarding apply to both adults and children, there are key differences in approaches which will be discussed in Task 4; this assignment will focus primarily on safeguarding of children. </w:t>
            </w:r>
            <w:r w:rsidRPr="00934559">
              <w:rPr>
                <w:rStyle w:val="eop"/>
                <w:rFonts w:asciiTheme="minorHAnsi" w:hAnsiTheme="minorHAnsi" w:cstheme="minorHAnsi"/>
                <w:color w:val="222222"/>
              </w:rPr>
              <w:t> When identifying concerns it is important to understand the risk of harm. Harm could be the injury, suffering, sexual harm, psychological trauma or emotional distress of a child. The ill-treatment or abuse of a child can be classified as physical, emotional, neglect, sexual, and financial, although financial is more prevalent in adults, it can occur in children services (Wales Safeguarding Procedure, 2019). Indicators of abuse can be injury or bruising, withdrawn, behaviour or changes in emotional state, low self-esteem, pre-pubertal genital symptoms alongside behavioural change (</w:t>
            </w:r>
            <w:proofErr w:type="spellStart"/>
            <w:r w:rsidRPr="00934559">
              <w:rPr>
                <w:rStyle w:val="eop"/>
                <w:rFonts w:asciiTheme="minorHAnsi" w:hAnsiTheme="minorHAnsi" w:cstheme="minorHAnsi"/>
                <w:color w:val="222222"/>
              </w:rPr>
              <w:t>Hughs</w:t>
            </w:r>
            <w:proofErr w:type="spellEnd"/>
            <w:r w:rsidRPr="00934559">
              <w:rPr>
                <w:rStyle w:val="eop"/>
                <w:rFonts w:asciiTheme="minorHAnsi" w:hAnsiTheme="minorHAnsi" w:cstheme="minorHAnsi"/>
                <w:color w:val="222222"/>
              </w:rPr>
              <w:t xml:space="preserve"> and Thomas, 2016). A child's name is placed on the Child Protection Register when they are considered at continued risk of significant harm and they can be placed under four main categories; Physical Abuse, Emotional Abuse, Sexual Abuse or Neglect, there are times when a child can be placed on the register under multiple categories. </w:t>
            </w:r>
          </w:p>
          <w:p w14:paraId="23093161"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r w:rsidRPr="00934559">
              <w:rPr>
                <w:rFonts w:asciiTheme="minorHAnsi" w:hAnsiTheme="minorHAnsi" w:cstheme="minorHAnsi"/>
              </w:rPr>
              <w:t xml:space="preserve"> </w:t>
            </w:r>
          </w:p>
          <w:p w14:paraId="674594BB" w14:textId="77777777" w:rsidR="00E15727" w:rsidRDefault="00BC176E" w:rsidP="00BC176E">
            <w:pPr>
              <w:pStyle w:val="paragraph"/>
              <w:spacing w:before="0" w:beforeAutospacing="0" w:after="0" w:afterAutospacing="0"/>
              <w:textAlignment w:val="baseline"/>
              <w:rPr>
                <w:rStyle w:val="normaltextrun"/>
                <w:rFonts w:asciiTheme="minorHAnsi" w:hAnsiTheme="minorHAnsi" w:cstheme="minorHAnsi"/>
                <w:color w:val="222222"/>
                <w:shd w:val="clear" w:color="auto" w:fill="FFFFFF"/>
              </w:rPr>
            </w:pPr>
            <w:r w:rsidRPr="00934559">
              <w:rPr>
                <w:rStyle w:val="normaltextrun"/>
                <w:rFonts w:asciiTheme="minorHAnsi" w:hAnsiTheme="minorHAnsi" w:cstheme="minorHAnsi"/>
                <w:color w:val="222222"/>
                <w:shd w:val="clear" w:color="auto" w:fill="FFFFFF"/>
              </w:rPr>
              <w:t>The case study I will be reflecting upon had recently closed and recently been working under a Care and Support Plan. A care and support plan, Section 37 SSWBA (</w:t>
            </w:r>
            <w:r w:rsidRPr="00934559">
              <w:rPr>
                <w:rStyle w:val="normaltextrun"/>
                <w:rFonts w:asciiTheme="minorHAnsi" w:hAnsiTheme="minorHAnsi" w:cstheme="minorHAnsi"/>
                <w:shd w:val="clear" w:color="auto" w:fill="FFFFFF"/>
              </w:rPr>
              <w:t>2014</w:t>
            </w:r>
            <w:r w:rsidRPr="00934559">
              <w:rPr>
                <w:rStyle w:val="normaltextrun"/>
                <w:rFonts w:asciiTheme="minorHAnsi" w:hAnsiTheme="minorHAnsi" w:cstheme="minorHAnsi"/>
                <w:color w:val="222222"/>
                <w:shd w:val="clear" w:color="auto" w:fill="FFFFFF"/>
              </w:rPr>
              <w:t xml:space="preserve">) is a voluntary agreement in place in order to support families to meet the needs of the child to safeguard the child from harm (Wales Safeguarding Procedures, 2019). The family had closed to children services as mother (1) had decided she would no longer like social services involvement and as there was no evidence to substantiate concerns raised, therefore I had to adhere to her wishes following SSWBA (2014) guidelines and Human Rights Act 1998, right to a private life. I did find this frustrating as I felt I had not supported the family or met the needs of the child, however as the plan remained voluntary and there was not enough evidence to escalate the situation, I was helpless to stop the case from closing. There are times when I feel the Law can back up a decision made and support in explaining the progression of the plan to families however it can also feel constricting on times (Johns, 2005).  In the future, I will do my best to continue to build a rapport with the family, unfortunately when concerns are raised I cannot control parents feelings and emotions leading to disengagement, I can only support them to the best of my abilities. </w:t>
            </w:r>
          </w:p>
          <w:p w14:paraId="32B80B97" w14:textId="335887EB"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color w:val="222222"/>
                <w:shd w:val="clear" w:color="auto" w:fill="FFFFFF"/>
              </w:rPr>
              <w:t>However in regards to the case study, I received further concerns in reg</w:t>
            </w:r>
            <w:r w:rsidR="00E15727">
              <w:rPr>
                <w:rStyle w:val="normaltextrun"/>
                <w:rFonts w:asciiTheme="minorHAnsi" w:hAnsiTheme="minorHAnsi" w:cstheme="minorHAnsi"/>
                <w:color w:val="222222"/>
                <w:shd w:val="clear" w:color="auto" w:fill="FFFFFF"/>
              </w:rPr>
              <w:t>ards to the child (2), whom is 6 years old</w:t>
            </w:r>
            <w:r w:rsidRPr="00934559">
              <w:rPr>
                <w:rStyle w:val="normaltextrun"/>
                <w:rFonts w:asciiTheme="minorHAnsi" w:hAnsiTheme="minorHAnsi" w:cstheme="minorHAnsi"/>
                <w:color w:val="222222"/>
                <w:shd w:val="clear" w:color="auto" w:fill="FFFFFF"/>
              </w:rPr>
              <w:t xml:space="preserve">, </w:t>
            </w:r>
            <w:r w:rsidR="00E15727">
              <w:rPr>
                <w:rStyle w:val="normaltextrun"/>
                <w:rFonts w:asciiTheme="minorHAnsi" w:hAnsiTheme="minorHAnsi" w:cstheme="minorHAnsi"/>
                <w:color w:val="222222"/>
                <w:shd w:val="clear" w:color="auto" w:fill="FFFFFF"/>
              </w:rPr>
              <w:t xml:space="preserve">relating to 2 witnessing a domestic violence incident, inappropriate adults within the home who could pose a risk to 2 and potential drug </w:t>
            </w:r>
            <w:proofErr w:type="spellStart"/>
            <w:r w:rsidR="00E15727">
              <w:rPr>
                <w:rStyle w:val="normaltextrun"/>
                <w:rFonts w:asciiTheme="minorHAnsi" w:hAnsiTheme="minorHAnsi" w:cstheme="minorHAnsi"/>
                <w:color w:val="222222"/>
                <w:shd w:val="clear" w:color="auto" w:fill="FFFFFF"/>
              </w:rPr>
              <w:t>paraphanlia</w:t>
            </w:r>
            <w:proofErr w:type="spellEnd"/>
            <w:r w:rsidR="00E15727">
              <w:rPr>
                <w:rStyle w:val="normaltextrun"/>
                <w:rFonts w:asciiTheme="minorHAnsi" w:hAnsiTheme="minorHAnsi" w:cstheme="minorHAnsi"/>
                <w:color w:val="222222"/>
                <w:shd w:val="clear" w:color="auto" w:fill="FFFFFF"/>
              </w:rPr>
              <w:t>, T</w:t>
            </w:r>
            <w:r w:rsidRPr="00934559">
              <w:rPr>
                <w:rStyle w:val="normaltextrun"/>
                <w:rFonts w:asciiTheme="minorHAnsi" w:hAnsiTheme="minorHAnsi" w:cstheme="minorHAnsi"/>
                <w:color w:val="222222"/>
                <w:shd w:val="clear" w:color="auto" w:fill="FFFFFF"/>
              </w:rPr>
              <w:t>hese concerns resulted in a Section 47 enquiry. Section 47 enquiry under the Children Act 1989 is triggered when there are concerns a child is at risk or already suffering from significant harm (Wales Safeguarding Procedures, 2019). </w:t>
            </w:r>
            <w:r w:rsidRPr="00934559">
              <w:rPr>
                <w:rStyle w:val="eop"/>
                <w:rFonts w:asciiTheme="minorHAnsi" w:hAnsiTheme="minorHAnsi" w:cstheme="minorHAnsi"/>
                <w:color w:val="222222"/>
              </w:rPr>
              <w:t> </w:t>
            </w:r>
          </w:p>
          <w:p w14:paraId="59A15FEB"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1EE99FD4"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color w:val="222222"/>
                <w:shd w:val="clear" w:color="auto" w:fill="FFFFFF"/>
              </w:rPr>
              <w:t xml:space="preserve">Upon completing the S47 enquiries, a further search of the history of social services involvement with the family using our electronic files was completed. A chronology was then devised of the family's history, which enables social workers to identify previous support interventions provided, previous concerns and engagement with professionals, which then enables social services to identify potential patterns of concerns or behaviours (Payne, 2020). I feel like this is beneficial for social workers as although there could be questions in regards to bias, I still feel that all the knowledge is </w:t>
            </w:r>
            <w:r w:rsidRPr="00934559">
              <w:rPr>
                <w:rStyle w:val="normaltextrun"/>
                <w:rFonts w:asciiTheme="minorHAnsi" w:hAnsiTheme="minorHAnsi" w:cstheme="minorHAnsi"/>
                <w:color w:val="222222"/>
                <w:shd w:val="clear" w:color="auto" w:fill="FFFFFF"/>
              </w:rPr>
              <w:lastRenderedPageBreak/>
              <w:t>beneficial and enables me to move forward a situation with some insight into the concerns and risks. Due to the research and background information, I was able to identify, that in this case, there is a pattern of concerns in regard to inappropriate adults within the home, potential substance misuse and domestic violence. This was beneficial information as previously and during the investigation, 1 denied any relationship or inappropriate adults within the home or substance misuse, without the history it may be a</w:t>
            </w:r>
            <w:r w:rsidRPr="00934559">
              <w:rPr>
                <w:rStyle w:val="normaltextrun"/>
                <w:rFonts w:asciiTheme="minorHAnsi" w:hAnsiTheme="minorHAnsi" w:cstheme="minorHAnsi"/>
                <w:color w:val="FF0000"/>
                <w:shd w:val="clear" w:color="auto" w:fill="FFFFFF"/>
              </w:rPr>
              <w:t xml:space="preserve"> </w:t>
            </w:r>
            <w:r w:rsidRPr="00934559">
              <w:rPr>
                <w:rStyle w:val="normaltextrun"/>
                <w:rFonts w:asciiTheme="minorHAnsi" w:hAnsiTheme="minorHAnsi" w:cstheme="minorHAnsi"/>
                <w:color w:val="222222"/>
                <w:shd w:val="clear" w:color="auto" w:fill="FFFFFF"/>
              </w:rPr>
              <w:t>concern however with the understanding of the pattern of behaviour and risk, it increases the concern and raises the question of significant risk of harm. However I do acknowledge I will continue to explore the family as I do not possess all the information. </w:t>
            </w:r>
            <w:r w:rsidRPr="00934559">
              <w:rPr>
                <w:rStyle w:val="eop"/>
                <w:rFonts w:asciiTheme="minorHAnsi" w:hAnsiTheme="minorHAnsi" w:cstheme="minorHAnsi"/>
                <w:color w:val="222222"/>
              </w:rPr>
              <w:t> </w:t>
            </w:r>
          </w:p>
          <w:p w14:paraId="03A5393F"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7491E652"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color w:val="222222"/>
                <w:shd w:val="clear" w:color="auto" w:fill="FFFFFF"/>
              </w:rPr>
              <w:t>Due to my previous involvement with the family, I was able to identify that I would need to attend the home of 1 with a colleague due to the hostile behaviour displayed when previous concerns had been raised. Attending a property in a 2:1 ratio can be difficult as this can be intimidating for the families and could be perceived as a power imbalance between professionals and individuals (Baldwin</w:t>
            </w:r>
            <w:proofErr w:type="gramStart"/>
            <w:r w:rsidRPr="00934559">
              <w:rPr>
                <w:rStyle w:val="normaltextrun"/>
                <w:rFonts w:asciiTheme="minorHAnsi" w:hAnsiTheme="minorHAnsi" w:cstheme="minorHAnsi"/>
                <w:color w:val="222222"/>
                <w:shd w:val="clear" w:color="auto" w:fill="FFFFFF"/>
              </w:rPr>
              <w:t>,2024</w:t>
            </w:r>
            <w:proofErr w:type="gramEnd"/>
            <w:r w:rsidRPr="00934559">
              <w:rPr>
                <w:rStyle w:val="normaltextrun"/>
                <w:rFonts w:asciiTheme="minorHAnsi" w:hAnsiTheme="minorHAnsi" w:cstheme="minorHAnsi"/>
                <w:color w:val="222222"/>
                <w:shd w:val="clear" w:color="auto" w:fill="FFFFFF"/>
              </w:rPr>
              <w:t>), however despite the barrier it is important to identify the risk and safeguard not only the child but also professionals. </w:t>
            </w:r>
            <w:r w:rsidRPr="00934559">
              <w:rPr>
                <w:rStyle w:val="eop"/>
                <w:rFonts w:asciiTheme="minorHAnsi" w:hAnsiTheme="minorHAnsi" w:cstheme="minorHAnsi"/>
                <w:color w:val="222222"/>
              </w:rPr>
              <w:t> Although there are times when families perceive a power imbalance or intimidations when social services are involved, it is part of children services ethos that social worker's practice in an anti-oppressive and anti-discriminatory manner. Ensuring within social services, social workers treat everyone fairly and mitigate the power imbalance (Baines, 2020).</w:t>
            </w:r>
          </w:p>
          <w:p w14:paraId="1C3DE016"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p>
          <w:p w14:paraId="0CCA6F0E" w14:textId="549A6196"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r w:rsidRPr="00934559">
              <w:rPr>
                <w:rStyle w:val="normaltextrun"/>
                <w:rFonts w:asciiTheme="minorHAnsi" w:hAnsiTheme="minorHAnsi" w:cstheme="minorHAnsi"/>
                <w:color w:val="222222"/>
                <w:shd w:val="clear" w:color="auto" w:fill="FFFFFF"/>
              </w:rPr>
              <w:t xml:space="preserve">During my initial findings of the S47 enquiries, 2 was scared of speaking to professionals as 2 had witnessed their mum being hurt that morning and placed with a sister whom they did not remember as they had not seen the siblings in many years as there is a huge age gap between the siblings, spanning decades, however, a family friend, who 2 was familiar with, was unable to care for 2 for the night. </w:t>
            </w:r>
            <w:r w:rsidR="002C5360">
              <w:rPr>
                <w:rStyle w:val="normaltextrun"/>
                <w:rFonts w:asciiTheme="minorHAnsi" w:hAnsiTheme="minorHAnsi" w:cstheme="minorHAnsi"/>
                <w:color w:val="222222"/>
                <w:shd w:val="clear" w:color="auto" w:fill="FFFFFF"/>
              </w:rPr>
              <w:t>Bronfenbrenner (1992)</w:t>
            </w:r>
            <w:r w:rsidRPr="00934559">
              <w:rPr>
                <w:rStyle w:val="normaltextrun"/>
                <w:rFonts w:asciiTheme="minorHAnsi" w:hAnsiTheme="minorHAnsi" w:cstheme="minorHAnsi"/>
                <w:color w:val="222222"/>
                <w:shd w:val="clear" w:color="auto" w:fill="FFFFFF"/>
              </w:rPr>
              <w:t xml:space="preserve"> systems theory would be relevant in this instance as although it can be beneficial to have a support network surrounding the family (</w:t>
            </w:r>
            <w:proofErr w:type="spellStart"/>
            <w:r w:rsidRPr="00934559">
              <w:rPr>
                <w:rStyle w:val="normaltextrun"/>
                <w:rFonts w:asciiTheme="minorHAnsi" w:hAnsiTheme="minorHAnsi" w:cstheme="minorHAnsi"/>
                <w:color w:val="222222"/>
                <w:shd w:val="clear" w:color="auto" w:fill="FFFFFF"/>
              </w:rPr>
              <w:t>Schirmer</w:t>
            </w:r>
            <w:proofErr w:type="spellEnd"/>
            <w:r w:rsidRPr="00934559">
              <w:rPr>
                <w:rStyle w:val="normaltextrun"/>
                <w:rFonts w:asciiTheme="minorHAnsi" w:hAnsiTheme="minorHAnsi" w:cstheme="minorHAnsi"/>
                <w:color w:val="222222"/>
                <w:shd w:val="clear" w:color="auto" w:fill="FFFFFF"/>
              </w:rPr>
              <w:t xml:space="preserve"> and </w:t>
            </w:r>
            <w:proofErr w:type="spellStart"/>
            <w:r w:rsidRPr="00934559">
              <w:rPr>
                <w:rStyle w:val="normaltextrun"/>
                <w:rFonts w:asciiTheme="minorHAnsi" w:hAnsiTheme="minorHAnsi" w:cstheme="minorHAnsi"/>
                <w:color w:val="222222"/>
                <w:shd w:val="clear" w:color="auto" w:fill="FFFFFF"/>
              </w:rPr>
              <w:t>Michailakis</w:t>
            </w:r>
            <w:proofErr w:type="spellEnd"/>
            <w:r w:rsidRPr="00934559">
              <w:rPr>
                <w:rStyle w:val="normaltextrun"/>
                <w:rFonts w:asciiTheme="minorHAnsi" w:hAnsiTheme="minorHAnsi" w:cstheme="minorHAnsi"/>
                <w:color w:val="222222"/>
                <w:shd w:val="clear" w:color="auto" w:fill="FFFFFF"/>
              </w:rPr>
              <w:t>, 2019) the child did not have a support network in place, therefore wider family members had to be considered. Systems theory is a conceptual framework that allows social services to look at the individuals' conditions and environment to provide further understanding in regards to the individuals circumstances, struggles and decision-making (Friedman and Allen, 2011). Systems theory also provides further insight into the impact and importance of a support network, which is beneficial in social services as we use this knowledge to understand if we can use a support network to create a plan safeguarding the child (</w:t>
            </w:r>
            <w:proofErr w:type="spellStart"/>
            <w:r w:rsidRPr="00934559">
              <w:rPr>
                <w:rStyle w:val="normaltextrun"/>
                <w:rFonts w:asciiTheme="minorHAnsi" w:hAnsiTheme="minorHAnsi" w:cstheme="minorHAnsi"/>
                <w:color w:val="222222"/>
                <w:shd w:val="clear" w:color="auto" w:fill="FFFFFF"/>
              </w:rPr>
              <w:t>Schirmer</w:t>
            </w:r>
            <w:proofErr w:type="spellEnd"/>
            <w:r w:rsidRPr="00934559">
              <w:rPr>
                <w:rStyle w:val="normaltextrun"/>
                <w:rFonts w:asciiTheme="minorHAnsi" w:hAnsiTheme="minorHAnsi" w:cstheme="minorHAnsi"/>
                <w:color w:val="222222"/>
                <w:shd w:val="clear" w:color="auto" w:fill="FFFFFF"/>
              </w:rPr>
              <w:t xml:space="preserve"> and </w:t>
            </w:r>
            <w:proofErr w:type="spellStart"/>
            <w:r w:rsidRPr="00934559">
              <w:rPr>
                <w:rStyle w:val="normaltextrun"/>
                <w:rFonts w:asciiTheme="minorHAnsi" w:hAnsiTheme="minorHAnsi" w:cstheme="minorHAnsi"/>
                <w:color w:val="222222"/>
                <w:shd w:val="clear" w:color="auto" w:fill="FFFFFF"/>
              </w:rPr>
              <w:t>Michailakis</w:t>
            </w:r>
            <w:proofErr w:type="spellEnd"/>
            <w:r w:rsidRPr="00934559">
              <w:rPr>
                <w:rStyle w:val="normaltextrun"/>
                <w:rFonts w:asciiTheme="minorHAnsi" w:hAnsiTheme="minorHAnsi" w:cstheme="minorHAnsi"/>
                <w:color w:val="222222"/>
                <w:shd w:val="clear" w:color="auto" w:fill="FFFFFF"/>
              </w:rPr>
              <w:t xml:space="preserve">, 2019). In this case, I feel it shows how isolated 2 became from their siblings and wider support network, 2 may not understand the concerns in the home, feeling unsafe but not understanding why, without a support network 2 may not have the opportunity to provide information of worries to a safe person. I feel this was identified as when 2 moved in with their sister following 1 being arrested, 2 appeared to be relaxed and after a just one day they began to disclose they had witnessed an adult male attack 1, with 2 reporting they felt scared of 1 and did not want to return home. 2's sister spoke openly during the enquiry and explained what her childhood was like with inappropriate adults in the home and substance misuse, however, they also explained that she had three other siblings in the home at the time, who protected one another and were a support each other. I feel the sister's discussion shows the importance of systems theory, having that support and an individual they feel safe with </w:t>
            </w:r>
            <w:r w:rsidRPr="00934559">
              <w:rPr>
                <w:rStyle w:val="normaltextrun"/>
                <w:rFonts w:asciiTheme="minorHAnsi" w:hAnsiTheme="minorHAnsi" w:cstheme="minorHAnsi"/>
                <w:color w:val="222222"/>
                <w:shd w:val="clear" w:color="auto" w:fill="FFFFFF"/>
              </w:rPr>
              <w:lastRenderedPageBreak/>
              <w:t>could impact their well-being and safety whereas the feelings of isolation could hinder 2 in being open and honest with professionals and understanding the risk of harm they could be subjected to. </w:t>
            </w:r>
            <w:r w:rsidRPr="00934559">
              <w:rPr>
                <w:rStyle w:val="eop"/>
                <w:rFonts w:asciiTheme="minorHAnsi" w:hAnsiTheme="minorHAnsi" w:cstheme="minorHAnsi"/>
                <w:color w:val="222222"/>
              </w:rPr>
              <w:t> </w:t>
            </w:r>
          </w:p>
          <w:p w14:paraId="4D13355E" w14:textId="77777777" w:rsidR="00BC176E" w:rsidRPr="00934559" w:rsidRDefault="00BC176E" w:rsidP="00BC176E">
            <w:pPr>
              <w:pStyle w:val="paragraph"/>
              <w:spacing w:before="0" w:beforeAutospacing="0" w:after="0" w:afterAutospacing="0"/>
              <w:textAlignment w:val="baseline"/>
              <w:rPr>
                <w:rStyle w:val="eop"/>
                <w:rFonts w:asciiTheme="minorHAnsi" w:hAnsiTheme="minorHAnsi" w:cstheme="minorHAnsi"/>
                <w:color w:val="222222"/>
              </w:rPr>
            </w:pPr>
          </w:p>
          <w:p w14:paraId="74F32359" w14:textId="77777777" w:rsidR="00BC176E" w:rsidRPr="00934559" w:rsidRDefault="00BC176E" w:rsidP="00BC176E">
            <w:pPr>
              <w:pStyle w:val="paragraph"/>
              <w:spacing w:before="0" w:beforeAutospacing="0" w:after="0" w:afterAutospacing="0"/>
              <w:textAlignment w:val="baseline"/>
              <w:rPr>
                <w:rFonts w:asciiTheme="minorHAnsi" w:hAnsiTheme="minorHAnsi" w:cstheme="minorHAnsi"/>
              </w:rPr>
            </w:pPr>
            <w:r w:rsidRPr="00934559">
              <w:rPr>
                <w:rStyle w:val="eop"/>
                <w:rFonts w:asciiTheme="minorHAnsi" w:hAnsiTheme="minorHAnsi" w:cstheme="minorHAnsi"/>
                <w:color w:val="222222"/>
              </w:rPr>
              <w:t xml:space="preserve">Even though after 2 had been in the care of their sister for a just day they disclosed information to the social worker, although following this 1 denied being in a relationship and denied that 2 had witnessed any domestic violence. 2 went on to report that they had in fact witnessed the domestic violence incident and a man had been living at the home for the past couple of months. Due to the concerns and 1 still not being open and honest, there were concerns for 2 being at risk of continued significant harm and therefore, the conclusion of the S47 enquiries, the case would be proceeding to Initial Child Protection Conference (ICPC). An ICPC is a multi-agency meeting chaired by an Independent Reviewing Officer (IRO) which includes family member, advocates, police, health, education, and any professional working with the family, all working in collaboration to discuss the concerns and make a multi-agency decision about the child's safety and if they need to be place on the Child Protection Register (Wales Safeguarding Procedure, 2019). The ICPC is yet to occur in this case, therefore I cannot confirm the outcome however if a child is placed on the Child Protection Register then a statutory visit takes place at least every ten working days, and a core group takes place every four weeks. A core group is a multi-agency meeting with family members and professionals such as education, health and support services, in order to develop a protection plan, identifying further strengths and risk and updating the plan regularly (Wales Safeguarding Procedure, 2019). </w:t>
            </w:r>
          </w:p>
          <w:p w14:paraId="2EA0031F" w14:textId="77777777" w:rsidR="00BC176E" w:rsidRPr="00934559" w:rsidRDefault="00BC176E" w:rsidP="00BC176E">
            <w:pPr>
              <w:rPr>
                <w:rFonts w:asciiTheme="minorHAnsi" w:hAnsiTheme="minorHAnsi" w:cstheme="minorHAnsi"/>
                <w:sz w:val="24"/>
                <w:szCs w:val="24"/>
              </w:rPr>
            </w:pPr>
          </w:p>
          <w:p w14:paraId="4BA4846B" w14:textId="641E97CE" w:rsidR="00BC176E"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 xml:space="preserve">There are some ongoing difficulties in regards to the ICPC as in line with remaining a person-centred approach, it is good practice to query if families would like the meetings to occur face-to-face or online, however, the barriers to the ICPC occurring face-to-face would be that 1 has a car but unable to drive, I would be able to provide bus tickets, however 1 is afraid of public transport and according to the IRO there is not a venue in the area of 1 therefore the ICPC may have to take place online. After receiving this information it raises the question as to why there is no venue in this particular area as this can create barriers for the families and this oversight needs to be addressed in order to remain person-centred and accessible for the families residing in the area. The IRO's recommendation queried if I could transport 1 to the ICPC however due to the risk this could pose due to the previous hostile behaviour presented by 1, I made the decision, which was supported by my team manager to deny this query therefore it was decided the ICPC would take place online using Microsoft Teams. </w:t>
            </w:r>
          </w:p>
          <w:p w14:paraId="04B29793" w14:textId="77777777" w:rsidR="002C5360" w:rsidRPr="00934559" w:rsidRDefault="002C5360" w:rsidP="00BC176E">
            <w:pPr>
              <w:rPr>
                <w:rFonts w:asciiTheme="minorHAnsi" w:hAnsiTheme="minorHAnsi" w:cstheme="minorHAnsi"/>
                <w:sz w:val="24"/>
                <w:szCs w:val="24"/>
              </w:rPr>
            </w:pPr>
          </w:p>
          <w:p w14:paraId="0178D3A4" w14:textId="7CD46CDC"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 xml:space="preserve">During my supervisions with my team manager and mentor, I have discussed this case due to the struggles of engagement. The concerns regarding inappropriate adults on the home were troublesome as it was difficult to evidence and substantiate the concerns when 2 was afraid to speak to professionals, 1 displayed elements of disguised compliance and non-engagement therefore information was not being received from 1. Police refused completing a welfare check to identify if there were inappropriate males in the home, due to their new procedures. In social services we have been advised that police will not complete welfare checks if there is a social worker involved, this creates difficulties as since the case was care and support previously, I was unable to search the house without the individuals permission, I am also unable to enter the house to visit a child without the parents' permission which did occur in regards to 1 causing a dilemma for </w:t>
            </w:r>
            <w:r w:rsidRPr="00934559">
              <w:rPr>
                <w:rFonts w:asciiTheme="minorHAnsi" w:hAnsiTheme="minorHAnsi" w:cstheme="minorHAnsi"/>
                <w:sz w:val="24"/>
                <w:szCs w:val="24"/>
              </w:rPr>
              <w:lastRenderedPageBreak/>
              <w:t>me (Ferguson, 2010). During my supervisions, I vented my frustrations with the non-compliance and feelings that 1 was not being open and honest in regards to her relationship and inappropriate individuals attending the home, unfortunately without evidence to substantiate the concerns I had no choice but to close the case upon mothers request (Gibson, 2015). Upon reflection I understand 1's request for the closing of the case as it can be overwhelming and intimidating when faced with social services however as a social worker I just wanted the outcome for 2 to be happy, safe and healthy and wanted to support the family to achieve the outcome therefore after reflection I was able to understand my feelings of frustration but attempted to understand 1's request for closing the case and respected her right for private life (Human Rights Act, 1998).</w:t>
            </w:r>
          </w:p>
          <w:p w14:paraId="7C612450" w14:textId="77777777" w:rsidR="00BC176E" w:rsidRPr="00934559" w:rsidRDefault="00BC176E" w:rsidP="00BC176E">
            <w:pPr>
              <w:rPr>
                <w:rFonts w:asciiTheme="minorHAnsi" w:hAnsiTheme="minorHAnsi" w:cstheme="minorHAnsi"/>
                <w:sz w:val="24"/>
                <w:szCs w:val="24"/>
              </w:rPr>
            </w:pPr>
          </w:p>
          <w:p w14:paraId="135BFB18" w14:textId="77777777"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 xml:space="preserve">In my opinion I feel I have met all learning outcomes within my case study. The first learning outcome 'Applying Analysis in Assessment' occurred when a S47 enquiry was initiated. During the enquiry I had to investigate and explore the concerns raised, listening to the voice of the child and adult and working within the legal framework for the enquiry. The quality of work for a S47 enquiry is essential, families need to understand the information within the report, identify the strength and risks and understanding the analysis completed by the social worker, therefore it is important the report is written in a person-centred approach and without the terminology professionals will understand but families may not (Dyke, 2023). I feel sometimes as we write our case recordings, assessments and meetings it can be easy to forget that not all professionals or family are aware of the terminology social workers may use, whilst the jargon may become natural to social workers, it can be confusing for other and therefore creating a barrier to effective communication. </w:t>
            </w:r>
          </w:p>
          <w:p w14:paraId="4ABC8A42" w14:textId="7ACF1E39"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 xml:space="preserve">The second learning outcome is 'Working Collaboratively' is applied in the instance of a S47 enquiry, as the investigation means exploring concerns and in order to complete this I needed to communicate with 1,2, police, family members and education to gather information in order to assess the situation and identify the risks of harm. Due to 2's age and understanding, sometimes gathering information can not only mean verbally but sometimes direct work may be needed which can be completed through drawing, play or storybooks, it is essential that the voice of the child is heard and that 2 felt listened to. </w:t>
            </w:r>
          </w:p>
          <w:p w14:paraId="76C767EA" w14:textId="77777777" w:rsidR="00BC176E" w:rsidRPr="00934559" w:rsidRDefault="00BC176E" w:rsidP="00BC176E">
            <w:pPr>
              <w:rPr>
                <w:rFonts w:asciiTheme="minorHAnsi" w:hAnsiTheme="minorHAnsi" w:cstheme="minorHAnsi"/>
                <w:sz w:val="24"/>
                <w:szCs w:val="24"/>
              </w:rPr>
            </w:pPr>
          </w:p>
          <w:p w14:paraId="3E10D058" w14:textId="4FCE18E1"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The third learning outcome 'Intervention and Application of Professional Judgement in Increasingly Complex Situations'. I feel children services, especially child protection, is a complex situation as a child could be at risk of significant harm and it is social workers, using their professional judgement, to determine if the case needs to escalate to child protection or managed with a safeguarding plan under a care and support plan (</w:t>
            </w:r>
            <w:proofErr w:type="spellStart"/>
            <w:r w:rsidRPr="00934559">
              <w:rPr>
                <w:rFonts w:asciiTheme="minorHAnsi" w:hAnsiTheme="minorHAnsi" w:cstheme="minorHAnsi"/>
                <w:sz w:val="24"/>
                <w:szCs w:val="24"/>
              </w:rPr>
              <w:t>Chrisnell</w:t>
            </w:r>
            <w:proofErr w:type="spellEnd"/>
            <w:r w:rsidRPr="00934559">
              <w:rPr>
                <w:rFonts w:asciiTheme="minorHAnsi" w:hAnsiTheme="minorHAnsi" w:cstheme="minorHAnsi"/>
                <w:sz w:val="24"/>
                <w:szCs w:val="24"/>
              </w:rPr>
              <w:t xml:space="preserve"> and Kelly, 2019). However it should be acknowledged that it is multi-agency collaboration between professionals and family that create a plan to ensure the child remains safe from harm (Wales Safeguarding Procedure, 2019). As a social worker in complex situations it is important to remain calm and collected in order to gather all of the information  and manage the situation, although this can be difficult if a family member is being hostile, however if I allow myself to be reactive in that situation then it can escalate quickly, becoming even more difficult. Moreover I know from my experience and support I receive that I am able to speak to my manager or colleagues if I feel overwhelmed or uncertain as I am aware that I cannot dismiss my feelings as this could worsen a situation, remaining open and transparent is a goal I aim to achieve at all times. I feel a S47 enquiry is easier to manage as this is process led, there are legal frameworks I need to follow such as the length of time to complete the enquiries which is 10</w:t>
            </w:r>
            <w:r w:rsidRPr="00934559">
              <w:rPr>
                <w:rFonts w:asciiTheme="minorHAnsi" w:hAnsiTheme="minorHAnsi" w:cstheme="minorHAnsi"/>
                <w:color w:val="FF0000"/>
                <w:sz w:val="24"/>
                <w:szCs w:val="24"/>
              </w:rPr>
              <w:t xml:space="preserve"> </w:t>
            </w:r>
            <w:r w:rsidRPr="00934559">
              <w:rPr>
                <w:rFonts w:asciiTheme="minorHAnsi" w:hAnsiTheme="minorHAnsi" w:cstheme="minorHAnsi"/>
                <w:sz w:val="24"/>
                <w:szCs w:val="24"/>
              </w:rPr>
              <w:t xml:space="preserve">working days, </w:t>
            </w:r>
            <w:r w:rsidRPr="00934559">
              <w:rPr>
                <w:rFonts w:asciiTheme="minorHAnsi" w:hAnsiTheme="minorHAnsi" w:cstheme="minorHAnsi"/>
                <w:sz w:val="24"/>
                <w:szCs w:val="24"/>
              </w:rPr>
              <w:lastRenderedPageBreak/>
              <w:t xml:space="preserve">ensuring I visit the child within </w:t>
            </w:r>
            <w:r w:rsidRPr="00934559">
              <w:rPr>
                <w:rFonts w:asciiTheme="minorHAnsi" w:hAnsiTheme="minorHAnsi" w:cstheme="minorHAnsi"/>
                <w:color w:val="auto"/>
                <w:sz w:val="24"/>
                <w:szCs w:val="24"/>
              </w:rPr>
              <w:t xml:space="preserve">24 hours </w:t>
            </w:r>
            <w:r w:rsidRPr="00934559">
              <w:rPr>
                <w:rFonts w:asciiTheme="minorHAnsi" w:hAnsiTheme="minorHAnsi" w:cstheme="minorHAnsi"/>
                <w:sz w:val="24"/>
                <w:szCs w:val="24"/>
              </w:rPr>
              <w:t xml:space="preserve">of the S47 being initiated. I feel that the legal framework enable social workers to understand what our roles and responsibilities along with the duties are and provide a clear understanding of our restrictions and behaviour, providing accountability in our decision making and recordings. </w:t>
            </w:r>
          </w:p>
          <w:p w14:paraId="22EEF170" w14:textId="06EC846C" w:rsidR="00BC176E" w:rsidRPr="00934559" w:rsidRDefault="00BC176E" w:rsidP="00BC176E">
            <w:pPr>
              <w:rPr>
                <w:rFonts w:asciiTheme="minorHAnsi" w:hAnsiTheme="minorHAnsi" w:cstheme="minorHAnsi"/>
                <w:sz w:val="24"/>
                <w:szCs w:val="24"/>
              </w:rPr>
            </w:pPr>
          </w:p>
          <w:p w14:paraId="26159158" w14:textId="0163A6A6"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 xml:space="preserve">I feel strength-based theory is important in social work and an approach the local authority encourages social workers to follow. </w:t>
            </w:r>
            <w:proofErr w:type="spellStart"/>
            <w:r w:rsidRPr="00934559">
              <w:rPr>
                <w:rFonts w:asciiTheme="minorHAnsi" w:hAnsiTheme="minorHAnsi" w:cstheme="minorHAnsi"/>
                <w:sz w:val="24"/>
                <w:szCs w:val="24"/>
              </w:rPr>
              <w:t>Pulla</w:t>
            </w:r>
            <w:proofErr w:type="spellEnd"/>
            <w:r w:rsidRPr="00934559">
              <w:rPr>
                <w:rFonts w:asciiTheme="minorHAnsi" w:hAnsiTheme="minorHAnsi" w:cstheme="minorHAnsi"/>
                <w:sz w:val="24"/>
                <w:szCs w:val="24"/>
              </w:rPr>
              <w:t xml:space="preserve"> (2017) encourages the use of strength-based theory as identifying the individual's strengths, can assist on empowering the individuals to make the necessary changes and improvements to meet the child's needs. Strength-based theory identifies the core elements that all individuals have strengths, the ability to change, ability to change and grow through their strengths and problems occurring which have the ability to stop individuals seeing their strengths (</w:t>
            </w:r>
            <w:proofErr w:type="spellStart"/>
            <w:r w:rsidRPr="00934559">
              <w:rPr>
                <w:rFonts w:asciiTheme="minorHAnsi" w:hAnsiTheme="minorHAnsi" w:cstheme="minorHAnsi"/>
                <w:sz w:val="24"/>
                <w:szCs w:val="24"/>
              </w:rPr>
              <w:t>Pulla</w:t>
            </w:r>
            <w:proofErr w:type="spellEnd"/>
            <w:r w:rsidRPr="00934559">
              <w:rPr>
                <w:rFonts w:asciiTheme="minorHAnsi" w:hAnsiTheme="minorHAnsi" w:cstheme="minorHAnsi"/>
                <w:sz w:val="24"/>
                <w:szCs w:val="24"/>
              </w:rPr>
              <w:t xml:space="preserve">, 2017).  In this instance I am able to identify the strengths of 1 and this would be the love she shows for 2, 1 has stated she is willing to make the necessary changes for 2 to be safe identifying 1's strengths enables myself and 1 to understand her capabilities and how we can improve and make positive changes. Strength-based approach can also be identified in our assessments and meetings as our recording will always ensure the detailing of the strengths of the families as there is a reminder tool, which allows social workers to remain conscious of the strength based approach (Dyke, 2023). </w:t>
            </w:r>
          </w:p>
          <w:p w14:paraId="66FCD065" w14:textId="77777777" w:rsidR="00BC176E" w:rsidRPr="00934559" w:rsidRDefault="00BC176E" w:rsidP="00BC176E">
            <w:pPr>
              <w:rPr>
                <w:rFonts w:asciiTheme="minorHAnsi" w:hAnsiTheme="minorHAnsi" w:cstheme="minorHAnsi"/>
                <w:sz w:val="24"/>
                <w:szCs w:val="24"/>
              </w:rPr>
            </w:pPr>
          </w:p>
          <w:p w14:paraId="24759A7D" w14:textId="77777777" w:rsidR="00BC176E" w:rsidRPr="00934559" w:rsidRDefault="00BC176E" w:rsidP="00BC176E">
            <w:pPr>
              <w:rPr>
                <w:rFonts w:asciiTheme="minorHAnsi" w:hAnsiTheme="minorHAnsi" w:cstheme="minorHAnsi"/>
                <w:sz w:val="24"/>
                <w:szCs w:val="24"/>
              </w:rPr>
            </w:pPr>
            <w:r w:rsidRPr="00934559">
              <w:rPr>
                <w:rFonts w:asciiTheme="minorHAnsi" w:hAnsiTheme="minorHAnsi" w:cstheme="minorHAnsi"/>
                <w:sz w:val="24"/>
                <w:szCs w:val="24"/>
              </w:rPr>
              <w:t>During my supervisions with my mentor, I acknowledged and reflected upon my investigation and my concern in explaining to 1 the decision to proceed to ICPC as I feel 2 is at continued risk of significant harm in respect of emotional harm. I was not only concerned about causing 1 to become upset but her potential reaction due to the hostile behaviour she has displayed previously. In order to address my concerns, myself and mentor agreed for another social worker to complete a joint visit with myself to ensure I was not at risk of harm or the situation escalating. 1 appeared to accept the escalation to ICPC and concerns raised, 1 remained adamant they were not in a relationship and instead of addressing the report, wanted to discuss a fine charge she had received for her car. I explained the process of the ICPC and 1 appeared to understand and accept the information with no issues. I was mindful that the reports were printed out and explained I would advise 1 to sit down and read the report thoroughly, highlighting any elements she did not agree with or any questions she may have. I also explained confidentiality and to ensure she keeps the report safe (Data Protection Act, 2018).</w:t>
            </w:r>
          </w:p>
          <w:p w14:paraId="4EB465C1" w14:textId="77777777" w:rsidR="00BC176E" w:rsidRPr="00934559" w:rsidRDefault="00BC176E" w:rsidP="00BC176E">
            <w:pPr>
              <w:rPr>
                <w:rFonts w:asciiTheme="minorHAnsi" w:hAnsiTheme="minorHAnsi" w:cstheme="minorHAnsi"/>
                <w:color w:val="auto"/>
                <w:sz w:val="24"/>
                <w:szCs w:val="24"/>
              </w:rPr>
            </w:pPr>
            <w:r w:rsidRPr="00934559">
              <w:rPr>
                <w:rFonts w:asciiTheme="minorHAnsi" w:hAnsiTheme="minorHAnsi" w:cstheme="minorHAnsi"/>
                <w:sz w:val="24"/>
                <w:szCs w:val="24"/>
              </w:rPr>
              <w:t xml:space="preserve">Following Gibbs reflective cycle, upon reflection of improvements I could have made, I feel next time it would have been beneficial if I had spoken to the IRO before they had made contact with 1 and explained the hostile behaviour she had displayed and visits were double manned, then the IRO would have not suggested to 1 that I would transport her to the ICPC. I have stated previously the importance of effective communication and I recognise in this instance I missed the opportunity to effectively communicate my concern to the IRO however I will take this into consideration for future practice. </w:t>
            </w:r>
          </w:p>
          <w:p w14:paraId="2506C3FC" w14:textId="6EA59D28" w:rsidR="00BC176E" w:rsidRDefault="00BC176E" w:rsidP="00FF7EBB">
            <w:pPr>
              <w:jc w:val="both"/>
              <w:rPr>
                <w:i/>
                <w:sz w:val="24"/>
                <w:szCs w:val="24"/>
              </w:rPr>
            </w:pPr>
          </w:p>
          <w:p w14:paraId="47F21B6A" w14:textId="0422DDCE" w:rsidR="007A628F" w:rsidRPr="00E6378D" w:rsidRDefault="00BC176E" w:rsidP="00FF7EBB">
            <w:pPr>
              <w:jc w:val="both"/>
              <w:rPr>
                <w:i/>
                <w:sz w:val="24"/>
                <w:szCs w:val="24"/>
              </w:rPr>
            </w:pPr>
            <w:r>
              <w:rPr>
                <w:i/>
                <w:sz w:val="24"/>
                <w:szCs w:val="24"/>
              </w:rPr>
              <w:t>3970</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F4433FA" w14:textId="547B553D" w:rsidR="00CC135E" w:rsidRPr="003B29BC" w:rsidRDefault="00CC135E" w:rsidP="003B29BC">
      <w:pPr>
        <w:rPr>
          <w:color w:val="auto"/>
          <w:sz w:val="24"/>
          <w:szCs w:val="24"/>
        </w:rPr>
      </w:pPr>
      <w:bookmarkStart w:id="0" w:name="_GoBack"/>
      <w:bookmarkEnd w:id="0"/>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5ADF032" w:rsidR="00A5656A" w:rsidRDefault="00A5656A">
    <w:pPr>
      <w:pStyle w:val="Footer"/>
      <w:jc w:val="right"/>
    </w:pPr>
    <w:r>
      <w:fldChar w:fldCharType="begin"/>
    </w:r>
    <w:r>
      <w:instrText xml:space="preserve"> PAGE   \* MERGEFORMAT </w:instrText>
    </w:r>
    <w:r>
      <w:fldChar w:fldCharType="separate"/>
    </w:r>
    <w:r w:rsidR="00E6378D">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360"/>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F29"/>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CA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455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76E"/>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27"/>
    <w:rsid w:val="00E15751"/>
    <w:rsid w:val="00E17160"/>
    <w:rsid w:val="00E17D41"/>
    <w:rsid w:val="00E231D1"/>
    <w:rsid w:val="00E3288D"/>
    <w:rsid w:val="00E35112"/>
    <w:rsid w:val="00E35BEC"/>
    <w:rsid w:val="00E41A6A"/>
    <w:rsid w:val="00E50821"/>
    <w:rsid w:val="00E51F91"/>
    <w:rsid w:val="00E5498A"/>
    <w:rsid w:val="00E559CE"/>
    <w:rsid w:val="00E60F42"/>
    <w:rsid w:val="00E6378D"/>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BC17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BC176E"/>
  </w:style>
  <w:style w:type="character" w:customStyle="1" w:styleId="eop">
    <w:name w:val="eop"/>
    <w:basedOn w:val="DefaultParagraphFont"/>
    <w:rsid w:val="00BC1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8876A4-191D-42E0-BC20-511AD69D1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4202</Words>
  <Characters>21720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Mellissa Watkins</cp:lastModifiedBy>
  <cp:revision>7</cp:revision>
  <cp:lastPrinted>2020-02-11T19:20:00Z</cp:lastPrinted>
  <dcterms:created xsi:type="dcterms:W3CDTF">2023-10-19T12:34:00Z</dcterms:created>
  <dcterms:modified xsi:type="dcterms:W3CDTF">2024-10-07T21:27:00Z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