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BC84C" w14:textId="77777777" w:rsidR="00D12CDF" w:rsidRPr="00063764" w:rsidRDefault="00690F3F" w:rsidP="00063764">
      <w:pPr>
        <w:spacing w:after="0" w:line="480" w:lineRule="auto"/>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Running head: </w:t>
      </w:r>
      <w:r w:rsidR="00673344" w:rsidRPr="00063764">
        <w:rPr>
          <w:rFonts w:ascii="Times New Roman" w:hAnsi="Times New Roman" w:cs="Times New Roman"/>
          <w:color w:val="000000" w:themeColor="text1"/>
          <w:sz w:val="24"/>
          <w:szCs w:val="24"/>
        </w:rPr>
        <w:t>ASSESSMENT 2</w:t>
      </w:r>
    </w:p>
    <w:p w14:paraId="24FFD019"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04DF0350"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7A8EB853"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5042450F"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19602280"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18183802"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74295E58"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721549F4"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35C31CBD" w14:textId="77777777" w:rsidR="00DC53F9" w:rsidRPr="00063764" w:rsidRDefault="00DC53F9" w:rsidP="00063764">
      <w:pPr>
        <w:spacing w:after="0" w:line="480" w:lineRule="auto"/>
        <w:contextualSpacing/>
        <w:mirrorIndents/>
        <w:rPr>
          <w:rFonts w:ascii="Times New Roman" w:hAnsi="Times New Roman" w:cs="Times New Roman"/>
          <w:color w:val="000000" w:themeColor="text1"/>
          <w:sz w:val="24"/>
          <w:szCs w:val="24"/>
        </w:rPr>
      </w:pPr>
    </w:p>
    <w:p w14:paraId="19324552" w14:textId="77777777" w:rsidR="00DC53F9" w:rsidRPr="00063764" w:rsidRDefault="00690F3F" w:rsidP="00063764">
      <w:pPr>
        <w:spacing w:after="0" w:line="480" w:lineRule="auto"/>
        <w:contextualSpacing/>
        <w:mirrorIndents/>
        <w:jc w:val="center"/>
        <w:rPr>
          <w:rFonts w:ascii="Times New Roman" w:hAnsi="Times New Roman" w:cs="Times New Roman"/>
          <w:b/>
          <w:color w:val="000000" w:themeColor="text1"/>
          <w:sz w:val="24"/>
          <w:szCs w:val="24"/>
        </w:rPr>
      </w:pPr>
      <w:r w:rsidRPr="00063764">
        <w:rPr>
          <w:rFonts w:ascii="Times New Roman" w:hAnsi="Times New Roman" w:cs="Times New Roman"/>
          <w:b/>
          <w:color w:val="000000" w:themeColor="text1"/>
          <w:sz w:val="24"/>
          <w:szCs w:val="24"/>
        </w:rPr>
        <w:t>Case Study: The Seaview Resort</w:t>
      </w:r>
    </w:p>
    <w:p w14:paraId="389A1948" w14:textId="22D80F6A" w:rsidR="00DC53F9" w:rsidRPr="00063764" w:rsidRDefault="003B694B" w:rsidP="003B694B">
      <w:pPr>
        <w:spacing w:after="0" w:line="480" w:lineRule="auto"/>
        <w:contextualSpacing/>
        <w:mirrorIndent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Tutor</w:t>
      </w:r>
      <w:r w:rsidR="00F73620">
        <w:rPr>
          <w:rFonts w:ascii="Times New Roman" w:hAnsi="Times New Roman" w:cs="Times New Roman"/>
          <w:color w:val="000000" w:themeColor="text1"/>
          <w:sz w:val="24"/>
          <w:szCs w:val="24"/>
        </w:rPr>
        <w:t xml:space="preserve">: </w:t>
      </w:r>
      <w:r w:rsidRPr="003B694B">
        <w:rPr>
          <w:rFonts w:ascii="Times New Roman" w:hAnsi="Times New Roman" w:cs="Times New Roman"/>
          <w:color w:val="000000" w:themeColor="text1"/>
          <w:sz w:val="24"/>
          <w:szCs w:val="24"/>
        </w:rPr>
        <w:t>Jaliya De Silva</w:t>
      </w:r>
    </w:p>
    <w:p w14:paraId="0AC8A55E" w14:textId="4C0895CD" w:rsidR="00DC53F9" w:rsidRDefault="00F73620" w:rsidP="00063764">
      <w:pPr>
        <w:spacing w:after="0" w:line="480" w:lineRule="auto"/>
        <w:contextualSpacing/>
        <w:mirrorIndent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Alina Radoi</w:t>
      </w:r>
    </w:p>
    <w:p w14:paraId="25179895" w14:textId="6A147838" w:rsidR="00F73620" w:rsidRDefault="00F73620" w:rsidP="00063764">
      <w:pPr>
        <w:spacing w:after="0" w:line="480" w:lineRule="auto"/>
        <w:contextualSpacing/>
        <w:mirrorIndent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2126976</w:t>
      </w:r>
    </w:p>
    <w:p w14:paraId="38D6B565" w14:textId="43B15964" w:rsidR="00FF6CDE" w:rsidRPr="00FF6CDE" w:rsidRDefault="00FF6CDE" w:rsidP="00FF6CDE">
      <w:pPr>
        <w:spacing w:after="0" w:line="480" w:lineRule="auto"/>
        <w:contextualSpacing/>
        <w:mirrorIndents/>
        <w:jc w:val="center"/>
        <w:rPr>
          <w:rFonts w:ascii="Times New Roman" w:hAnsi="Times New Roman" w:cs="Times New Roman"/>
          <w:b/>
          <w:bCs/>
          <w:color w:val="000000" w:themeColor="text1"/>
          <w:sz w:val="24"/>
          <w:szCs w:val="24"/>
          <w:lang w:val="en-GB"/>
        </w:rPr>
      </w:pPr>
      <w:r w:rsidRPr="00FF6CDE">
        <w:rPr>
          <w:rFonts w:ascii="Times New Roman" w:hAnsi="Times New Roman" w:cs="Times New Roman"/>
          <w:b/>
          <w:bCs/>
          <w:color w:val="000000" w:themeColor="text1"/>
          <w:sz w:val="24"/>
          <w:szCs w:val="24"/>
          <w:lang w:val="en-GB"/>
        </w:rPr>
        <w:t>Financial Management for the Hotel Industry BMIH5007</w:t>
      </w:r>
    </w:p>
    <w:p w14:paraId="576672CB" w14:textId="77777777" w:rsidR="00F73620" w:rsidRPr="00063764" w:rsidRDefault="00F73620" w:rsidP="00063764">
      <w:pPr>
        <w:spacing w:after="0" w:line="480" w:lineRule="auto"/>
        <w:contextualSpacing/>
        <w:mirrorIndents/>
        <w:jc w:val="center"/>
        <w:rPr>
          <w:rFonts w:ascii="Times New Roman" w:hAnsi="Times New Roman" w:cs="Times New Roman"/>
          <w:color w:val="000000" w:themeColor="text1"/>
          <w:sz w:val="24"/>
          <w:szCs w:val="24"/>
        </w:rPr>
      </w:pPr>
    </w:p>
    <w:p w14:paraId="2332B0BD" w14:textId="77777777" w:rsidR="00DC53F9" w:rsidRPr="00063764" w:rsidRDefault="00690F3F" w:rsidP="00063764">
      <w:pPr>
        <w:spacing w:after="0" w:line="480" w:lineRule="auto"/>
        <w:contextualSpacing/>
        <w:mirrorIndents/>
        <w:rPr>
          <w:rFonts w:ascii="Times New Roman" w:hAnsi="Times New Roman" w:cs="Times New Roman"/>
          <w:caps/>
          <w:color w:val="000000" w:themeColor="text1"/>
          <w:sz w:val="24"/>
          <w:szCs w:val="24"/>
        </w:rPr>
      </w:pPr>
      <w:r w:rsidRPr="00063764">
        <w:rPr>
          <w:rFonts w:ascii="Times New Roman" w:hAnsi="Times New Roman" w:cs="Times New Roman"/>
          <w:caps/>
          <w:color w:val="000000" w:themeColor="text1"/>
          <w:sz w:val="24"/>
          <w:szCs w:val="24"/>
        </w:rPr>
        <w:br w:type="page"/>
      </w:r>
    </w:p>
    <w:sdt>
      <w:sdtPr>
        <w:rPr>
          <w:rFonts w:ascii="Times New Roman" w:eastAsiaTheme="minorHAnsi" w:hAnsi="Times New Roman" w:cs="Times New Roman"/>
          <w:i w:val="0"/>
          <w:color w:val="000000" w:themeColor="text1"/>
          <w:sz w:val="24"/>
          <w:szCs w:val="24"/>
        </w:rPr>
        <w:id w:val="-1853333819"/>
        <w:docPartObj>
          <w:docPartGallery w:val="Table of Contents"/>
          <w:docPartUnique/>
        </w:docPartObj>
      </w:sdtPr>
      <w:sdtEndPr>
        <w:rPr>
          <w:b/>
          <w:bCs/>
          <w:noProof/>
        </w:rPr>
      </w:sdtEndPr>
      <w:sdtContent>
        <w:p w14:paraId="6AB2FB74" w14:textId="77777777" w:rsidR="00106531" w:rsidRPr="00B03026" w:rsidRDefault="00690F3F" w:rsidP="00C72662">
          <w:pPr>
            <w:pStyle w:val="TOCHeading"/>
            <w:spacing w:before="0" w:line="276" w:lineRule="auto"/>
            <w:contextualSpacing/>
            <w:mirrorIndents/>
            <w:jc w:val="center"/>
            <w:rPr>
              <w:rFonts w:ascii="Times New Roman" w:hAnsi="Times New Roman" w:cs="Times New Roman"/>
              <w:b/>
              <w:i w:val="0"/>
              <w:color w:val="000000" w:themeColor="text1"/>
              <w:sz w:val="24"/>
              <w:szCs w:val="24"/>
            </w:rPr>
          </w:pPr>
          <w:r w:rsidRPr="00B03026">
            <w:rPr>
              <w:rFonts w:ascii="Times New Roman" w:hAnsi="Times New Roman" w:cs="Times New Roman"/>
              <w:b/>
              <w:i w:val="0"/>
              <w:color w:val="000000" w:themeColor="text1"/>
              <w:sz w:val="24"/>
              <w:szCs w:val="24"/>
            </w:rPr>
            <w:t>Table of Contents</w:t>
          </w:r>
        </w:p>
        <w:p w14:paraId="6F658534" w14:textId="77777777" w:rsidR="00106531" w:rsidRPr="00B03026" w:rsidRDefault="00106531" w:rsidP="00C72662">
          <w:pPr>
            <w:spacing w:after="0" w:line="276" w:lineRule="auto"/>
            <w:contextualSpacing/>
            <w:mirrorIndents/>
            <w:rPr>
              <w:rFonts w:ascii="Times New Roman" w:hAnsi="Times New Roman" w:cs="Times New Roman"/>
              <w:color w:val="000000" w:themeColor="text1"/>
              <w:sz w:val="24"/>
              <w:szCs w:val="24"/>
            </w:rPr>
          </w:pPr>
        </w:p>
        <w:p w14:paraId="786E0AA6" w14:textId="54A58912" w:rsidR="00B03026" w:rsidRPr="00B03026" w:rsidRDefault="00690F3F" w:rsidP="00C72662">
          <w:pPr>
            <w:pStyle w:val="TOC1"/>
            <w:spacing w:line="276" w:lineRule="auto"/>
            <w:rPr>
              <w:rFonts w:eastAsiaTheme="minorEastAsia"/>
              <w:b w:val="0"/>
              <w:lang w:val="en-GB" w:eastAsia="en-GB"/>
            </w:rPr>
          </w:pPr>
          <w:r w:rsidRPr="00B03026">
            <w:rPr>
              <w:color w:val="000000" w:themeColor="text1"/>
            </w:rPr>
            <w:fldChar w:fldCharType="begin"/>
          </w:r>
          <w:r w:rsidRPr="00B03026">
            <w:rPr>
              <w:color w:val="000000" w:themeColor="text1"/>
            </w:rPr>
            <w:instrText xml:space="preserve"> TOC \o "1-3" \h \z \u </w:instrText>
          </w:r>
          <w:r w:rsidRPr="00B03026">
            <w:rPr>
              <w:color w:val="000000" w:themeColor="text1"/>
            </w:rPr>
            <w:fldChar w:fldCharType="separate"/>
          </w:r>
          <w:hyperlink w:anchor="_Toc149342251" w:history="1">
            <w:r w:rsidRPr="00B03026">
              <w:rPr>
                <w:rStyle w:val="Hyperlink"/>
              </w:rPr>
              <w:t>Introduction</w:t>
            </w:r>
            <w:r w:rsidRPr="00B03026">
              <w:rPr>
                <w:webHidden/>
              </w:rPr>
              <w:tab/>
            </w:r>
            <w:r w:rsidRPr="00B03026">
              <w:rPr>
                <w:webHidden/>
              </w:rPr>
              <w:fldChar w:fldCharType="begin"/>
            </w:r>
            <w:r w:rsidRPr="00B03026">
              <w:rPr>
                <w:webHidden/>
              </w:rPr>
              <w:instrText xml:space="preserve"> PAGEREF _Toc149342251 \h </w:instrText>
            </w:r>
            <w:r w:rsidRPr="00B03026">
              <w:rPr>
                <w:webHidden/>
              </w:rPr>
            </w:r>
            <w:r w:rsidRPr="00B03026">
              <w:rPr>
                <w:webHidden/>
              </w:rPr>
              <w:fldChar w:fldCharType="separate"/>
            </w:r>
            <w:r w:rsidRPr="00B03026">
              <w:rPr>
                <w:webHidden/>
              </w:rPr>
              <w:t>3</w:t>
            </w:r>
            <w:r w:rsidRPr="00B03026">
              <w:rPr>
                <w:webHidden/>
              </w:rPr>
              <w:fldChar w:fldCharType="end"/>
            </w:r>
          </w:hyperlink>
        </w:p>
        <w:p w14:paraId="309B7FE3" w14:textId="67E1180B" w:rsidR="00B03026" w:rsidRPr="00B03026" w:rsidRDefault="00B22969" w:rsidP="00C72662">
          <w:pPr>
            <w:pStyle w:val="TOC1"/>
            <w:spacing w:line="276" w:lineRule="auto"/>
            <w:rPr>
              <w:rFonts w:eastAsiaTheme="minorEastAsia"/>
              <w:b w:val="0"/>
              <w:lang w:val="en-GB" w:eastAsia="en-GB"/>
            </w:rPr>
          </w:pPr>
          <w:hyperlink w:anchor="_Toc149342252" w:history="1">
            <w:r w:rsidR="00690F3F" w:rsidRPr="00B03026">
              <w:rPr>
                <w:rStyle w:val="Hyperlink"/>
              </w:rPr>
              <w:t>The Seaview Resort Financial Performance Analysis (2020 - 2022)</w:t>
            </w:r>
            <w:r w:rsidR="00690F3F" w:rsidRPr="00B03026">
              <w:rPr>
                <w:webHidden/>
              </w:rPr>
              <w:tab/>
            </w:r>
            <w:r w:rsidR="00690F3F" w:rsidRPr="00B03026">
              <w:rPr>
                <w:webHidden/>
              </w:rPr>
              <w:fldChar w:fldCharType="begin"/>
            </w:r>
            <w:r w:rsidR="00690F3F" w:rsidRPr="00B03026">
              <w:rPr>
                <w:webHidden/>
              </w:rPr>
              <w:instrText xml:space="preserve"> PAGEREF _Toc149342252 \h </w:instrText>
            </w:r>
            <w:r w:rsidR="00690F3F" w:rsidRPr="00B03026">
              <w:rPr>
                <w:webHidden/>
              </w:rPr>
            </w:r>
            <w:r w:rsidR="00690F3F" w:rsidRPr="00B03026">
              <w:rPr>
                <w:webHidden/>
              </w:rPr>
              <w:fldChar w:fldCharType="separate"/>
            </w:r>
            <w:r w:rsidR="00690F3F" w:rsidRPr="00B03026">
              <w:rPr>
                <w:webHidden/>
              </w:rPr>
              <w:t>3</w:t>
            </w:r>
            <w:r w:rsidR="00690F3F" w:rsidRPr="00B03026">
              <w:rPr>
                <w:webHidden/>
              </w:rPr>
              <w:fldChar w:fldCharType="end"/>
            </w:r>
          </w:hyperlink>
        </w:p>
        <w:p w14:paraId="5885EB6C" w14:textId="68F5EBB2"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53" w:history="1">
            <w:r w:rsidR="00690F3F" w:rsidRPr="00B03026">
              <w:rPr>
                <w:rStyle w:val="Hyperlink"/>
                <w:rFonts w:ascii="Times New Roman" w:hAnsi="Times New Roman" w:cs="Times New Roman"/>
                <w:noProof/>
                <w:sz w:val="24"/>
                <w:szCs w:val="24"/>
              </w:rPr>
              <w:t>Income Statement Analysis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_Toc149342253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4</w:t>
            </w:r>
            <w:r w:rsidR="00690F3F" w:rsidRPr="00B03026">
              <w:rPr>
                <w:rFonts w:ascii="Times New Roman" w:hAnsi="Times New Roman" w:cs="Times New Roman"/>
                <w:noProof/>
                <w:webHidden/>
                <w:sz w:val="24"/>
                <w:szCs w:val="24"/>
              </w:rPr>
              <w:fldChar w:fldCharType="end"/>
            </w:r>
          </w:hyperlink>
        </w:p>
        <w:p w14:paraId="24A584C6" w14:textId="77EC2315"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54" w:history="1">
            <w:r w:rsidR="00690F3F" w:rsidRPr="00B03026">
              <w:rPr>
                <w:rStyle w:val="Hyperlink"/>
                <w:rFonts w:ascii="Times New Roman" w:hAnsi="Times New Roman" w:cs="Times New Roman"/>
                <w:noProof/>
                <w:sz w:val="24"/>
                <w:szCs w:val="24"/>
              </w:rPr>
              <w:t>Balance Sheet Analysis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_Toc149342254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4</w:t>
            </w:r>
            <w:r w:rsidR="00690F3F" w:rsidRPr="00B03026">
              <w:rPr>
                <w:rFonts w:ascii="Times New Roman" w:hAnsi="Times New Roman" w:cs="Times New Roman"/>
                <w:noProof/>
                <w:webHidden/>
                <w:sz w:val="24"/>
                <w:szCs w:val="24"/>
              </w:rPr>
              <w:fldChar w:fldCharType="end"/>
            </w:r>
          </w:hyperlink>
        </w:p>
        <w:p w14:paraId="7CE3610A" w14:textId="35235FC6"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55" w:history="1">
            <w:r w:rsidR="00690F3F" w:rsidRPr="00B03026">
              <w:rPr>
                <w:rStyle w:val="Hyperlink"/>
                <w:rFonts w:ascii="Times New Roman" w:hAnsi="Times New Roman" w:cs="Times New Roman"/>
                <w:noProof/>
                <w:sz w:val="24"/>
                <w:szCs w:val="24"/>
              </w:rPr>
              <w:t>Analysing Cash Flow</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_Toc149342255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5</w:t>
            </w:r>
            <w:r w:rsidR="00690F3F" w:rsidRPr="00B03026">
              <w:rPr>
                <w:rFonts w:ascii="Times New Roman" w:hAnsi="Times New Roman" w:cs="Times New Roman"/>
                <w:noProof/>
                <w:webHidden/>
                <w:sz w:val="24"/>
                <w:szCs w:val="24"/>
              </w:rPr>
              <w:fldChar w:fldCharType="end"/>
            </w:r>
          </w:hyperlink>
        </w:p>
        <w:p w14:paraId="3A0EB6EB" w14:textId="4B03BA50"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56" w:history="1">
            <w:r w:rsidR="00690F3F" w:rsidRPr="00B03026">
              <w:rPr>
                <w:rStyle w:val="Hyperlink"/>
                <w:rFonts w:ascii="Times New Roman" w:hAnsi="Times New Roman" w:cs="Times New Roman"/>
                <w:noProof/>
                <w:sz w:val="24"/>
                <w:szCs w:val="24"/>
              </w:rPr>
              <w:t>Supplementary Financial Data</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_Toc149342256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5</w:t>
            </w:r>
            <w:r w:rsidR="00690F3F" w:rsidRPr="00B03026">
              <w:rPr>
                <w:rFonts w:ascii="Times New Roman" w:hAnsi="Times New Roman" w:cs="Times New Roman"/>
                <w:noProof/>
                <w:webHidden/>
                <w:sz w:val="24"/>
                <w:szCs w:val="24"/>
              </w:rPr>
              <w:fldChar w:fldCharType="end"/>
            </w:r>
          </w:hyperlink>
        </w:p>
        <w:p w14:paraId="618C19A1" w14:textId="18C7ECC3"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57" w:history="1">
            <w:r w:rsidR="00690F3F" w:rsidRPr="00B03026">
              <w:rPr>
                <w:rStyle w:val="Hyperlink"/>
                <w:rFonts w:ascii="Times New Roman" w:hAnsi="Times New Roman" w:cs="Times New Roman"/>
                <w:noProof/>
                <w:sz w:val="24"/>
                <w:szCs w:val="24"/>
              </w:rPr>
              <w:t>Areas of concern</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_Toc149342257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5</w:t>
            </w:r>
            <w:r w:rsidR="00690F3F" w:rsidRPr="00B03026">
              <w:rPr>
                <w:rFonts w:ascii="Times New Roman" w:hAnsi="Times New Roman" w:cs="Times New Roman"/>
                <w:noProof/>
                <w:webHidden/>
                <w:sz w:val="24"/>
                <w:szCs w:val="24"/>
              </w:rPr>
              <w:fldChar w:fldCharType="end"/>
            </w:r>
          </w:hyperlink>
        </w:p>
        <w:p w14:paraId="56C02189" w14:textId="12A8FF62" w:rsidR="00B03026" w:rsidRPr="00B03026" w:rsidRDefault="00B22969" w:rsidP="00C72662">
          <w:pPr>
            <w:pStyle w:val="TOC1"/>
            <w:spacing w:line="276" w:lineRule="auto"/>
            <w:rPr>
              <w:rFonts w:eastAsiaTheme="minorEastAsia"/>
              <w:b w:val="0"/>
              <w:lang w:val="en-GB" w:eastAsia="en-GB"/>
            </w:rPr>
          </w:pPr>
          <w:hyperlink w:anchor="_Toc149342258" w:history="1">
            <w:r w:rsidR="00690F3F" w:rsidRPr="00B03026">
              <w:rPr>
                <w:rStyle w:val="Hyperlink"/>
              </w:rPr>
              <w:t>Reasons for Decline in Profitability</w:t>
            </w:r>
            <w:r w:rsidR="00690F3F" w:rsidRPr="00B03026">
              <w:rPr>
                <w:webHidden/>
              </w:rPr>
              <w:tab/>
            </w:r>
            <w:r w:rsidR="00690F3F" w:rsidRPr="00B03026">
              <w:rPr>
                <w:webHidden/>
              </w:rPr>
              <w:fldChar w:fldCharType="begin"/>
            </w:r>
            <w:r w:rsidR="00690F3F" w:rsidRPr="00B03026">
              <w:rPr>
                <w:webHidden/>
              </w:rPr>
              <w:instrText xml:space="preserve"> PAGEREF _Toc149342258 \h </w:instrText>
            </w:r>
            <w:r w:rsidR="00690F3F" w:rsidRPr="00B03026">
              <w:rPr>
                <w:webHidden/>
              </w:rPr>
            </w:r>
            <w:r w:rsidR="00690F3F" w:rsidRPr="00B03026">
              <w:rPr>
                <w:webHidden/>
              </w:rPr>
              <w:fldChar w:fldCharType="separate"/>
            </w:r>
            <w:r w:rsidR="00690F3F" w:rsidRPr="00B03026">
              <w:rPr>
                <w:webHidden/>
              </w:rPr>
              <w:t>6</w:t>
            </w:r>
            <w:r w:rsidR="00690F3F" w:rsidRPr="00B03026">
              <w:rPr>
                <w:webHidden/>
              </w:rPr>
              <w:fldChar w:fldCharType="end"/>
            </w:r>
          </w:hyperlink>
        </w:p>
        <w:p w14:paraId="23D35BC3" w14:textId="49CFD7D4"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59" w:history="1">
            <w:r w:rsidR="00690F3F" w:rsidRPr="00B03026">
              <w:rPr>
                <w:rStyle w:val="Hyperlink"/>
                <w:rFonts w:ascii="Times New Roman" w:hAnsi="Times New Roman" w:cs="Times New Roman"/>
                <w:noProof/>
                <w:sz w:val="24"/>
                <w:szCs w:val="24"/>
              </w:rPr>
              <w:t>The Competition and Market Dynamics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_Toc149342259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6</w:t>
            </w:r>
            <w:r w:rsidR="00690F3F" w:rsidRPr="00B03026">
              <w:rPr>
                <w:rFonts w:ascii="Times New Roman" w:hAnsi="Times New Roman" w:cs="Times New Roman"/>
                <w:noProof/>
                <w:webHidden/>
                <w:sz w:val="24"/>
                <w:szCs w:val="24"/>
              </w:rPr>
              <w:fldChar w:fldCharType="end"/>
            </w:r>
          </w:hyperlink>
        </w:p>
        <w:p w14:paraId="7E741D41" w14:textId="2867BD4F"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0" w:history="1">
            <w:r w:rsidR="00690F3F" w:rsidRPr="00B03026">
              <w:rPr>
                <w:rStyle w:val="Hyperlink"/>
                <w:rFonts w:ascii="Times New Roman" w:hAnsi="Times New Roman" w:cs="Times New Roman"/>
                <w:noProof/>
                <w:sz w:val="24"/>
                <w:szCs w:val="24"/>
              </w:rPr>
              <w:t>Changing Tastes of Consumers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_Toc149342260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7</w:t>
            </w:r>
            <w:r w:rsidR="00690F3F" w:rsidRPr="00B03026">
              <w:rPr>
                <w:rFonts w:ascii="Times New Roman" w:hAnsi="Times New Roman" w:cs="Times New Roman"/>
                <w:noProof/>
                <w:webHidden/>
                <w:sz w:val="24"/>
                <w:szCs w:val="24"/>
              </w:rPr>
              <w:fldChar w:fldCharType="end"/>
            </w:r>
          </w:hyperlink>
        </w:p>
        <w:p w14:paraId="47934983" w14:textId="5D163344"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1" w:history="1">
            <w:r w:rsidR="00690F3F" w:rsidRPr="00B03026">
              <w:rPr>
                <w:rStyle w:val="Hyperlink"/>
                <w:rFonts w:ascii="Times New Roman" w:hAnsi="Times New Roman" w:cs="Times New Roman"/>
                <w:noProof/>
                <w:sz w:val="24"/>
                <w:szCs w:val="24"/>
              </w:rPr>
              <w:t>Outdated amenities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_Toc149342261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7</w:t>
            </w:r>
            <w:r w:rsidR="00690F3F" w:rsidRPr="00B03026">
              <w:rPr>
                <w:rFonts w:ascii="Times New Roman" w:hAnsi="Times New Roman" w:cs="Times New Roman"/>
                <w:noProof/>
                <w:webHidden/>
                <w:sz w:val="24"/>
                <w:szCs w:val="24"/>
              </w:rPr>
              <w:fldChar w:fldCharType="end"/>
            </w:r>
          </w:hyperlink>
        </w:p>
        <w:p w14:paraId="78780D04" w14:textId="6D1C0B6C"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2" w:history="1">
            <w:r w:rsidR="00690F3F" w:rsidRPr="00B03026">
              <w:rPr>
                <w:rStyle w:val="Hyperlink"/>
                <w:rFonts w:ascii="Times New Roman" w:hAnsi="Times New Roman" w:cs="Times New Roman"/>
                <w:noProof/>
                <w:sz w:val="24"/>
                <w:szCs w:val="24"/>
              </w:rPr>
              <w:t>Occupancy rates and pricing strategy</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_Toc149342262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7</w:t>
            </w:r>
            <w:r w:rsidR="00690F3F" w:rsidRPr="00B03026">
              <w:rPr>
                <w:rFonts w:ascii="Times New Roman" w:hAnsi="Times New Roman" w:cs="Times New Roman"/>
                <w:noProof/>
                <w:webHidden/>
                <w:sz w:val="24"/>
                <w:szCs w:val="24"/>
              </w:rPr>
              <w:fldChar w:fldCharType="end"/>
            </w:r>
          </w:hyperlink>
        </w:p>
        <w:p w14:paraId="309837E8" w14:textId="3722B456"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3" w:history="1">
            <w:r w:rsidR="00690F3F" w:rsidRPr="00B03026">
              <w:rPr>
                <w:rStyle w:val="Hyperlink"/>
                <w:rFonts w:ascii="Times New Roman" w:hAnsi="Times New Roman" w:cs="Times New Roman"/>
                <w:noProof/>
                <w:sz w:val="24"/>
                <w:szCs w:val="24"/>
              </w:rPr>
              <w:t>Increasing Running Costs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_Toc149342263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8</w:t>
            </w:r>
            <w:r w:rsidR="00690F3F" w:rsidRPr="00B03026">
              <w:rPr>
                <w:rFonts w:ascii="Times New Roman" w:hAnsi="Times New Roman" w:cs="Times New Roman"/>
                <w:noProof/>
                <w:webHidden/>
                <w:sz w:val="24"/>
                <w:szCs w:val="24"/>
              </w:rPr>
              <w:fldChar w:fldCharType="end"/>
            </w:r>
          </w:hyperlink>
        </w:p>
        <w:p w14:paraId="5AA59705" w14:textId="7F07453F"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4" w:history="1">
            <w:r w:rsidR="00690F3F" w:rsidRPr="00B03026">
              <w:rPr>
                <w:rStyle w:val="Hyperlink"/>
                <w:rFonts w:ascii="Times New Roman" w:hAnsi="Times New Roman" w:cs="Times New Roman"/>
                <w:noProof/>
                <w:sz w:val="24"/>
                <w:szCs w:val="24"/>
              </w:rPr>
              <w:t>Debt Load and Stability of Income</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_Toc149342264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8</w:t>
            </w:r>
            <w:r w:rsidR="00690F3F" w:rsidRPr="00B03026">
              <w:rPr>
                <w:rFonts w:ascii="Times New Roman" w:hAnsi="Times New Roman" w:cs="Times New Roman"/>
                <w:noProof/>
                <w:webHidden/>
                <w:sz w:val="24"/>
                <w:szCs w:val="24"/>
              </w:rPr>
              <w:fldChar w:fldCharType="end"/>
            </w:r>
          </w:hyperlink>
        </w:p>
        <w:p w14:paraId="1D9F8F8F" w14:textId="5F478AA8" w:rsidR="00B03026" w:rsidRPr="00B03026" w:rsidRDefault="00B22969" w:rsidP="00C72662">
          <w:pPr>
            <w:pStyle w:val="TOC1"/>
            <w:spacing w:line="276" w:lineRule="auto"/>
            <w:rPr>
              <w:rFonts w:eastAsiaTheme="minorEastAsia"/>
              <w:b w:val="0"/>
              <w:lang w:val="en-GB" w:eastAsia="en-GB"/>
            </w:rPr>
          </w:pPr>
          <w:hyperlink w:anchor="_Toc149342265" w:history="1">
            <w:r w:rsidR="00690F3F" w:rsidRPr="00B03026">
              <w:rPr>
                <w:rStyle w:val="Hyperlink"/>
              </w:rPr>
              <w:t>Turnaround Strategy</w:t>
            </w:r>
            <w:r w:rsidR="00690F3F" w:rsidRPr="00B03026">
              <w:rPr>
                <w:webHidden/>
              </w:rPr>
              <w:tab/>
            </w:r>
            <w:r w:rsidR="00690F3F" w:rsidRPr="00B03026">
              <w:rPr>
                <w:webHidden/>
              </w:rPr>
              <w:fldChar w:fldCharType="begin"/>
            </w:r>
            <w:r w:rsidR="00690F3F" w:rsidRPr="00B03026">
              <w:rPr>
                <w:webHidden/>
              </w:rPr>
              <w:instrText xml:space="preserve"> PAGEREF _Toc149342265 \h </w:instrText>
            </w:r>
            <w:r w:rsidR="00690F3F" w:rsidRPr="00B03026">
              <w:rPr>
                <w:webHidden/>
              </w:rPr>
            </w:r>
            <w:r w:rsidR="00690F3F" w:rsidRPr="00B03026">
              <w:rPr>
                <w:webHidden/>
              </w:rPr>
              <w:fldChar w:fldCharType="separate"/>
            </w:r>
            <w:r w:rsidR="00690F3F" w:rsidRPr="00B03026">
              <w:rPr>
                <w:webHidden/>
              </w:rPr>
              <w:t>8</w:t>
            </w:r>
            <w:r w:rsidR="00690F3F" w:rsidRPr="00B03026">
              <w:rPr>
                <w:webHidden/>
              </w:rPr>
              <w:fldChar w:fldCharType="end"/>
            </w:r>
          </w:hyperlink>
        </w:p>
        <w:p w14:paraId="0D531447" w14:textId="1E70724B"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6" w:history="1">
            <w:r w:rsidR="00690F3F" w:rsidRPr="00B03026">
              <w:rPr>
                <w:rStyle w:val="Hyperlink"/>
                <w:rFonts w:ascii="Times New Roman" w:hAnsi="Times New Roman" w:cs="Times New Roman"/>
                <w:noProof/>
                <w:sz w:val="24"/>
                <w:szCs w:val="24"/>
              </w:rPr>
              <w:t>Realigning Pricing Strategy</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_Toc149342266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9</w:t>
            </w:r>
            <w:r w:rsidR="00690F3F" w:rsidRPr="00B03026">
              <w:rPr>
                <w:rFonts w:ascii="Times New Roman" w:hAnsi="Times New Roman" w:cs="Times New Roman"/>
                <w:noProof/>
                <w:webHidden/>
                <w:sz w:val="24"/>
                <w:szCs w:val="24"/>
              </w:rPr>
              <w:fldChar w:fldCharType="end"/>
            </w:r>
          </w:hyperlink>
        </w:p>
        <w:p w14:paraId="473DAB87" w14:textId="7C98D116"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7" w:history="1">
            <w:r w:rsidR="00690F3F" w:rsidRPr="00B03026">
              <w:rPr>
                <w:rStyle w:val="Hyperlink"/>
                <w:rFonts w:ascii="Times New Roman" w:hAnsi="Times New Roman" w:cs="Times New Roman"/>
                <w:noProof/>
                <w:sz w:val="24"/>
                <w:szCs w:val="24"/>
              </w:rPr>
              <w:t>Optimising costs and managing expenses</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_Toc149342267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9</w:t>
            </w:r>
            <w:r w:rsidR="00690F3F" w:rsidRPr="00B03026">
              <w:rPr>
                <w:rFonts w:ascii="Times New Roman" w:hAnsi="Times New Roman" w:cs="Times New Roman"/>
                <w:noProof/>
                <w:webHidden/>
                <w:sz w:val="24"/>
                <w:szCs w:val="24"/>
              </w:rPr>
              <w:fldChar w:fldCharType="end"/>
            </w:r>
          </w:hyperlink>
        </w:p>
        <w:p w14:paraId="23EA3BAD" w14:textId="533FF020"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8" w:history="1">
            <w:r w:rsidR="00690F3F" w:rsidRPr="00B03026">
              <w:rPr>
                <w:rStyle w:val="Hyperlink"/>
                <w:rFonts w:ascii="Times New Roman" w:hAnsi="Times New Roman" w:cs="Times New Roman"/>
                <w:noProof/>
                <w:sz w:val="24"/>
                <w:szCs w:val="24"/>
              </w:rPr>
              <w:t>Monetary Leverage</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_Toc149342268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9</w:t>
            </w:r>
            <w:r w:rsidR="00690F3F" w:rsidRPr="00B03026">
              <w:rPr>
                <w:rFonts w:ascii="Times New Roman" w:hAnsi="Times New Roman" w:cs="Times New Roman"/>
                <w:noProof/>
                <w:webHidden/>
                <w:sz w:val="24"/>
                <w:szCs w:val="24"/>
              </w:rPr>
              <w:fldChar w:fldCharType="end"/>
            </w:r>
          </w:hyperlink>
        </w:p>
        <w:p w14:paraId="6C002952" w14:textId="52F9B2EB"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69" w:history="1">
            <w:r w:rsidR="00690F3F" w:rsidRPr="00B03026">
              <w:rPr>
                <w:rStyle w:val="Hyperlink"/>
                <w:rFonts w:ascii="Times New Roman" w:hAnsi="Times New Roman" w:cs="Times New Roman"/>
                <w:noProof/>
                <w:sz w:val="24"/>
                <w:szCs w:val="24"/>
              </w:rPr>
              <w:t>Modernization and Renovation</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_Toc149342269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10</w:t>
            </w:r>
            <w:r w:rsidR="00690F3F" w:rsidRPr="00B03026">
              <w:rPr>
                <w:rFonts w:ascii="Times New Roman" w:hAnsi="Times New Roman" w:cs="Times New Roman"/>
                <w:noProof/>
                <w:webHidden/>
                <w:sz w:val="24"/>
                <w:szCs w:val="24"/>
              </w:rPr>
              <w:fldChar w:fldCharType="end"/>
            </w:r>
          </w:hyperlink>
        </w:p>
        <w:p w14:paraId="5D3E27F2" w14:textId="1E28EDCA"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70" w:history="1">
            <w:r w:rsidR="00690F3F" w:rsidRPr="00B03026">
              <w:rPr>
                <w:rStyle w:val="Hyperlink"/>
                <w:rFonts w:ascii="Times New Roman" w:hAnsi="Times New Roman" w:cs="Times New Roman"/>
                <w:noProof/>
                <w:sz w:val="24"/>
                <w:szCs w:val="24"/>
              </w:rPr>
              <w:t>Revamping Marketing and Branding</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_Toc149342270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10</w:t>
            </w:r>
            <w:r w:rsidR="00690F3F" w:rsidRPr="00B03026">
              <w:rPr>
                <w:rFonts w:ascii="Times New Roman" w:hAnsi="Times New Roman" w:cs="Times New Roman"/>
                <w:noProof/>
                <w:webHidden/>
                <w:sz w:val="24"/>
                <w:szCs w:val="24"/>
              </w:rPr>
              <w:fldChar w:fldCharType="end"/>
            </w:r>
          </w:hyperlink>
        </w:p>
        <w:p w14:paraId="348F642E" w14:textId="0B202A3E"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71" w:history="1">
            <w:r w:rsidR="00690F3F" w:rsidRPr="00B03026">
              <w:rPr>
                <w:rStyle w:val="Hyperlink"/>
                <w:rFonts w:ascii="Times New Roman" w:hAnsi="Times New Roman" w:cs="Times New Roman"/>
                <w:noProof/>
                <w:sz w:val="24"/>
                <w:szCs w:val="24"/>
              </w:rPr>
              <w:t>Improved Client Experience</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_Toc149342271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11</w:t>
            </w:r>
            <w:r w:rsidR="00690F3F" w:rsidRPr="00B03026">
              <w:rPr>
                <w:rFonts w:ascii="Times New Roman" w:hAnsi="Times New Roman" w:cs="Times New Roman"/>
                <w:noProof/>
                <w:webHidden/>
                <w:sz w:val="24"/>
                <w:szCs w:val="24"/>
              </w:rPr>
              <w:fldChar w:fldCharType="end"/>
            </w:r>
          </w:hyperlink>
        </w:p>
        <w:p w14:paraId="7C02F673" w14:textId="729520B9" w:rsidR="00B03026" w:rsidRPr="00B03026" w:rsidRDefault="00B22969" w:rsidP="00C72662">
          <w:pPr>
            <w:pStyle w:val="TOC2"/>
            <w:tabs>
              <w:tab w:val="right" w:leader="dot" w:pos="9350"/>
            </w:tabs>
            <w:spacing w:line="276" w:lineRule="auto"/>
            <w:rPr>
              <w:rFonts w:ascii="Times New Roman" w:eastAsiaTheme="minorEastAsia" w:hAnsi="Times New Roman" w:cs="Times New Roman"/>
              <w:noProof/>
              <w:sz w:val="24"/>
              <w:szCs w:val="24"/>
              <w:lang w:val="en-GB" w:eastAsia="en-GB"/>
            </w:rPr>
          </w:pPr>
          <w:hyperlink w:anchor="_Toc149342272" w:history="1">
            <w:r w:rsidR="00690F3F" w:rsidRPr="00B03026">
              <w:rPr>
                <w:rStyle w:val="Hyperlink"/>
                <w:rFonts w:ascii="Times New Roman" w:hAnsi="Times New Roman" w:cs="Times New Roman"/>
                <w:noProof/>
                <w:sz w:val="24"/>
                <w:szCs w:val="24"/>
              </w:rPr>
              <w:t>Continuous development</w:t>
            </w:r>
            <w:r w:rsidR="00690F3F" w:rsidRPr="00B03026">
              <w:rPr>
                <w:rFonts w:ascii="Times New Roman" w:hAnsi="Times New Roman" w:cs="Times New Roman"/>
                <w:noProof/>
                <w:webHidden/>
                <w:sz w:val="24"/>
                <w:szCs w:val="24"/>
              </w:rPr>
              <w:tab/>
            </w:r>
            <w:r w:rsidR="00690F3F" w:rsidRPr="00B03026">
              <w:rPr>
                <w:rFonts w:ascii="Times New Roman" w:hAnsi="Times New Roman" w:cs="Times New Roman"/>
                <w:noProof/>
                <w:webHidden/>
                <w:sz w:val="24"/>
                <w:szCs w:val="24"/>
              </w:rPr>
              <w:fldChar w:fldCharType="begin"/>
            </w:r>
            <w:r w:rsidR="00690F3F" w:rsidRPr="00B03026">
              <w:rPr>
                <w:rFonts w:ascii="Times New Roman" w:hAnsi="Times New Roman" w:cs="Times New Roman"/>
                <w:noProof/>
                <w:webHidden/>
                <w:sz w:val="24"/>
                <w:szCs w:val="24"/>
              </w:rPr>
              <w:instrText xml:space="preserve"> PAGEREF _Toc149342272 \h </w:instrText>
            </w:r>
            <w:r w:rsidR="00690F3F" w:rsidRPr="00B03026">
              <w:rPr>
                <w:rFonts w:ascii="Times New Roman" w:hAnsi="Times New Roman" w:cs="Times New Roman"/>
                <w:noProof/>
                <w:webHidden/>
                <w:sz w:val="24"/>
                <w:szCs w:val="24"/>
              </w:rPr>
            </w:r>
            <w:r w:rsidR="00690F3F" w:rsidRPr="00B03026">
              <w:rPr>
                <w:rFonts w:ascii="Times New Roman" w:hAnsi="Times New Roman" w:cs="Times New Roman"/>
                <w:noProof/>
                <w:webHidden/>
                <w:sz w:val="24"/>
                <w:szCs w:val="24"/>
              </w:rPr>
              <w:fldChar w:fldCharType="separate"/>
            </w:r>
            <w:r w:rsidR="00690F3F" w:rsidRPr="00B03026">
              <w:rPr>
                <w:rFonts w:ascii="Times New Roman" w:hAnsi="Times New Roman" w:cs="Times New Roman"/>
                <w:noProof/>
                <w:webHidden/>
                <w:sz w:val="24"/>
                <w:szCs w:val="24"/>
              </w:rPr>
              <w:t>11</w:t>
            </w:r>
            <w:r w:rsidR="00690F3F" w:rsidRPr="00B03026">
              <w:rPr>
                <w:rFonts w:ascii="Times New Roman" w:hAnsi="Times New Roman" w:cs="Times New Roman"/>
                <w:noProof/>
                <w:webHidden/>
                <w:sz w:val="24"/>
                <w:szCs w:val="24"/>
              </w:rPr>
              <w:fldChar w:fldCharType="end"/>
            </w:r>
          </w:hyperlink>
        </w:p>
        <w:p w14:paraId="18B58D65" w14:textId="69C590F6" w:rsidR="00B03026" w:rsidRPr="00B03026" w:rsidRDefault="00B22969" w:rsidP="00C72662">
          <w:pPr>
            <w:pStyle w:val="TOC1"/>
            <w:spacing w:line="276" w:lineRule="auto"/>
            <w:rPr>
              <w:rFonts w:eastAsiaTheme="minorEastAsia"/>
              <w:b w:val="0"/>
              <w:lang w:val="en-GB" w:eastAsia="en-GB"/>
            </w:rPr>
          </w:pPr>
          <w:hyperlink w:anchor="_Toc149342273" w:history="1">
            <w:r w:rsidR="00690F3F" w:rsidRPr="00B03026">
              <w:rPr>
                <w:rStyle w:val="Hyperlink"/>
              </w:rPr>
              <w:t>Conclusion</w:t>
            </w:r>
            <w:r w:rsidR="00690F3F" w:rsidRPr="00B03026">
              <w:rPr>
                <w:webHidden/>
              </w:rPr>
              <w:tab/>
            </w:r>
            <w:r w:rsidR="00690F3F" w:rsidRPr="00B03026">
              <w:rPr>
                <w:webHidden/>
              </w:rPr>
              <w:fldChar w:fldCharType="begin"/>
            </w:r>
            <w:r w:rsidR="00690F3F" w:rsidRPr="00B03026">
              <w:rPr>
                <w:webHidden/>
              </w:rPr>
              <w:instrText xml:space="preserve"> PAGEREF _Toc149342273 \h </w:instrText>
            </w:r>
            <w:r w:rsidR="00690F3F" w:rsidRPr="00B03026">
              <w:rPr>
                <w:webHidden/>
              </w:rPr>
            </w:r>
            <w:r w:rsidR="00690F3F" w:rsidRPr="00B03026">
              <w:rPr>
                <w:webHidden/>
              </w:rPr>
              <w:fldChar w:fldCharType="separate"/>
            </w:r>
            <w:r w:rsidR="00690F3F" w:rsidRPr="00B03026">
              <w:rPr>
                <w:webHidden/>
              </w:rPr>
              <w:t>11</w:t>
            </w:r>
            <w:r w:rsidR="00690F3F" w:rsidRPr="00B03026">
              <w:rPr>
                <w:webHidden/>
              </w:rPr>
              <w:fldChar w:fldCharType="end"/>
            </w:r>
          </w:hyperlink>
        </w:p>
        <w:p w14:paraId="07FE19A9" w14:textId="17181F81" w:rsidR="00B03026" w:rsidRPr="00B03026" w:rsidRDefault="00B22969" w:rsidP="00C72662">
          <w:pPr>
            <w:pStyle w:val="TOC1"/>
            <w:spacing w:line="276" w:lineRule="auto"/>
            <w:rPr>
              <w:rFonts w:eastAsiaTheme="minorEastAsia"/>
              <w:b w:val="0"/>
              <w:lang w:val="en-GB" w:eastAsia="en-GB"/>
            </w:rPr>
          </w:pPr>
          <w:hyperlink w:anchor="_Toc149342274" w:history="1">
            <w:r w:rsidR="00690F3F" w:rsidRPr="00B03026">
              <w:rPr>
                <w:rStyle w:val="Hyperlink"/>
                <w:shd w:val="clear" w:color="auto" w:fill="FFFFFF"/>
              </w:rPr>
              <w:t>References</w:t>
            </w:r>
            <w:r w:rsidR="00690F3F" w:rsidRPr="00B03026">
              <w:rPr>
                <w:webHidden/>
              </w:rPr>
              <w:tab/>
            </w:r>
            <w:r w:rsidR="00690F3F" w:rsidRPr="00B03026">
              <w:rPr>
                <w:webHidden/>
              </w:rPr>
              <w:fldChar w:fldCharType="begin"/>
            </w:r>
            <w:r w:rsidR="00690F3F" w:rsidRPr="00B03026">
              <w:rPr>
                <w:webHidden/>
              </w:rPr>
              <w:instrText xml:space="preserve"> PAGEREF _Toc149342274 \h </w:instrText>
            </w:r>
            <w:r w:rsidR="00690F3F" w:rsidRPr="00B03026">
              <w:rPr>
                <w:webHidden/>
              </w:rPr>
            </w:r>
            <w:r w:rsidR="00690F3F" w:rsidRPr="00B03026">
              <w:rPr>
                <w:webHidden/>
              </w:rPr>
              <w:fldChar w:fldCharType="separate"/>
            </w:r>
            <w:r w:rsidR="00690F3F" w:rsidRPr="00B03026">
              <w:rPr>
                <w:webHidden/>
              </w:rPr>
              <w:t>13</w:t>
            </w:r>
            <w:r w:rsidR="00690F3F" w:rsidRPr="00B03026">
              <w:rPr>
                <w:webHidden/>
              </w:rPr>
              <w:fldChar w:fldCharType="end"/>
            </w:r>
          </w:hyperlink>
        </w:p>
        <w:p w14:paraId="641BAFAE" w14:textId="3A2B2430" w:rsidR="00106531" w:rsidRPr="00B03026" w:rsidRDefault="00690F3F" w:rsidP="00C72662">
          <w:pPr>
            <w:spacing w:after="0" w:line="276" w:lineRule="auto"/>
            <w:contextualSpacing/>
            <w:mirrorIndents/>
            <w:rPr>
              <w:rFonts w:ascii="Times New Roman" w:hAnsi="Times New Roman" w:cs="Times New Roman"/>
              <w:color w:val="000000" w:themeColor="text1"/>
              <w:sz w:val="24"/>
              <w:szCs w:val="24"/>
            </w:rPr>
          </w:pPr>
          <w:r w:rsidRPr="00B03026">
            <w:rPr>
              <w:rFonts w:ascii="Times New Roman" w:hAnsi="Times New Roman" w:cs="Times New Roman"/>
              <w:b/>
              <w:bCs/>
              <w:noProof/>
              <w:color w:val="000000" w:themeColor="text1"/>
              <w:sz w:val="24"/>
              <w:szCs w:val="24"/>
            </w:rPr>
            <w:fldChar w:fldCharType="end"/>
          </w:r>
        </w:p>
      </w:sdtContent>
    </w:sdt>
    <w:p w14:paraId="152FA4EB" w14:textId="77777777" w:rsidR="00106531" w:rsidRPr="00063764" w:rsidRDefault="00690F3F" w:rsidP="00063764">
      <w:pPr>
        <w:spacing w:after="0" w:line="480" w:lineRule="auto"/>
        <w:contextualSpacing/>
        <w:mirrorIndents/>
        <w:rPr>
          <w:rFonts w:ascii="Times New Roman" w:eastAsiaTheme="majorEastAsia" w:hAnsi="Times New Roman" w:cs="Times New Roman"/>
          <w:b/>
          <w:color w:val="000000" w:themeColor="text1"/>
          <w:sz w:val="24"/>
          <w:szCs w:val="24"/>
        </w:rPr>
      </w:pPr>
      <w:r w:rsidRPr="00063764">
        <w:rPr>
          <w:rFonts w:ascii="Times New Roman" w:hAnsi="Times New Roman" w:cs="Times New Roman"/>
          <w:color w:val="000000" w:themeColor="text1"/>
          <w:sz w:val="24"/>
          <w:szCs w:val="24"/>
        </w:rPr>
        <w:br w:type="page"/>
      </w:r>
    </w:p>
    <w:p w14:paraId="2D2EE0BA" w14:textId="3638564F" w:rsidR="00933D2E" w:rsidRPr="00063764" w:rsidRDefault="00690F3F" w:rsidP="00063764">
      <w:pPr>
        <w:pStyle w:val="Heading1"/>
        <w:mirrorIndents/>
        <w:rPr>
          <w:color w:val="000000" w:themeColor="text1"/>
        </w:rPr>
      </w:pPr>
      <w:bookmarkStart w:id="0" w:name="_Toc149342251"/>
      <w:r w:rsidRPr="00063764">
        <w:rPr>
          <w:color w:val="000000" w:themeColor="text1"/>
        </w:rPr>
        <w:lastRenderedPageBreak/>
        <w:t>Introduction</w:t>
      </w:r>
      <w:bookmarkEnd w:id="0"/>
    </w:p>
    <w:p w14:paraId="7A701DAD" w14:textId="4A15099B"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The Seaview Resort has, for many years, been the standard by which all other coastal resorts are measured. However, its financial performance, occupancy rates, and customer satisfaction have all </w:t>
      </w:r>
      <w:r w:rsidR="00B22969" w:rsidRPr="00063764">
        <w:rPr>
          <w:rFonts w:ascii="Times New Roman" w:hAnsi="Times New Roman" w:cs="Times New Roman"/>
          <w:color w:val="000000" w:themeColor="text1"/>
          <w:sz w:val="24"/>
          <w:szCs w:val="24"/>
        </w:rPr>
        <w:t>experienced</w:t>
      </w:r>
      <w:r w:rsidRPr="00063764">
        <w:rPr>
          <w:rFonts w:ascii="Times New Roman" w:hAnsi="Times New Roman" w:cs="Times New Roman"/>
          <w:color w:val="000000" w:themeColor="text1"/>
          <w:sz w:val="24"/>
          <w:szCs w:val="24"/>
        </w:rPr>
        <w:t xml:space="preserve"> a worrying downturn. </w:t>
      </w:r>
      <w:proofErr w:type="gramStart"/>
      <w:r w:rsidRPr="00063764">
        <w:rPr>
          <w:rFonts w:ascii="Times New Roman" w:hAnsi="Times New Roman" w:cs="Times New Roman"/>
          <w:color w:val="000000" w:themeColor="text1"/>
          <w:sz w:val="24"/>
          <w:szCs w:val="24"/>
        </w:rPr>
        <w:t>In order to</w:t>
      </w:r>
      <w:proofErr w:type="gramEnd"/>
      <w:r w:rsidRPr="00063764">
        <w:rPr>
          <w:rFonts w:ascii="Times New Roman" w:hAnsi="Times New Roman" w:cs="Times New Roman"/>
          <w:color w:val="000000" w:themeColor="text1"/>
          <w:sz w:val="24"/>
          <w:szCs w:val="24"/>
        </w:rPr>
        <w:t xml:space="preserve"> restore the resort's status as a top-tier holiday spot and improve its financial standing, a thorough financial turnaround strategy is required. Using financial data and insights gleaned from the market dynamics, this paper provides a strategy to solve the resort's issues, charting the route for its recovery in the competitive world of coastal resorts.</w:t>
      </w:r>
    </w:p>
    <w:p w14:paraId="3A2F7B72"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4A9F9928" w14:textId="17EF50CD" w:rsidR="00933D2E" w:rsidRPr="00063764" w:rsidRDefault="00690F3F" w:rsidP="00063764">
      <w:pPr>
        <w:pStyle w:val="Heading1"/>
        <w:mirrorIndents/>
        <w:rPr>
          <w:color w:val="000000" w:themeColor="text1"/>
        </w:rPr>
      </w:pPr>
      <w:bookmarkStart w:id="1" w:name="_Toc149342252"/>
      <w:r w:rsidRPr="00063764">
        <w:rPr>
          <w:color w:val="000000" w:themeColor="text1"/>
        </w:rPr>
        <w:t xml:space="preserve">The Seaview Resort Financial </w:t>
      </w:r>
      <w:r w:rsidR="00111D2C" w:rsidRPr="00063764">
        <w:rPr>
          <w:color w:val="000000" w:themeColor="text1"/>
        </w:rPr>
        <w:t>Performance</w:t>
      </w:r>
      <w:r w:rsidRPr="00063764">
        <w:rPr>
          <w:color w:val="000000" w:themeColor="text1"/>
        </w:rPr>
        <w:t xml:space="preserve"> Analysis (2020 - 2022)</w:t>
      </w:r>
      <w:bookmarkEnd w:id="1"/>
    </w:p>
    <w:p w14:paraId="67C37E14" w14:textId="688AF060"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Despite its idyllic location on the shore, the Seaview Resort has had a rough three years. The resort has seen diminishing income and profitability, and there are growing questions about its long-term viability in the face of intense competition. </w:t>
      </w:r>
    </w:p>
    <w:p w14:paraId="712386EF" w14:textId="437BD034" w:rsidR="00933D2E" w:rsidRPr="00063764" w:rsidRDefault="00690F3F" w:rsidP="00063764">
      <w:pPr>
        <w:spacing w:after="0" w:line="480" w:lineRule="auto"/>
        <w:contextualSpacing/>
        <w:mirrorIndents/>
        <w:jc w:val="center"/>
        <w:rPr>
          <w:rFonts w:ascii="Times New Roman" w:hAnsi="Times New Roman" w:cs="Times New Roman"/>
          <w:color w:val="000000" w:themeColor="text1"/>
          <w:sz w:val="24"/>
          <w:szCs w:val="24"/>
        </w:rPr>
      </w:pPr>
      <w:r w:rsidRPr="00063764">
        <w:rPr>
          <w:rFonts w:ascii="Times New Roman" w:hAnsi="Times New Roman" w:cs="Times New Roman"/>
          <w:noProof/>
          <w:color w:val="000000" w:themeColor="text1"/>
          <w:sz w:val="24"/>
          <w:szCs w:val="24"/>
        </w:rPr>
        <w:drawing>
          <wp:inline distT="0" distB="0" distL="0" distR="0" wp14:anchorId="1D3DB1BA" wp14:editId="62D7E37E">
            <wp:extent cx="4572000" cy="2743200"/>
            <wp:effectExtent l="0" t="0" r="0" b="0"/>
            <wp:docPr id="1" name="Chart 1">
              <a:extLst xmlns:a="http://schemas.openxmlformats.org/drawingml/2006/main">
                <a:ext uri="{FF2B5EF4-FFF2-40B4-BE49-F238E27FC236}">
                  <a16:creationId xmlns:a16="http://schemas.microsoft.com/office/drawing/2014/main" id="{F8711F88-A347-461F-8F44-5343B6FFC2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1C8AA58" w14:textId="77777777" w:rsidR="00933D2E" w:rsidRPr="00063764" w:rsidRDefault="00690F3F" w:rsidP="00063764">
      <w:pPr>
        <w:pStyle w:val="Heading2"/>
        <w:mirrorIndents/>
        <w:rPr>
          <w:color w:val="000000" w:themeColor="text1"/>
        </w:rPr>
      </w:pPr>
      <w:bookmarkStart w:id="2" w:name="_Toc149342253"/>
      <w:r w:rsidRPr="00063764">
        <w:rPr>
          <w:color w:val="000000" w:themeColor="text1"/>
        </w:rPr>
        <w:lastRenderedPageBreak/>
        <w:t>Income statement analysis</w:t>
      </w:r>
      <w:bookmarkEnd w:id="2"/>
    </w:p>
    <w:p w14:paraId="033773AD" w14:textId="72B29914"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Over the past three years, the income statement has shown a worrying tendency. The report shows a 17% decline in income to £430,000 in 2022, down from £520,000 in 2020. The operating expenses for 2022 are £450,000, a 15% increase from the 2020 budgeted amount of £390,000. It</w:t>
      </w:r>
      <w:r w:rsidR="004331E0">
        <w:rPr>
          <w:rFonts w:ascii="Times New Roman" w:hAnsi="Times New Roman" w:cs="Times New Roman"/>
          <w:color w:val="000000" w:themeColor="text1"/>
          <w:sz w:val="24"/>
          <w:szCs w:val="24"/>
        </w:rPr>
        <w:t xml:space="preserve"> i</w:t>
      </w:r>
      <w:r w:rsidRPr="00063764">
        <w:rPr>
          <w:rFonts w:ascii="Times New Roman" w:hAnsi="Times New Roman" w:cs="Times New Roman"/>
          <w:color w:val="000000" w:themeColor="text1"/>
          <w:sz w:val="24"/>
          <w:szCs w:val="24"/>
        </w:rPr>
        <w:t>s concerning that costs are rising without a commensurate increase in income. Gross profit has stayed unchanged at £80,000, suggesting that some form of cost-cutting is necessary to maintain profitability. From £78,000 in 2020 to just £17,000 in 2022, a drop of 78% can be noted in net profit. Current operations at the resort are nearly breaking even. The resort's financial difficulties are highlighted by the fact that the net profit margin has dropped from 15% in 2020 to 4% in 2022.</w:t>
      </w:r>
    </w:p>
    <w:p w14:paraId="354DBE31"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015D6D8C" w14:textId="77777777" w:rsidR="00933D2E" w:rsidRPr="00063764" w:rsidRDefault="00690F3F" w:rsidP="00063764">
      <w:pPr>
        <w:pStyle w:val="Heading2"/>
        <w:mirrorIndents/>
        <w:rPr>
          <w:color w:val="000000" w:themeColor="text1"/>
        </w:rPr>
      </w:pPr>
      <w:bookmarkStart w:id="3" w:name="_Toc149342254"/>
      <w:r w:rsidRPr="00063764">
        <w:rPr>
          <w:color w:val="000000" w:themeColor="text1"/>
        </w:rPr>
        <w:t>Balance Sheet Analysis</w:t>
      </w:r>
      <w:bookmarkEnd w:id="3"/>
    </w:p>
    <w:p w14:paraId="78404217" w14:textId="513DA53C"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proofErr w:type="gramStart"/>
      <w:r w:rsidRPr="00063764">
        <w:rPr>
          <w:rFonts w:ascii="Times New Roman" w:hAnsi="Times New Roman" w:cs="Times New Roman"/>
          <w:color w:val="000000" w:themeColor="text1"/>
          <w:sz w:val="24"/>
          <w:szCs w:val="24"/>
        </w:rPr>
        <w:t>The majority of</w:t>
      </w:r>
      <w:proofErr w:type="gramEnd"/>
      <w:r w:rsidRPr="00063764">
        <w:rPr>
          <w:rFonts w:ascii="Times New Roman" w:hAnsi="Times New Roman" w:cs="Times New Roman"/>
          <w:color w:val="000000" w:themeColor="text1"/>
          <w:sz w:val="24"/>
          <w:szCs w:val="24"/>
        </w:rPr>
        <w:t xml:space="preserve"> the company's total assets (£800,000) are property and equipment assets like computers and office furniture. However, there is stockpiling to the tune of £100,000 in terms of inventory. With a current obligation of £750,000 and a long-term debt of £500,000, Sea View Resort is in a precarious financial position. The resort's ability to make strategic investments may be significantly hampered by its high debt-to-equity ratio. Paying off this debt at a time of falling profits is difficult and may cause vital investments in the business's operations and its customers to be redirected elsewhere</w:t>
      </w:r>
      <w:r w:rsidR="00063764">
        <w:rPr>
          <w:rFonts w:ascii="Times New Roman" w:hAnsi="Times New Roman" w:cs="Times New Roman"/>
          <w:color w:val="000000" w:themeColor="text1"/>
          <w:sz w:val="24"/>
          <w:szCs w:val="24"/>
        </w:rPr>
        <w:t xml:space="preserve"> (</w:t>
      </w:r>
      <w:r w:rsidR="00063764">
        <w:rPr>
          <w:rFonts w:ascii="Times New Roman" w:hAnsi="Times New Roman" w:cs="Times New Roman"/>
          <w:color w:val="000000" w:themeColor="text1"/>
          <w:sz w:val="24"/>
          <w:szCs w:val="24"/>
          <w:shd w:val="clear" w:color="auto" w:fill="FFFFFF"/>
        </w:rPr>
        <w:t>Rosario and Chavali, 2019</w:t>
      </w:r>
      <w:r w:rsidR="00063764">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The resort's financial health and long-term viability depend on its capacity to deal with this liability in a highly competitive market.</w:t>
      </w:r>
    </w:p>
    <w:p w14:paraId="54345FF7"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785257E0" w14:textId="77777777" w:rsidR="00933D2E" w:rsidRPr="00063764" w:rsidRDefault="00690F3F" w:rsidP="00063764">
      <w:pPr>
        <w:pStyle w:val="Heading2"/>
        <w:mirrorIndents/>
        <w:rPr>
          <w:color w:val="000000" w:themeColor="text1"/>
        </w:rPr>
      </w:pPr>
      <w:bookmarkStart w:id="4" w:name="_Toc149342255"/>
      <w:r w:rsidRPr="00063764">
        <w:rPr>
          <w:color w:val="000000" w:themeColor="text1"/>
        </w:rPr>
        <w:lastRenderedPageBreak/>
        <w:t>Analysing Cash Flow</w:t>
      </w:r>
      <w:bookmarkEnd w:id="4"/>
    </w:p>
    <w:p w14:paraId="0A0221B7" w14:textId="77777777"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The 2021 cash flow statement presents a dire financial scenario. The resort's core business activities did not generate enough cash flow to meet expenses, as evidenced by its negative net cash flow from operations of -£80,000. £30,000 in capital expenses indicates that the resort has made investments in its facilities and infrastructure, but these have surpassed its revenue-generating capacity. The resort's financial stability was further undermined in 2021 when it faced a net cash flow loss of -£110,000.</w:t>
      </w:r>
    </w:p>
    <w:p w14:paraId="0ED42E58"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7D0296AB" w14:textId="77777777" w:rsidR="00933D2E" w:rsidRPr="00063764" w:rsidRDefault="00690F3F" w:rsidP="00063764">
      <w:pPr>
        <w:pStyle w:val="Heading2"/>
        <w:mirrorIndents/>
        <w:rPr>
          <w:color w:val="000000" w:themeColor="text1"/>
        </w:rPr>
      </w:pPr>
      <w:bookmarkStart w:id="5" w:name="_Toc149342256"/>
      <w:r w:rsidRPr="00063764">
        <w:rPr>
          <w:color w:val="000000" w:themeColor="text1"/>
        </w:rPr>
        <w:t>Supplementary Financial Data</w:t>
      </w:r>
      <w:bookmarkEnd w:id="5"/>
    </w:p>
    <w:p w14:paraId="675B20DE" w14:textId="77777777"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The resort has struggled to maintain pricing power, as seen by the 16% drop in average hotel cost from £250 in 2020 to £210 in 2022. From 70% in 2020 to 60% in 2022, the occupancy rate decreased gradually, indicating a decline in the demand for the resort's offerings.</w:t>
      </w:r>
    </w:p>
    <w:p w14:paraId="2E08E381" w14:textId="37AA330B"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t>
      </w:r>
      <w:r w:rsidRPr="00063764">
        <w:rPr>
          <w:rFonts w:ascii="Times New Roman" w:hAnsi="Times New Roman" w:cs="Times New Roman"/>
          <w:color w:val="000000" w:themeColor="text1"/>
          <w:sz w:val="24"/>
          <w:szCs w:val="24"/>
        </w:rPr>
        <w:t>verall, The Seaview Resort is currently in a dire financial situation due to issues with cash flow, diminishing profitability, and falling income. In a cutthroat industry, a turnaround plan that tackles these problems is essential to ensuring the resort's survival</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Pascual-Fernández et al., 2021</w:t>
      </w:r>
      <w:r>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To improve its financial situation, it might also be required to </w:t>
      </w:r>
      <w:proofErr w:type="gramStart"/>
      <w:r w:rsidRPr="00063764">
        <w:rPr>
          <w:rFonts w:ascii="Times New Roman" w:hAnsi="Times New Roman" w:cs="Times New Roman"/>
          <w:color w:val="000000" w:themeColor="text1"/>
          <w:sz w:val="24"/>
          <w:szCs w:val="24"/>
        </w:rPr>
        <w:t>look into</w:t>
      </w:r>
      <w:proofErr w:type="gramEnd"/>
      <w:r w:rsidRPr="00063764">
        <w:rPr>
          <w:rFonts w:ascii="Times New Roman" w:hAnsi="Times New Roman" w:cs="Times New Roman"/>
          <w:color w:val="000000" w:themeColor="text1"/>
          <w:sz w:val="24"/>
          <w:szCs w:val="24"/>
        </w:rPr>
        <w:t xml:space="preserve"> refinancing current debt and raising stock</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Sardo et al., 2018</w:t>
      </w:r>
      <w:r>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260C9332"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4B77BC01" w14:textId="77777777" w:rsidR="00933D2E" w:rsidRPr="00063764" w:rsidRDefault="00690F3F" w:rsidP="00063764">
      <w:pPr>
        <w:pStyle w:val="Heading2"/>
        <w:mirrorIndents/>
        <w:rPr>
          <w:color w:val="000000" w:themeColor="text1"/>
        </w:rPr>
      </w:pPr>
      <w:bookmarkStart w:id="6" w:name="_Toc149342257"/>
      <w:r w:rsidRPr="00063764">
        <w:rPr>
          <w:color w:val="000000" w:themeColor="text1"/>
        </w:rPr>
        <w:t>Areas of concerns</w:t>
      </w:r>
      <w:bookmarkEnd w:id="6"/>
    </w:p>
    <w:p w14:paraId="4B746035" w14:textId="48537821"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The most urgent issue is the ongoing decrease in revenue and profitability over the previous three years, which calls for quick action to stop the trend. Further improved cost control and operational efficiency are required </w:t>
      </w:r>
      <w:proofErr w:type="gramStart"/>
      <w:r w:rsidRPr="00063764">
        <w:rPr>
          <w:rFonts w:ascii="Times New Roman" w:hAnsi="Times New Roman" w:cs="Times New Roman"/>
          <w:color w:val="000000" w:themeColor="text1"/>
          <w:sz w:val="24"/>
          <w:szCs w:val="24"/>
        </w:rPr>
        <w:t>in light of</w:t>
      </w:r>
      <w:proofErr w:type="gramEnd"/>
      <w:r w:rsidRPr="00063764">
        <w:rPr>
          <w:rFonts w:ascii="Times New Roman" w:hAnsi="Times New Roman" w:cs="Times New Roman"/>
          <w:color w:val="000000" w:themeColor="text1"/>
          <w:sz w:val="24"/>
          <w:szCs w:val="24"/>
        </w:rPr>
        <w:t xml:space="preserve"> the increasing operating costs and stagnating gross profit</w:t>
      </w:r>
      <w:r w:rsidR="00063764">
        <w:rPr>
          <w:rFonts w:ascii="Times New Roman" w:hAnsi="Times New Roman" w:cs="Times New Roman"/>
          <w:color w:val="000000" w:themeColor="text1"/>
          <w:sz w:val="24"/>
          <w:szCs w:val="24"/>
        </w:rPr>
        <w:t xml:space="preserve"> (</w:t>
      </w:r>
      <w:r w:rsidR="00063764">
        <w:rPr>
          <w:rFonts w:ascii="Times New Roman" w:hAnsi="Times New Roman" w:cs="Times New Roman"/>
          <w:color w:val="000000" w:themeColor="text1"/>
          <w:sz w:val="24"/>
          <w:szCs w:val="24"/>
          <w:shd w:val="clear" w:color="auto" w:fill="FFFFFF"/>
        </w:rPr>
        <w:t>Galeazzo et al., 2021</w:t>
      </w:r>
      <w:r w:rsidR="00063764">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The resort's substantial long-term debt puts it in a vulnerable </w:t>
      </w:r>
      <w:r w:rsidRPr="00063764">
        <w:rPr>
          <w:rFonts w:ascii="Times New Roman" w:hAnsi="Times New Roman" w:cs="Times New Roman"/>
          <w:color w:val="000000" w:themeColor="text1"/>
          <w:sz w:val="24"/>
          <w:szCs w:val="24"/>
        </w:rPr>
        <w:lastRenderedPageBreak/>
        <w:t>financial position and limits its capacity to make changes. A decline in room rates and occupancy rates points to possible unhappiness among guests as well as fierce competition from more recent resorts. The resort's capacity to pay short-term obligations and make the required upgrades is called into question by the negative cash flow from operations and cash flow shortfalls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Davras and Caber,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4A9BB608"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52A33682" w14:textId="77777777" w:rsidR="00933D2E" w:rsidRPr="00063764" w:rsidRDefault="00690F3F" w:rsidP="00063764">
      <w:pPr>
        <w:pStyle w:val="Heading1"/>
        <w:mirrorIndents/>
        <w:rPr>
          <w:color w:val="000000" w:themeColor="text1"/>
        </w:rPr>
      </w:pPr>
      <w:bookmarkStart w:id="7" w:name="_Toc149342258"/>
      <w:r w:rsidRPr="00063764">
        <w:rPr>
          <w:color w:val="000000" w:themeColor="text1"/>
        </w:rPr>
        <w:t>Reasons for Decline in Profitability</w:t>
      </w:r>
      <w:bookmarkEnd w:id="7"/>
    </w:p>
    <w:p w14:paraId="5A6EFEC1" w14:textId="77777777"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The Seaview Resort has long been a luxury and leisure retreat for travellers. However, the resort's financial performance has been noticeably worse in recent years, as seen by a steady drop in revenue, occupancy rates, and guest satisfaction. </w:t>
      </w:r>
    </w:p>
    <w:p w14:paraId="6F3010AC"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21FC792B" w14:textId="77777777" w:rsidR="00933D2E" w:rsidRPr="00063764" w:rsidRDefault="00690F3F" w:rsidP="00063764">
      <w:pPr>
        <w:pStyle w:val="Heading2"/>
        <w:mirrorIndents/>
        <w:rPr>
          <w:color w:val="000000" w:themeColor="text1"/>
        </w:rPr>
      </w:pPr>
      <w:bookmarkStart w:id="8" w:name="_Toc149342259"/>
      <w:r w:rsidRPr="00063764">
        <w:rPr>
          <w:color w:val="000000" w:themeColor="text1"/>
        </w:rPr>
        <w:t>The Competition and Market Dynamics</w:t>
      </w:r>
      <w:bookmarkEnd w:id="8"/>
    </w:p>
    <w:p w14:paraId="6DC122A3" w14:textId="0B36321A"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The resort's declining profitability can be attributed, among other obvious reasons, to the changing nature of the coastal resort industry. The background information supplied demonstrates how the introduction of newer, more contemporary resorts in the area has made the market extremely competitive. The Seaview Resort is under a lot of strain from this increasing rivalry because it faces competitors who might provide modern amenities, cutting-edge technology, and stylish designs. As a result, the resort's capacity to retain its clientele and revenue source is threatened by the competition</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Geetha et al., 2017</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255AB403"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23B8A70A" w14:textId="77777777" w:rsidR="00933D2E" w:rsidRPr="00063764" w:rsidRDefault="00690F3F" w:rsidP="00063764">
      <w:pPr>
        <w:pStyle w:val="Heading2"/>
        <w:mirrorIndents/>
        <w:rPr>
          <w:color w:val="000000" w:themeColor="text1"/>
        </w:rPr>
      </w:pPr>
      <w:bookmarkStart w:id="9" w:name="_Toc149342260"/>
      <w:r w:rsidRPr="00063764">
        <w:rPr>
          <w:color w:val="000000" w:themeColor="text1"/>
        </w:rPr>
        <w:lastRenderedPageBreak/>
        <w:t>Changing Tastes of Consumers</w:t>
      </w:r>
      <w:bookmarkEnd w:id="9"/>
    </w:p>
    <w:p w14:paraId="7DECFD33" w14:textId="2AB192DB"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A crucial element is the resort's incapacity to adjust to changing customer demands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Falk and Steiger, 2018</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The background information mentions that eco-friendly and </w:t>
      </w:r>
      <w:r w:rsidR="00BA1A29" w:rsidRPr="00063764">
        <w:rPr>
          <w:rFonts w:ascii="Times New Roman" w:hAnsi="Times New Roman" w:cs="Times New Roman"/>
          <w:color w:val="000000" w:themeColor="text1"/>
          <w:sz w:val="24"/>
          <w:szCs w:val="24"/>
        </w:rPr>
        <w:t>experienced</w:t>
      </w:r>
      <w:r w:rsidRPr="00063764">
        <w:rPr>
          <w:rFonts w:ascii="Times New Roman" w:hAnsi="Times New Roman" w:cs="Times New Roman"/>
          <w:color w:val="000000" w:themeColor="text1"/>
          <w:sz w:val="24"/>
          <w:szCs w:val="24"/>
        </w:rPr>
        <w:t xml:space="preserve"> tourism are preferred by modern travellers. It</w:t>
      </w:r>
      <w:r w:rsidR="004331E0">
        <w:rPr>
          <w:rFonts w:ascii="Times New Roman" w:hAnsi="Times New Roman" w:cs="Times New Roman"/>
          <w:color w:val="000000" w:themeColor="text1"/>
          <w:sz w:val="24"/>
          <w:szCs w:val="24"/>
        </w:rPr>
        <w:t xml:space="preserve"> i</w:t>
      </w:r>
      <w:r w:rsidRPr="00063764">
        <w:rPr>
          <w:rFonts w:ascii="Times New Roman" w:hAnsi="Times New Roman" w:cs="Times New Roman"/>
          <w:color w:val="000000" w:themeColor="text1"/>
          <w:sz w:val="24"/>
          <w:szCs w:val="24"/>
        </w:rPr>
        <w:t>s possible that The Seaview Resort has</w:t>
      </w:r>
      <w:r w:rsidR="004331E0">
        <w:rPr>
          <w:rFonts w:ascii="Times New Roman" w:hAnsi="Times New Roman" w:cs="Times New Roman"/>
          <w:color w:val="000000" w:themeColor="text1"/>
          <w:sz w:val="24"/>
          <w:szCs w:val="24"/>
        </w:rPr>
        <w:t xml:space="preserve"> </w:t>
      </w:r>
      <w:r w:rsidRPr="00063764">
        <w:rPr>
          <w:rFonts w:ascii="Times New Roman" w:hAnsi="Times New Roman" w:cs="Times New Roman"/>
          <w:color w:val="000000" w:themeColor="text1"/>
          <w:sz w:val="24"/>
          <w:szCs w:val="24"/>
        </w:rPr>
        <w:t>n</w:t>
      </w:r>
      <w:r w:rsidR="004331E0">
        <w:rPr>
          <w:rFonts w:ascii="Times New Roman" w:hAnsi="Times New Roman" w:cs="Times New Roman"/>
          <w:color w:val="000000" w:themeColor="text1"/>
          <w:sz w:val="24"/>
          <w:szCs w:val="24"/>
        </w:rPr>
        <w:t>o</w:t>
      </w:r>
      <w:r w:rsidRPr="00063764">
        <w:rPr>
          <w:rFonts w:ascii="Times New Roman" w:hAnsi="Times New Roman" w:cs="Times New Roman"/>
          <w:color w:val="000000" w:themeColor="text1"/>
          <w:sz w:val="24"/>
          <w:szCs w:val="24"/>
        </w:rPr>
        <w:t>t fully embraced these trends, which place an emphasis on immersive experiences and ecological practises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Alananzeh et al., 2018</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Its inability to match these preferences with its goods may be turning off potential customers, which would lower sales and profitability.</w:t>
      </w:r>
    </w:p>
    <w:p w14:paraId="19C5FD34"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07BA942D" w14:textId="77777777" w:rsidR="00933D2E" w:rsidRPr="00063764" w:rsidRDefault="00690F3F" w:rsidP="00063764">
      <w:pPr>
        <w:pStyle w:val="Heading2"/>
        <w:mirrorIndents/>
        <w:rPr>
          <w:color w:val="000000" w:themeColor="text1"/>
        </w:rPr>
      </w:pPr>
      <w:bookmarkStart w:id="10" w:name="_Toc149342261"/>
      <w:r w:rsidRPr="00063764">
        <w:rPr>
          <w:color w:val="000000" w:themeColor="text1"/>
        </w:rPr>
        <w:t>Outdated amenities</w:t>
      </w:r>
      <w:bookmarkEnd w:id="10"/>
      <w:r w:rsidRPr="00063764">
        <w:rPr>
          <w:color w:val="000000" w:themeColor="text1"/>
        </w:rPr>
        <w:t xml:space="preserve"> </w:t>
      </w:r>
    </w:p>
    <w:p w14:paraId="1BD34590" w14:textId="4C39F386"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Customer evaluations and comments show a decline in guests' satisfaction with the resort's features and services. This might </w:t>
      </w:r>
      <w:r w:rsidR="00BA1A29" w:rsidRPr="00063764">
        <w:rPr>
          <w:rFonts w:ascii="Times New Roman" w:hAnsi="Times New Roman" w:cs="Times New Roman"/>
          <w:color w:val="000000" w:themeColor="text1"/>
          <w:sz w:val="24"/>
          <w:szCs w:val="24"/>
        </w:rPr>
        <w:t>arise</w:t>
      </w:r>
      <w:r w:rsidRPr="00063764">
        <w:rPr>
          <w:rFonts w:ascii="Times New Roman" w:hAnsi="Times New Roman" w:cs="Times New Roman"/>
          <w:color w:val="000000" w:themeColor="text1"/>
          <w:sz w:val="24"/>
          <w:szCs w:val="24"/>
        </w:rPr>
        <w:t xml:space="preserve"> from the resort's inability to modernise or enhance its amenities in accordance with shifting visitor demands. Revenue can be negatively impacted by outdated amenities and poor client experiences, which might discourage return business and referrals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Mutendera and Simba,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1320562B"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5A967394" w14:textId="77777777" w:rsidR="00933D2E" w:rsidRPr="00063764" w:rsidRDefault="00690F3F" w:rsidP="00063764">
      <w:pPr>
        <w:pStyle w:val="Heading2"/>
        <w:mirrorIndents/>
        <w:rPr>
          <w:color w:val="000000" w:themeColor="text1"/>
        </w:rPr>
      </w:pPr>
      <w:bookmarkStart w:id="11" w:name="_Toc149342262"/>
      <w:r w:rsidRPr="00063764">
        <w:rPr>
          <w:color w:val="000000" w:themeColor="text1"/>
        </w:rPr>
        <w:t>Occupancy rates and pricing strategy</w:t>
      </w:r>
      <w:bookmarkEnd w:id="11"/>
    </w:p>
    <w:p w14:paraId="58DCEB4D" w14:textId="63E457C2"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One </w:t>
      </w:r>
      <w:r w:rsidRPr="00063764">
        <w:rPr>
          <w:rFonts w:ascii="Times New Roman" w:hAnsi="Times New Roman" w:cs="Times New Roman"/>
          <w:color w:val="000000" w:themeColor="text1"/>
          <w:sz w:val="24"/>
          <w:szCs w:val="24"/>
        </w:rPr>
        <w:t xml:space="preserve">immediate concern is the dropping occupancy rates and Average Room Rate (ARR). The decline in ARR from £250 in 2020 to £210 in 2022 is indicative of competitive pricing pressure or a perceived decline in the resort's accommodation value. This pricing plan could not be viable in the long run, especially </w:t>
      </w:r>
      <w:proofErr w:type="gramStart"/>
      <w:r w:rsidRPr="00063764">
        <w:rPr>
          <w:rFonts w:ascii="Times New Roman" w:hAnsi="Times New Roman" w:cs="Times New Roman"/>
          <w:color w:val="000000" w:themeColor="text1"/>
          <w:sz w:val="24"/>
          <w:szCs w:val="24"/>
        </w:rPr>
        <w:t>in light of</w:t>
      </w:r>
      <w:proofErr w:type="gramEnd"/>
      <w:r w:rsidRPr="00063764">
        <w:rPr>
          <w:rFonts w:ascii="Times New Roman" w:hAnsi="Times New Roman" w:cs="Times New Roman"/>
          <w:color w:val="000000" w:themeColor="text1"/>
          <w:sz w:val="24"/>
          <w:szCs w:val="24"/>
        </w:rPr>
        <w:t xml:space="preserve"> the falling occupancy rates (which dropped from 70% in 2020 to 60% in 2022). Reduced occupancy rates suggest that many rooms are empty, which causes a large loss of income and profitability</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Pappas, 2018</w:t>
      </w:r>
      <w:r>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2E3BD073"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47B89FB2" w14:textId="77777777" w:rsidR="00933D2E" w:rsidRPr="00063764" w:rsidRDefault="00690F3F" w:rsidP="00063764">
      <w:pPr>
        <w:pStyle w:val="Heading2"/>
        <w:mirrorIndents/>
        <w:rPr>
          <w:color w:val="000000" w:themeColor="text1"/>
        </w:rPr>
      </w:pPr>
      <w:bookmarkStart w:id="12" w:name="_Toc149342263"/>
      <w:r w:rsidRPr="00063764">
        <w:rPr>
          <w:color w:val="000000" w:themeColor="text1"/>
        </w:rPr>
        <w:t>Increasing Running Costs</w:t>
      </w:r>
      <w:bookmarkEnd w:id="12"/>
    </w:p>
    <w:p w14:paraId="10D35A4A" w14:textId="561A8E21"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The resort's rising running </w:t>
      </w:r>
      <w:proofErr w:type="gramStart"/>
      <w:r w:rsidRPr="00063764">
        <w:rPr>
          <w:rFonts w:ascii="Times New Roman" w:hAnsi="Times New Roman" w:cs="Times New Roman"/>
          <w:color w:val="000000" w:themeColor="text1"/>
          <w:sz w:val="24"/>
          <w:szCs w:val="24"/>
        </w:rPr>
        <w:t>costs</w:t>
      </w:r>
      <w:proofErr w:type="gramEnd"/>
      <w:r w:rsidRPr="00063764">
        <w:rPr>
          <w:rFonts w:ascii="Times New Roman" w:hAnsi="Times New Roman" w:cs="Times New Roman"/>
          <w:color w:val="000000" w:themeColor="text1"/>
          <w:sz w:val="24"/>
          <w:szCs w:val="24"/>
        </w:rPr>
        <w:t xml:space="preserve"> which came to £450,000 in 2022 are still another significant reason for the drop in profitability. There is a serious mismatch between the resort's cost structure and revenue generation, as seen by the ongoing increase in expenses and the declining revenue. Significant pressure is placed on the profitability of this inefficiency in costs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Reid et al., 2017</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173B8E92"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62D927AA" w14:textId="77777777" w:rsidR="00933D2E" w:rsidRPr="00063764" w:rsidRDefault="00690F3F" w:rsidP="00063764">
      <w:pPr>
        <w:pStyle w:val="Heading2"/>
        <w:mirrorIndents/>
        <w:rPr>
          <w:color w:val="000000" w:themeColor="text1"/>
        </w:rPr>
      </w:pPr>
      <w:bookmarkStart w:id="13" w:name="_Toc149342264"/>
      <w:r w:rsidRPr="00063764">
        <w:rPr>
          <w:color w:val="000000" w:themeColor="text1"/>
        </w:rPr>
        <w:t>Debt Load and Stability of Income</w:t>
      </w:r>
      <w:bookmarkEnd w:id="13"/>
    </w:p>
    <w:p w14:paraId="3FD3A08A" w14:textId="72648C12"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The £500,000 long-term debt load is a contributing factor to the resort's financial difficulties. Paying down this debt can be quite difficult, particularly in a situation where profits are dropping. This load further jeopardises the resort's financial viability by reducing the amount of money available for upgrades and investments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Robin et al., 2017</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34C2AAAC"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2B1A487A" w14:textId="77777777" w:rsidR="00933D2E" w:rsidRPr="00063764" w:rsidRDefault="00690F3F" w:rsidP="00063764">
      <w:pPr>
        <w:pStyle w:val="Heading1"/>
        <w:mirrorIndents/>
        <w:rPr>
          <w:color w:val="000000" w:themeColor="text1"/>
        </w:rPr>
      </w:pPr>
      <w:bookmarkStart w:id="14" w:name="_Toc149342265"/>
      <w:r w:rsidRPr="00063764">
        <w:rPr>
          <w:color w:val="000000" w:themeColor="text1"/>
        </w:rPr>
        <w:t>Turnaround Strategy</w:t>
      </w:r>
      <w:bookmarkEnd w:id="14"/>
    </w:p>
    <w:p w14:paraId="2A5B2871" w14:textId="77777777"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Over the last three years, the Seaview Resort has seen a sharp drop in its financial performance. The Seaview Resort needs to start a thorough turnaround plan </w:t>
      </w:r>
      <w:proofErr w:type="gramStart"/>
      <w:r w:rsidRPr="00063764">
        <w:rPr>
          <w:rFonts w:ascii="Times New Roman" w:hAnsi="Times New Roman" w:cs="Times New Roman"/>
          <w:color w:val="000000" w:themeColor="text1"/>
          <w:sz w:val="24"/>
          <w:szCs w:val="24"/>
        </w:rPr>
        <w:t>in order to</w:t>
      </w:r>
      <w:proofErr w:type="gramEnd"/>
      <w:r w:rsidRPr="00063764">
        <w:rPr>
          <w:rFonts w:ascii="Times New Roman" w:hAnsi="Times New Roman" w:cs="Times New Roman"/>
          <w:color w:val="000000" w:themeColor="text1"/>
          <w:sz w:val="24"/>
          <w:szCs w:val="24"/>
        </w:rPr>
        <w:t xml:space="preserve"> regain its standing as one of the top holiday spots and attain long-term financial stability. This strategy seeks to tackle the resort's pressing problems and deal with its financial information.</w:t>
      </w:r>
    </w:p>
    <w:p w14:paraId="062B52C4"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4712E944" w14:textId="77777777" w:rsidR="00933D2E" w:rsidRPr="00063764" w:rsidRDefault="00690F3F" w:rsidP="00063764">
      <w:pPr>
        <w:pStyle w:val="Heading2"/>
        <w:mirrorIndents/>
        <w:rPr>
          <w:color w:val="000000" w:themeColor="text1"/>
        </w:rPr>
      </w:pPr>
      <w:bookmarkStart w:id="15" w:name="_Toc149342266"/>
      <w:r w:rsidRPr="00063764">
        <w:rPr>
          <w:color w:val="000000" w:themeColor="text1"/>
        </w:rPr>
        <w:lastRenderedPageBreak/>
        <w:t>Realigning Pricing Strategy</w:t>
      </w:r>
      <w:bookmarkEnd w:id="15"/>
    </w:p>
    <w:p w14:paraId="3B8BBB28" w14:textId="453B0B51"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The resort ought to analyse its pricing strategy in detail and think about using a dynamic pricing model. </w:t>
      </w:r>
      <w:proofErr w:type="gramStart"/>
      <w:r w:rsidRPr="00063764">
        <w:rPr>
          <w:rFonts w:ascii="Times New Roman" w:hAnsi="Times New Roman" w:cs="Times New Roman"/>
          <w:color w:val="000000" w:themeColor="text1"/>
          <w:sz w:val="24"/>
          <w:szCs w:val="24"/>
        </w:rPr>
        <w:t>In order to</w:t>
      </w:r>
      <w:proofErr w:type="gramEnd"/>
      <w:r w:rsidRPr="00063764">
        <w:rPr>
          <w:rFonts w:ascii="Times New Roman" w:hAnsi="Times New Roman" w:cs="Times New Roman"/>
          <w:color w:val="000000" w:themeColor="text1"/>
          <w:sz w:val="24"/>
          <w:szCs w:val="24"/>
        </w:rPr>
        <w:t xml:space="preserve"> draw in more visitors, it should also take advantage of its distinctive selling features, such as its beachfront setting, and advertise packages and deals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Porcu et al.,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7A97C51F" w14:textId="1518548D"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By implementing a thoughtful pricing plan, the resort may optimise earnings while maintaining maximum occupancy rates. Emphasising its distinctive qualities can support premium pricing and spur revenue expansion. As a result of this strategy, the resort expects better profitability and higher revenue </w:t>
      </w:r>
      <w:proofErr w:type="gramStart"/>
      <w:r w:rsidRPr="00063764">
        <w:rPr>
          <w:rFonts w:ascii="Times New Roman" w:hAnsi="Times New Roman" w:cs="Times New Roman"/>
          <w:color w:val="000000" w:themeColor="text1"/>
          <w:sz w:val="24"/>
          <w:szCs w:val="24"/>
        </w:rPr>
        <w:t>as a result of</w:t>
      </w:r>
      <w:proofErr w:type="gramEnd"/>
      <w:r w:rsidRPr="00063764">
        <w:rPr>
          <w:rFonts w:ascii="Times New Roman" w:hAnsi="Times New Roman" w:cs="Times New Roman"/>
          <w:color w:val="000000" w:themeColor="text1"/>
          <w:sz w:val="24"/>
          <w:szCs w:val="24"/>
        </w:rPr>
        <w:t xml:space="preserve"> its revised pricing</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Nunes and Cooke, 2021</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approach.</w:t>
      </w:r>
    </w:p>
    <w:p w14:paraId="2B721D11"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53D1D0BE" w14:textId="77777777" w:rsidR="00933D2E" w:rsidRPr="00063764" w:rsidRDefault="00690F3F" w:rsidP="00063764">
      <w:pPr>
        <w:pStyle w:val="Heading2"/>
        <w:mirrorIndents/>
        <w:rPr>
          <w:color w:val="000000" w:themeColor="text1"/>
        </w:rPr>
      </w:pPr>
      <w:bookmarkStart w:id="16" w:name="_Toc149342267"/>
      <w:r w:rsidRPr="00063764">
        <w:rPr>
          <w:color w:val="000000" w:themeColor="text1"/>
        </w:rPr>
        <w:t>Optimising costs and managing expenses</w:t>
      </w:r>
      <w:bookmarkEnd w:id="16"/>
    </w:p>
    <w:p w14:paraId="3341F260" w14:textId="0E2AB352"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The resort ought to start a thorough cost-optimization programme. To cut down on operating costs, this entails renegotiating contracts with suppliers, implementing energy-efficient equipment, and cutting waste</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Dimitrić et al.,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The reason for this strategy is long-term financial viability and boosting profit margins depend on cost optimisation. Funds for investments and operational upgrades will become available as operating expenses are decreased</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Chen,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As a result of this strategy, A stronger financial position and increased profitability will come from lower operational expenses.</w:t>
      </w:r>
    </w:p>
    <w:p w14:paraId="03FC0F31"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77DF74C2" w14:textId="77777777" w:rsidR="00933D2E" w:rsidRPr="00063764" w:rsidRDefault="00690F3F" w:rsidP="00063764">
      <w:pPr>
        <w:pStyle w:val="Heading2"/>
        <w:mirrorIndents/>
        <w:rPr>
          <w:color w:val="000000" w:themeColor="text1"/>
        </w:rPr>
      </w:pPr>
      <w:bookmarkStart w:id="17" w:name="_Toc149342268"/>
      <w:r w:rsidRPr="00063764">
        <w:rPr>
          <w:color w:val="000000" w:themeColor="text1"/>
        </w:rPr>
        <w:t>Monetary Leverage</w:t>
      </w:r>
      <w:bookmarkEnd w:id="17"/>
    </w:p>
    <w:p w14:paraId="528F2BE3" w14:textId="56A2DFC3"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Less debt means more resources for home improvements and renovations as well as better financial stability</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Chen,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The strategy is to reorganise its debt, such as </w:t>
      </w:r>
      <w:r w:rsidR="00423BAE" w:rsidRPr="00063764">
        <w:rPr>
          <w:rFonts w:ascii="Times New Roman" w:hAnsi="Times New Roman" w:cs="Times New Roman"/>
          <w:color w:val="000000" w:themeColor="text1"/>
          <w:sz w:val="24"/>
          <w:szCs w:val="24"/>
        </w:rPr>
        <w:t>settling it</w:t>
      </w:r>
      <w:r w:rsidRPr="00063764">
        <w:rPr>
          <w:rFonts w:ascii="Times New Roman" w:hAnsi="Times New Roman" w:cs="Times New Roman"/>
          <w:color w:val="000000" w:themeColor="text1"/>
          <w:sz w:val="24"/>
          <w:szCs w:val="24"/>
        </w:rPr>
        <w:t xml:space="preserve"> on </w:t>
      </w:r>
      <w:r w:rsidRPr="00063764">
        <w:rPr>
          <w:rFonts w:ascii="Times New Roman" w:hAnsi="Times New Roman" w:cs="Times New Roman"/>
          <w:color w:val="000000" w:themeColor="text1"/>
          <w:sz w:val="24"/>
          <w:szCs w:val="24"/>
        </w:rPr>
        <w:lastRenderedPageBreak/>
        <w:t>longer payback terms or cheaper interest rates. This procedure might offer flexibility and financial relief</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Semuel et al., 2017</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Lowering the resort's debt load will free up funds for necessary renovations and investments. Restructuring debt is essential to maintaining financial stability. </w:t>
      </w:r>
    </w:p>
    <w:p w14:paraId="59939594"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0DDE411C" w14:textId="77777777" w:rsidR="00933D2E" w:rsidRPr="00063764" w:rsidRDefault="00690F3F" w:rsidP="00063764">
      <w:pPr>
        <w:pStyle w:val="Heading2"/>
        <w:mirrorIndents/>
        <w:rPr>
          <w:color w:val="000000" w:themeColor="text1"/>
        </w:rPr>
      </w:pPr>
      <w:bookmarkStart w:id="18" w:name="_Toc149342269"/>
      <w:r w:rsidRPr="00063764">
        <w:rPr>
          <w:color w:val="000000" w:themeColor="text1"/>
        </w:rPr>
        <w:t>Modernization and Renovation</w:t>
      </w:r>
      <w:bookmarkEnd w:id="18"/>
    </w:p>
    <w:p w14:paraId="227489B1" w14:textId="0FEF6FA4"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proofErr w:type="gramStart"/>
      <w:r w:rsidRPr="00063764">
        <w:rPr>
          <w:rFonts w:ascii="Times New Roman" w:hAnsi="Times New Roman" w:cs="Times New Roman"/>
          <w:color w:val="000000" w:themeColor="text1"/>
          <w:sz w:val="24"/>
          <w:szCs w:val="24"/>
        </w:rPr>
        <w:t>In order to</w:t>
      </w:r>
      <w:proofErr w:type="gramEnd"/>
      <w:r w:rsidRPr="00063764">
        <w:rPr>
          <w:rFonts w:ascii="Times New Roman" w:hAnsi="Times New Roman" w:cs="Times New Roman"/>
          <w:color w:val="000000" w:themeColor="text1"/>
          <w:sz w:val="24"/>
          <w:szCs w:val="24"/>
        </w:rPr>
        <w:t xml:space="preserve"> enhance amenities and draw in more visitors, the resort should give priority to specific upgrades and modernization. This could entail implementing eco-friendly technologies and modernising the amenities, common areas, and guest rooms. To maintain market competitiveness and raise visitor contentment, the property must be upgraded</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Franco et al., 2020</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Premium lodging rates are justified by modern amenities. As a result of modernisation Higher customer happiness, more occupied rooms, and the capacity to charge more for rooms will all help the resort become more profitable</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Mendoza-González et al., 2018</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6BD31FD1"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1D7890EF" w14:textId="77777777" w:rsidR="00933D2E" w:rsidRPr="00063764" w:rsidRDefault="00690F3F" w:rsidP="00063764">
      <w:pPr>
        <w:pStyle w:val="Heading2"/>
        <w:mirrorIndents/>
        <w:rPr>
          <w:color w:val="000000" w:themeColor="text1"/>
        </w:rPr>
      </w:pPr>
      <w:bookmarkStart w:id="19" w:name="_Toc149342270"/>
      <w:r w:rsidRPr="00063764">
        <w:rPr>
          <w:color w:val="000000" w:themeColor="text1"/>
        </w:rPr>
        <w:t>Revamping Marketing and Branding</w:t>
      </w:r>
      <w:bookmarkEnd w:id="19"/>
    </w:p>
    <w:p w14:paraId="48D5B6C7" w14:textId="5266FDC5" w:rsidR="00933D2E" w:rsidRPr="00063764" w:rsidRDefault="00690F3F" w:rsidP="004331E0">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The resort needs to Create and put into action a strong marketing plan that highlights the resort's special offerings. To reach a larger audience, use a multi-channel strategy that emphasises the coastal location and eco-friendly efforts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Mariani and Borghi, 2020</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xml:space="preserve">. This strategy will help in highlighting the resort's benefits to prospective visitors, a robust marketing campaign is necessary. By emphasising distinctive qualities and experiences, the resort may draw in a wider range of customers. Successful </w:t>
      </w:r>
      <w:r w:rsidRPr="00063764">
        <w:rPr>
          <w:rFonts w:ascii="Times New Roman" w:hAnsi="Times New Roman" w:cs="Times New Roman"/>
          <w:color w:val="000000" w:themeColor="text1"/>
          <w:sz w:val="24"/>
          <w:szCs w:val="24"/>
        </w:rPr>
        <w:lastRenderedPageBreak/>
        <w:t>marketing will boost reservations, improve brand awareness, and provide a variety of income streams, all of which will raise the resort's bottom line</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Robin et al., 2017</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49D1CBC8" w14:textId="77777777" w:rsidR="00933D2E" w:rsidRPr="00063764" w:rsidRDefault="00690F3F" w:rsidP="00063764">
      <w:pPr>
        <w:pStyle w:val="Heading2"/>
        <w:mirrorIndents/>
        <w:rPr>
          <w:color w:val="000000" w:themeColor="text1"/>
        </w:rPr>
      </w:pPr>
      <w:bookmarkStart w:id="20" w:name="_Toc149342271"/>
      <w:r w:rsidRPr="00063764">
        <w:rPr>
          <w:color w:val="000000" w:themeColor="text1"/>
        </w:rPr>
        <w:t>Improved Client Experience</w:t>
      </w:r>
      <w:bookmarkEnd w:id="20"/>
    </w:p>
    <w:p w14:paraId="1083892E" w14:textId="04E4DD52"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Fostering a welcoming environment and providing guests with individualised experiences, taking care of maintenance and cleaning concerns in the rooms, and taking a guest-centric approach</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Porcu et al.,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Contented visitors are more likely to write positive reviews, come back, and refer others to the resort</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Nunes and Cooke, 2021</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Restoring the resort's reputation and financial success will require providing exceptional customer service. This strategy will lead to Higher occupancy rates, more positive word-of-mouth, and more returns.</w:t>
      </w:r>
    </w:p>
    <w:p w14:paraId="2132752A"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27C5A2BA" w14:textId="77777777" w:rsidR="00933D2E" w:rsidRPr="00063764" w:rsidRDefault="00690F3F" w:rsidP="00063764">
      <w:pPr>
        <w:pStyle w:val="Heading2"/>
        <w:mirrorIndents/>
        <w:rPr>
          <w:color w:val="000000" w:themeColor="text1"/>
        </w:rPr>
      </w:pPr>
      <w:bookmarkStart w:id="21" w:name="_Toc149342272"/>
      <w:r w:rsidRPr="00063764">
        <w:rPr>
          <w:color w:val="000000" w:themeColor="text1"/>
        </w:rPr>
        <w:t>Continuous development</w:t>
      </w:r>
      <w:bookmarkEnd w:id="21"/>
    </w:p>
    <w:p w14:paraId="64008492" w14:textId="660FFB46"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To remain competitive and satisfy changing client expectations, it is essential to conduct regular assessments and be flexible</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Dimitrić et al.,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 The resort needs to continue adapting to changing consumer demands and market conditions. The resort must put in place a strong monitoring system to evaluate and analyse the resort's operational effectiveness, customer satisfaction, and financial performance. Make use of comments and data to promote ongoing development across the board for the company. Higher profitability, a more positive reputation, and sustainable financial development are the outcomes of ongoing improvements</w:t>
      </w:r>
      <w:r w:rsidR="004331E0">
        <w:rPr>
          <w:rFonts w:ascii="Times New Roman" w:hAnsi="Times New Roman" w:cs="Times New Roman"/>
          <w:color w:val="000000" w:themeColor="text1"/>
          <w:sz w:val="24"/>
          <w:szCs w:val="24"/>
        </w:rPr>
        <w:t xml:space="preserve"> (</w:t>
      </w:r>
      <w:r w:rsidR="004331E0">
        <w:rPr>
          <w:rFonts w:ascii="Times New Roman" w:hAnsi="Times New Roman" w:cs="Times New Roman"/>
          <w:color w:val="000000" w:themeColor="text1"/>
          <w:sz w:val="24"/>
          <w:szCs w:val="24"/>
          <w:shd w:val="clear" w:color="auto" w:fill="FFFFFF"/>
        </w:rPr>
        <w:t>Chen, 2019</w:t>
      </w:r>
      <w:r w:rsidR="004331E0">
        <w:rPr>
          <w:rFonts w:ascii="Times New Roman" w:hAnsi="Times New Roman" w:cs="Times New Roman"/>
          <w:color w:val="000000" w:themeColor="text1"/>
          <w:sz w:val="24"/>
          <w:szCs w:val="24"/>
        </w:rPr>
        <w:t>)</w:t>
      </w:r>
      <w:r w:rsidRPr="00063764">
        <w:rPr>
          <w:rFonts w:ascii="Times New Roman" w:hAnsi="Times New Roman" w:cs="Times New Roman"/>
          <w:color w:val="000000" w:themeColor="text1"/>
          <w:sz w:val="24"/>
          <w:szCs w:val="24"/>
        </w:rPr>
        <w:t>.</w:t>
      </w:r>
    </w:p>
    <w:p w14:paraId="02EACE6D" w14:textId="77777777" w:rsidR="00933D2E" w:rsidRPr="00063764" w:rsidRDefault="00933D2E" w:rsidP="00063764">
      <w:pPr>
        <w:spacing w:after="0" w:line="480" w:lineRule="auto"/>
        <w:ind w:firstLine="720"/>
        <w:contextualSpacing/>
        <w:mirrorIndents/>
        <w:rPr>
          <w:rFonts w:ascii="Times New Roman" w:hAnsi="Times New Roman" w:cs="Times New Roman"/>
          <w:color w:val="000000" w:themeColor="text1"/>
          <w:sz w:val="24"/>
          <w:szCs w:val="24"/>
        </w:rPr>
      </w:pPr>
    </w:p>
    <w:p w14:paraId="04FDE8F8" w14:textId="77777777" w:rsidR="00933D2E" w:rsidRPr="00063764" w:rsidRDefault="00690F3F" w:rsidP="00063764">
      <w:pPr>
        <w:pStyle w:val="Heading1"/>
        <w:mirrorIndents/>
        <w:rPr>
          <w:color w:val="000000" w:themeColor="text1"/>
        </w:rPr>
      </w:pPr>
      <w:bookmarkStart w:id="22" w:name="_Toc149342273"/>
      <w:r w:rsidRPr="00063764">
        <w:rPr>
          <w:color w:val="000000" w:themeColor="text1"/>
        </w:rPr>
        <w:t>Conclusion</w:t>
      </w:r>
      <w:bookmarkEnd w:id="22"/>
    </w:p>
    <w:p w14:paraId="1BDF1C82" w14:textId="77777777" w:rsidR="00933D2E" w:rsidRPr="00063764" w:rsidRDefault="00690F3F" w:rsidP="00063764">
      <w:pPr>
        <w:spacing w:after="0" w:line="480" w:lineRule="auto"/>
        <w:ind w:firstLine="720"/>
        <w:contextualSpacing/>
        <w:mirrorIndents/>
        <w:rPr>
          <w:rFonts w:ascii="Times New Roman" w:hAnsi="Times New Roman" w:cs="Times New Roman"/>
          <w:color w:val="000000" w:themeColor="text1"/>
          <w:sz w:val="24"/>
          <w:szCs w:val="24"/>
        </w:rPr>
      </w:pPr>
      <w:r w:rsidRPr="00063764">
        <w:rPr>
          <w:rFonts w:ascii="Times New Roman" w:hAnsi="Times New Roman" w:cs="Times New Roman"/>
          <w:color w:val="000000" w:themeColor="text1"/>
          <w:sz w:val="24"/>
          <w:szCs w:val="24"/>
        </w:rPr>
        <w:t xml:space="preserve">The Seaview Resort's all-encompassing financial turnaround strategy incorporates </w:t>
      </w:r>
      <w:proofErr w:type="gramStart"/>
      <w:r w:rsidRPr="00063764">
        <w:rPr>
          <w:rFonts w:ascii="Times New Roman" w:hAnsi="Times New Roman" w:cs="Times New Roman"/>
          <w:color w:val="000000" w:themeColor="text1"/>
          <w:sz w:val="24"/>
          <w:szCs w:val="24"/>
        </w:rPr>
        <w:t>a number of</w:t>
      </w:r>
      <w:proofErr w:type="gramEnd"/>
      <w:r w:rsidRPr="00063764">
        <w:rPr>
          <w:rFonts w:ascii="Times New Roman" w:hAnsi="Times New Roman" w:cs="Times New Roman"/>
          <w:color w:val="000000" w:themeColor="text1"/>
          <w:sz w:val="24"/>
          <w:szCs w:val="24"/>
        </w:rPr>
        <w:t xml:space="preserve"> components to strengthen its financial position and reclaim its status as a top tourist </w:t>
      </w:r>
      <w:r w:rsidRPr="00063764">
        <w:rPr>
          <w:rFonts w:ascii="Times New Roman" w:hAnsi="Times New Roman" w:cs="Times New Roman"/>
          <w:color w:val="000000" w:themeColor="text1"/>
          <w:sz w:val="24"/>
          <w:szCs w:val="24"/>
        </w:rPr>
        <w:lastRenderedPageBreak/>
        <w:t>attraction. Important elements of this plan include addressing the revenue decline, optimising expenses, restructuring debt, investing in renovations, updating marketing and branding, increasing customer experience, and consistently monitoring and improving the resort's operations. This strategy will take several years to implement, and the resort's management and employees will need to dedicate a large amount of time and money to it. It all comes down to how well each component is executed, how flexible you are in responding to shifts in the market, and how much you focus on providing great guest experiences. Through the implementation of a thorough strategy, the resort can attain long-term financial success and restore its standing as a top coastal attraction.</w:t>
      </w:r>
    </w:p>
    <w:p w14:paraId="72DC3523" w14:textId="77777777" w:rsidR="00673344" w:rsidRPr="00063764" w:rsidRDefault="00673344" w:rsidP="00063764">
      <w:pPr>
        <w:spacing w:after="0" w:line="480" w:lineRule="auto"/>
        <w:ind w:firstLine="720"/>
        <w:contextualSpacing/>
        <w:mirrorIndents/>
        <w:rPr>
          <w:rFonts w:ascii="Times New Roman" w:hAnsi="Times New Roman" w:cs="Times New Roman"/>
          <w:color w:val="000000" w:themeColor="text1"/>
          <w:sz w:val="24"/>
          <w:szCs w:val="24"/>
        </w:rPr>
      </w:pPr>
    </w:p>
    <w:p w14:paraId="04EF77AE" w14:textId="77777777" w:rsidR="00673344" w:rsidRPr="00063764" w:rsidRDefault="00673344" w:rsidP="00063764">
      <w:pPr>
        <w:spacing w:after="0" w:line="480" w:lineRule="auto"/>
        <w:ind w:firstLine="720"/>
        <w:contextualSpacing/>
        <w:mirrorIndents/>
        <w:rPr>
          <w:rFonts w:ascii="Times New Roman" w:hAnsi="Times New Roman" w:cs="Times New Roman"/>
          <w:color w:val="000000" w:themeColor="text1"/>
          <w:sz w:val="24"/>
          <w:szCs w:val="24"/>
        </w:rPr>
      </w:pPr>
    </w:p>
    <w:p w14:paraId="71CEFA57" w14:textId="77777777" w:rsidR="00673344" w:rsidRPr="00063764" w:rsidRDefault="00673344" w:rsidP="00063764">
      <w:pPr>
        <w:spacing w:after="0" w:line="480" w:lineRule="auto"/>
        <w:ind w:firstLine="720"/>
        <w:contextualSpacing/>
        <w:mirrorIndents/>
        <w:rPr>
          <w:rFonts w:ascii="Times New Roman" w:hAnsi="Times New Roman" w:cs="Times New Roman"/>
          <w:color w:val="000000" w:themeColor="text1"/>
          <w:sz w:val="24"/>
          <w:szCs w:val="24"/>
        </w:rPr>
      </w:pPr>
    </w:p>
    <w:p w14:paraId="2C66DB49" w14:textId="77777777" w:rsidR="00673344" w:rsidRPr="00063764" w:rsidRDefault="00673344" w:rsidP="00063764">
      <w:pPr>
        <w:spacing w:after="0" w:line="480" w:lineRule="auto"/>
        <w:ind w:firstLine="720"/>
        <w:contextualSpacing/>
        <w:mirrorIndents/>
        <w:rPr>
          <w:rFonts w:ascii="Times New Roman" w:hAnsi="Times New Roman" w:cs="Times New Roman"/>
          <w:color w:val="000000" w:themeColor="text1"/>
          <w:sz w:val="24"/>
          <w:szCs w:val="24"/>
        </w:rPr>
      </w:pPr>
    </w:p>
    <w:p w14:paraId="00F746C8" w14:textId="77777777" w:rsidR="00673344" w:rsidRPr="00063764" w:rsidRDefault="00673344" w:rsidP="00063764">
      <w:pPr>
        <w:spacing w:after="0" w:line="480" w:lineRule="auto"/>
        <w:ind w:firstLine="720"/>
        <w:contextualSpacing/>
        <w:mirrorIndents/>
        <w:rPr>
          <w:rFonts w:ascii="Times New Roman" w:hAnsi="Times New Roman" w:cs="Times New Roman"/>
          <w:color w:val="000000" w:themeColor="text1"/>
          <w:sz w:val="24"/>
          <w:szCs w:val="24"/>
        </w:rPr>
      </w:pPr>
    </w:p>
    <w:p w14:paraId="2963102B" w14:textId="77777777" w:rsidR="00EF1CAB" w:rsidRPr="00063764" w:rsidRDefault="00EF1CAB" w:rsidP="00063764">
      <w:pPr>
        <w:spacing w:after="0" w:line="480" w:lineRule="auto"/>
        <w:ind w:firstLine="720"/>
        <w:contextualSpacing/>
        <w:mirrorIndents/>
        <w:rPr>
          <w:rFonts w:ascii="Times New Roman" w:hAnsi="Times New Roman" w:cs="Times New Roman"/>
          <w:color w:val="000000" w:themeColor="text1"/>
          <w:sz w:val="24"/>
          <w:szCs w:val="24"/>
        </w:rPr>
      </w:pPr>
    </w:p>
    <w:p w14:paraId="58700D39" w14:textId="77777777" w:rsidR="00EF1CAB" w:rsidRPr="00063764" w:rsidRDefault="00EF1CAB" w:rsidP="00063764">
      <w:pPr>
        <w:spacing w:after="0" w:line="480" w:lineRule="auto"/>
        <w:ind w:firstLine="720"/>
        <w:contextualSpacing/>
        <w:mirrorIndents/>
        <w:rPr>
          <w:rFonts w:ascii="Times New Roman" w:hAnsi="Times New Roman" w:cs="Times New Roman"/>
          <w:color w:val="000000" w:themeColor="text1"/>
          <w:sz w:val="24"/>
          <w:szCs w:val="24"/>
        </w:rPr>
      </w:pPr>
    </w:p>
    <w:p w14:paraId="5DB8339C" w14:textId="77777777" w:rsidR="004A2762" w:rsidRPr="00063764" w:rsidRDefault="00690F3F" w:rsidP="00063764">
      <w:pPr>
        <w:spacing w:after="0" w:line="480" w:lineRule="auto"/>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br w:type="page"/>
      </w:r>
    </w:p>
    <w:p w14:paraId="11C2B0D3" w14:textId="4BB2A8BF" w:rsidR="009460D9" w:rsidRPr="00063764" w:rsidRDefault="00690F3F" w:rsidP="00063764">
      <w:pPr>
        <w:pStyle w:val="Heading1"/>
        <w:mirrorIndents/>
        <w:jc w:val="center"/>
        <w:rPr>
          <w:i w:val="0"/>
          <w:color w:val="000000" w:themeColor="text1"/>
          <w:shd w:val="clear" w:color="auto" w:fill="FFFFFF"/>
        </w:rPr>
      </w:pPr>
      <w:bookmarkStart w:id="23" w:name="_Toc149342274"/>
      <w:r w:rsidRPr="00063764">
        <w:rPr>
          <w:i w:val="0"/>
          <w:color w:val="000000" w:themeColor="text1"/>
          <w:shd w:val="clear" w:color="auto" w:fill="FFFFFF"/>
        </w:rPr>
        <w:lastRenderedPageBreak/>
        <w:t>References</w:t>
      </w:r>
      <w:bookmarkEnd w:id="23"/>
    </w:p>
    <w:p w14:paraId="4B7E1F7E"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Alananzeh, O.A., Ra'ed, M.D., JAWABREH, O., Al MAHMOUD, A. and HAMADA, R., 2018. The impact of customer relationship management on tourist satisfaction: The case of Radisson Blue Resort in Aqaba city. </w:t>
      </w:r>
      <w:r w:rsidRPr="00063764">
        <w:rPr>
          <w:rFonts w:ascii="Times New Roman" w:hAnsi="Times New Roman" w:cs="Times New Roman"/>
          <w:i/>
          <w:iCs/>
          <w:color w:val="000000" w:themeColor="text1"/>
          <w:sz w:val="24"/>
          <w:szCs w:val="24"/>
          <w:shd w:val="clear" w:color="auto" w:fill="FFFFFF"/>
        </w:rPr>
        <w:t>Journal of Environmental Management and Tourism</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9</w:t>
      </w:r>
      <w:r w:rsidRPr="00063764">
        <w:rPr>
          <w:rFonts w:ascii="Times New Roman" w:hAnsi="Times New Roman" w:cs="Times New Roman"/>
          <w:color w:val="000000" w:themeColor="text1"/>
          <w:sz w:val="24"/>
          <w:szCs w:val="24"/>
          <w:shd w:val="clear" w:color="auto" w:fill="FFFFFF"/>
        </w:rPr>
        <w:t>(2), pp.227-240.</w:t>
      </w:r>
    </w:p>
    <w:p w14:paraId="408AF000"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Chen, L.F., 2019. Hotel chain affiliation as an environmental performance strategy for luxury hotels. </w:t>
      </w:r>
      <w:r w:rsidRPr="00063764">
        <w:rPr>
          <w:rFonts w:ascii="Times New Roman" w:hAnsi="Times New Roman" w:cs="Times New Roman"/>
          <w:i/>
          <w:iCs/>
          <w:color w:val="000000" w:themeColor="text1"/>
          <w:sz w:val="24"/>
          <w:szCs w:val="24"/>
          <w:shd w:val="clear" w:color="auto" w:fill="FFFFFF"/>
        </w:rPr>
        <w:t>International Journal of Hospitality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77</w:t>
      </w:r>
      <w:r w:rsidRPr="00063764">
        <w:rPr>
          <w:rFonts w:ascii="Times New Roman" w:hAnsi="Times New Roman" w:cs="Times New Roman"/>
          <w:color w:val="000000" w:themeColor="text1"/>
          <w:sz w:val="24"/>
          <w:szCs w:val="24"/>
          <w:shd w:val="clear" w:color="auto" w:fill="FFFFFF"/>
        </w:rPr>
        <w:t>, pp.1-6.</w:t>
      </w:r>
    </w:p>
    <w:p w14:paraId="2D2617ED"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Davras, Ö. and Caber, M., 2019. Analysis of hotel services by their symmetric and asymmetric effects on overall customer satisfaction: A comparison of market segments. </w:t>
      </w:r>
      <w:r w:rsidRPr="00063764">
        <w:rPr>
          <w:rFonts w:ascii="Times New Roman" w:hAnsi="Times New Roman" w:cs="Times New Roman"/>
          <w:i/>
          <w:iCs/>
          <w:color w:val="000000" w:themeColor="text1"/>
          <w:sz w:val="24"/>
          <w:szCs w:val="24"/>
          <w:shd w:val="clear" w:color="auto" w:fill="FFFFFF"/>
        </w:rPr>
        <w:t>International Journal of Hospitality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81</w:t>
      </w:r>
      <w:r w:rsidRPr="00063764">
        <w:rPr>
          <w:rFonts w:ascii="Times New Roman" w:hAnsi="Times New Roman" w:cs="Times New Roman"/>
          <w:color w:val="000000" w:themeColor="text1"/>
          <w:sz w:val="24"/>
          <w:szCs w:val="24"/>
          <w:shd w:val="clear" w:color="auto" w:fill="FFFFFF"/>
        </w:rPr>
        <w:t>, pp.83-93.</w:t>
      </w:r>
    </w:p>
    <w:p w14:paraId="2970B677"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Dimitrić, M., Tomas Žiković, I. and Arbula Blecich, A., 2019. Profitability determinants of hotel companies in selected Mediterranean countries. </w:t>
      </w:r>
      <w:r w:rsidRPr="00063764">
        <w:rPr>
          <w:rFonts w:ascii="Times New Roman" w:hAnsi="Times New Roman" w:cs="Times New Roman"/>
          <w:i/>
          <w:iCs/>
          <w:color w:val="000000" w:themeColor="text1"/>
          <w:sz w:val="24"/>
          <w:szCs w:val="24"/>
          <w:shd w:val="clear" w:color="auto" w:fill="FFFFFF"/>
        </w:rPr>
        <w:t>Economic research-Ekonomska istraživanja</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32</w:t>
      </w:r>
      <w:r w:rsidRPr="00063764">
        <w:rPr>
          <w:rFonts w:ascii="Times New Roman" w:hAnsi="Times New Roman" w:cs="Times New Roman"/>
          <w:color w:val="000000" w:themeColor="text1"/>
          <w:sz w:val="24"/>
          <w:szCs w:val="24"/>
          <w:shd w:val="clear" w:color="auto" w:fill="FFFFFF"/>
        </w:rPr>
        <w:t>(1), pp.1977-1993.</w:t>
      </w:r>
    </w:p>
    <w:p w14:paraId="6414C520"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Falk, M. and Steiger, R., 2018. An exploration of the debt ratio of ski lift operators. </w:t>
      </w:r>
      <w:r w:rsidRPr="00063764">
        <w:rPr>
          <w:rFonts w:ascii="Times New Roman" w:hAnsi="Times New Roman" w:cs="Times New Roman"/>
          <w:i/>
          <w:iCs/>
          <w:color w:val="000000" w:themeColor="text1"/>
          <w:sz w:val="24"/>
          <w:szCs w:val="24"/>
          <w:shd w:val="clear" w:color="auto" w:fill="FFFFFF"/>
        </w:rPr>
        <w:t>Sustainability</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10</w:t>
      </w:r>
      <w:r w:rsidRPr="00063764">
        <w:rPr>
          <w:rFonts w:ascii="Times New Roman" w:hAnsi="Times New Roman" w:cs="Times New Roman"/>
          <w:color w:val="000000" w:themeColor="text1"/>
          <w:sz w:val="24"/>
          <w:szCs w:val="24"/>
          <w:shd w:val="clear" w:color="auto" w:fill="FFFFFF"/>
        </w:rPr>
        <w:t>(9), p.2985.</w:t>
      </w:r>
    </w:p>
    <w:p w14:paraId="0BDB4AEC"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Franco, S., Caroli, M.G., Cappa, F. and Del Chiappa, G., 2020. Are you good enough? CSR, quality management and corporate financial performance in the hospitality industry. </w:t>
      </w:r>
      <w:r w:rsidRPr="00063764">
        <w:rPr>
          <w:rFonts w:ascii="Times New Roman" w:hAnsi="Times New Roman" w:cs="Times New Roman"/>
          <w:i/>
          <w:iCs/>
          <w:color w:val="000000" w:themeColor="text1"/>
          <w:sz w:val="24"/>
          <w:szCs w:val="24"/>
          <w:shd w:val="clear" w:color="auto" w:fill="FFFFFF"/>
        </w:rPr>
        <w:t>International Journal of Hospitality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88</w:t>
      </w:r>
      <w:r w:rsidRPr="00063764">
        <w:rPr>
          <w:rFonts w:ascii="Times New Roman" w:hAnsi="Times New Roman" w:cs="Times New Roman"/>
          <w:color w:val="000000" w:themeColor="text1"/>
          <w:sz w:val="24"/>
          <w:szCs w:val="24"/>
          <w:shd w:val="clear" w:color="auto" w:fill="FFFFFF"/>
        </w:rPr>
        <w:t>, p.102395.</w:t>
      </w:r>
    </w:p>
    <w:p w14:paraId="76D60198"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Galeazzo, A., Ortiz-de-Mandojana, N. and Delgado-Ceballos, J., 2021. Green procurement and financial performance in the tourism industry: the moderating role of tourists’ green purchasing behaviour. </w:t>
      </w:r>
      <w:r w:rsidRPr="00063764">
        <w:rPr>
          <w:rFonts w:ascii="Times New Roman" w:hAnsi="Times New Roman" w:cs="Times New Roman"/>
          <w:i/>
          <w:iCs/>
          <w:color w:val="000000" w:themeColor="text1"/>
          <w:sz w:val="24"/>
          <w:szCs w:val="24"/>
          <w:shd w:val="clear" w:color="auto" w:fill="FFFFFF"/>
        </w:rPr>
        <w:t>Current Issues in Tourism</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24</w:t>
      </w:r>
      <w:r w:rsidRPr="00063764">
        <w:rPr>
          <w:rFonts w:ascii="Times New Roman" w:hAnsi="Times New Roman" w:cs="Times New Roman"/>
          <w:color w:val="000000" w:themeColor="text1"/>
          <w:sz w:val="24"/>
          <w:szCs w:val="24"/>
          <w:shd w:val="clear" w:color="auto" w:fill="FFFFFF"/>
        </w:rPr>
        <w:t>(5), pp.700-716.</w:t>
      </w:r>
    </w:p>
    <w:p w14:paraId="0B081776"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Geetha, M., Singha, P. and Sinha, S., 2017. Relationship between customer sentiment and online customer ratings for hotels-An empirical analysis. </w:t>
      </w:r>
      <w:r w:rsidRPr="00063764">
        <w:rPr>
          <w:rFonts w:ascii="Times New Roman" w:hAnsi="Times New Roman" w:cs="Times New Roman"/>
          <w:i/>
          <w:iCs/>
          <w:color w:val="000000" w:themeColor="text1"/>
          <w:sz w:val="24"/>
          <w:szCs w:val="24"/>
          <w:shd w:val="clear" w:color="auto" w:fill="FFFFFF"/>
        </w:rPr>
        <w:t>Tourism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61</w:t>
      </w:r>
      <w:r w:rsidRPr="00063764">
        <w:rPr>
          <w:rFonts w:ascii="Times New Roman" w:hAnsi="Times New Roman" w:cs="Times New Roman"/>
          <w:color w:val="000000" w:themeColor="text1"/>
          <w:sz w:val="24"/>
          <w:szCs w:val="24"/>
          <w:shd w:val="clear" w:color="auto" w:fill="FFFFFF"/>
        </w:rPr>
        <w:t>, pp.43-54.</w:t>
      </w:r>
    </w:p>
    <w:p w14:paraId="5078CB6E"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lastRenderedPageBreak/>
        <w:t>Mariani, M.M. and Borghi, M., 2020. Online review helpfulness and firms’ financial performance: an empirical study in a service industry. </w:t>
      </w:r>
      <w:r w:rsidRPr="00063764">
        <w:rPr>
          <w:rFonts w:ascii="Times New Roman" w:hAnsi="Times New Roman" w:cs="Times New Roman"/>
          <w:i/>
          <w:iCs/>
          <w:color w:val="000000" w:themeColor="text1"/>
          <w:sz w:val="24"/>
          <w:szCs w:val="24"/>
          <w:shd w:val="clear" w:color="auto" w:fill="FFFFFF"/>
        </w:rPr>
        <w:t>International Journal of Electronic Commerce</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24</w:t>
      </w:r>
      <w:r w:rsidRPr="00063764">
        <w:rPr>
          <w:rFonts w:ascii="Times New Roman" w:hAnsi="Times New Roman" w:cs="Times New Roman"/>
          <w:color w:val="000000" w:themeColor="text1"/>
          <w:sz w:val="24"/>
          <w:szCs w:val="24"/>
          <w:shd w:val="clear" w:color="auto" w:fill="FFFFFF"/>
        </w:rPr>
        <w:t>(4), pp.421-449.</w:t>
      </w:r>
    </w:p>
    <w:p w14:paraId="45211254"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Mendoza-González, G., Martínez, M.L., Guevara, R., Pérez-Maqueo, O., Garza-Lagler, M.C. and Howard, A., 2018. Towards a sustainable sun, sea, and sand tourism: The value of ocean view and proximity to the coast. </w:t>
      </w:r>
      <w:r w:rsidRPr="00063764">
        <w:rPr>
          <w:rFonts w:ascii="Times New Roman" w:hAnsi="Times New Roman" w:cs="Times New Roman"/>
          <w:i/>
          <w:iCs/>
          <w:color w:val="000000" w:themeColor="text1"/>
          <w:sz w:val="24"/>
          <w:szCs w:val="24"/>
          <w:shd w:val="clear" w:color="auto" w:fill="FFFFFF"/>
        </w:rPr>
        <w:t>Sustainability</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10</w:t>
      </w:r>
      <w:r w:rsidRPr="00063764">
        <w:rPr>
          <w:rFonts w:ascii="Times New Roman" w:hAnsi="Times New Roman" w:cs="Times New Roman"/>
          <w:color w:val="000000" w:themeColor="text1"/>
          <w:sz w:val="24"/>
          <w:szCs w:val="24"/>
          <w:shd w:val="clear" w:color="auto" w:fill="FFFFFF"/>
        </w:rPr>
        <w:t>(4), p.1012.</w:t>
      </w:r>
    </w:p>
    <w:p w14:paraId="20C8F26A"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 xml:space="preserve">Mutendera, D.K. and Simba, F., 2019. Effect of strategic management on organizational performance of beach hotels along coastline </w:t>
      </w:r>
      <w:proofErr w:type="gramStart"/>
      <w:r w:rsidRPr="00063764">
        <w:rPr>
          <w:rFonts w:ascii="Times New Roman" w:hAnsi="Times New Roman" w:cs="Times New Roman"/>
          <w:color w:val="000000" w:themeColor="text1"/>
          <w:sz w:val="24"/>
          <w:szCs w:val="24"/>
          <w:shd w:val="clear" w:color="auto" w:fill="FFFFFF"/>
        </w:rPr>
        <w:t>oF</w:t>
      </w:r>
      <w:proofErr w:type="gramEnd"/>
      <w:r w:rsidRPr="00063764">
        <w:rPr>
          <w:rFonts w:ascii="Times New Roman" w:hAnsi="Times New Roman" w:cs="Times New Roman"/>
          <w:color w:val="000000" w:themeColor="text1"/>
          <w:sz w:val="24"/>
          <w:szCs w:val="24"/>
          <w:shd w:val="clear" w:color="auto" w:fill="FFFFFF"/>
        </w:rPr>
        <w:t xml:space="preserve"> Mombasa. </w:t>
      </w:r>
      <w:r w:rsidRPr="00063764">
        <w:rPr>
          <w:rFonts w:ascii="Times New Roman" w:hAnsi="Times New Roman" w:cs="Times New Roman"/>
          <w:i/>
          <w:iCs/>
          <w:color w:val="000000" w:themeColor="text1"/>
          <w:sz w:val="24"/>
          <w:szCs w:val="24"/>
          <w:shd w:val="clear" w:color="auto" w:fill="FFFFFF"/>
        </w:rPr>
        <w:t>The Strategic Journal of Business &amp; Change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6</w:t>
      </w:r>
      <w:r w:rsidRPr="00063764">
        <w:rPr>
          <w:rFonts w:ascii="Times New Roman" w:hAnsi="Times New Roman" w:cs="Times New Roman"/>
          <w:color w:val="000000" w:themeColor="text1"/>
          <w:sz w:val="24"/>
          <w:szCs w:val="24"/>
          <w:shd w:val="clear" w:color="auto" w:fill="FFFFFF"/>
        </w:rPr>
        <w:t>(2), pp.717-734.</w:t>
      </w:r>
    </w:p>
    <w:p w14:paraId="58089470"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Nunes, S. and Cooke, P., 2021. New global tourism innovation in a post-coronavirus era. </w:t>
      </w:r>
      <w:r w:rsidRPr="00063764">
        <w:rPr>
          <w:rFonts w:ascii="Times New Roman" w:hAnsi="Times New Roman" w:cs="Times New Roman"/>
          <w:i/>
          <w:iCs/>
          <w:color w:val="000000" w:themeColor="text1"/>
          <w:sz w:val="24"/>
          <w:szCs w:val="24"/>
          <w:shd w:val="clear" w:color="auto" w:fill="FFFFFF"/>
        </w:rPr>
        <w:t>European Planning Studies</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29</w:t>
      </w:r>
      <w:r w:rsidRPr="00063764">
        <w:rPr>
          <w:rFonts w:ascii="Times New Roman" w:hAnsi="Times New Roman" w:cs="Times New Roman"/>
          <w:color w:val="000000" w:themeColor="text1"/>
          <w:sz w:val="24"/>
          <w:szCs w:val="24"/>
          <w:shd w:val="clear" w:color="auto" w:fill="FFFFFF"/>
        </w:rPr>
        <w:t>(1), pp.1-19.</w:t>
      </w:r>
    </w:p>
    <w:p w14:paraId="5C3374E9"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Pappas, N., 2018. Hotel decision-making during multiple crises: A chaordic perspective. </w:t>
      </w:r>
      <w:r w:rsidRPr="00063764">
        <w:rPr>
          <w:rFonts w:ascii="Times New Roman" w:hAnsi="Times New Roman" w:cs="Times New Roman"/>
          <w:i/>
          <w:iCs/>
          <w:color w:val="000000" w:themeColor="text1"/>
          <w:sz w:val="24"/>
          <w:szCs w:val="24"/>
          <w:shd w:val="clear" w:color="auto" w:fill="FFFFFF"/>
        </w:rPr>
        <w:t>Tourism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68</w:t>
      </w:r>
      <w:r w:rsidRPr="00063764">
        <w:rPr>
          <w:rFonts w:ascii="Times New Roman" w:hAnsi="Times New Roman" w:cs="Times New Roman"/>
          <w:color w:val="000000" w:themeColor="text1"/>
          <w:sz w:val="24"/>
          <w:szCs w:val="24"/>
          <w:shd w:val="clear" w:color="auto" w:fill="FFFFFF"/>
        </w:rPr>
        <w:t>, pp.450-464.</w:t>
      </w:r>
    </w:p>
    <w:p w14:paraId="3D1901E2"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Pascual-Fernández, P., Santos-Vijande, M.L., López-Sánchez, J.Á. and Molina, A., 2021. Key drivers of innovation capability in hotels: implications on performance. </w:t>
      </w:r>
      <w:r w:rsidRPr="00063764">
        <w:rPr>
          <w:rFonts w:ascii="Times New Roman" w:hAnsi="Times New Roman" w:cs="Times New Roman"/>
          <w:i/>
          <w:iCs/>
          <w:color w:val="000000" w:themeColor="text1"/>
          <w:sz w:val="24"/>
          <w:szCs w:val="24"/>
          <w:shd w:val="clear" w:color="auto" w:fill="FFFFFF"/>
        </w:rPr>
        <w:t>International Journal of Hospitality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94</w:t>
      </w:r>
      <w:r w:rsidRPr="00063764">
        <w:rPr>
          <w:rFonts w:ascii="Times New Roman" w:hAnsi="Times New Roman" w:cs="Times New Roman"/>
          <w:color w:val="000000" w:themeColor="text1"/>
          <w:sz w:val="24"/>
          <w:szCs w:val="24"/>
          <w:shd w:val="clear" w:color="auto" w:fill="FFFFFF"/>
        </w:rPr>
        <w:t>, p.102825.</w:t>
      </w:r>
    </w:p>
    <w:p w14:paraId="036A22E2"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Porcu, L., del Barrio-García, S., Alcántara-Pilar, J.M. and Crespo-Almendros, E., 2019. Analyzing the influence of firm-wide integrated marketing communication on market performance in the hospitality industry. </w:t>
      </w:r>
      <w:r w:rsidRPr="00063764">
        <w:rPr>
          <w:rFonts w:ascii="Times New Roman" w:hAnsi="Times New Roman" w:cs="Times New Roman"/>
          <w:i/>
          <w:iCs/>
          <w:color w:val="000000" w:themeColor="text1"/>
          <w:sz w:val="24"/>
          <w:szCs w:val="24"/>
          <w:shd w:val="clear" w:color="auto" w:fill="FFFFFF"/>
        </w:rPr>
        <w:t>International Journal of Hospitality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80</w:t>
      </w:r>
      <w:r w:rsidRPr="00063764">
        <w:rPr>
          <w:rFonts w:ascii="Times New Roman" w:hAnsi="Times New Roman" w:cs="Times New Roman"/>
          <w:color w:val="000000" w:themeColor="text1"/>
          <w:sz w:val="24"/>
          <w:szCs w:val="24"/>
          <w:shd w:val="clear" w:color="auto" w:fill="FFFFFF"/>
        </w:rPr>
        <w:t>, pp.13-24.</w:t>
      </w:r>
    </w:p>
    <w:p w14:paraId="19C8DB2C"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Reid, S., Johnston, N. and Patiar, A., 2017. Coastal resorts setting the pace: An evaluation of sustainable hotel practices. </w:t>
      </w:r>
      <w:r w:rsidRPr="00063764">
        <w:rPr>
          <w:rFonts w:ascii="Times New Roman" w:hAnsi="Times New Roman" w:cs="Times New Roman"/>
          <w:i/>
          <w:iCs/>
          <w:color w:val="000000" w:themeColor="text1"/>
          <w:sz w:val="24"/>
          <w:szCs w:val="24"/>
          <w:shd w:val="clear" w:color="auto" w:fill="FFFFFF"/>
        </w:rPr>
        <w:t>Journal of hospitality and tourism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33</w:t>
      </w:r>
      <w:r w:rsidRPr="00063764">
        <w:rPr>
          <w:rFonts w:ascii="Times New Roman" w:hAnsi="Times New Roman" w:cs="Times New Roman"/>
          <w:color w:val="000000" w:themeColor="text1"/>
          <w:sz w:val="24"/>
          <w:szCs w:val="24"/>
          <w:shd w:val="clear" w:color="auto" w:fill="FFFFFF"/>
        </w:rPr>
        <w:t>, pp.11-22.</w:t>
      </w:r>
    </w:p>
    <w:p w14:paraId="498CDAC2"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lastRenderedPageBreak/>
        <w:t>Robin, C.F., Pedroche, M.S.C. and Astorga, P.S., 2017. Revisiting green practices in the hotel industry: A comparison between mature and emerging destinations. </w:t>
      </w:r>
      <w:r w:rsidRPr="00063764">
        <w:rPr>
          <w:rFonts w:ascii="Times New Roman" w:hAnsi="Times New Roman" w:cs="Times New Roman"/>
          <w:i/>
          <w:iCs/>
          <w:color w:val="000000" w:themeColor="text1"/>
          <w:sz w:val="24"/>
          <w:szCs w:val="24"/>
          <w:shd w:val="clear" w:color="auto" w:fill="FFFFFF"/>
        </w:rPr>
        <w:t>Journal of cleaner production</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140</w:t>
      </w:r>
      <w:r w:rsidRPr="00063764">
        <w:rPr>
          <w:rFonts w:ascii="Times New Roman" w:hAnsi="Times New Roman" w:cs="Times New Roman"/>
          <w:color w:val="000000" w:themeColor="text1"/>
          <w:sz w:val="24"/>
          <w:szCs w:val="24"/>
          <w:shd w:val="clear" w:color="auto" w:fill="FFFFFF"/>
        </w:rPr>
        <w:t>, pp.1415-1428.</w:t>
      </w:r>
    </w:p>
    <w:p w14:paraId="3BB13206"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Rosario, S. and Chavali, K., 2019. Capital structure and its impact on profitability-A Study of Indian Hotel Industry. </w:t>
      </w:r>
      <w:r w:rsidRPr="00063764">
        <w:rPr>
          <w:rFonts w:ascii="Times New Roman" w:hAnsi="Times New Roman" w:cs="Times New Roman"/>
          <w:i/>
          <w:iCs/>
          <w:color w:val="000000" w:themeColor="text1"/>
          <w:sz w:val="24"/>
          <w:szCs w:val="24"/>
          <w:shd w:val="clear" w:color="auto" w:fill="FFFFFF"/>
        </w:rPr>
        <w:t>International Journal of Business and Administration Research Review</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6</w:t>
      </w:r>
      <w:r w:rsidRPr="00063764">
        <w:rPr>
          <w:rFonts w:ascii="Times New Roman" w:hAnsi="Times New Roman" w:cs="Times New Roman"/>
          <w:color w:val="000000" w:themeColor="text1"/>
          <w:sz w:val="24"/>
          <w:szCs w:val="24"/>
          <w:shd w:val="clear" w:color="auto" w:fill="FFFFFF"/>
        </w:rPr>
        <w:t>(1), pp.67-72.</w:t>
      </w:r>
    </w:p>
    <w:p w14:paraId="17D8D916"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Sardo, F., Serrasqueiro, Z. and Alves, H., 2018. On the relationship between intellectual capital and financial performance: A panel data analysis on SME hotels. </w:t>
      </w:r>
      <w:r w:rsidRPr="00063764">
        <w:rPr>
          <w:rFonts w:ascii="Times New Roman" w:hAnsi="Times New Roman" w:cs="Times New Roman"/>
          <w:i/>
          <w:iCs/>
          <w:color w:val="000000" w:themeColor="text1"/>
          <w:sz w:val="24"/>
          <w:szCs w:val="24"/>
          <w:shd w:val="clear" w:color="auto" w:fill="FFFFFF"/>
        </w:rPr>
        <w:t>International Journal of Hospitality Management</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75</w:t>
      </w:r>
      <w:r w:rsidRPr="00063764">
        <w:rPr>
          <w:rFonts w:ascii="Times New Roman" w:hAnsi="Times New Roman" w:cs="Times New Roman"/>
          <w:color w:val="000000" w:themeColor="text1"/>
          <w:sz w:val="24"/>
          <w:szCs w:val="24"/>
          <w:shd w:val="clear" w:color="auto" w:fill="FFFFFF"/>
        </w:rPr>
        <w:t>, pp.67-74.</w:t>
      </w:r>
    </w:p>
    <w:p w14:paraId="750CF0B7" w14:textId="77777777" w:rsidR="00063764" w:rsidRPr="00063764" w:rsidRDefault="00690F3F" w:rsidP="00063764">
      <w:pPr>
        <w:spacing w:after="0" w:line="480" w:lineRule="auto"/>
        <w:ind w:left="720" w:hanging="720"/>
        <w:contextualSpacing/>
        <w:mirrorIndents/>
        <w:rPr>
          <w:rFonts w:ascii="Times New Roman" w:hAnsi="Times New Roman" w:cs="Times New Roman"/>
          <w:color w:val="000000" w:themeColor="text1"/>
          <w:sz w:val="24"/>
          <w:szCs w:val="24"/>
          <w:shd w:val="clear" w:color="auto" w:fill="FFFFFF"/>
        </w:rPr>
      </w:pPr>
      <w:r w:rsidRPr="00063764">
        <w:rPr>
          <w:rFonts w:ascii="Times New Roman" w:hAnsi="Times New Roman" w:cs="Times New Roman"/>
          <w:color w:val="000000" w:themeColor="text1"/>
          <w:sz w:val="24"/>
          <w:szCs w:val="24"/>
          <w:shd w:val="clear" w:color="auto" w:fill="FFFFFF"/>
        </w:rPr>
        <w:t>Semuel, H., Siagian, H. and Octavia, S., 2017. The effect of leadership and innovation on differentiation strategy and company performance. </w:t>
      </w:r>
      <w:r w:rsidRPr="00063764">
        <w:rPr>
          <w:rFonts w:ascii="Times New Roman" w:hAnsi="Times New Roman" w:cs="Times New Roman"/>
          <w:i/>
          <w:iCs/>
          <w:color w:val="000000" w:themeColor="text1"/>
          <w:sz w:val="24"/>
          <w:szCs w:val="24"/>
          <w:shd w:val="clear" w:color="auto" w:fill="FFFFFF"/>
        </w:rPr>
        <w:t>Procedia-Social and Behavioral Sciences</w:t>
      </w:r>
      <w:r w:rsidRPr="00063764">
        <w:rPr>
          <w:rFonts w:ascii="Times New Roman" w:hAnsi="Times New Roman" w:cs="Times New Roman"/>
          <w:color w:val="000000" w:themeColor="text1"/>
          <w:sz w:val="24"/>
          <w:szCs w:val="24"/>
          <w:shd w:val="clear" w:color="auto" w:fill="FFFFFF"/>
        </w:rPr>
        <w:t>, </w:t>
      </w:r>
      <w:r w:rsidRPr="00063764">
        <w:rPr>
          <w:rFonts w:ascii="Times New Roman" w:hAnsi="Times New Roman" w:cs="Times New Roman"/>
          <w:i/>
          <w:iCs/>
          <w:color w:val="000000" w:themeColor="text1"/>
          <w:sz w:val="24"/>
          <w:szCs w:val="24"/>
          <w:shd w:val="clear" w:color="auto" w:fill="FFFFFF"/>
        </w:rPr>
        <w:t>237</w:t>
      </w:r>
      <w:r w:rsidRPr="00063764">
        <w:rPr>
          <w:rFonts w:ascii="Times New Roman" w:hAnsi="Times New Roman" w:cs="Times New Roman"/>
          <w:color w:val="000000" w:themeColor="text1"/>
          <w:sz w:val="24"/>
          <w:szCs w:val="24"/>
          <w:shd w:val="clear" w:color="auto" w:fill="FFFFFF"/>
        </w:rPr>
        <w:t>, pp.1152-1159.</w:t>
      </w:r>
    </w:p>
    <w:p w14:paraId="1C42BBE0" w14:textId="77777777" w:rsidR="00933D2E" w:rsidRPr="00063764" w:rsidRDefault="00933D2E" w:rsidP="00063764">
      <w:pPr>
        <w:spacing w:after="0" w:line="480" w:lineRule="auto"/>
        <w:contextualSpacing/>
        <w:mirrorIndents/>
        <w:rPr>
          <w:rFonts w:ascii="Times New Roman" w:hAnsi="Times New Roman" w:cs="Times New Roman"/>
          <w:color w:val="000000" w:themeColor="text1"/>
          <w:sz w:val="24"/>
          <w:szCs w:val="24"/>
        </w:rPr>
      </w:pPr>
    </w:p>
    <w:sectPr w:rsidR="00933D2E" w:rsidRPr="0006376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B60B4" w14:textId="77777777" w:rsidR="00421D9B" w:rsidRDefault="00421D9B">
      <w:pPr>
        <w:spacing w:after="0" w:line="240" w:lineRule="auto"/>
      </w:pPr>
      <w:r>
        <w:separator/>
      </w:r>
    </w:p>
  </w:endnote>
  <w:endnote w:type="continuationSeparator" w:id="0">
    <w:p w14:paraId="31FE791A" w14:textId="77777777" w:rsidR="00421D9B" w:rsidRDefault="0042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CE843" w14:textId="77777777" w:rsidR="00421D9B" w:rsidRDefault="00421D9B">
      <w:pPr>
        <w:spacing w:after="0" w:line="240" w:lineRule="auto"/>
      </w:pPr>
      <w:r>
        <w:separator/>
      </w:r>
    </w:p>
  </w:footnote>
  <w:footnote w:type="continuationSeparator" w:id="0">
    <w:p w14:paraId="6E9A0A61" w14:textId="77777777" w:rsidR="00421D9B" w:rsidRDefault="0042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849352"/>
      <w:docPartObj>
        <w:docPartGallery w:val="Page Numbers (Top of Page)"/>
        <w:docPartUnique/>
      </w:docPartObj>
    </w:sdtPr>
    <w:sdtEndPr>
      <w:rPr>
        <w:noProof/>
      </w:rPr>
    </w:sdtEndPr>
    <w:sdtContent>
      <w:p w14:paraId="4EB5C849" w14:textId="77777777" w:rsidR="00EF1CAB" w:rsidRDefault="00690F3F">
        <w:pPr>
          <w:pStyle w:val="Header"/>
          <w:jc w:val="right"/>
        </w:pPr>
        <w:r>
          <w:fldChar w:fldCharType="begin"/>
        </w:r>
        <w:r>
          <w:instrText xml:space="preserve"> PAGE   \* MERGEFORMAT </w:instrText>
        </w:r>
        <w:r>
          <w:fldChar w:fldCharType="separate"/>
        </w:r>
        <w:r w:rsidR="00065517">
          <w:rPr>
            <w:noProof/>
          </w:rPr>
          <w:t>3</w:t>
        </w:r>
        <w:r>
          <w:rPr>
            <w:noProof/>
          </w:rPr>
          <w:fldChar w:fldCharType="end"/>
        </w:r>
      </w:p>
    </w:sdtContent>
  </w:sdt>
  <w:p w14:paraId="2ED177C1" w14:textId="77777777" w:rsidR="00EF1CAB" w:rsidRDefault="00EF1C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59E5"/>
    <w:multiLevelType w:val="hybridMultilevel"/>
    <w:tmpl w:val="C57CD1AE"/>
    <w:lvl w:ilvl="0" w:tplc="8132DDDE">
      <w:start w:val="1"/>
      <w:numFmt w:val="bullet"/>
      <w:lvlText w:val=""/>
      <w:lvlJc w:val="left"/>
      <w:pPr>
        <w:ind w:left="720" w:hanging="360"/>
      </w:pPr>
      <w:rPr>
        <w:rFonts w:ascii="Symbol" w:hAnsi="Symbol" w:hint="default"/>
      </w:rPr>
    </w:lvl>
    <w:lvl w:ilvl="1" w:tplc="23C6EB02" w:tentative="1">
      <w:start w:val="1"/>
      <w:numFmt w:val="bullet"/>
      <w:lvlText w:val="o"/>
      <w:lvlJc w:val="left"/>
      <w:pPr>
        <w:ind w:left="1440" w:hanging="360"/>
      </w:pPr>
      <w:rPr>
        <w:rFonts w:ascii="Courier New" w:hAnsi="Courier New" w:cs="Courier New" w:hint="default"/>
      </w:rPr>
    </w:lvl>
    <w:lvl w:ilvl="2" w:tplc="3CCCF014" w:tentative="1">
      <w:start w:val="1"/>
      <w:numFmt w:val="bullet"/>
      <w:lvlText w:val=""/>
      <w:lvlJc w:val="left"/>
      <w:pPr>
        <w:ind w:left="2160" w:hanging="360"/>
      </w:pPr>
      <w:rPr>
        <w:rFonts w:ascii="Wingdings" w:hAnsi="Wingdings" w:hint="default"/>
      </w:rPr>
    </w:lvl>
    <w:lvl w:ilvl="3" w:tplc="C010D62A" w:tentative="1">
      <w:start w:val="1"/>
      <w:numFmt w:val="bullet"/>
      <w:lvlText w:val=""/>
      <w:lvlJc w:val="left"/>
      <w:pPr>
        <w:ind w:left="2880" w:hanging="360"/>
      </w:pPr>
      <w:rPr>
        <w:rFonts w:ascii="Symbol" w:hAnsi="Symbol" w:hint="default"/>
      </w:rPr>
    </w:lvl>
    <w:lvl w:ilvl="4" w:tplc="AB6CE89C" w:tentative="1">
      <w:start w:val="1"/>
      <w:numFmt w:val="bullet"/>
      <w:lvlText w:val="o"/>
      <w:lvlJc w:val="left"/>
      <w:pPr>
        <w:ind w:left="3600" w:hanging="360"/>
      </w:pPr>
      <w:rPr>
        <w:rFonts w:ascii="Courier New" w:hAnsi="Courier New" w:cs="Courier New" w:hint="default"/>
      </w:rPr>
    </w:lvl>
    <w:lvl w:ilvl="5" w:tplc="5308D108" w:tentative="1">
      <w:start w:val="1"/>
      <w:numFmt w:val="bullet"/>
      <w:lvlText w:val=""/>
      <w:lvlJc w:val="left"/>
      <w:pPr>
        <w:ind w:left="4320" w:hanging="360"/>
      </w:pPr>
      <w:rPr>
        <w:rFonts w:ascii="Wingdings" w:hAnsi="Wingdings" w:hint="default"/>
      </w:rPr>
    </w:lvl>
    <w:lvl w:ilvl="6" w:tplc="B5146A9A" w:tentative="1">
      <w:start w:val="1"/>
      <w:numFmt w:val="bullet"/>
      <w:lvlText w:val=""/>
      <w:lvlJc w:val="left"/>
      <w:pPr>
        <w:ind w:left="5040" w:hanging="360"/>
      </w:pPr>
      <w:rPr>
        <w:rFonts w:ascii="Symbol" w:hAnsi="Symbol" w:hint="default"/>
      </w:rPr>
    </w:lvl>
    <w:lvl w:ilvl="7" w:tplc="F154D968" w:tentative="1">
      <w:start w:val="1"/>
      <w:numFmt w:val="bullet"/>
      <w:lvlText w:val="o"/>
      <w:lvlJc w:val="left"/>
      <w:pPr>
        <w:ind w:left="5760" w:hanging="360"/>
      </w:pPr>
      <w:rPr>
        <w:rFonts w:ascii="Courier New" w:hAnsi="Courier New" w:cs="Courier New" w:hint="default"/>
      </w:rPr>
    </w:lvl>
    <w:lvl w:ilvl="8" w:tplc="FA229386" w:tentative="1">
      <w:start w:val="1"/>
      <w:numFmt w:val="bullet"/>
      <w:lvlText w:val=""/>
      <w:lvlJc w:val="left"/>
      <w:pPr>
        <w:ind w:left="6480" w:hanging="360"/>
      </w:pPr>
      <w:rPr>
        <w:rFonts w:ascii="Wingdings" w:hAnsi="Wingdings" w:hint="default"/>
      </w:rPr>
    </w:lvl>
  </w:abstractNum>
  <w:abstractNum w:abstractNumId="1" w15:restartNumberingAfterBreak="0">
    <w:nsid w:val="06882EE9"/>
    <w:multiLevelType w:val="hybridMultilevel"/>
    <w:tmpl w:val="DDB89C20"/>
    <w:lvl w:ilvl="0" w:tplc="3BD4999E">
      <w:start w:val="1"/>
      <w:numFmt w:val="bullet"/>
      <w:lvlText w:val=""/>
      <w:lvlJc w:val="left"/>
      <w:pPr>
        <w:ind w:left="720" w:hanging="360"/>
      </w:pPr>
      <w:rPr>
        <w:rFonts w:ascii="Symbol" w:hAnsi="Symbol" w:hint="default"/>
      </w:rPr>
    </w:lvl>
    <w:lvl w:ilvl="1" w:tplc="EBCC849E" w:tentative="1">
      <w:start w:val="1"/>
      <w:numFmt w:val="bullet"/>
      <w:lvlText w:val="o"/>
      <w:lvlJc w:val="left"/>
      <w:pPr>
        <w:ind w:left="1440" w:hanging="360"/>
      </w:pPr>
      <w:rPr>
        <w:rFonts w:ascii="Courier New" w:hAnsi="Courier New" w:cs="Courier New" w:hint="default"/>
      </w:rPr>
    </w:lvl>
    <w:lvl w:ilvl="2" w:tplc="2F8C747A" w:tentative="1">
      <w:start w:val="1"/>
      <w:numFmt w:val="bullet"/>
      <w:lvlText w:val=""/>
      <w:lvlJc w:val="left"/>
      <w:pPr>
        <w:ind w:left="2160" w:hanging="360"/>
      </w:pPr>
      <w:rPr>
        <w:rFonts w:ascii="Wingdings" w:hAnsi="Wingdings" w:hint="default"/>
      </w:rPr>
    </w:lvl>
    <w:lvl w:ilvl="3" w:tplc="F34A061E" w:tentative="1">
      <w:start w:val="1"/>
      <w:numFmt w:val="bullet"/>
      <w:lvlText w:val=""/>
      <w:lvlJc w:val="left"/>
      <w:pPr>
        <w:ind w:left="2880" w:hanging="360"/>
      </w:pPr>
      <w:rPr>
        <w:rFonts w:ascii="Symbol" w:hAnsi="Symbol" w:hint="default"/>
      </w:rPr>
    </w:lvl>
    <w:lvl w:ilvl="4" w:tplc="0ABAE038" w:tentative="1">
      <w:start w:val="1"/>
      <w:numFmt w:val="bullet"/>
      <w:lvlText w:val="o"/>
      <w:lvlJc w:val="left"/>
      <w:pPr>
        <w:ind w:left="3600" w:hanging="360"/>
      </w:pPr>
      <w:rPr>
        <w:rFonts w:ascii="Courier New" w:hAnsi="Courier New" w:cs="Courier New" w:hint="default"/>
      </w:rPr>
    </w:lvl>
    <w:lvl w:ilvl="5" w:tplc="48460E42" w:tentative="1">
      <w:start w:val="1"/>
      <w:numFmt w:val="bullet"/>
      <w:lvlText w:val=""/>
      <w:lvlJc w:val="left"/>
      <w:pPr>
        <w:ind w:left="4320" w:hanging="360"/>
      </w:pPr>
      <w:rPr>
        <w:rFonts w:ascii="Wingdings" w:hAnsi="Wingdings" w:hint="default"/>
      </w:rPr>
    </w:lvl>
    <w:lvl w:ilvl="6" w:tplc="397A47A8" w:tentative="1">
      <w:start w:val="1"/>
      <w:numFmt w:val="bullet"/>
      <w:lvlText w:val=""/>
      <w:lvlJc w:val="left"/>
      <w:pPr>
        <w:ind w:left="5040" w:hanging="360"/>
      </w:pPr>
      <w:rPr>
        <w:rFonts w:ascii="Symbol" w:hAnsi="Symbol" w:hint="default"/>
      </w:rPr>
    </w:lvl>
    <w:lvl w:ilvl="7" w:tplc="8724E238" w:tentative="1">
      <w:start w:val="1"/>
      <w:numFmt w:val="bullet"/>
      <w:lvlText w:val="o"/>
      <w:lvlJc w:val="left"/>
      <w:pPr>
        <w:ind w:left="5760" w:hanging="360"/>
      </w:pPr>
      <w:rPr>
        <w:rFonts w:ascii="Courier New" w:hAnsi="Courier New" w:cs="Courier New" w:hint="default"/>
      </w:rPr>
    </w:lvl>
    <w:lvl w:ilvl="8" w:tplc="0A909E66" w:tentative="1">
      <w:start w:val="1"/>
      <w:numFmt w:val="bullet"/>
      <w:lvlText w:val=""/>
      <w:lvlJc w:val="left"/>
      <w:pPr>
        <w:ind w:left="6480" w:hanging="360"/>
      </w:pPr>
      <w:rPr>
        <w:rFonts w:ascii="Wingdings" w:hAnsi="Wingdings" w:hint="default"/>
      </w:rPr>
    </w:lvl>
  </w:abstractNum>
  <w:abstractNum w:abstractNumId="2" w15:restartNumberingAfterBreak="0">
    <w:nsid w:val="4BDD2064"/>
    <w:multiLevelType w:val="hybridMultilevel"/>
    <w:tmpl w:val="C0D8B72A"/>
    <w:lvl w:ilvl="0" w:tplc="6C5C9738">
      <w:start w:val="1"/>
      <w:numFmt w:val="decimal"/>
      <w:lvlText w:val="%1."/>
      <w:lvlJc w:val="left"/>
      <w:pPr>
        <w:ind w:left="720" w:hanging="360"/>
      </w:pPr>
      <w:rPr>
        <w:rFonts w:hint="default"/>
      </w:rPr>
    </w:lvl>
    <w:lvl w:ilvl="1" w:tplc="A434D2AA" w:tentative="1">
      <w:start w:val="1"/>
      <w:numFmt w:val="bullet"/>
      <w:lvlText w:val="o"/>
      <w:lvlJc w:val="left"/>
      <w:pPr>
        <w:ind w:left="1440" w:hanging="360"/>
      </w:pPr>
      <w:rPr>
        <w:rFonts w:ascii="Courier New" w:hAnsi="Courier New" w:cs="Courier New" w:hint="default"/>
      </w:rPr>
    </w:lvl>
    <w:lvl w:ilvl="2" w:tplc="47FE5270" w:tentative="1">
      <w:start w:val="1"/>
      <w:numFmt w:val="bullet"/>
      <w:lvlText w:val=""/>
      <w:lvlJc w:val="left"/>
      <w:pPr>
        <w:ind w:left="2160" w:hanging="360"/>
      </w:pPr>
      <w:rPr>
        <w:rFonts w:ascii="Wingdings" w:hAnsi="Wingdings" w:hint="default"/>
      </w:rPr>
    </w:lvl>
    <w:lvl w:ilvl="3" w:tplc="1CCC11AC" w:tentative="1">
      <w:start w:val="1"/>
      <w:numFmt w:val="bullet"/>
      <w:lvlText w:val=""/>
      <w:lvlJc w:val="left"/>
      <w:pPr>
        <w:ind w:left="2880" w:hanging="360"/>
      </w:pPr>
      <w:rPr>
        <w:rFonts w:ascii="Symbol" w:hAnsi="Symbol" w:hint="default"/>
      </w:rPr>
    </w:lvl>
    <w:lvl w:ilvl="4" w:tplc="5F165FB0" w:tentative="1">
      <w:start w:val="1"/>
      <w:numFmt w:val="bullet"/>
      <w:lvlText w:val="o"/>
      <w:lvlJc w:val="left"/>
      <w:pPr>
        <w:ind w:left="3600" w:hanging="360"/>
      </w:pPr>
      <w:rPr>
        <w:rFonts w:ascii="Courier New" w:hAnsi="Courier New" w:cs="Courier New" w:hint="default"/>
      </w:rPr>
    </w:lvl>
    <w:lvl w:ilvl="5" w:tplc="6C300B28" w:tentative="1">
      <w:start w:val="1"/>
      <w:numFmt w:val="bullet"/>
      <w:lvlText w:val=""/>
      <w:lvlJc w:val="left"/>
      <w:pPr>
        <w:ind w:left="4320" w:hanging="360"/>
      </w:pPr>
      <w:rPr>
        <w:rFonts w:ascii="Wingdings" w:hAnsi="Wingdings" w:hint="default"/>
      </w:rPr>
    </w:lvl>
    <w:lvl w:ilvl="6" w:tplc="51745706" w:tentative="1">
      <w:start w:val="1"/>
      <w:numFmt w:val="bullet"/>
      <w:lvlText w:val=""/>
      <w:lvlJc w:val="left"/>
      <w:pPr>
        <w:ind w:left="5040" w:hanging="360"/>
      </w:pPr>
      <w:rPr>
        <w:rFonts w:ascii="Symbol" w:hAnsi="Symbol" w:hint="default"/>
      </w:rPr>
    </w:lvl>
    <w:lvl w:ilvl="7" w:tplc="190406B6" w:tentative="1">
      <w:start w:val="1"/>
      <w:numFmt w:val="bullet"/>
      <w:lvlText w:val="o"/>
      <w:lvlJc w:val="left"/>
      <w:pPr>
        <w:ind w:left="5760" w:hanging="360"/>
      </w:pPr>
      <w:rPr>
        <w:rFonts w:ascii="Courier New" w:hAnsi="Courier New" w:cs="Courier New" w:hint="default"/>
      </w:rPr>
    </w:lvl>
    <w:lvl w:ilvl="8" w:tplc="F850AF3C" w:tentative="1">
      <w:start w:val="1"/>
      <w:numFmt w:val="bullet"/>
      <w:lvlText w:val=""/>
      <w:lvlJc w:val="left"/>
      <w:pPr>
        <w:ind w:left="6480" w:hanging="360"/>
      </w:pPr>
      <w:rPr>
        <w:rFonts w:ascii="Wingdings" w:hAnsi="Wingdings" w:hint="default"/>
      </w:rPr>
    </w:lvl>
  </w:abstractNum>
  <w:abstractNum w:abstractNumId="3" w15:restartNumberingAfterBreak="0">
    <w:nsid w:val="500105A4"/>
    <w:multiLevelType w:val="hybridMultilevel"/>
    <w:tmpl w:val="1528243E"/>
    <w:lvl w:ilvl="0" w:tplc="05C6F25A">
      <w:numFmt w:val="bullet"/>
      <w:lvlText w:val="-"/>
      <w:lvlJc w:val="left"/>
      <w:pPr>
        <w:ind w:left="720" w:hanging="360"/>
      </w:pPr>
      <w:rPr>
        <w:rFonts w:ascii="Calibri" w:eastAsiaTheme="minorHAnsi" w:hAnsi="Calibri" w:cs="Calibri" w:hint="default"/>
      </w:rPr>
    </w:lvl>
    <w:lvl w:ilvl="1" w:tplc="0EBCB09A" w:tentative="1">
      <w:start w:val="1"/>
      <w:numFmt w:val="bullet"/>
      <w:lvlText w:val="o"/>
      <w:lvlJc w:val="left"/>
      <w:pPr>
        <w:ind w:left="1440" w:hanging="360"/>
      </w:pPr>
      <w:rPr>
        <w:rFonts w:ascii="Courier New" w:hAnsi="Courier New" w:cs="Courier New" w:hint="default"/>
      </w:rPr>
    </w:lvl>
    <w:lvl w:ilvl="2" w:tplc="AEDA849C" w:tentative="1">
      <w:start w:val="1"/>
      <w:numFmt w:val="bullet"/>
      <w:lvlText w:val=""/>
      <w:lvlJc w:val="left"/>
      <w:pPr>
        <w:ind w:left="2160" w:hanging="360"/>
      </w:pPr>
      <w:rPr>
        <w:rFonts w:ascii="Wingdings" w:hAnsi="Wingdings" w:hint="default"/>
      </w:rPr>
    </w:lvl>
    <w:lvl w:ilvl="3" w:tplc="BE625160" w:tentative="1">
      <w:start w:val="1"/>
      <w:numFmt w:val="bullet"/>
      <w:lvlText w:val=""/>
      <w:lvlJc w:val="left"/>
      <w:pPr>
        <w:ind w:left="2880" w:hanging="360"/>
      </w:pPr>
      <w:rPr>
        <w:rFonts w:ascii="Symbol" w:hAnsi="Symbol" w:hint="default"/>
      </w:rPr>
    </w:lvl>
    <w:lvl w:ilvl="4" w:tplc="54A80CB6" w:tentative="1">
      <w:start w:val="1"/>
      <w:numFmt w:val="bullet"/>
      <w:lvlText w:val="o"/>
      <w:lvlJc w:val="left"/>
      <w:pPr>
        <w:ind w:left="3600" w:hanging="360"/>
      </w:pPr>
      <w:rPr>
        <w:rFonts w:ascii="Courier New" w:hAnsi="Courier New" w:cs="Courier New" w:hint="default"/>
      </w:rPr>
    </w:lvl>
    <w:lvl w:ilvl="5" w:tplc="09988C52" w:tentative="1">
      <w:start w:val="1"/>
      <w:numFmt w:val="bullet"/>
      <w:lvlText w:val=""/>
      <w:lvlJc w:val="left"/>
      <w:pPr>
        <w:ind w:left="4320" w:hanging="360"/>
      </w:pPr>
      <w:rPr>
        <w:rFonts w:ascii="Wingdings" w:hAnsi="Wingdings" w:hint="default"/>
      </w:rPr>
    </w:lvl>
    <w:lvl w:ilvl="6" w:tplc="97F04C22" w:tentative="1">
      <w:start w:val="1"/>
      <w:numFmt w:val="bullet"/>
      <w:lvlText w:val=""/>
      <w:lvlJc w:val="left"/>
      <w:pPr>
        <w:ind w:left="5040" w:hanging="360"/>
      </w:pPr>
      <w:rPr>
        <w:rFonts w:ascii="Symbol" w:hAnsi="Symbol" w:hint="default"/>
      </w:rPr>
    </w:lvl>
    <w:lvl w:ilvl="7" w:tplc="343AEA9E" w:tentative="1">
      <w:start w:val="1"/>
      <w:numFmt w:val="bullet"/>
      <w:lvlText w:val="o"/>
      <w:lvlJc w:val="left"/>
      <w:pPr>
        <w:ind w:left="5760" w:hanging="360"/>
      </w:pPr>
      <w:rPr>
        <w:rFonts w:ascii="Courier New" w:hAnsi="Courier New" w:cs="Courier New" w:hint="default"/>
      </w:rPr>
    </w:lvl>
    <w:lvl w:ilvl="8" w:tplc="2EE4437A" w:tentative="1">
      <w:start w:val="1"/>
      <w:numFmt w:val="bullet"/>
      <w:lvlText w:val=""/>
      <w:lvlJc w:val="left"/>
      <w:pPr>
        <w:ind w:left="6480" w:hanging="360"/>
      </w:pPr>
      <w:rPr>
        <w:rFonts w:ascii="Wingdings" w:hAnsi="Wingdings" w:hint="default"/>
      </w:rPr>
    </w:lvl>
  </w:abstractNum>
  <w:abstractNum w:abstractNumId="4" w15:restartNumberingAfterBreak="0">
    <w:nsid w:val="70792C8B"/>
    <w:multiLevelType w:val="hybridMultilevel"/>
    <w:tmpl w:val="DCCADE04"/>
    <w:lvl w:ilvl="0" w:tplc="4A842F1C">
      <w:start w:val="1"/>
      <w:numFmt w:val="decimal"/>
      <w:lvlText w:val="%1."/>
      <w:lvlJc w:val="left"/>
      <w:pPr>
        <w:ind w:left="720" w:hanging="360"/>
      </w:pPr>
      <w:rPr>
        <w:rFonts w:hint="default"/>
      </w:rPr>
    </w:lvl>
    <w:lvl w:ilvl="1" w:tplc="929849CC" w:tentative="1">
      <w:start w:val="1"/>
      <w:numFmt w:val="lowerLetter"/>
      <w:lvlText w:val="%2."/>
      <w:lvlJc w:val="left"/>
      <w:pPr>
        <w:ind w:left="1440" w:hanging="360"/>
      </w:pPr>
    </w:lvl>
    <w:lvl w:ilvl="2" w:tplc="AEBE2278" w:tentative="1">
      <w:start w:val="1"/>
      <w:numFmt w:val="lowerRoman"/>
      <w:lvlText w:val="%3."/>
      <w:lvlJc w:val="right"/>
      <w:pPr>
        <w:ind w:left="2160" w:hanging="180"/>
      </w:pPr>
    </w:lvl>
    <w:lvl w:ilvl="3" w:tplc="D14CDF74" w:tentative="1">
      <w:start w:val="1"/>
      <w:numFmt w:val="decimal"/>
      <w:lvlText w:val="%4."/>
      <w:lvlJc w:val="left"/>
      <w:pPr>
        <w:ind w:left="2880" w:hanging="360"/>
      </w:pPr>
    </w:lvl>
    <w:lvl w:ilvl="4" w:tplc="0C56B78A" w:tentative="1">
      <w:start w:val="1"/>
      <w:numFmt w:val="lowerLetter"/>
      <w:lvlText w:val="%5."/>
      <w:lvlJc w:val="left"/>
      <w:pPr>
        <w:ind w:left="3600" w:hanging="360"/>
      </w:pPr>
    </w:lvl>
    <w:lvl w:ilvl="5" w:tplc="B4D4C512" w:tentative="1">
      <w:start w:val="1"/>
      <w:numFmt w:val="lowerRoman"/>
      <w:lvlText w:val="%6."/>
      <w:lvlJc w:val="right"/>
      <w:pPr>
        <w:ind w:left="4320" w:hanging="180"/>
      </w:pPr>
    </w:lvl>
    <w:lvl w:ilvl="6" w:tplc="C1B85936" w:tentative="1">
      <w:start w:val="1"/>
      <w:numFmt w:val="decimal"/>
      <w:lvlText w:val="%7."/>
      <w:lvlJc w:val="left"/>
      <w:pPr>
        <w:ind w:left="5040" w:hanging="360"/>
      </w:pPr>
    </w:lvl>
    <w:lvl w:ilvl="7" w:tplc="BE7E7656" w:tentative="1">
      <w:start w:val="1"/>
      <w:numFmt w:val="lowerLetter"/>
      <w:lvlText w:val="%8."/>
      <w:lvlJc w:val="left"/>
      <w:pPr>
        <w:ind w:left="5760" w:hanging="360"/>
      </w:pPr>
    </w:lvl>
    <w:lvl w:ilvl="8" w:tplc="375C4588" w:tentative="1">
      <w:start w:val="1"/>
      <w:numFmt w:val="lowerRoman"/>
      <w:lvlText w:val="%9."/>
      <w:lvlJc w:val="right"/>
      <w:pPr>
        <w:ind w:left="6480" w:hanging="180"/>
      </w:pPr>
    </w:lvl>
  </w:abstractNum>
  <w:num w:numId="1" w16cid:durableId="890924946">
    <w:abstractNumId w:val="0"/>
  </w:num>
  <w:num w:numId="2" w16cid:durableId="21709408">
    <w:abstractNumId w:val="3"/>
  </w:num>
  <w:num w:numId="3" w16cid:durableId="95828539">
    <w:abstractNumId w:val="2"/>
  </w:num>
  <w:num w:numId="4" w16cid:durableId="452870140">
    <w:abstractNumId w:val="1"/>
  </w:num>
  <w:num w:numId="5" w16cid:durableId="16741424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3F9"/>
    <w:rsid w:val="00063764"/>
    <w:rsid w:val="00065517"/>
    <w:rsid w:val="000978E2"/>
    <w:rsid w:val="00106531"/>
    <w:rsid w:val="00111D2C"/>
    <w:rsid w:val="00116435"/>
    <w:rsid w:val="001916E4"/>
    <w:rsid w:val="001A4EDC"/>
    <w:rsid w:val="00283E6D"/>
    <w:rsid w:val="00347CB0"/>
    <w:rsid w:val="00371574"/>
    <w:rsid w:val="003B694B"/>
    <w:rsid w:val="00421D9B"/>
    <w:rsid w:val="00423BAE"/>
    <w:rsid w:val="004331E0"/>
    <w:rsid w:val="00481521"/>
    <w:rsid w:val="004A2762"/>
    <w:rsid w:val="00520EFB"/>
    <w:rsid w:val="00525AB7"/>
    <w:rsid w:val="00591176"/>
    <w:rsid w:val="00673344"/>
    <w:rsid w:val="00690F3F"/>
    <w:rsid w:val="006D6276"/>
    <w:rsid w:val="00734D01"/>
    <w:rsid w:val="00827ED2"/>
    <w:rsid w:val="008F320D"/>
    <w:rsid w:val="008F3A7A"/>
    <w:rsid w:val="00933D2E"/>
    <w:rsid w:val="009443B8"/>
    <w:rsid w:val="009460D9"/>
    <w:rsid w:val="009571AA"/>
    <w:rsid w:val="009B628C"/>
    <w:rsid w:val="00A166F7"/>
    <w:rsid w:val="00A27870"/>
    <w:rsid w:val="00A7265F"/>
    <w:rsid w:val="00B01A1A"/>
    <w:rsid w:val="00B03026"/>
    <w:rsid w:val="00B22969"/>
    <w:rsid w:val="00B34125"/>
    <w:rsid w:val="00B506DF"/>
    <w:rsid w:val="00BA1A29"/>
    <w:rsid w:val="00BC211F"/>
    <w:rsid w:val="00C72662"/>
    <w:rsid w:val="00D12CDF"/>
    <w:rsid w:val="00D33EA2"/>
    <w:rsid w:val="00D408D2"/>
    <w:rsid w:val="00D41013"/>
    <w:rsid w:val="00D812A9"/>
    <w:rsid w:val="00DC53F9"/>
    <w:rsid w:val="00E0653B"/>
    <w:rsid w:val="00EA5931"/>
    <w:rsid w:val="00EB4170"/>
    <w:rsid w:val="00EF1CAB"/>
    <w:rsid w:val="00F07E72"/>
    <w:rsid w:val="00F2552B"/>
    <w:rsid w:val="00F73620"/>
    <w:rsid w:val="00FF3868"/>
    <w:rsid w:val="00FF6984"/>
    <w:rsid w:val="00FF6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3FE5A"/>
  <w15:chartTrackingRefBased/>
  <w15:docId w15:val="{CCA50A32-B2DB-4861-9236-681FD4D3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00EF1CAB"/>
    <w:pPr>
      <w:outlineLvl w:val="0"/>
    </w:pPr>
    <w:rPr>
      <w:b/>
    </w:rPr>
  </w:style>
  <w:style w:type="paragraph" w:styleId="Heading2">
    <w:name w:val="heading 2"/>
    <w:basedOn w:val="Normal"/>
    <w:next w:val="Normal"/>
    <w:link w:val="Heading2Char"/>
    <w:uiPriority w:val="9"/>
    <w:unhideWhenUsed/>
    <w:qFormat/>
    <w:rsid w:val="00EF1CAB"/>
    <w:pPr>
      <w:keepNext/>
      <w:keepLines/>
      <w:spacing w:after="0" w:line="480" w:lineRule="auto"/>
      <w:contextualSpacing/>
      <w:outlineLvl w:val="1"/>
    </w:pPr>
    <w:rPr>
      <w:rFonts w:ascii="Times New Roman" w:eastAsiaTheme="majorEastAsia" w:hAnsi="Times New Roman" w:cs="Times New Roman"/>
      <w:i/>
      <w:sz w:val="24"/>
      <w:szCs w:val="24"/>
    </w:rPr>
  </w:style>
  <w:style w:type="paragraph" w:styleId="Heading3">
    <w:name w:val="heading 3"/>
    <w:basedOn w:val="Normal"/>
    <w:next w:val="Normal"/>
    <w:link w:val="Heading3Char"/>
    <w:uiPriority w:val="9"/>
    <w:unhideWhenUsed/>
    <w:qFormat/>
    <w:rsid w:val="00EF1CAB"/>
    <w:pPr>
      <w:keepNext/>
      <w:keepLines/>
      <w:spacing w:after="0" w:line="480" w:lineRule="auto"/>
      <w:contextualSpacing/>
      <w:jc w:val="center"/>
      <w:outlineLvl w:val="2"/>
    </w:pPr>
    <w:rPr>
      <w:rFonts w:ascii="Times New Roman" w:eastAsiaTheme="maj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CAB"/>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EF1CAB"/>
    <w:rPr>
      <w:rFonts w:ascii="Times New Roman" w:eastAsiaTheme="majorEastAsia" w:hAnsi="Times New Roman" w:cs="Times New Roman"/>
      <w:i/>
      <w:sz w:val="24"/>
      <w:szCs w:val="24"/>
    </w:rPr>
  </w:style>
  <w:style w:type="character" w:customStyle="1" w:styleId="Heading3Char">
    <w:name w:val="Heading 3 Char"/>
    <w:basedOn w:val="DefaultParagraphFont"/>
    <w:link w:val="Heading3"/>
    <w:uiPriority w:val="9"/>
    <w:rsid w:val="00EF1CAB"/>
    <w:rPr>
      <w:rFonts w:ascii="Times New Roman" w:eastAsiaTheme="majorEastAsia" w:hAnsi="Times New Roman" w:cs="Times New Roman"/>
      <w:sz w:val="24"/>
      <w:szCs w:val="24"/>
    </w:rPr>
  </w:style>
  <w:style w:type="paragraph" w:styleId="ListParagraph">
    <w:name w:val="List Paragraph"/>
    <w:basedOn w:val="Normal"/>
    <w:uiPriority w:val="34"/>
    <w:qFormat/>
    <w:rsid w:val="00FF6984"/>
    <w:pPr>
      <w:ind w:left="720"/>
      <w:contextualSpacing/>
    </w:pPr>
  </w:style>
  <w:style w:type="paragraph" w:styleId="TOCHeading">
    <w:name w:val="TOC Heading"/>
    <w:basedOn w:val="Heading1"/>
    <w:next w:val="Normal"/>
    <w:uiPriority w:val="39"/>
    <w:unhideWhenUsed/>
    <w:qFormat/>
    <w:rsid w:val="00106531"/>
    <w:pPr>
      <w:spacing w:before="240" w:line="259" w:lineRule="auto"/>
      <w:contextualSpacing w:val="0"/>
      <w:outlineLvl w:val="9"/>
    </w:pPr>
    <w:rPr>
      <w:rFonts w:asciiTheme="majorHAnsi"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106531"/>
    <w:pPr>
      <w:tabs>
        <w:tab w:val="right" w:leader="dot" w:pos="9350"/>
      </w:tabs>
      <w:spacing w:after="100"/>
    </w:pPr>
    <w:rPr>
      <w:rFonts w:ascii="Times New Roman" w:hAnsi="Times New Roman" w:cs="Times New Roman"/>
      <w:b/>
      <w:noProof/>
      <w:sz w:val="24"/>
      <w:szCs w:val="24"/>
    </w:rPr>
  </w:style>
  <w:style w:type="paragraph" w:styleId="TOC2">
    <w:name w:val="toc 2"/>
    <w:basedOn w:val="Normal"/>
    <w:next w:val="Normal"/>
    <w:autoRedefine/>
    <w:uiPriority w:val="39"/>
    <w:unhideWhenUsed/>
    <w:rsid w:val="00106531"/>
    <w:pPr>
      <w:spacing w:after="100"/>
      <w:ind w:left="220"/>
    </w:pPr>
  </w:style>
  <w:style w:type="paragraph" w:styleId="TOC3">
    <w:name w:val="toc 3"/>
    <w:basedOn w:val="Normal"/>
    <w:next w:val="Normal"/>
    <w:autoRedefine/>
    <w:uiPriority w:val="39"/>
    <w:unhideWhenUsed/>
    <w:rsid w:val="00106531"/>
    <w:pPr>
      <w:spacing w:after="100"/>
      <w:ind w:left="440"/>
    </w:pPr>
  </w:style>
  <w:style w:type="character" w:styleId="Hyperlink">
    <w:name w:val="Hyperlink"/>
    <w:basedOn w:val="DefaultParagraphFont"/>
    <w:uiPriority w:val="99"/>
    <w:unhideWhenUsed/>
    <w:rsid w:val="00106531"/>
    <w:rPr>
      <w:color w:val="0563C1" w:themeColor="hyperlink"/>
      <w:u w:val="single"/>
    </w:rPr>
  </w:style>
  <w:style w:type="paragraph" w:styleId="Header">
    <w:name w:val="header"/>
    <w:basedOn w:val="Normal"/>
    <w:link w:val="HeaderChar"/>
    <w:uiPriority w:val="99"/>
    <w:unhideWhenUsed/>
    <w:rsid w:val="00EF1C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CAB"/>
  </w:style>
  <w:style w:type="paragraph" w:styleId="Footer">
    <w:name w:val="footer"/>
    <w:basedOn w:val="Normal"/>
    <w:link w:val="FooterChar"/>
    <w:uiPriority w:val="99"/>
    <w:unhideWhenUsed/>
    <w:rsid w:val="00EF1C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8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Performance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Sheet1!$J$11</c:f>
              <c:strCache>
                <c:ptCount val="1"/>
                <c:pt idx="0">
                  <c:v>2020</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Sheet1!$I$12:$I$15</c:f>
              <c:strCache>
                <c:ptCount val="4"/>
                <c:pt idx="0">
                  <c:v>Total Revenue</c:v>
                </c:pt>
                <c:pt idx="1">
                  <c:v>Operating Expenses</c:v>
                </c:pt>
                <c:pt idx="2">
                  <c:v>Gross Profit</c:v>
                </c:pt>
                <c:pt idx="3">
                  <c:v>Net Profit (Loss)</c:v>
                </c:pt>
              </c:strCache>
            </c:strRef>
          </c:cat>
          <c:val>
            <c:numRef>
              <c:f>Sheet1!$J$12:$J$15</c:f>
              <c:numCache>
                <c:formatCode>General</c:formatCode>
                <c:ptCount val="4"/>
                <c:pt idx="0">
                  <c:v>520000</c:v>
                </c:pt>
                <c:pt idx="1">
                  <c:v>390000</c:v>
                </c:pt>
                <c:pt idx="2">
                  <c:v>130000</c:v>
                </c:pt>
                <c:pt idx="3">
                  <c:v>78000</c:v>
                </c:pt>
              </c:numCache>
            </c:numRef>
          </c:val>
          <c:smooth val="0"/>
          <c:extLst>
            <c:ext xmlns:c16="http://schemas.microsoft.com/office/drawing/2014/chart" uri="{C3380CC4-5D6E-409C-BE32-E72D297353CC}">
              <c16:uniqueId val="{00000000-463A-47F7-A620-7687EB570223}"/>
            </c:ext>
          </c:extLst>
        </c:ser>
        <c:ser>
          <c:idx val="1"/>
          <c:order val="1"/>
          <c:tx>
            <c:strRef>
              <c:f>Sheet1!$K$11</c:f>
              <c:strCache>
                <c:ptCount val="1"/>
                <c:pt idx="0">
                  <c:v>2021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Sheet1!$I$12:$I$15</c:f>
              <c:strCache>
                <c:ptCount val="4"/>
                <c:pt idx="0">
                  <c:v>Total Revenue</c:v>
                </c:pt>
                <c:pt idx="1">
                  <c:v>Operating Expenses</c:v>
                </c:pt>
                <c:pt idx="2">
                  <c:v>Gross Profit</c:v>
                </c:pt>
                <c:pt idx="3">
                  <c:v>Net Profit (Loss)</c:v>
                </c:pt>
              </c:strCache>
            </c:strRef>
          </c:cat>
          <c:val>
            <c:numRef>
              <c:f>Sheet1!$K$12:$K$15</c:f>
              <c:numCache>
                <c:formatCode>General</c:formatCode>
                <c:ptCount val="4"/>
                <c:pt idx="0">
                  <c:v>480000</c:v>
                </c:pt>
                <c:pt idx="1">
                  <c:v>400000</c:v>
                </c:pt>
                <c:pt idx="2">
                  <c:v>80000</c:v>
                </c:pt>
                <c:pt idx="3">
                  <c:v>40000</c:v>
                </c:pt>
              </c:numCache>
            </c:numRef>
          </c:val>
          <c:smooth val="0"/>
          <c:extLst>
            <c:ext xmlns:c16="http://schemas.microsoft.com/office/drawing/2014/chart" uri="{C3380CC4-5D6E-409C-BE32-E72D297353CC}">
              <c16:uniqueId val="{00000001-463A-47F7-A620-7687EB570223}"/>
            </c:ext>
          </c:extLst>
        </c:ser>
        <c:ser>
          <c:idx val="2"/>
          <c:order val="2"/>
          <c:tx>
            <c:strRef>
              <c:f>Sheet1!$L$11</c:f>
              <c:strCache>
                <c:ptCount val="1"/>
                <c:pt idx="0">
                  <c:v>2022</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Sheet1!$I$12:$I$15</c:f>
              <c:strCache>
                <c:ptCount val="4"/>
                <c:pt idx="0">
                  <c:v>Total Revenue</c:v>
                </c:pt>
                <c:pt idx="1">
                  <c:v>Operating Expenses</c:v>
                </c:pt>
                <c:pt idx="2">
                  <c:v>Gross Profit</c:v>
                </c:pt>
                <c:pt idx="3">
                  <c:v>Net Profit (Loss)</c:v>
                </c:pt>
              </c:strCache>
            </c:strRef>
          </c:cat>
          <c:val>
            <c:numRef>
              <c:f>Sheet1!$L$12:$L$15</c:f>
              <c:numCache>
                <c:formatCode>General</c:formatCode>
                <c:ptCount val="4"/>
                <c:pt idx="0">
                  <c:v>430000</c:v>
                </c:pt>
                <c:pt idx="1">
                  <c:v>450000</c:v>
                </c:pt>
                <c:pt idx="2">
                  <c:v>80000</c:v>
                </c:pt>
                <c:pt idx="3">
                  <c:v>17500</c:v>
                </c:pt>
              </c:numCache>
            </c:numRef>
          </c:val>
          <c:smooth val="0"/>
          <c:extLst>
            <c:ext xmlns:c16="http://schemas.microsoft.com/office/drawing/2014/chart" uri="{C3380CC4-5D6E-409C-BE32-E72D297353CC}">
              <c16:uniqueId val="{00000002-463A-47F7-A620-7687EB570223}"/>
            </c:ext>
          </c:extLst>
        </c:ser>
        <c:dLbls>
          <c:showLegendKey val="0"/>
          <c:showVal val="0"/>
          <c:showCatName val="0"/>
          <c:showSerName val="0"/>
          <c:showPercent val="0"/>
          <c:showBubbleSize val="0"/>
        </c:dLbls>
        <c:marker val="1"/>
        <c:smooth val="0"/>
        <c:axId val="171276656"/>
        <c:axId val="171279984"/>
      </c:lineChart>
      <c:catAx>
        <c:axId val="17127665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279984"/>
        <c:crosses val="autoZero"/>
        <c:auto val="1"/>
        <c:lblAlgn val="ctr"/>
        <c:lblOffset val="100"/>
        <c:noMultiLvlLbl val="0"/>
      </c:catAx>
      <c:valAx>
        <c:axId val="17127998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276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1942B-1317-452B-BCEA-6F4F7AA16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15</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786 Computers</dc:creator>
  <cp:lastModifiedBy>Alina Radoi</cp:lastModifiedBy>
  <cp:revision>22</cp:revision>
  <dcterms:created xsi:type="dcterms:W3CDTF">2023-10-13T18:16:00Z</dcterms:created>
  <dcterms:modified xsi:type="dcterms:W3CDTF">2023-11-15T13:30:00Z</dcterms:modified>
</cp:coreProperties>
</file>