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6C41A5" w14:textId="77777777" w:rsidR="00B81223" w:rsidRDefault="00B81223" w:rsidP="00B81223">
      <w:pPr>
        <w:rPr>
          <w:b/>
          <w:bCs/>
        </w:rPr>
      </w:pPr>
    </w:p>
    <w:p w14:paraId="2E1F1C40" w14:textId="77777777" w:rsidR="00B81223" w:rsidRDefault="00B81223" w:rsidP="00B81223">
      <w:pPr>
        <w:rPr>
          <w:b/>
          <w:bCs/>
        </w:rPr>
      </w:pPr>
      <w:r w:rsidRPr="00F51391">
        <w:rPr>
          <w:b/>
          <w:bCs/>
          <w:noProof/>
        </w:rPr>
        <w:drawing>
          <wp:inline distT="0" distB="0" distL="0" distR="0" wp14:anchorId="544D8211" wp14:editId="3C83B299">
            <wp:extent cx="4659143" cy="1269348"/>
            <wp:effectExtent l="0" t="0" r="0" b="7620"/>
            <wp:docPr id="1025" name="Picture 1" descr="A black background with white text&#10;&#10;Description automatically generated">
              <a:extLst xmlns:a="http://schemas.openxmlformats.org/drawingml/2006/main">
                <a:ext uri="{FF2B5EF4-FFF2-40B4-BE49-F238E27FC236}">
                  <a16:creationId xmlns:a16="http://schemas.microsoft.com/office/drawing/2014/main" id="{90D98E3A-9277-2E89-9671-A0398D74C9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descr="A black background with white text&#10;&#10;Description automatically generated">
                      <a:extLst>
                        <a:ext uri="{FF2B5EF4-FFF2-40B4-BE49-F238E27FC236}">
                          <a16:creationId xmlns:a16="http://schemas.microsoft.com/office/drawing/2014/main" id="{90D98E3A-9277-2E89-9671-A0398D74C9B4}"/>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9143" cy="126934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A8B9DC3" w14:textId="77777777" w:rsidR="00B81223" w:rsidRDefault="00B81223" w:rsidP="00B81223">
      <w:pPr>
        <w:rPr>
          <w:b/>
          <w:bCs/>
        </w:rPr>
      </w:pPr>
    </w:p>
    <w:p w14:paraId="59302BDD" w14:textId="77777777" w:rsidR="00B81223" w:rsidRDefault="00B81223" w:rsidP="00B81223">
      <w:pPr>
        <w:rPr>
          <w:b/>
          <w:bCs/>
        </w:rPr>
      </w:pPr>
    </w:p>
    <w:p w14:paraId="280F9806" w14:textId="77777777" w:rsidR="00B81223" w:rsidRDefault="00B81223" w:rsidP="00B81223">
      <w:pPr>
        <w:rPr>
          <w:b/>
          <w:bCs/>
        </w:rPr>
      </w:pPr>
    </w:p>
    <w:p w14:paraId="7947F6BE" w14:textId="77777777" w:rsidR="00B81223" w:rsidRPr="007632B9" w:rsidRDefault="00B81223" w:rsidP="007632B9">
      <w:pPr>
        <w:spacing w:line="360" w:lineRule="auto"/>
        <w:jc w:val="both"/>
        <w:rPr>
          <w:rFonts w:ascii="Arial" w:hAnsi="Arial" w:cs="Arial"/>
          <w:b/>
          <w:bCs/>
        </w:rPr>
      </w:pPr>
    </w:p>
    <w:p w14:paraId="1197EA67" w14:textId="77777777" w:rsidR="00B81223" w:rsidRPr="007632B9" w:rsidRDefault="00B81223" w:rsidP="007632B9">
      <w:pPr>
        <w:spacing w:line="360" w:lineRule="auto"/>
        <w:jc w:val="both"/>
        <w:rPr>
          <w:rFonts w:ascii="Arial" w:hAnsi="Arial" w:cs="Arial"/>
          <w:b/>
          <w:bCs/>
        </w:rPr>
      </w:pPr>
    </w:p>
    <w:p w14:paraId="0C081C6E" w14:textId="77777777" w:rsidR="00B81223" w:rsidRPr="007632B9" w:rsidRDefault="00B81223" w:rsidP="007632B9">
      <w:pPr>
        <w:spacing w:line="360" w:lineRule="auto"/>
        <w:jc w:val="both"/>
        <w:rPr>
          <w:rFonts w:ascii="Arial" w:hAnsi="Arial" w:cs="Arial"/>
          <w:b/>
          <w:bCs/>
        </w:rPr>
      </w:pPr>
    </w:p>
    <w:p w14:paraId="2E37657A" w14:textId="77777777" w:rsidR="00B81223" w:rsidRPr="007632B9" w:rsidRDefault="00B81223" w:rsidP="007632B9">
      <w:pPr>
        <w:spacing w:line="360" w:lineRule="auto"/>
        <w:jc w:val="both"/>
        <w:rPr>
          <w:rFonts w:ascii="Arial" w:hAnsi="Arial" w:cs="Arial"/>
        </w:rPr>
      </w:pPr>
      <w:r w:rsidRPr="007632B9">
        <w:rPr>
          <w:rFonts w:ascii="Arial" w:hAnsi="Arial" w:cs="Arial"/>
          <w:b/>
          <w:bCs/>
        </w:rPr>
        <w:t xml:space="preserve">BA(Hons) Business Management </w:t>
      </w:r>
    </w:p>
    <w:p w14:paraId="1E3CD808" w14:textId="4F4BE41E" w:rsidR="00B81223" w:rsidRPr="007632B9" w:rsidRDefault="00B81223" w:rsidP="007632B9">
      <w:pPr>
        <w:spacing w:line="360" w:lineRule="auto"/>
        <w:jc w:val="both"/>
        <w:rPr>
          <w:rFonts w:ascii="Arial" w:hAnsi="Arial" w:cs="Arial"/>
        </w:rPr>
      </w:pPr>
      <w:r w:rsidRPr="007632B9">
        <w:rPr>
          <w:rFonts w:ascii="Arial" w:hAnsi="Arial" w:cs="Arial"/>
          <w:b/>
          <w:bCs/>
        </w:rPr>
        <w:t xml:space="preserve">Student Name: </w:t>
      </w:r>
      <w:r w:rsidRPr="007632B9">
        <w:rPr>
          <w:rFonts w:ascii="Arial" w:hAnsi="Arial" w:cs="Arial"/>
        </w:rPr>
        <w:t>Cristina</w:t>
      </w:r>
      <w:r w:rsidRPr="007632B9">
        <w:rPr>
          <w:rFonts w:ascii="Arial" w:hAnsi="Arial" w:cs="Arial"/>
          <w:b/>
          <w:bCs/>
        </w:rPr>
        <w:t xml:space="preserve"> </w:t>
      </w:r>
      <w:r w:rsidRPr="007632B9">
        <w:rPr>
          <w:rFonts w:ascii="Arial" w:hAnsi="Arial" w:cs="Arial"/>
        </w:rPr>
        <w:t>Borta</w:t>
      </w:r>
    </w:p>
    <w:p w14:paraId="1F38752A" w14:textId="4B7C3179" w:rsidR="00B81223" w:rsidRPr="007632B9" w:rsidRDefault="00B81223" w:rsidP="007632B9">
      <w:pPr>
        <w:spacing w:line="360" w:lineRule="auto"/>
        <w:jc w:val="both"/>
        <w:rPr>
          <w:rFonts w:ascii="Arial" w:hAnsi="Arial" w:cs="Arial"/>
        </w:rPr>
      </w:pPr>
      <w:r w:rsidRPr="007632B9">
        <w:rPr>
          <w:rFonts w:ascii="Arial" w:hAnsi="Arial" w:cs="Arial"/>
          <w:b/>
          <w:bCs/>
        </w:rPr>
        <w:t xml:space="preserve">Student Number: </w:t>
      </w:r>
      <w:r w:rsidRPr="007632B9">
        <w:rPr>
          <w:rFonts w:ascii="Arial" w:hAnsi="Arial" w:cs="Arial"/>
        </w:rPr>
        <w:t>2239416</w:t>
      </w:r>
    </w:p>
    <w:p w14:paraId="53F37FF5" w14:textId="77777777" w:rsidR="00B81223" w:rsidRPr="007632B9" w:rsidRDefault="00B81223" w:rsidP="007632B9">
      <w:pPr>
        <w:spacing w:line="360" w:lineRule="auto"/>
        <w:jc w:val="both"/>
        <w:rPr>
          <w:rFonts w:ascii="Arial" w:hAnsi="Arial" w:cs="Arial"/>
        </w:rPr>
      </w:pPr>
      <w:r w:rsidRPr="007632B9">
        <w:rPr>
          <w:rFonts w:ascii="Arial" w:hAnsi="Arial" w:cs="Arial"/>
          <w:b/>
          <w:bCs/>
        </w:rPr>
        <w:t xml:space="preserve">Course Name: </w:t>
      </w:r>
      <w:r w:rsidRPr="007632B9">
        <w:rPr>
          <w:rFonts w:ascii="Arial" w:hAnsi="Arial" w:cs="Arial"/>
        </w:rPr>
        <w:t>International Business Communications</w:t>
      </w:r>
    </w:p>
    <w:p w14:paraId="3F80C095" w14:textId="77777777" w:rsidR="00B81223" w:rsidRPr="007632B9" w:rsidRDefault="00B81223" w:rsidP="007632B9">
      <w:pPr>
        <w:spacing w:line="360" w:lineRule="auto"/>
        <w:jc w:val="both"/>
        <w:rPr>
          <w:rFonts w:ascii="Arial" w:hAnsi="Arial" w:cs="Arial"/>
        </w:rPr>
      </w:pPr>
      <w:r w:rsidRPr="007632B9">
        <w:rPr>
          <w:rFonts w:ascii="Arial" w:hAnsi="Arial" w:cs="Arial"/>
          <w:b/>
          <w:bCs/>
        </w:rPr>
        <w:t>Course Code:</w:t>
      </w:r>
      <w:r w:rsidRPr="007632B9">
        <w:rPr>
          <w:rFonts w:ascii="Arial" w:hAnsi="Arial" w:cs="Arial"/>
        </w:rPr>
        <w:t xml:space="preserve">  LCBB6023</w:t>
      </w:r>
    </w:p>
    <w:p w14:paraId="4968E128" w14:textId="77777777" w:rsidR="00B81223" w:rsidRPr="007632B9" w:rsidRDefault="00B81223" w:rsidP="007632B9">
      <w:pPr>
        <w:spacing w:line="360" w:lineRule="auto"/>
        <w:jc w:val="both"/>
        <w:rPr>
          <w:rFonts w:ascii="Arial" w:hAnsi="Arial" w:cs="Arial"/>
        </w:rPr>
      </w:pPr>
      <w:r w:rsidRPr="007632B9">
        <w:rPr>
          <w:rFonts w:ascii="Arial" w:hAnsi="Arial" w:cs="Arial"/>
          <w:b/>
          <w:bCs/>
        </w:rPr>
        <w:t>Lecturer Name:</w:t>
      </w:r>
      <w:r w:rsidRPr="007632B9">
        <w:rPr>
          <w:rFonts w:ascii="Arial" w:hAnsi="Arial" w:cs="Arial"/>
        </w:rPr>
        <w:t xml:space="preserve"> Afzal Munna</w:t>
      </w:r>
    </w:p>
    <w:p w14:paraId="56670EB3" w14:textId="77777777" w:rsidR="00881D94" w:rsidRPr="007632B9" w:rsidRDefault="00B81223" w:rsidP="007632B9">
      <w:pPr>
        <w:spacing w:line="360" w:lineRule="auto"/>
        <w:jc w:val="both"/>
        <w:rPr>
          <w:rFonts w:ascii="Arial" w:hAnsi="Arial" w:cs="Arial"/>
          <w:b/>
          <w:bCs/>
        </w:rPr>
      </w:pPr>
      <w:r w:rsidRPr="007632B9">
        <w:rPr>
          <w:rFonts w:ascii="Arial" w:hAnsi="Arial" w:cs="Arial"/>
          <w:b/>
          <w:bCs/>
        </w:rPr>
        <w:t>Date: 17 August 2026</w:t>
      </w:r>
    </w:p>
    <w:p w14:paraId="388A7F73" w14:textId="17DB62B9" w:rsidR="000D69F0" w:rsidRPr="007632B9" w:rsidRDefault="000D69F0" w:rsidP="007632B9">
      <w:pPr>
        <w:spacing w:line="360" w:lineRule="auto"/>
        <w:jc w:val="both"/>
        <w:rPr>
          <w:rFonts w:ascii="Arial" w:hAnsi="Arial" w:cs="Arial"/>
        </w:rPr>
      </w:pPr>
      <w:r w:rsidRPr="007632B9">
        <w:rPr>
          <w:rFonts w:ascii="Arial" w:hAnsi="Arial" w:cs="Arial"/>
          <w:b/>
          <w:bCs/>
        </w:rPr>
        <w:t xml:space="preserve">Essay: </w:t>
      </w:r>
      <w:bookmarkStart w:id="0" w:name="_Toc235865935"/>
      <w:r w:rsidRPr="007632B9">
        <w:rPr>
          <w:rFonts w:ascii="Arial" w:hAnsi="Arial" w:cs="Arial"/>
          <w:b/>
          <w:bCs/>
        </w:rPr>
        <w:t>An Evaluation of UK–Japanese Communication Differences in the Partnership Between Octopus Energy and Tokyo Gas</w:t>
      </w:r>
      <w:bookmarkEnd w:id="0"/>
    </w:p>
    <w:p w14:paraId="6A8413EA" w14:textId="344833E6" w:rsidR="00B81223" w:rsidRPr="007632B9" w:rsidRDefault="00B81223" w:rsidP="007632B9">
      <w:pPr>
        <w:spacing w:line="360" w:lineRule="auto"/>
        <w:jc w:val="both"/>
        <w:rPr>
          <w:rFonts w:ascii="Arial" w:hAnsi="Arial" w:cs="Arial"/>
        </w:rPr>
      </w:pPr>
    </w:p>
    <w:p w14:paraId="6CEDD6C1" w14:textId="77777777" w:rsidR="00B81223" w:rsidRPr="007632B9" w:rsidRDefault="00B81223" w:rsidP="007632B9">
      <w:pPr>
        <w:spacing w:line="360" w:lineRule="auto"/>
        <w:jc w:val="both"/>
        <w:rPr>
          <w:rFonts w:ascii="Arial" w:hAnsi="Arial" w:cs="Arial"/>
        </w:rPr>
      </w:pPr>
    </w:p>
    <w:p w14:paraId="790E4311" w14:textId="77777777" w:rsidR="00B81223" w:rsidRPr="007632B9" w:rsidRDefault="00B81223" w:rsidP="007632B9">
      <w:pPr>
        <w:spacing w:line="360" w:lineRule="auto"/>
        <w:jc w:val="both"/>
        <w:rPr>
          <w:rFonts w:ascii="Arial" w:hAnsi="Arial" w:cs="Arial"/>
        </w:rPr>
      </w:pPr>
    </w:p>
    <w:p w14:paraId="42F2F4B9" w14:textId="77777777" w:rsidR="004D5DED" w:rsidRPr="007632B9" w:rsidRDefault="004D5DED" w:rsidP="007632B9">
      <w:pPr>
        <w:spacing w:line="360" w:lineRule="auto"/>
        <w:jc w:val="both"/>
        <w:rPr>
          <w:rFonts w:ascii="Arial" w:hAnsi="Arial" w:cs="Arial"/>
        </w:rPr>
      </w:pPr>
    </w:p>
    <w:p w14:paraId="4F834E5D" w14:textId="77777777" w:rsidR="00B81223" w:rsidRPr="007632B9" w:rsidRDefault="00B81223" w:rsidP="007632B9">
      <w:pPr>
        <w:spacing w:line="360" w:lineRule="auto"/>
        <w:jc w:val="both"/>
        <w:rPr>
          <w:rFonts w:ascii="Arial" w:hAnsi="Arial" w:cs="Arial"/>
        </w:rPr>
      </w:pPr>
    </w:p>
    <w:p w14:paraId="7F52A40F" w14:textId="77777777" w:rsidR="00B81223" w:rsidRPr="007632B9" w:rsidRDefault="00B81223" w:rsidP="007632B9">
      <w:pPr>
        <w:spacing w:line="360" w:lineRule="auto"/>
        <w:jc w:val="both"/>
        <w:rPr>
          <w:rFonts w:ascii="Arial" w:hAnsi="Arial" w:cs="Arial"/>
        </w:rPr>
      </w:pPr>
    </w:p>
    <w:sdt>
      <w:sdtPr>
        <w:rPr>
          <w:rFonts w:ascii="Arial" w:eastAsiaTheme="minorHAnsi" w:hAnsi="Arial" w:cs="Arial"/>
          <w:color w:val="auto"/>
          <w:kern w:val="2"/>
          <w:sz w:val="24"/>
          <w:szCs w:val="24"/>
          <w:lang w:val="en-GB"/>
          <w14:ligatures w14:val="standardContextual"/>
        </w:rPr>
        <w:id w:val="815450569"/>
        <w:docPartObj>
          <w:docPartGallery w:val="Table of Contents"/>
          <w:docPartUnique/>
        </w:docPartObj>
      </w:sdtPr>
      <w:sdtEndPr>
        <w:rPr>
          <w:b/>
          <w:bCs/>
          <w:noProof/>
        </w:rPr>
      </w:sdtEndPr>
      <w:sdtContent>
        <w:p w14:paraId="64022F69" w14:textId="3B3C6DCD" w:rsidR="00F46CD7" w:rsidRPr="00E71C37" w:rsidRDefault="00F46CD7" w:rsidP="00E71C37">
          <w:pPr>
            <w:pStyle w:val="TOCHeading"/>
            <w:spacing w:line="360" w:lineRule="auto"/>
            <w:jc w:val="both"/>
            <w:rPr>
              <w:rFonts w:ascii="Arial" w:hAnsi="Arial" w:cs="Arial"/>
              <w:b/>
              <w:bCs/>
              <w:color w:val="auto"/>
              <w:sz w:val="24"/>
              <w:szCs w:val="24"/>
            </w:rPr>
          </w:pPr>
          <w:r w:rsidRPr="00E71C37">
            <w:rPr>
              <w:rFonts w:ascii="Arial" w:hAnsi="Arial" w:cs="Arial"/>
              <w:b/>
              <w:bCs/>
              <w:color w:val="auto"/>
              <w:sz w:val="24"/>
              <w:szCs w:val="24"/>
            </w:rPr>
            <w:t>Table of Contents</w:t>
          </w:r>
        </w:p>
        <w:p w14:paraId="173787B9" w14:textId="77777777" w:rsidR="00F00CD5" w:rsidRPr="00E71C37" w:rsidRDefault="00F00CD5" w:rsidP="00E71C37">
          <w:pPr>
            <w:spacing w:line="360" w:lineRule="auto"/>
            <w:jc w:val="both"/>
            <w:rPr>
              <w:rFonts w:ascii="Arial" w:hAnsi="Arial" w:cs="Arial"/>
              <w:lang w:val="en-US"/>
            </w:rPr>
          </w:pPr>
        </w:p>
        <w:p w14:paraId="6A05B30C" w14:textId="77777777" w:rsidR="00F00CD5" w:rsidRPr="00E71C37" w:rsidRDefault="00F00CD5" w:rsidP="00E71C37">
          <w:pPr>
            <w:spacing w:line="360" w:lineRule="auto"/>
            <w:jc w:val="both"/>
            <w:rPr>
              <w:rFonts w:ascii="Arial" w:hAnsi="Arial" w:cs="Arial"/>
              <w:lang w:val="en-US"/>
            </w:rPr>
          </w:pPr>
        </w:p>
        <w:p w14:paraId="0E4BA181" w14:textId="38BC69F6" w:rsidR="00E71C37" w:rsidRDefault="00F46CD7">
          <w:pPr>
            <w:pStyle w:val="TOC1"/>
            <w:tabs>
              <w:tab w:val="left" w:pos="480"/>
            </w:tabs>
            <w:rPr>
              <w:rFonts w:eastAsiaTheme="minorEastAsia"/>
              <w:noProof/>
              <w:lang w:eastAsia="en-GB"/>
            </w:rPr>
          </w:pPr>
          <w:r w:rsidRPr="00E71C37">
            <w:rPr>
              <w:rFonts w:ascii="Arial" w:hAnsi="Arial" w:cs="Arial"/>
            </w:rPr>
            <w:fldChar w:fldCharType="begin"/>
          </w:r>
          <w:r w:rsidRPr="00E71C37">
            <w:rPr>
              <w:rFonts w:ascii="Arial" w:hAnsi="Arial" w:cs="Arial"/>
            </w:rPr>
            <w:instrText xml:space="preserve"> TOC \o "1-3" \h \z \u </w:instrText>
          </w:r>
          <w:r w:rsidRPr="00E71C37">
            <w:rPr>
              <w:rFonts w:ascii="Arial" w:hAnsi="Arial" w:cs="Arial"/>
            </w:rPr>
            <w:fldChar w:fldCharType="separate"/>
          </w:r>
          <w:hyperlink w:anchor="_Toc237087531" w:history="1">
            <w:r w:rsidR="00E71C37" w:rsidRPr="00346777">
              <w:rPr>
                <w:rStyle w:val="Hyperlink"/>
                <w:rFonts w:ascii="Arial" w:hAnsi="Arial" w:cs="Arial"/>
                <w:b/>
                <w:bCs/>
                <w:noProof/>
              </w:rPr>
              <w:t>1.</w:t>
            </w:r>
            <w:r w:rsidR="00E71C37">
              <w:rPr>
                <w:rFonts w:eastAsiaTheme="minorEastAsia"/>
                <w:noProof/>
                <w:lang w:eastAsia="en-GB"/>
              </w:rPr>
              <w:tab/>
            </w:r>
            <w:r w:rsidR="00E71C37" w:rsidRPr="00346777">
              <w:rPr>
                <w:rStyle w:val="Hyperlink"/>
                <w:rFonts w:ascii="Arial" w:hAnsi="Arial" w:cs="Arial"/>
                <w:b/>
                <w:bCs/>
                <w:noProof/>
              </w:rPr>
              <w:t>Introduction</w:t>
            </w:r>
            <w:r w:rsidR="00E71C37">
              <w:rPr>
                <w:noProof/>
                <w:webHidden/>
              </w:rPr>
              <w:tab/>
            </w:r>
            <w:r w:rsidR="00E71C37">
              <w:rPr>
                <w:noProof/>
                <w:webHidden/>
              </w:rPr>
              <w:fldChar w:fldCharType="begin"/>
            </w:r>
            <w:r w:rsidR="00E71C37">
              <w:rPr>
                <w:noProof/>
                <w:webHidden/>
              </w:rPr>
              <w:instrText xml:space="preserve"> PAGEREF _Toc237087531 \h </w:instrText>
            </w:r>
            <w:r w:rsidR="00E71C37">
              <w:rPr>
                <w:noProof/>
                <w:webHidden/>
              </w:rPr>
            </w:r>
            <w:r w:rsidR="00E71C37">
              <w:rPr>
                <w:noProof/>
                <w:webHidden/>
              </w:rPr>
              <w:fldChar w:fldCharType="separate"/>
            </w:r>
            <w:r w:rsidR="00E71C37">
              <w:rPr>
                <w:noProof/>
                <w:webHidden/>
              </w:rPr>
              <w:t>1</w:t>
            </w:r>
            <w:r w:rsidR="00E71C37">
              <w:rPr>
                <w:noProof/>
                <w:webHidden/>
              </w:rPr>
              <w:fldChar w:fldCharType="end"/>
            </w:r>
          </w:hyperlink>
        </w:p>
        <w:p w14:paraId="067F8A23" w14:textId="5737A3D3" w:rsidR="00E71C37" w:rsidRDefault="00E71C37">
          <w:pPr>
            <w:pStyle w:val="TOC1"/>
            <w:rPr>
              <w:rFonts w:eastAsiaTheme="minorEastAsia"/>
              <w:noProof/>
              <w:lang w:eastAsia="en-GB"/>
            </w:rPr>
          </w:pPr>
          <w:hyperlink w:anchor="_Toc237087532" w:history="1">
            <w:r w:rsidRPr="00346777">
              <w:rPr>
                <w:rStyle w:val="Hyperlink"/>
                <w:rFonts w:ascii="Arial" w:hAnsi="Arial" w:cs="Arial"/>
                <w:b/>
                <w:bCs/>
                <w:noProof/>
              </w:rPr>
              <w:t>2. Cultural interpretation in a technology-led joint venture</w:t>
            </w:r>
            <w:r>
              <w:rPr>
                <w:noProof/>
                <w:webHidden/>
              </w:rPr>
              <w:tab/>
            </w:r>
            <w:r>
              <w:rPr>
                <w:noProof/>
                <w:webHidden/>
              </w:rPr>
              <w:fldChar w:fldCharType="begin"/>
            </w:r>
            <w:r>
              <w:rPr>
                <w:noProof/>
                <w:webHidden/>
              </w:rPr>
              <w:instrText xml:space="preserve"> PAGEREF _Toc237087532 \h </w:instrText>
            </w:r>
            <w:r>
              <w:rPr>
                <w:noProof/>
                <w:webHidden/>
              </w:rPr>
            </w:r>
            <w:r>
              <w:rPr>
                <w:noProof/>
                <w:webHidden/>
              </w:rPr>
              <w:fldChar w:fldCharType="separate"/>
            </w:r>
            <w:r>
              <w:rPr>
                <w:noProof/>
                <w:webHidden/>
              </w:rPr>
              <w:t>2</w:t>
            </w:r>
            <w:r>
              <w:rPr>
                <w:noProof/>
                <w:webHidden/>
              </w:rPr>
              <w:fldChar w:fldCharType="end"/>
            </w:r>
          </w:hyperlink>
        </w:p>
        <w:p w14:paraId="65E32400" w14:textId="1A5D217A" w:rsidR="00E71C37" w:rsidRDefault="00E71C37">
          <w:pPr>
            <w:pStyle w:val="TOC1"/>
            <w:rPr>
              <w:rFonts w:eastAsiaTheme="minorEastAsia"/>
              <w:noProof/>
              <w:lang w:eastAsia="en-GB"/>
            </w:rPr>
          </w:pPr>
          <w:hyperlink w:anchor="_Toc237087533" w:history="1">
            <w:r w:rsidRPr="00346777">
              <w:rPr>
                <w:rStyle w:val="Hyperlink"/>
                <w:rFonts w:ascii="Arial" w:hAnsi="Arial" w:cs="Arial"/>
                <w:b/>
                <w:bCs/>
                <w:noProof/>
              </w:rPr>
              <w:t>3. Translating Kraken into the Japanese market</w:t>
            </w:r>
            <w:r>
              <w:rPr>
                <w:noProof/>
                <w:webHidden/>
              </w:rPr>
              <w:tab/>
            </w:r>
            <w:r>
              <w:rPr>
                <w:noProof/>
                <w:webHidden/>
              </w:rPr>
              <w:fldChar w:fldCharType="begin"/>
            </w:r>
            <w:r>
              <w:rPr>
                <w:noProof/>
                <w:webHidden/>
              </w:rPr>
              <w:instrText xml:space="preserve"> PAGEREF _Toc237087533 \h </w:instrText>
            </w:r>
            <w:r>
              <w:rPr>
                <w:noProof/>
                <w:webHidden/>
              </w:rPr>
            </w:r>
            <w:r>
              <w:rPr>
                <w:noProof/>
                <w:webHidden/>
              </w:rPr>
              <w:fldChar w:fldCharType="separate"/>
            </w:r>
            <w:r>
              <w:rPr>
                <w:noProof/>
                <w:webHidden/>
              </w:rPr>
              <w:t>3</w:t>
            </w:r>
            <w:r>
              <w:rPr>
                <w:noProof/>
                <w:webHidden/>
              </w:rPr>
              <w:fldChar w:fldCharType="end"/>
            </w:r>
          </w:hyperlink>
        </w:p>
        <w:p w14:paraId="55E8F22F" w14:textId="3929035D" w:rsidR="00E71C37" w:rsidRDefault="00E71C37">
          <w:pPr>
            <w:pStyle w:val="TOC1"/>
            <w:rPr>
              <w:rFonts w:eastAsiaTheme="minorEastAsia"/>
              <w:noProof/>
              <w:lang w:eastAsia="en-GB"/>
            </w:rPr>
          </w:pPr>
          <w:hyperlink w:anchor="_Toc237087534" w:history="1">
            <w:r w:rsidRPr="00346777">
              <w:rPr>
                <w:rStyle w:val="Hyperlink"/>
                <w:rFonts w:ascii="Arial" w:hAnsi="Arial" w:cs="Arial"/>
                <w:b/>
                <w:bCs/>
                <w:noProof/>
              </w:rPr>
              <w:t>4. Product localisation, risk, and approval</w:t>
            </w:r>
            <w:r>
              <w:rPr>
                <w:noProof/>
                <w:webHidden/>
              </w:rPr>
              <w:tab/>
            </w:r>
            <w:r>
              <w:rPr>
                <w:noProof/>
                <w:webHidden/>
              </w:rPr>
              <w:fldChar w:fldCharType="begin"/>
            </w:r>
            <w:r>
              <w:rPr>
                <w:noProof/>
                <w:webHidden/>
              </w:rPr>
              <w:instrText xml:space="preserve"> PAGEREF _Toc237087534 \h </w:instrText>
            </w:r>
            <w:r>
              <w:rPr>
                <w:noProof/>
                <w:webHidden/>
              </w:rPr>
            </w:r>
            <w:r>
              <w:rPr>
                <w:noProof/>
                <w:webHidden/>
              </w:rPr>
              <w:fldChar w:fldCharType="separate"/>
            </w:r>
            <w:r>
              <w:rPr>
                <w:noProof/>
                <w:webHidden/>
              </w:rPr>
              <w:t>4</w:t>
            </w:r>
            <w:r>
              <w:rPr>
                <w:noProof/>
                <w:webHidden/>
              </w:rPr>
              <w:fldChar w:fldCharType="end"/>
            </w:r>
          </w:hyperlink>
        </w:p>
        <w:p w14:paraId="649FDB46" w14:textId="00BBAD96" w:rsidR="00E71C37" w:rsidRDefault="00E71C37">
          <w:pPr>
            <w:pStyle w:val="TOC1"/>
            <w:rPr>
              <w:rFonts w:eastAsiaTheme="minorEastAsia"/>
              <w:noProof/>
              <w:lang w:eastAsia="en-GB"/>
            </w:rPr>
          </w:pPr>
          <w:hyperlink w:anchor="_Toc237087535" w:history="1">
            <w:r w:rsidRPr="00346777">
              <w:rPr>
                <w:rStyle w:val="Hyperlink"/>
                <w:rFonts w:ascii="Arial" w:hAnsi="Arial" w:cs="Arial"/>
                <w:b/>
                <w:bCs/>
                <w:noProof/>
              </w:rPr>
              <w:t>5. Authority, expertise, and constructive challenge</w:t>
            </w:r>
            <w:r>
              <w:rPr>
                <w:noProof/>
                <w:webHidden/>
              </w:rPr>
              <w:tab/>
            </w:r>
            <w:r>
              <w:rPr>
                <w:noProof/>
                <w:webHidden/>
              </w:rPr>
              <w:fldChar w:fldCharType="begin"/>
            </w:r>
            <w:r>
              <w:rPr>
                <w:noProof/>
                <w:webHidden/>
              </w:rPr>
              <w:instrText xml:space="preserve"> PAGEREF _Toc237087535 \h </w:instrText>
            </w:r>
            <w:r>
              <w:rPr>
                <w:noProof/>
                <w:webHidden/>
              </w:rPr>
            </w:r>
            <w:r>
              <w:rPr>
                <w:noProof/>
                <w:webHidden/>
              </w:rPr>
              <w:fldChar w:fldCharType="separate"/>
            </w:r>
            <w:r>
              <w:rPr>
                <w:noProof/>
                <w:webHidden/>
              </w:rPr>
              <w:t>5</w:t>
            </w:r>
            <w:r>
              <w:rPr>
                <w:noProof/>
                <w:webHidden/>
              </w:rPr>
              <w:fldChar w:fldCharType="end"/>
            </w:r>
          </w:hyperlink>
        </w:p>
        <w:p w14:paraId="63AC0357" w14:textId="0111F25C" w:rsidR="00E71C37" w:rsidRDefault="00E71C37">
          <w:pPr>
            <w:pStyle w:val="TOC1"/>
            <w:rPr>
              <w:rFonts w:eastAsiaTheme="minorEastAsia"/>
              <w:noProof/>
              <w:lang w:eastAsia="en-GB"/>
            </w:rPr>
          </w:pPr>
          <w:hyperlink w:anchor="_Toc237087536" w:history="1">
            <w:r w:rsidRPr="00346777">
              <w:rPr>
                <w:rStyle w:val="Hyperlink"/>
                <w:rFonts w:ascii="Arial" w:hAnsi="Arial" w:cs="Arial"/>
                <w:b/>
                <w:bCs/>
                <w:noProof/>
              </w:rPr>
              <w:t>6. Virtual collaboration, language, and agreement</w:t>
            </w:r>
            <w:r>
              <w:rPr>
                <w:noProof/>
                <w:webHidden/>
              </w:rPr>
              <w:tab/>
            </w:r>
            <w:r>
              <w:rPr>
                <w:noProof/>
                <w:webHidden/>
              </w:rPr>
              <w:fldChar w:fldCharType="begin"/>
            </w:r>
            <w:r>
              <w:rPr>
                <w:noProof/>
                <w:webHidden/>
              </w:rPr>
              <w:instrText xml:space="preserve"> PAGEREF _Toc237087536 \h </w:instrText>
            </w:r>
            <w:r>
              <w:rPr>
                <w:noProof/>
                <w:webHidden/>
              </w:rPr>
            </w:r>
            <w:r>
              <w:rPr>
                <w:noProof/>
                <w:webHidden/>
              </w:rPr>
              <w:fldChar w:fldCharType="separate"/>
            </w:r>
            <w:r>
              <w:rPr>
                <w:noProof/>
                <w:webHidden/>
              </w:rPr>
              <w:t>6</w:t>
            </w:r>
            <w:r>
              <w:rPr>
                <w:noProof/>
                <w:webHidden/>
              </w:rPr>
              <w:fldChar w:fldCharType="end"/>
            </w:r>
          </w:hyperlink>
        </w:p>
        <w:p w14:paraId="5909048F" w14:textId="1AECC01A" w:rsidR="00E71C37" w:rsidRDefault="00E71C37">
          <w:pPr>
            <w:pStyle w:val="TOC1"/>
            <w:rPr>
              <w:rFonts w:eastAsiaTheme="minorEastAsia"/>
              <w:noProof/>
              <w:lang w:eastAsia="en-GB"/>
            </w:rPr>
          </w:pPr>
          <w:hyperlink w:anchor="_Toc237087537" w:history="1">
            <w:r w:rsidRPr="00346777">
              <w:rPr>
                <w:rStyle w:val="Hyperlink"/>
                <w:rFonts w:ascii="Arial" w:hAnsi="Arial" w:cs="Arial"/>
                <w:b/>
                <w:bCs/>
                <w:noProof/>
              </w:rPr>
              <w:t>7. Creating a shared communication system</w:t>
            </w:r>
            <w:r>
              <w:rPr>
                <w:noProof/>
                <w:webHidden/>
              </w:rPr>
              <w:tab/>
            </w:r>
            <w:r>
              <w:rPr>
                <w:noProof/>
                <w:webHidden/>
              </w:rPr>
              <w:fldChar w:fldCharType="begin"/>
            </w:r>
            <w:r>
              <w:rPr>
                <w:noProof/>
                <w:webHidden/>
              </w:rPr>
              <w:instrText xml:space="preserve"> PAGEREF _Toc237087537 \h </w:instrText>
            </w:r>
            <w:r>
              <w:rPr>
                <w:noProof/>
                <w:webHidden/>
              </w:rPr>
            </w:r>
            <w:r>
              <w:rPr>
                <w:noProof/>
                <w:webHidden/>
              </w:rPr>
              <w:fldChar w:fldCharType="separate"/>
            </w:r>
            <w:r>
              <w:rPr>
                <w:noProof/>
                <w:webHidden/>
              </w:rPr>
              <w:t>6</w:t>
            </w:r>
            <w:r>
              <w:rPr>
                <w:noProof/>
                <w:webHidden/>
              </w:rPr>
              <w:fldChar w:fldCharType="end"/>
            </w:r>
          </w:hyperlink>
        </w:p>
        <w:p w14:paraId="4A00C7A0" w14:textId="0BCAEE76" w:rsidR="00E71C37" w:rsidRDefault="00E71C37">
          <w:pPr>
            <w:pStyle w:val="TOC1"/>
            <w:rPr>
              <w:rFonts w:eastAsiaTheme="minorEastAsia"/>
              <w:noProof/>
              <w:lang w:eastAsia="en-GB"/>
            </w:rPr>
          </w:pPr>
          <w:hyperlink w:anchor="_Toc237087538" w:history="1">
            <w:r w:rsidRPr="00346777">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_Toc237087538 \h </w:instrText>
            </w:r>
            <w:r>
              <w:rPr>
                <w:noProof/>
                <w:webHidden/>
              </w:rPr>
            </w:r>
            <w:r>
              <w:rPr>
                <w:noProof/>
                <w:webHidden/>
              </w:rPr>
              <w:fldChar w:fldCharType="separate"/>
            </w:r>
            <w:r>
              <w:rPr>
                <w:noProof/>
                <w:webHidden/>
              </w:rPr>
              <w:t>7</w:t>
            </w:r>
            <w:r>
              <w:rPr>
                <w:noProof/>
                <w:webHidden/>
              </w:rPr>
              <w:fldChar w:fldCharType="end"/>
            </w:r>
          </w:hyperlink>
        </w:p>
        <w:p w14:paraId="1AF731A0" w14:textId="0061924A" w:rsidR="00E71C37" w:rsidRDefault="00E71C37" w:rsidP="00E71C37">
          <w:pPr>
            <w:pStyle w:val="TOC2"/>
            <w:ind w:left="0"/>
            <w:rPr>
              <w:rFonts w:eastAsiaTheme="minorEastAsia"/>
              <w:noProof/>
              <w:lang w:eastAsia="en-GB"/>
            </w:rPr>
          </w:pPr>
          <w:hyperlink w:anchor="_Toc237087539" w:history="1">
            <w:r w:rsidRPr="00346777">
              <w:rPr>
                <w:rStyle w:val="Hyperlink"/>
                <w:rFonts w:ascii="Arial" w:hAnsi="Arial" w:cs="Arial"/>
                <w:b/>
                <w:bCs/>
                <w:noProof/>
              </w:rPr>
              <w:t>9. References</w:t>
            </w:r>
            <w:r>
              <w:rPr>
                <w:noProof/>
                <w:webHidden/>
              </w:rPr>
              <w:tab/>
            </w:r>
            <w:r>
              <w:rPr>
                <w:noProof/>
                <w:webHidden/>
              </w:rPr>
              <w:fldChar w:fldCharType="begin"/>
            </w:r>
            <w:r>
              <w:rPr>
                <w:noProof/>
                <w:webHidden/>
              </w:rPr>
              <w:instrText xml:space="preserve"> PAGEREF _Toc237087539 \h </w:instrText>
            </w:r>
            <w:r>
              <w:rPr>
                <w:noProof/>
                <w:webHidden/>
              </w:rPr>
            </w:r>
            <w:r>
              <w:rPr>
                <w:noProof/>
                <w:webHidden/>
              </w:rPr>
              <w:fldChar w:fldCharType="separate"/>
            </w:r>
            <w:r>
              <w:rPr>
                <w:noProof/>
                <w:webHidden/>
              </w:rPr>
              <w:t>9</w:t>
            </w:r>
            <w:r>
              <w:rPr>
                <w:noProof/>
                <w:webHidden/>
              </w:rPr>
              <w:fldChar w:fldCharType="end"/>
            </w:r>
          </w:hyperlink>
        </w:p>
        <w:p w14:paraId="42E1CBD4" w14:textId="18377B34" w:rsidR="00F46CD7" w:rsidRPr="00E71C37" w:rsidRDefault="00F46CD7" w:rsidP="00E71C37">
          <w:pPr>
            <w:spacing w:line="360" w:lineRule="auto"/>
            <w:jc w:val="both"/>
            <w:rPr>
              <w:rFonts w:ascii="Arial" w:hAnsi="Arial" w:cs="Arial"/>
            </w:rPr>
          </w:pPr>
          <w:r w:rsidRPr="00E71C37">
            <w:rPr>
              <w:rFonts w:ascii="Arial" w:hAnsi="Arial" w:cs="Arial"/>
              <w:b/>
              <w:bCs/>
              <w:noProof/>
            </w:rPr>
            <w:fldChar w:fldCharType="end"/>
          </w:r>
        </w:p>
      </w:sdtContent>
    </w:sdt>
    <w:p w14:paraId="0A6DBA81" w14:textId="77777777" w:rsidR="00B81223" w:rsidRPr="00E71C37" w:rsidRDefault="00B81223" w:rsidP="00E71C37">
      <w:pPr>
        <w:spacing w:line="360" w:lineRule="auto"/>
        <w:jc w:val="both"/>
        <w:rPr>
          <w:rFonts w:ascii="Arial" w:hAnsi="Arial" w:cs="Arial"/>
        </w:rPr>
      </w:pPr>
    </w:p>
    <w:p w14:paraId="2FE72775" w14:textId="77777777" w:rsidR="00B81223" w:rsidRPr="00E71C37" w:rsidRDefault="00B81223" w:rsidP="00E71C37">
      <w:pPr>
        <w:spacing w:line="360" w:lineRule="auto"/>
        <w:jc w:val="both"/>
        <w:rPr>
          <w:rFonts w:ascii="Arial" w:hAnsi="Arial" w:cs="Arial"/>
        </w:rPr>
      </w:pPr>
    </w:p>
    <w:p w14:paraId="55DB506C" w14:textId="77777777" w:rsidR="00B81223" w:rsidRPr="00E71C37" w:rsidRDefault="00B81223" w:rsidP="00E71C37">
      <w:pPr>
        <w:spacing w:line="360" w:lineRule="auto"/>
        <w:jc w:val="both"/>
        <w:rPr>
          <w:rFonts w:ascii="Arial" w:hAnsi="Arial" w:cs="Arial"/>
        </w:rPr>
      </w:pPr>
    </w:p>
    <w:p w14:paraId="4A167E56" w14:textId="77777777" w:rsidR="00B81223" w:rsidRPr="00E71C37" w:rsidRDefault="00B81223" w:rsidP="00E71C37">
      <w:pPr>
        <w:spacing w:line="360" w:lineRule="auto"/>
        <w:jc w:val="both"/>
        <w:rPr>
          <w:rFonts w:ascii="Arial" w:hAnsi="Arial" w:cs="Arial"/>
        </w:rPr>
      </w:pPr>
    </w:p>
    <w:p w14:paraId="10571516" w14:textId="77777777" w:rsidR="00B81223" w:rsidRPr="00E71C37" w:rsidRDefault="00B81223" w:rsidP="00E71C37">
      <w:pPr>
        <w:spacing w:line="360" w:lineRule="auto"/>
        <w:jc w:val="both"/>
        <w:rPr>
          <w:rFonts w:ascii="Arial" w:hAnsi="Arial" w:cs="Arial"/>
        </w:rPr>
      </w:pPr>
    </w:p>
    <w:p w14:paraId="51C54833" w14:textId="77777777" w:rsidR="00F46CD7" w:rsidRPr="00E71C37" w:rsidRDefault="00F46CD7" w:rsidP="00E71C37">
      <w:pPr>
        <w:spacing w:line="360" w:lineRule="auto"/>
        <w:jc w:val="both"/>
        <w:rPr>
          <w:rFonts w:ascii="Arial" w:hAnsi="Arial" w:cs="Arial"/>
        </w:rPr>
      </w:pPr>
    </w:p>
    <w:p w14:paraId="3F2E0ADC" w14:textId="77777777" w:rsidR="003B5F48" w:rsidRPr="00E71C37" w:rsidRDefault="003B5F48" w:rsidP="00E71C37">
      <w:pPr>
        <w:spacing w:line="360" w:lineRule="auto"/>
        <w:jc w:val="both"/>
        <w:rPr>
          <w:rFonts w:ascii="Arial" w:hAnsi="Arial" w:cs="Arial"/>
        </w:rPr>
        <w:sectPr w:rsidR="003B5F48" w:rsidRPr="00E71C37" w:rsidSect="00F46CD7">
          <w:footerReference w:type="default" r:id="rId12"/>
          <w:pgSz w:w="11906" w:h="16838"/>
          <w:pgMar w:top="1134" w:right="850" w:bottom="1134" w:left="1701" w:header="708" w:footer="708" w:gutter="0"/>
          <w:pgNumType w:start="1"/>
          <w:cols w:space="708"/>
          <w:docGrid w:linePitch="360"/>
        </w:sectPr>
      </w:pPr>
    </w:p>
    <w:p w14:paraId="7C839AB1" w14:textId="77777777" w:rsidR="00B81223" w:rsidRPr="00E71C37" w:rsidRDefault="00B81223" w:rsidP="00E71C37">
      <w:pPr>
        <w:spacing w:line="360" w:lineRule="auto"/>
        <w:jc w:val="both"/>
        <w:rPr>
          <w:rFonts w:ascii="Arial" w:hAnsi="Arial" w:cs="Arial"/>
        </w:rPr>
      </w:pPr>
    </w:p>
    <w:p w14:paraId="26D350B8" w14:textId="1CAE1AD6" w:rsidR="00B81223" w:rsidRPr="00E71C37" w:rsidRDefault="00F00CD5" w:rsidP="00E71C37">
      <w:pPr>
        <w:pStyle w:val="Heading1"/>
        <w:numPr>
          <w:ilvl w:val="0"/>
          <w:numId w:val="3"/>
        </w:numPr>
        <w:spacing w:line="360" w:lineRule="auto"/>
        <w:jc w:val="both"/>
        <w:rPr>
          <w:rFonts w:ascii="Arial" w:hAnsi="Arial" w:cs="Arial"/>
          <w:b/>
          <w:bCs/>
          <w:color w:val="auto"/>
          <w:sz w:val="24"/>
          <w:szCs w:val="24"/>
        </w:rPr>
      </w:pPr>
      <w:bookmarkStart w:id="1" w:name="_Toc237087531"/>
      <w:r w:rsidRPr="00E71C37">
        <w:rPr>
          <w:rFonts w:ascii="Arial" w:hAnsi="Arial" w:cs="Arial"/>
          <w:b/>
          <w:bCs/>
          <w:color w:val="auto"/>
          <w:sz w:val="24"/>
          <w:szCs w:val="24"/>
        </w:rPr>
        <w:t>I</w:t>
      </w:r>
      <w:r w:rsidR="00B81223" w:rsidRPr="00E71C37">
        <w:rPr>
          <w:rFonts w:ascii="Arial" w:hAnsi="Arial" w:cs="Arial"/>
          <w:b/>
          <w:bCs/>
          <w:color w:val="auto"/>
          <w:sz w:val="24"/>
          <w:szCs w:val="24"/>
        </w:rPr>
        <w:t>ntroduction</w:t>
      </w:r>
      <w:bookmarkEnd w:id="1"/>
    </w:p>
    <w:p w14:paraId="7E083A36" w14:textId="77777777" w:rsidR="00F00CD5" w:rsidRPr="00E71C37" w:rsidRDefault="00F00CD5" w:rsidP="00E71C37">
      <w:pPr>
        <w:spacing w:line="360" w:lineRule="auto"/>
        <w:jc w:val="both"/>
        <w:rPr>
          <w:rFonts w:ascii="Arial" w:hAnsi="Arial" w:cs="Arial"/>
        </w:rPr>
      </w:pPr>
    </w:p>
    <w:p w14:paraId="6CFDD3F6" w14:textId="41A7621F" w:rsidR="001A4D3D" w:rsidRPr="00E71C37" w:rsidRDefault="001A4D3D" w:rsidP="00E71C37">
      <w:pPr>
        <w:spacing w:line="360" w:lineRule="auto"/>
        <w:jc w:val="both"/>
        <w:rPr>
          <w:rFonts w:ascii="Arial" w:hAnsi="Arial" w:cs="Arial"/>
        </w:rPr>
      </w:pPr>
      <w:r w:rsidRPr="00E71C37">
        <w:rPr>
          <w:rFonts w:ascii="Arial" w:hAnsi="Arial" w:cs="Arial"/>
        </w:rPr>
        <w:t>Japan’s energy market is undergoing major change as the country seeks to balance energy security, affordability, and environmental sustainability. According to the Agency for Natural Resources and Energy (2025), Japan’s Seventh Strategic Energy Plan supports the wider use of renewable energy while also emphasising the importance of a stable and secure supply. This creates opportunities for international partnerships that combine renewable-energy expertise, digital technology and knowledge of Japanese customers and business practices.</w:t>
      </w:r>
    </w:p>
    <w:p w14:paraId="45AFE2ED" w14:textId="7FD1F206" w:rsidR="001A4D3D" w:rsidRPr="00E71C37" w:rsidRDefault="001A4D3D" w:rsidP="00E71C37">
      <w:pPr>
        <w:spacing w:line="360" w:lineRule="auto"/>
        <w:jc w:val="both"/>
        <w:rPr>
          <w:rFonts w:ascii="Arial" w:hAnsi="Arial" w:cs="Arial"/>
        </w:rPr>
      </w:pPr>
      <w:r w:rsidRPr="00E71C37">
        <w:rPr>
          <w:rFonts w:ascii="Arial" w:hAnsi="Arial" w:cs="Arial"/>
        </w:rPr>
        <w:t>Octopus Energy Group is a UK-based energy and technology company founded in 2016. According to Octopus Energy Group (n.d.), the company uses technology, data, and renewable-energy solutions to make green energy more affordable and accessible. Its activities include energy retail, renewable generation, electric vehicles, and energy services, supported by Kraken, its digital platform for energy management and customer service.</w:t>
      </w:r>
    </w:p>
    <w:p w14:paraId="5691BA3B" w14:textId="29E33386" w:rsidR="001A4D3D" w:rsidRPr="00E71C37" w:rsidRDefault="001A4D3D" w:rsidP="00E71C37">
      <w:pPr>
        <w:spacing w:line="360" w:lineRule="auto"/>
        <w:jc w:val="both"/>
        <w:rPr>
          <w:rFonts w:ascii="Arial" w:hAnsi="Arial" w:cs="Arial"/>
        </w:rPr>
      </w:pPr>
      <w:r w:rsidRPr="00E71C37">
        <w:rPr>
          <w:rFonts w:ascii="Arial" w:hAnsi="Arial" w:cs="Arial"/>
        </w:rPr>
        <w:t>Tokyo Gas is one of Japan’s longest-established energy companies. Tokyo Gas Co., Ltd. (n.d.) explains that its operations include gas and electricity supply, liquefied natural gas, infrastructure, engineering services and international business. Its local knowledge, established customer base and energy-sector experience make it a suitable partner for Octopus Energy.</w:t>
      </w:r>
    </w:p>
    <w:p w14:paraId="2D3821EA" w14:textId="0F7AFD73" w:rsidR="001A4D3D" w:rsidRPr="00E71C37" w:rsidRDefault="001A4D3D" w:rsidP="00E71C37">
      <w:pPr>
        <w:spacing w:line="360" w:lineRule="auto"/>
        <w:jc w:val="both"/>
        <w:rPr>
          <w:rFonts w:ascii="Arial" w:hAnsi="Arial" w:cs="Arial"/>
        </w:rPr>
      </w:pPr>
      <w:r w:rsidRPr="00E71C37">
        <w:rPr>
          <w:rFonts w:ascii="Arial" w:hAnsi="Arial" w:cs="Arial"/>
        </w:rPr>
        <w:t>According to Octopus Energy (2020), the companies announced their partnership in December 2020 and formed TG Octopus Energy. The joint venture combines Octopus Energy’s renewable model and Kraken technology with Tokyo Gas’s market experience. This essay critically evaluates how differences in directness, hierarchy, decision-making, feedback, and the interpretation of silence may create misunderstanding between British and Japanese employees, using Hall’s high- and low-context theory and Hofstede’s cultural dimensions.</w:t>
      </w:r>
    </w:p>
    <w:p w14:paraId="05E58775" w14:textId="77777777" w:rsidR="00E32E88" w:rsidRPr="00E71C37" w:rsidRDefault="00E32E88" w:rsidP="00E71C37">
      <w:pPr>
        <w:spacing w:line="360" w:lineRule="auto"/>
        <w:jc w:val="both"/>
        <w:rPr>
          <w:rFonts w:ascii="Arial" w:hAnsi="Arial" w:cs="Arial"/>
        </w:rPr>
      </w:pPr>
    </w:p>
    <w:p w14:paraId="51B658B0" w14:textId="77777777" w:rsidR="00881D94" w:rsidRPr="00E71C37" w:rsidRDefault="00881D94" w:rsidP="00E71C37">
      <w:pPr>
        <w:spacing w:line="360" w:lineRule="auto"/>
        <w:jc w:val="both"/>
        <w:rPr>
          <w:rFonts w:ascii="Arial" w:hAnsi="Arial" w:cs="Arial"/>
        </w:rPr>
      </w:pPr>
    </w:p>
    <w:p w14:paraId="1AA69D00" w14:textId="77777777" w:rsidR="001A4D3D" w:rsidRPr="00E71C37" w:rsidRDefault="001A4D3D" w:rsidP="00E71C37">
      <w:pPr>
        <w:pStyle w:val="Heading1"/>
        <w:spacing w:line="360" w:lineRule="auto"/>
        <w:jc w:val="both"/>
        <w:rPr>
          <w:rFonts w:ascii="Arial" w:hAnsi="Arial" w:cs="Arial"/>
          <w:b/>
          <w:bCs/>
          <w:color w:val="auto"/>
          <w:sz w:val="24"/>
          <w:szCs w:val="24"/>
        </w:rPr>
      </w:pPr>
      <w:bookmarkStart w:id="2" w:name="_Toc237087532"/>
      <w:r w:rsidRPr="00E71C37">
        <w:rPr>
          <w:rFonts w:ascii="Arial" w:hAnsi="Arial" w:cs="Arial"/>
          <w:b/>
          <w:bCs/>
          <w:color w:val="auto"/>
          <w:sz w:val="24"/>
          <w:szCs w:val="24"/>
        </w:rPr>
        <w:lastRenderedPageBreak/>
        <w:t>2. Cultural interpretation in a technology-led joint venture</w:t>
      </w:r>
      <w:bookmarkEnd w:id="2"/>
    </w:p>
    <w:p w14:paraId="04E1BDFA" w14:textId="77777777" w:rsidR="001A4D3D" w:rsidRPr="00E71C37" w:rsidRDefault="001A4D3D" w:rsidP="00E71C37">
      <w:pPr>
        <w:pStyle w:val="NormalWeb"/>
        <w:spacing w:line="360" w:lineRule="auto"/>
        <w:jc w:val="both"/>
        <w:rPr>
          <w:rFonts w:ascii="Arial" w:hAnsi="Arial" w:cs="Arial"/>
        </w:rPr>
      </w:pPr>
    </w:p>
    <w:p w14:paraId="71BDE079" w14:textId="1ED0DD05" w:rsidR="001A4D3D" w:rsidRPr="00E71C37" w:rsidRDefault="001A4D3D" w:rsidP="00E71C37">
      <w:pPr>
        <w:pStyle w:val="NormalWeb"/>
        <w:spacing w:line="360" w:lineRule="auto"/>
        <w:jc w:val="both"/>
        <w:rPr>
          <w:rFonts w:ascii="Arial" w:hAnsi="Arial" w:cs="Arial"/>
        </w:rPr>
      </w:pPr>
      <w:r w:rsidRPr="00E71C37">
        <w:rPr>
          <w:rFonts w:ascii="Arial" w:hAnsi="Arial" w:cs="Arial"/>
        </w:rPr>
        <w:t xml:space="preserve">The Octopus Energy–Tokyo Gas partnership involves more than transferring a British energy brand into Japan. According to Octopus Energy (2020), the joint venture combines Octopus Energy’s renewable-energy model and Kraken technology with Tokyo Gas’s knowledge of the Japanese market. Its success therefore depends on how effectively employees exchange technical knowledge, interpret customer </w:t>
      </w:r>
      <w:r w:rsidR="004D5DED" w:rsidRPr="00E71C37">
        <w:rPr>
          <w:rFonts w:ascii="Arial" w:hAnsi="Arial" w:cs="Arial"/>
        </w:rPr>
        <w:t>expectations,</w:t>
      </w:r>
      <w:r w:rsidRPr="00E71C37">
        <w:rPr>
          <w:rFonts w:ascii="Arial" w:hAnsi="Arial" w:cs="Arial"/>
        </w:rPr>
        <w:t xml:space="preserve"> and adapt British digital systems to Japan.</w:t>
      </w:r>
    </w:p>
    <w:p w14:paraId="304517AE" w14:textId="73CEF354" w:rsidR="001A4D3D" w:rsidRPr="00E71C37" w:rsidRDefault="001A4D3D" w:rsidP="00E71C37">
      <w:pPr>
        <w:pStyle w:val="NormalWeb"/>
        <w:spacing w:line="360" w:lineRule="auto"/>
        <w:jc w:val="both"/>
        <w:rPr>
          <w:rFonts w:ascii="Arial" w:hAnsi="Arial" w:cs="Arial"/>
        </w:rPr>
      </w:pPr>
      <w:r w:rsidRPr="00E71C37">
        <w:rPr>
          <w:rFonts w:ascii="Arial" w:hAnsi="Arial" w:cs="Arial"/>
        </w:rPr>
        <w:t xml:space="preserve">Hall’s high- and low-context framework helps explain why the same message may be understood differently. According to Hall (1976), high-context communication relies strongly on relationships, shared </w:t>
      </w:r>
      <w:r w:rsidR="004D5DED" w:rsidRPr="00E71C37">
        <w:rPr>
          <w:rFonts w:ascii="Arial" w:hAnsi="Arial" w:cs="Arial"/>
        </w:rPr>
        <w:t>knowledge,</w:t>
      </w:r>
      <w:r w:rsidRPr="00E71C37">
        <w:rPr>
          <w:rFonts w:ascii="Arial" w:hAnsi="Arial" w:cs="Arial"/>
        </w:rPr>
        <w:t xml:space="preserve"> and non-verbal signals, whereas low-context communication gives greater importance to direct explanations. Japan is generally regarded as more </w:t>
      </w:r>
      <w:proofErr w:type="gramStart"/>
      <w:r w:rsidRPr="00E71C37">
        <w:rPr>
          <w:rFonts w:ascii="Arial" w:hAnsi="Arial" w:cs="Arial"/>
        </w:rPr>
        <w:t>high-context</w:t>
      </w:r>
      <w:proofErr w:type="gramEnd"/>
      <w:r w:rsidRPr="00E71C37">
        <w:rPr>
          <w:rFonts w:ascii="Arial" w:hAnsi="Arial" w:cs="Arial"/>
        </w:rPr>
        <w:t xml:space="preserve"> than the UK. Tokyo Gas employees may therefore consider tone, </w:t>
      </w:r>
      <w:r w:rsidR="004D5DED" w:rsidRPr="00E71C37">
        <w:rPr>
          <w:rFonts w:ascii="Arial" w:hAnsi="Arial" w:cs="Arial"/>
        </w:rPr>
        <w:t>timing,</w:t>
      </w:r>
      <w:r w:rsidRPr="00E71C37">
        <w:rPr>
          <w:rFonts w:ascii="Arial" w:hAnsi="Arial" w:cs="Arial"/>
        </w:rPr>
        <w:t xml:space="preserve"> and the wider relationship, while Octopus Energy employees may expect concerns and actions to be stated explicitly. Sethi and Yildiz (2026) similarly argue that culture influences how communication is interpreted. Even when both teams use English, terms such as “ready for launch” or “acceptable risk” may not carry the same meaning.</w:t>
      </w:r>
    </w:p>
    <w:p w14:paraId="4A116EEE" w14:textId="2728B47F" w:rsidR="00E71C37" w:rsidRPr="00E71C37" w:rsidRDefault="00E71C37" w:rsidP="00E71C37">
      <w:pPr>
        <w:pStyle w:val="NormalWeb"/>
        <w:spacing w:line="360" w:lineRule="auto"/>
        <w:jc w:val="both"/>
        <w:rPr>
          <w:rFonts w:ascii="Arial" w:hAnsi="Arial" w:cs="Arial"/>
        </w:rPr>
      </w:pPr>
      <w:r w:rsidRPr="00E71C37">
        <w:rPr>
          <w:rFonts w:ascii="Arial" w:hAnsi="Arial" w:cs="Arial"/>
        </w:rPr>
        <w:t>Hofstede’s dimensions offer further insight. According to The Culture Factor Group (n.d.), the UK scores 76 for individualism compared with 62 for Japan, while Japan scores 92 for uncertainty avoidance and 100 for long-term orientation, compared with 35 and 60 for the UK. These differences suggest that British employees may be more comfortable using individual judgement, whereas Japanese employees may prefer wider consultation and stronger evidence before introducing risk. Minkov and Kaasa (2022) note that cultural dimensions continue to be tested and revised, so national scores should be treated as comparative indicators rather than fixed predictors of individual behaviour.</w:t>
      </w:r>
    </w:p>
    <w:p w14:paraId="0DD7CBE1" w14:textId="0091AEFA" w:rsidR="001A4D3D" w:rsidRPr="00E71C37" w:rsidRDefault="001A4D3D" w:rsidP="00E71C37">
      <w:pPr>
        <w:pStyle w:val="gjcqjg1a"/>
        <w:spacing w:line="360" w:lineRule="auto"/>
        <w:jc w:val="both"/>
        <w:rPr>
          <w:rFonts w:ascii="Arial" w:hAnsi="Arial" w:cs="Arial"/>
        </w:rPr>
      </w:pPr>
      <w:r w:rsidRPr="00E71C37">
        <w:rPr>
          <w:rFonts w:ascii="Arial" w:hAnsi="Arial" w:cs="Arial"/>
        </w:rPr>
        <w:t xml:space="preserve">However, </w:t>
      </w:r>
      <w:r w:rsidR="00E71C37" w:rsidRPr="00E71C37">
        <w:rPr>
          <w:rFonts w:ascii="Arial" w:hAnsi="Arial" w:cs="Arial"/>
        </w:rPr>
        <w:t>these scores</w:t>
      </w:r>
      <w:r w:rsidR="00E71C37" w:rsidRPr="00E71C37">
        <w:rPr>
          <w:rFonts w:ascii="Arial" w:hAnsi="Arial" w:cs="Arial"/>
        </w:rPr>
        <w:t xml:space="preserve"> are national averages rather than fixed behaviours. Octopus Energy’s technology-led business model may encourage experimentation, while Tokyo Gas’s established position in a regulated market could reinforce procedural caution and risk management. Hall and Hofstede should therefore be used to identify potential communication risks rather than stereotype employees. Their value lies in helping </w:t>
      </w:r>
      <w:r w:rsidR="00E71C37" w:rsidRPr="00E71C37">
        <w:rPr>
          <w:rFonts w:ascii="Arial" w:hAnsi="Arial" w:cs="Arial"/>
        </w:rPr>
        <w:lastRenderedPageBreak/>
        <w:t xml:space="preserve">managers question how meaning, authority and risk may be interpreted differently while recognising the influence of organisational culture, professional </w:t>
      </w:r>
      <w:r w:rsidR="00E71C37" w:rsidRPr="00E71C37">
        <w:rPr>
          <w:rFonts w:ascii="Arial" w:hAnsi="Arial" w:cs="Arial"/>
        </w:rPr>
        <w:t>responsibilities,</w:t>
      </w:r>
      <w:r w:rsidR="00E71C37" w:rsidRPr="00E71C37">
        <w:rPr>
          <w:rFonts w:ascii="Arial" w:hAnsi="Arial" w:cs="Arial"/>
        </w:rPr>
        <w:t xml:space="preserve"> and individual experience.</w:t>
      </w:r>
    </w:p>
    <w:p w14:paraId="2AB5311C" w14:textId="77777777" w:rsidR="001A4D3D" w:rsidRPr="00E71C37" w:rsidRDefault="001A4D3D" w:rsidP="00E71C37">
      <w:pPr>
        <w:pStyle w:val="NormalWeb"/>
        <w:spacing w:line="360" w:lineRule="auto"/>
        <w:jc w:val="both"/>
        <w:rPr>
          <w:rFonts w:ascii="Arial" w:hAnsi="Arial" w:cs="Arial"/>
        </w:rPr>
      </w:pPr>
    </w:p>
    <w:p w14:paraId="0429C5C2" w14:textId="77777777" w:rsidR="001A4D3D" w:rsidRPr="00E71C37" w:rsidRDefault="001A4D3D" w:rsidP="00E71C37">
      <w:pPr>
        <w:pStyle w:val="Heading1"/>
        <w:spacing w:line="360" w:lineRule="auto"/>
        <w:jc w:val="both"/>
        <w:rPr>
          <w:rFonts w:ascii="Arial" w:hAnsi="Arial" w:cs="Arial"/>
          <w:b/>
          <w:bCs/>
          <w:color w:val="auto"/>
          <w:sz w:val="24"/>
          <w:szCs w:val="24"/>
        </w:rPr>
      </w:pPr>
      <w:bookmarkStart w:id="3" w:name="_Toc237087533"/>
      <w:r w:rsidRPr="00E71C37">
        <w:rPr>
          <w:rFonts w:ascii="Arial" w:hAnsi="Arial" w:cs="Arial"/>
          <w:b/>
          <w:bCs/>
          <w:color w:val="auto"/>
          <w:sz w:val="24"/>
          <w:szCs w:val="24"/>
        </w:rPr>
        <w:t>3. Translating Kraken into the Japanese market</w:t>
      </w:r>
      <w:bookmarkEnd w:id="3"/>
    </w:p>
    <w:p w14:paraId="51945AFF" w14:textId="77777777" w:rsidR="001A4D3D" w:rsidRPr="00E71C37" w:rsidRDefault="001A4D3D" w:rsidP="00E71C37">
      <w:pPr>
        <w:pStyle w:val="NormalWeb"/>
        <w:spacing w:line="360" w:lineRule="auto"/>
        <w:jc w:val="both"/>
        <w:rPr>
          <w:rFonts w:ascii="Arial" w:hAnsi="Arial" w:cs="Arial"/>
        </w:rPr>
      </w:pPr>
    </w:p>
    <w:p w14:paraId="4E654C8C" w14:textId="65A292A2" w:rsidR="001A4D3D" w:rsidRPr="00E71C37" w:rsidRDefault="001A4D3D" w:rsidP="00E71C37">
      <w:pPr>
        <w:pStyle w:val="NormalWeb"/>
        <w:spacing w:line="360" w:lineRule="auto"/>
        <w:jc w:val="both"/>
        <w:rPr>
          <w:rFonts w:ascii="Arial" w:hAnsi="Arial" w:cs="Arial"/>
        </w:rPr>
      </w:pPr>
      <w:r w:rsidRPr="00E71C37">
        <w:rPr>
          <w:rFonts w:ascii="Arial" w:hAnsi="Arial" w:cs="Arial"/>
        </w:rPr>
        <w:t xml:space="preserve">A major communication challenge may arise when deciding how Kraken and Octopus Energy’s customer-service model should operate in Japan. </w:t>
      </w:r>
      <w:r w:rsidR="004D5DED" w:rsidRPr="00E71C37">
        <w:rPr>
          <w:rFonts w:ascii="Arial" w:hAnsi="Arial" w:cs="Arial"/>
        </w:rPr>
        <w:t xml:space="preserve">In joint product discussions, Octopus Energy employees may be more likely to emphasise technological capability and implementation speed, whereas Tokyo Gas representatives could place greater emphasis on Japanese customer expectations, internal </w:t>
      </w:r>
      <w:proofErr w:type="gramStart"/>
      <w:r w:rsidR="004D5DED" w:rsidRPr="00E71C37">
        <w:rPr>
          <w:rFonts w:ascii="Arial" w:hAnsi="Arial" w:cs="Arial"/>
        </w:rPr>
        <w:t>procedures</w:t>
      </w:r>
      <w:proofErr w:type="gramEnd"/>
      <w:r w:rsidR="004D5DED" w:rsidRPr="00E71C37">
        <w:rPr>
          <w:rFonts w:ascii="Arial" w:hAnsi="Arial" w:cs="Arial"/>
        </w:rPr>
        <w:t xml:space="preserve"> and reputational considerations.</w:t>
      </w:r>
    </w:p>
    <w:p w14:paraId="07D8E5D5" w14:textId="15C9B4DC" w:rsidR="001A4D3D" w:rsidRPr="00E71C37" w:rsidRDefault="001A4D3D" w:rsidP="00E71C37">
      <w:pPr>
        <w:pStyle w:val="NormalWeb"/>
        <w:spacing w:line="360" w:lineRule="auto"/>
        <w:jc w:val="both"/>
        <w:rPr>
          <w:rFonts w:ascii="Arial" w:hAnsi="Arial" w:cs="Arial"/>
        </w:rPr>
      </w:pPr>
      <w:r w:rsidRPr="00E71C37">
        <w:rPr>
          <w:rFonts w:ascii="Arial" w:hAnsi="Arial" w:cs="Arial"/>
        </w:rPr>
        <w:t>For example, Octopus Energy specialists might state that an automated tariff-change feature has succeeded elsewhere and is technically ready. Tokyo Gas representatives might reply that it “requires further internal coordination”. The British team could interpret this as a minor implementation issue, although Tokyo Gas may be signalling wider concerns about customer communication, regulation, data handling or service quality.</w:t>
      </w:r>
    </w:p>
    <w:p w14:paraId="3D1A4E6A" w14:textId="28210B95" w:rsidR="001A4D3D" w:rsidRPr="00E71C37" w:rsidRDefault="001A4D3D" w:rsidP="00E71C37">
      <w:pPr>
        <w:pStyle w:val="NormalWeb"/>
        <w:spacing w:line="360" w:lineRule="auto"/>
        <w:jc w:val="both"/>
        <w:rPr>
          <w:rFonts w:ascii="Arial" w:hAnsi="Arial" w:cs="Arial"/>
        </w:rPr>
      </w:pPr>
      <w:r w:rsidRPr="00E71C37">
        <w:rPr>
          <w:rFonts w:ascii="Arial" w:hAnsi="Arial" w:cs="Arial"/>
        </w:rPr>
        <w:t>Hall’s theory explains why the response may carry more meaning than its literal wording. Levitt (2022) argues that high- and low-context differences can affect international teamwork because each side assumes its intention is clear. If Octopus Energy proceeds without recognising the concern, Tokyo Gas may feel that its local knowledge has been undervalued.</w:t>
      </w:r>
    </w:p>
    <w:p w14:paraId="501FCCF6" w14:textId="7ED1BF30" w:rsidR="001A4D3D" w:rsidRPr="00E71C37" w:rsidRDefault="001A4D3D" w:rsidP="00E71C37">
      <w:pPr>
        <w:pStyle w:val="NormalWeb"/>
        <w:spacing w:line="360" w:lineRule="auto"/>
        <w:jc w:val="both"/>
        <w:rPr>
          <w:rFonts w:ascii="Arial" w:hAnsi="Arial" w:cs="Arial"/>
        </w:rPr>
      </w:pPr>
      <w:r w:rsidRPr="00E71C37">
        <w:rPr>
          <w:rFonts w:ascii="Arial" w:hAnsi="Arial" w:cs="Arial"/>
        </w:rPr>
        <w:t>However, greater directness alone is not the solution. Tokyo Gas employees may communicate cautiously because they are responsible for consequences less visible to the technology team. Zakaria and Ab Rahman Muton (2022) show that high-context team members can make concerns more explicit, but Octopus Energy must also ask focused questions rather than treating the absence of rejection as support.</w:t>
      </w:r>
    </w:p>
    <w:p w14:paraId="72B9573E" w14:textId="6C701C37" w:rsidR="001A4D3D" w:rsidRPr="00E71C37" w:rsidRDefault="001A4D3D" w:rsidP="00E71C37">
      <w:pPr>
        <w:pStyle w:val="NormalWeb"/>
        <w:spacing w:line="360" w:lineRule="auto"/>
        <w:jc w:val="both"/>
        <w:rPr>
          <w:rFonts w:ascii="Arial" w:hAnsi="Arial" w:cs="Arial"/>
        </w:rPr>
      </w:pPr>
      <w:r w:rsidRPr="00E71C37">
        <w:rPr>
          <w:rFonts w:ascii="Arial" w:hAnsi="Arial" w:cs="Arial"/>
        </w:rPr>
        <w:t xml:space="preserve">The real issue is the translation of expertise: Kraken knowledge and Japanese market knowledge must be treated as equally important. Without this balance, technical </w:t>
      </w:r>
      <w:r w:rsidRPr="00E71C37">
        <w:rPr>
          <w:rFonts w:ascii="Arial" w:hAnsi="Arial" w:cs="Arial"/>
        </w:rPr>
        <w:lastRenderedPageBreak/>
        <w:t>confidence could be mistaken for commercial readiness, while cautious local advice could be misread as resistance to innovation</w:t>
      </w:r>
      <w:r w:rsidR="004D5DED" w:rsidRPr="00E71C37">
        <w:rPr>
          <w:rFonts w:ascii="Arial" w:hAnsi="Arial" w:cs="Arial"/>
        </w:rPr>
        <w:t>.</w:t>
      </w:r>
    </w:p>
    <w:p w14:paraId="3CBAC3FB" w14:textId="77777777" w:rsidR="00FA4C05" w:rsidRPr="00E71C37" w:rsidRDefault="00FA4C05" w:rsidP="00E71C37">
      <w:pPr>
        <w:pStyle w:val="NormalWeb"/>
        <w:spacing w:line="360" w:lineRule="auto"/>
        <w:jc w:val="both"/>
        <w:rPr>
          <w:rFonts w:ascii="Arial" w:hAnsi="Arial" w:cs="Arial"/>
        </w:rPr>
      </w:pPr>
    </w:p>
    <w:p w14:paraId="4B54E7D3" w14:textId="15FD5B10" w:rsidR="001A4D3D" w:rsidRPr="00E71C37" w:rsidRDefault="001A4D3D" w:rsidP="00E71C37">
      <w:pPr>
        <w:pStyle w:val="Heading1"/>
        <w:spacing w:line="360" w:lineRule="auto"/>
        <w:jc w:val="both"/>
        <w:rPr>
          <w:rFonts w:ascii="Arial" w:hAnsi="Arial" w:cs="Arial"/>
          <w:b/>
          <w:bCs/>
          <w:color w:val="auto"/>
          <w:sz w:val="24"/>
          <w:szCs w:val="24"/>
        </w:rPr>
      </w:pPr>
      <w:bookmarkStart w:id="4" w:name="_Toc237087534"/>
      <w:r w:rsidRPr="00E71C37">
        <w:rPr>
          <w:rFonts w:ascii="Arial" w:hAnsi="Arial" w:cs="Arial"/>
          <w:b/>
          <w:bCs/>
          <w:color w:val="auto"/>
          <w:sz w:val="24"/>
          <w:szCs w:val="24"/>
        </w:rPr>
        <w:t xml:space="preserve">4. Product localisation, </w:t>
      </w:r>
      <w:r w:rsidR="004D5DED" w:rsidRPr="00E71C37">
        <w:rPr>
          <w:rFonts w:ascii="Arial" w:hAnsi="Arial" w:cs="Arial"/>
          <w:b/>
          <w:bCs/>
          <w:color w:val="auto"/>
          <w:sz w:val="24"/>
          <w:szCs w:val="24"/>
        </w:rPr>
        <w:t>risk,</w:t>
      </w:r>
      <w:r w:rsidRPr="00E71C37">
        <w:rPr>
          <w:rFonts w:ascii="Arial" w:hAnsi="Arial" w:cs="Arial"/>
          <w:b/>
          <w:bCs/>
          <w:color w:val="auto"/>
          <w:sz w:val="24"/>
          <w:szCs w:val="24"/>
        </w:rPr>
        <w:t xml:space="preserve"> and approval</w:t>
      </w:r>
      <w:bookmarkEnd w:id="4"/>
    </w:p>
    <w:p w14:paraId="134E5EB3" w14:textId="77777777" w:rsidR="001A4D3D" w:rsidRPr="00E71C37" w:rsidRDefault="001A4D3D" w:rsidP="00E71C37">
      <w:pPr>
        <w:pStyle w:val="NormalWeb"/>
        <w:spacing w:line="360" w:lineRule="auto"/>
        <w:jc w:val="both"/>
        <w:rPr>
          <w:rFonts w:ascii="Arial" w:hAnsi="Arial" w:cs="Arial"/>
        </w:rPr>
      </w:pPr>
    </w:p>
    <w:p w14:paraId="7D3C37CC" w14:textId="5964F173" w:rsidR="001A4D3D" w:rsidRPr="00E71C37" w:rsidRDefault="001A4D3D" w:rsidP="00E71C37">
      <w:pPr>
        <w:pStyle w:val="NormalWeb"/>
        <w:spacing w:line="360" w:lineRule="auto"/>
        <w:jc w:val="both"/>
        <w:rPr>
          <w:rFonts w:ascii="Arial" w:hAnsi="Arial" w:cs="Arial"/>
        </w:rPr>
      </w:pPr>
      <w:r w:rsidRPr="00E71C37">
        <w:rPr>
          <w:rFonts w:ascii="Arial" w:hAnsi="Arial" w:cs="Arial"/>
        </w:rPr>
        <w:t>Renewable tariffs and digital services may create different expectations about approval. Octopus Energy’s model supports innovation and rapid technological use, whereas Tokyo Gas operates in a market where reliability, customer confidence and compliance are central. Japan’s Seventh Strategic Energy Plan also shows the need to balance renewable-energy expansion with energy security and stable supply (Agency for Natural Resources and Energy, 2025).</w:t>
      </w:r>
    </w:p>
    <w:p w14:paraId="0A359016" w14:textId="77777777" w:rsidR="001A4D3D" w:rsidRPr="00E71C37" w:rsidRDefault="001A4D3D" w:rsidP="00E71C37">
      <w:pPr>
        <w:pStyle w:val="NormalWeb"/>
        <w:spacing w:line="360" w:lineRule="auto"/>
        <w:jc w:val="both"/>
        <w:rPr>
          <w:rFonts w:ascii="Arial" w:hAnsi="Arial" w:cs="Arial"/>
        </w:rPr>
      </w:pPr>
      <w:r w:rsidRPr="00E71C37">
        <w:rPr>
          <w:rFonts w:ascii="Arial" w:hAnsi="Arial" w:cs="Arial"/>
        </w:rPr>
        <w:t>A proposed tariff encouraging customers to use electricity during lower-demand periods illustrates the tension. Octopus Energy managers may prefer a limited trial followed by adjustment, while Tokyo Gas may seek approval from legal, billing, customer-service and technical departments first. The British team could view consultation as slowing innovation; the Japanese team could view rapid testing as an avoidable customer and reputational risk.</w:t>
      </w:r>
    </w:p>
    <w:p w14:paraId="129715AB" w14:textId="270D262B" w:rsidR="001A4D3D" w:rsidRPr="00E71C37" w:rsidRDefault="001A4D3D" w:rsidP="00E71C37">
      <w:pPr>
        <w:pStyle w:val="NormalWeb"/>
        <w:spacing w:line="360" w:lineRule="auto"/>
        <w:jc w:val="both"/>
        <w:rPr>
          <w:rFonts w:ascii="Arial" w:hAnsi="Arial" w:cs="Arial"/>
        </w:rPr>
      </w:pPr>
      <w:r w:rsidRPr="00E71C37">
        <w:rPr>
          <w:rFonts w:ascii="Arial" w:hAnsi="Arial" w:cs="Arial"/>
        </w:rPr>
        <w:t>Hofstede</w:t>
      </w:r>
      <w:r w:rsidR="00931795" w:rsidRPr="00E71C37">
        <w:rPr>
          <w:rFonts w:ascii="Arial" w:hAnsi="Arial" w:cs="Arial"/>
        </w:rPr>
        <w:t xml:space="preserve"> et</w:t>
      </w:r>
      <w:r w:rsidR="00E71C37" w:rsidRPr="00E71C37">
        <w:rPr>
          <w:rFonts w:ascii="Arial" w:hAnsi="Arial" w:cs="Arial"/>
        </w:rPr>
        <w:t xml:space="preserve"> </w:t>
      </w:r>
      <w:r w:rsidR="00931795" w:rsidRPr="00E71C37">
        <w:rPr>
          <w:rFonts w:ascii="Arial" w:hAnsi="Arial" w:cs="Arial"/>
        </w:rPr>
        <w:t>al.</w:t>
      </w:r>
      <w:r w:rsidRPr="00E71C37">
        <w:rPr>
          <w:rFonts w:ascii="Arial" w:hAnsi="Arial" w:cs="Arial"/>
        </w:rPr>
        <w:t xml:space="preserve"> (2010) suggest that uncertainty avoidance influences preferences for structure and predictability. Japan’s higher score may therefore support detailed review, while long-term orientation may encourage attention to customer trust and reputation</w:t>
      </w:r>
      <w:r w:rsidR="004D5DED" w:rsidRPr="00E71C37">
        <w:rPr>
          <w:rFonts w:ascii="Arial" w:hAnsi="Arial" w:cs="Arial"/>
        </w:rPr>
        <w:t>. However, greater caution should not automatically be attributed to Japanese national culture, because energy products involve billing, customer data, regulatory obligations, and essential services. Similarly, a preference for rapid experimentation may reflect Octopus Energy’s business model and competitive strategy rather than British culture itself.</w:t>
      </w:r>
    </w:p>
    <w:p w14:paraId="77DE339A" w14:textId="0B77B76B" w:rsidR="001A4D3D" w:rsidRPr="00E71C37" w:rsidRDefault="001A4D3D" w:rsidP="00E71C37">
      <w:pPr>
        <w:pStyle w:val="NormalWeb"/>
        <w:spacing w:line="360" w:lineRule="auto"/>
        <w:jc w:val="both"/>
        <w:rPr>
          <w:rFonts w:ascii="Arial" w:hAnsi="Arial" w:cs="Arial"/>
        </w:rPr>
      </w:pPr>
      <w:r w:rsidRPr="00E71C37">
        <w:rPr>
          <w:rFonts w:ascii="Arial" w:hAnsi="Arial" w:cs="Arial"/>
        </w:rPr>
        <w:t xml:space="preserve">Ashta et al. (2025) show that Japanese management practices can adapt through international interaction. The partnership could therefore separate reversible trials from high-impact decisions. Small technical tests could be delegated, while changes affecting tariffs, customer communication or regulation should require broader approval. This </w:t>
      </w:r>
      <w:r w:rsidRPr="00E71C37">
        <w:rPr>
          <w:rFonts w:ascii="Arial" w:hAnsi="Arial" w:cs="Arial"/>
        </w:rPr>
        <w:lastRenderedPageBreak/>
        <w:t>balances innovation with responsible risk management and clarifies which decisions can be tested quickly and which require wider organisational commitment.</w:t>
      </w:r>
    </w:p>
    <w:p w14:paraId="0FC279A8" w14:textId="77777777" w:rsidR="006D25CB" w:rsidRPr="00E71C37" w:rsidRDefault="006D25CB" w:rsidP="00E71C37">
      <w:pPr>
        <w:pStyle w:val="NormalWeb"/>
        <w:spacing w:line="360" w:lineRule="auto"/>
        <w:jc w:val="both"/>
        <w:rPr>
          <w:rFonts w:ascii="Arial" w:hAnsi="Arial" w:cs="Arial"/>
        </w:rPr>
      </w:pPr>
    </w:p>
    <w:p w14:paraId="226E9AC6" w14:textId="15E7D914" w:rsidR="001A4D3D" w:rsidRPr="00E71C37" w:rsidRDefault="001A4D3D" w:rsidP="00E71C37">
      <w:pPr>
        <w:pStyle w:val="Heading1"/>
        <w:spacing w:line="360" w:lineRule="auto"/>
        <w:jc w:val="both"/>
        <w:rPr>
          <w:rFonts w:ascii="Arial" w:hAnsi="Arial" w:cs="Arial"/>
          <w:b/>
          <w:bCs/>
          <w:color w:val="auto"/>
          <w:sz w:val="24"/>
          <w:szCs w:val="24"/>
        </w:rPr>
      </w:pPr>
      <w:bookmarkStart w:id="5" w:name="_Toc237087535"/>
      <w:r w:rsidRPr="00E71C37">
        <w:rPr>
          <w:rFonts w:ascii="Arial" w:hAnsi="Arial" w:cs="Arial"/>
          <w:b/>
          <w:bCs/>
          <w:color w:val="auto"/>
          <w:sz w:val="24"/>
          <w:szCs w:val="24"/>
        </w:rPr>
        <w:t xml:space="preserve">5. Authority, </w:t>
      </w:r>
      <w:r w:rsidR="00881D94" w:rsidRPr="00E71C37">
        <w:rPr>
          <w:rFonts w:ascii="Arial" w:hAnsi="Arial" w:cs="Arial"/>
          <w:b/>
          <w:bCs/>
          <w:color w:val="auto"/>
          <w:sz w:val="24"/>
          <w:szCs w:val="24"/>
        </w:rPr>
        <w:t>expertise,</w:t>
      </w:r>
      <w:r w:rsidRPr="00E71C37">
        <w:rPr>
          <w:rFonts w:ascii="Arial" w:hAnsi="Arial" w:cs="Arial"/>
          <w:b/>
          <w:bCs/>
          <w:color w:val="auto"/>
          <w:sz w:val="24"/>
          <w:szCs w:val="24"/>
        </w:rPr>
        <w:t xml:space="preserve"> and constructive challenge</w:t>
      </w:r>
      <w:bookmarkEnd w:id="5"/>
    </w:p>
    <w:p w14:paraId="08347347" w14:textId="77777777" w:rsidR="001A4D3D" w:rsidRPr="00E71C37" w:rsidRDefault="001A4D3D" w:rsidP="00E71C37">
      <w:pPr>
        <w:pStyle w:val="NormalWeb"/>
        <w:spacing w:line="360" w:lineRule="auto"/>
        <w:jc w:val="both"/>
        <w:rPr>
          <w:rFonts w:ascii="Arial" w:hAnsi="Arial" w:cs="Arial"/>
        </w:rPr>
      </w:pPr>
    </w:p>
    <w:p w14:paraId="5FED361C" w14:textId="42CCC4FD" w:rsidR="001A4D3D" w:rsidRPr="00E71C37" w:rsidRDefault="001A4D3D" w:rsidP="00E71C37">
      <w:pPr>
        <w:pStyle w:val="NormalWeb"/>
        <w:spacing w:line="360" w:lineRule="auto"/>
        <w:jc w:val="both"/>
        <w:rPr>
          <w:rFonts w:ascii="Arial" w:hAnsi="Arial" w:cs="Arial"/>
        </w:rPr>
      </w:pPr>
      <w:r w:rsidRPr="00E71C37">
        <w:rPr>
          <w:rFonts w:ascii="Arial" w:hAnsi="Arial" w:cs="Arial"/>
        </w:rPr>
        <w:t xml:space="preserve">Tension may also arise over whose expertise carries most authority. Octopus Energy employees understand Kraken, digital </w:t>
      </w:r>
      <w:r w:rsidR="004D5DED" w:rsidRPr="00E71C37">
        <w:rPr>
          <w:rFonts w:ascii="Arial" w:hAnsi="Arial" w:cs="Arial"/>
        </w:rPr>
        <w:t>products,</w:t>
      </w:r>
      <w:r w:rsidRPr="00E71C37">
        <w:rPr>
          <w:rFonts w:ascii="Arial" w:hAnsi="Arial" w:cs="Arial"/>
        </w:rPr>
        <w:t xml:space="preserve"> and renewable-energy retail, while Tokyo Gas employees understand Japanese regulation, </w:t>
      </w:r>
      <w:r w:rsidR="007632B9" w:rsidRPr="00E71C37">
        <w:rPr>
          <w:rFonts w:ascii="Arial" w:hAnsi="Arial" w:cs="Arial"/>
        </w:rPr>
        <w:t>customers,</w:t>
      </w:r>
      <w:r w:rsidRPr="00E71C37">
        <w:rPr>
          <w:rFonts w:ascii="Arial" w:hAnsi="Arial" w:cs="Arial"/>
        </w:rPr>
        <w:t xml:space="preserve"> and domestic operations. Problems emerge if one knowledge base is treated as more valuable.</w:t>
      </w:r>
    </w:p>
    <w:p w14:paraId="34C7DF64" w14:textId="7B41E2F4" w:rsidR="001A4D3D" w:rsidRPr="00E71C37" w:rsidRDefault="001A4D3D" w:rsidP="00E71C37">
      <w:pPr>
        <w:pStyle w:val="NormalWeb"/>
        <w:spacing w:line="360" w:lineRule="auto"/>
        <w:jc w:val="both"/>
        <w:rPr>
          <w:rFonts w:ascii="Arial" w:hAnsi="Arial" w:cs="Arial"/>
        </w:rPr>
      </w:pPr>
      <w:r w:rsidRPr="00E71C37">
        <w:rPr>
          <w:rFonts w:ascii="Arial" w:hAnsi="Arial" w:cs="Arial"/>
        </w:rPr>
        <w:t>A British software specialist may argue that a feature is secure and ready, while a Tokyo Gas customer-service manager believes it could confuse customers or increase complaints. If technical language dominates the meeting, the customer concern may appear less objective even though it may determine the product’s success.</w:t>
      </w:r>
    </w:p>
    <w:p w14:paraId="2DE67754" w14:textId="1CA0B0C6" w:rsidR="00B27FE6" w:rsidRPr="00E71C37" w:rsidRDefault="001A4D3D" w:rsidP="00E71C37">
      <w:pPr>
        <w:pStyle w:val="NormalWeb"/>
        <w:spacing w:line="360" w:lineRule="auto"/>
        <w:jc w:val="both"/>
        <w:rPr>
          <w:rFonts w:ascii="Arial" w:hAnsi="Arial" w:cs="Arial"/>
        </w:rPr>
      </w:pPr>
      <w:r w:rsidRPr="00E71C37">
        <w:rPr>
          <w:rFonts w:ascii="Arial" w:hAnsi="Arial" w:cs="Arial"/>
        </w:rPr>
        <w:t xml:space="preserve">Power distance may affect whether such concerns are raised. Japan scores 54, compared with 35 for the UK (The Culture Factor Group, n.d.). </w:t>
      </w:r>
      <w:r w:rsidR="004D5DED" w:rsidRPr="00E71C37">
        <w:rPr>
          <w:rFonts w:ascii="Arial" w:hAnsi="Arial" w:cs="Arial"/>
        </w:rPr>
        <w:t xml:space="preserve">Japan’s higher power-distance score </w:t>
      </w:r>
      <w:r w:rsidR="004D5DED" w:rsidRPr="00E71C37">
        <w:rPr>
          <w:rStyle w:val="Strong"/>
          <w:rFonts w:ascii="Arial" w:eastAsiaTheme="majorEastAsia" w:hAnsi="Arial" w:cs="Arial"/>
          <w:b w:val="0"/>
          <w:bCs w:val="0"/>
        </w:rPr>
        <w:t>suggests that some Tokyo Gas employees may be more cautious when challenging senior managers or foreign specialists in formal settings</w:t>
      </w:r>
      <w:r w:rsidR="004D5DED" w:rsidRPr="00E71C37">
        <w:rPr>
          <w:rFonts w:ascii="Arial" w:hAnsi="Arial" w:cs="Arial"/>
          <w:b/>
          <w:bCs/>
        </w:rPr>
        <w:t>,</w:t>
      </w:r>
      <w:r w:rsidR="004D5DED" w:rsidRPr="00E71C37">
        <w:rPr>
          <w:rFonts w:ascii="Arial" w:hAnsi="Arial" w:cs="Arial"/>
        </w:rPr>
        <w:t xml:space="preserve"> although professional experience, organisational role and personality may alter this tendency</w:t>
      </w:r>
      <w:r w:rsidRPr="00E71C37">
        <w:rPr>
          <w:rFonts w:ascii="Arial" w:hAnsi="Arial" w:cs="Arial"/>
        </w:rPr>
        <w:t>. Bojadjiev et al. (2023) connect cultural values with different communication behaviours, although these remain tendencies rather than universal rules.</w:t>
      </w:r>
    </w:p>
    <w:p w14:paraId="7BE2B6A3" w14:textId="59256A9C" w:rsidR="00FA4C05" w:rsidRPr="00E71C37" w:rsidRDefault="001A4D3D" w:rsidP="00E71C37">
      <w:pPr>
        <w:pStyle w:val="NormalWeb"/>
        <w:spacing w:line="360" w:lineRule="auto"/>
        <w:jc w:val="both"/>
        <w:rPr>
          <w:rFonts w:ascii="Arial" w:hAnsi="Arial" w:cs="Arial"/>
        </w:rPr>
      </w:pPr>
      <w:r w:rsidRPr="00E71C37">
        <w:rPr>
          <w:rFonts w:ascii="Arial" w:hAnsi="Arial" w:cs="Arial"/>
        </w:rPr>
        <w:t>Hierarchy can support accountability, but it becomes harmful when relevant knowledge does not reach decision-makers. Informal discussion can encourage participation, yet confident English speakers or technical specialists may still dominate. The joint venture should therefore separate organisational status from subject expertise. Meeting chairs should actively request views from relevant customer, regulatory and technical specialists before closing decisions, making disagreement part of risk management rather than a personal challenge. Private written channels should also be available where employees are uncomfortable raising concerns publicly.</w:t>
      </w:r>
    </w:p>
    <w:p w14:paraId="33D6251B" w14:textId="62E167FB" w:rsidR="001A4D3D" w:rsidRPr="00E71C37" w:rsidRDefault="001A4D3D" w:rsidP="00E71C37">
      <w:pPr>
        <w:pStyle w:val="Heading1"/>
        <w:spacing w:line="360" w:lineRule="auto"/>
        <w:jc w:val="both"/>
        <w:rPr>
          <w:rFonts w:ascii="Arial" w:hAnsi="Arial" w:cs="Arial"/>
          <w:b/>
          <w:bCs/>
          <w:color w:val="auto"/>
          <w:sz w:val="24"/>
          <w:szCs w:val="24"/>
        </w:rPr>
      </w:pPr>
      <w:bookmarkStart w:id="6" w:name="_Toc237087536"/>
      <w:r w:rsidRPr="00E71C37">
        <w:rPr>
          <w:rFonts w:ascii="Arial" w:hAnsi="Arial" w:cs="Arial"/>
          <w:b/>
          <w:bCs/>
          <w:color w:val="auto"/>
          <w:sz w:val="24"/>
          <w:szCs w:val="24"/>
        </w:rPr>
        <w:lastRenderedPageBreak/>
        <w:t xml:space="preserve">6. Virtual collaboration, </w:t>
      </w:r>
      <w:r w:rsidR="00881D94" w:rsidRPr="00E71C37">
        <w:rPr>
          <w:rFonts w:ascii="Arial" w:hAnsi="Arial" w:cs="Arial"/>
          <w:b/>
          <w:bCs/>
          <w:color w:val="auto"/>
          <w:sz w:val="24"/>
          <w:szCs w:val="24"/>
        </w:rPr>
        <w:t>language,</w:t>
      </w:r>
      <w:r w:rsidRPr="00E71C37">
        <w:rPr>
          <w:rFonts w:ascii="Arial" w:hAnsi="Arial" w:cs="Arial"/>
          <w:b/>
          <w:bCs/>
          <w:color w:val="auto"/>
          <w:sz w:val="24"/>
          <w:szCs w:val="24"/>
        </w:rPr>
        <w:t xml:space="preserve"> and agreement</w:t>
      </w:r>
      <w:bookmarkEnd w:id="6"/>
    </w:p>
    <w:p w14:paraId="395A475D" w14:textId="77777777" w:rsidR="001A4D3D" w:rsidRPr="00E71C37" w:rsidRDefault="001A4D3D" w:rsidP="00E71C37">
      <w:pPr>
        <w:pStyle w:val="NormalWeb"/>
        <w:spacing w:line="360" w:lineRule="auto"/>
        <w:jc w:val="both"/>
        <w:rPr>
          <w:rFonts w:ascii="Arial" w:hAnsi="Arial" w:cs="Arial"/>
        </w:rPr>
      </w:pPr>
    </w:p>
    <w:p w14:paraId="1378C184" w14:textId="6427F744" w:rsidR="001A4D3D" w:rsidRPr="00E71C37" w:rsidRDefault="001A4D3D" w:rsidP="00E71C37">
      <w:pPr>
        <w:pStyle w:val="NormalWeb"/>
        <w:spacing w:line="360" w:lineRule="auto"/>
        <w:jc w:val="both"/>
        <w:rPr>
          <w:rFonts w:ascii="Arial" w:hAnsi="Arial" w:cs="Arial"/>
        </w:rPr>
      </w:pPr>
      <w:r w:rsidRPr="00E71C37">
        <w:rPr>
          <w:rFonts w:ascii="Arial" w:hAnsi="Arial" w:cs="Arial"/>
        </w:rPr>
        <w:t xml:space="preserve">Online meetings, written communication and time-zone differences may intensify misunderstanding because fewer informal signals are available. In a virtual meeting, a pause from Tokyo Gas participants could be interpreted as agreement or limited engagement. </w:t>
      </w:r>
      <w:r w:rsidR="00881D94" w:rsidRPr="00E71C37">
        <w:rPr>
          <w:rFonts w:ascii="Arial" w:hAnsi="Arial" w:cs="Arial"/>
        </w:rPr>
        <w:t>Employees</w:t>
      </w:r>
      <w:r w:rsidRPr="00E71C37">
        <w:rPr>
          <w:rFonts w:ascii="Arial" w:hAnsi="Arial" w:cs="Arial"/>
        </w:rPr>
        <w:t xml:space="preserve"> may be translating information, consulting </w:t>
      </w:r>
      <w:proofErr w:type="gramStart"/>
      <w:r w:rsidRPr="00E71C37">
        <w:rPr>
          <w:rFonts w:ascii="Arial" w:hAnsi="Arial" w:cs="Arial"/>
        </w:rPr>
        <w:t>privately</w:t>
      </w:r>
      <w:proofErr w:type="gramEnd"/>
      <w:r w:rsidRPr="00E71C37">
        <w:rPr>
          <w:rFonts w:ascii="Arial" w:hAnsi="Arial" w:cs="Arial"/>
        </w:rPr>
        <w:t xml:space="preserve"> or waiting for a senior colleague to respond. If the British chair moves on quickly, silence may be recorded as acceptance even though approval was not given.</w:t>
      </w:r>
    </w:p>
    <w:p w14:paraId="3B8636F2" w14:textId="1EE8BF14" w:rsidR="001A4D3D" w:rsidRPr="00E71C37" w:rsidRDefault="001A4D3D" w:rsidP="00E71C37">
      <w:pPr>
        <w:pStyle w:val="NormalWeb"/>
        <w:spacing w:line="360" w:lineRule="auto"/>
        <w:jc w:val="both"/>
        <w:rPr>
          <w:rFonts w:ascii="Arial" w:hAnsi="Arial" w:cs="Arial"/>
        </w:rPr>
      </w:pPr>
      <w:r w:rsidRPr="00E71C37">
        <w:rPr>
          <w:rFonts w:ascii="Arial" w:hAnsi="Arial" w:cs="Arial"/>
        </w:rPr>
        <w:t>Hall’s framework shows why context matters, but virtual meetings remove some signals on which high-context communication depends. Levitt (2022) argues that intercultural competence is important because familiar behaviours can carry different meanings across cultures. English-language ability may also create imbalance. Octopus Energy employees may appear more confident because they are speaking their first language, while Tokyo Gas specialists may need longer to explain complex regulatory or technical concerns. Confidence should not be mistaken for expertise or agreement.</w:t>
      </w:r>
    </w:p>
    <w:p w14:paraId="26F6C3C6" w14:textId="156C4ED1" w:rsidR="001A4D3D" w:rsidRPr="00E71C37" w:rsidRDefault="001A4D3D" w:rsidP="00E71C37">
      <w:pPr>
        <w:pStyle w:val="NormalWeb"/>
        <w:spacing w:line="360" w:lineRule="auto"/>
        <w:jc w:val="both"/>
        <w:rPr>
          <w:rFonts w:ascii="Arial" w:hAnsi="Arial" w:cs="Arial"/>
        </w:rPr>
      </w:pPr>
      <w:r w:rsidRPr="00E71C37">
        <w:rPr>
          <w:rFonts w:ascii="Arial" w:hAnsi="Arial" w:cs="Arial"/>
        </w:rPr>
        <w:t xml:space="preserve">The joint team should therefore avoid treating the absence of objection as approval. Chairs should ask whether a proposal is accepted, conditionally accepted or still under consultation. Important decisions should remain provisional until confirmed in writing by the authorised person or department. This is particularly important where silence may reflect reflection, </w:t>
      </w:r>
      <w:r w:rsidR="000D7C98" w:rsidRPr="00E71C37">
        <w:rPr>
          <w:rFonts w:ascii="Arial" w:hAnsi="Arial" w:cs="Arial"/>
        </w:rPr>
        <w:t>translation,</w:t>
      </w:r>
      <w:r w:rsidRPr="00E71C37">
        <w:rPr>
          <w:rFonts w:ascii="Arial" w:hAnsi="Arial" w:cs="Arial"/>
        </w:rPr>
        <w:t xml:space="preserve"> or lack of authority rather than consent.</w:t>
      </w:r>
    </w:p>
    <w:p w14:paraId="63C13EF2" w14:textId="77777777" w:rsidR="001A4D3D" w:rsidRPr="00E71C37" w:rsidRDefault="001A4D3D" w:rsidP="00E71C37">
      <w:pPr>
        <w:pStyle w:val="NormalWeb"/>
        <w:spacing w:line="360" w:lineRule="auto"/>
        <w:jc w:val="both"/>
        <w:rPr>
          <w:rFonts w:ascii="Arial" w:hAnsi="Arial" w:cs="Arial"/>
        </w:rPr>
      </w:pPr>
    </w:p>
    <w:p w14:paraId="0798B6B7" w14:textId="77777777" w:rsidR="001A4D3D" w:rsidRPr="00E71C37" w:rsidRDefault="001A4D3D" w:rsidP="00E71C37">
      <w:pPr>
        <w:pStyle w:val="Heading1"/>
        <w:spacing w:line="360" w:lineRule="auto"/>
        <w:jc w:val="both"/>
        <w:rPr>
          <w:rFonts w:ascii="Arial" w:hAnsi="Arial" w:cs="Arial"/>
          <w:b/>
          <w:bCs/>
          <w:color w:val="auto"/>
          <w:sz w:val="24"/>
          <w:szCs w:val="24"/>
        </w:rPr>
      </w:pPr>
      <w:bookmarkStart w:id="7" w:name="_Toc237087537"/>
      <w:r w:rsidRPr="00E71C37">
        <w:rPr>
          <w:rFonts w:ascii="Arial" w:hAnsi="Arial" w:cs="Arial"/>
          <w:b/>
          <w:bCs/>
          <w:color w:val="auto"/>
          <w:sz w:val="24"/>
          <w:szCs w:val="24"/>
        </w:rPr>
        <w:t>7. Creating a shared communication system</w:t>
      </w:r>
      <w:bookmarkEnd w:id="7"/>
    </w:p>
    <w:p w14:paraId="08A63412" w14:textId="77777777" w:rsidR="001A4D3D" w:rsidRPr="00E71C37" w:rsidRDefault="001A4D3D" w:rsidP="00E71C37">
      <w:pPr>
        <w:pStyle w:val="NormalWeb"/>
        <w:spacing w:line="360" w:lineRule="auto"/>
        <w:jc w:val="both"/>
        <w:rPr>
          <w:rFonts w:ascii="Arial" w:hAnsi="Arial" w:cs="Arial"/>
        </w:rPr>
      </w:pPr>
    </w:p>
    <w:p w14:paraId="029579AC" w14:textId="6CED3435" w:rsidR="001A4D3D" w:rsidRPr="00E71C37" w:rsidRDefault="001A4D3D" w:rsidP="00E71C37">
      <w:pPr>
        <w:pStyle w:val="NormalWeb"/>
        <w:spacing w:line="360" w:lineRule="auto"/>
        <w:jc w:val="both"/>
        <w:rPr>
          <w:rFonts w:ascii="Arial" w:hAnsi="Arial" w:cs="Arial"/>
        </w:rPr>
      </w:pPr>
      <w:r w:rsidRPr="00E71C37">
        <w:rPr>
          <w:rFonts w:ascii="Arial" w:hAnsi="Arial" w:cs="Arial"/>
        </w:rPr>
        <w:t xml:space="preserve">The partnership needs a communication system designed around British technology and Japanese market knowledge. First, the companies should create a bilingual glossary covering Kraken functions, tariffs, customer-service </w:t>
      </w:r>
      <w:r w:rsidR="000D7C98" w:rsidRPr="00E71C37">
        <w:rPr>
          <w:rFonts w:ascii="Arial" w:hAnsi="Arial" w:cs="Arial"/>
        </w:rPr>
        <w:t>processes,</w:t>
      </w:r>
      <w:r w:rsidRPr="00E71C37">
        <w:rPr>
          <w:rFonts w:ascii="Arial" w:hAnsi="Arial" w:cs="Arial"/>
        </w:rPr>
        <w:t xml:space="preserve"> and Japanese regulatory concepts. This would reduce the risk of teams using the same term while attaching different operational meanings.</w:t>
      </w:r>
    </w:p>
    <w:p w14:paraId="592E49E2" w14:textId="0C69383B" w:rsidR="001A4D3D" w:rsidRPr="00E71C37" w:rsidRDefault="001A4D3D" w:rsidP="00E71C37">
      <w:pPr>
        <w:pStyle w:val="NormalWeb"/>
        <w:spacing w:line="360" w:lineRule="auto"/>
        <w:jc w:val="both"/>
        <w:rPr>
          <w:rFonts w:ascii="Arial" w:hAnsi="Arial" w:cs="Arial"/>
        </w:rPr>
      </w:pPr>
      <w:r w:rsidRPr="00E71C37">
        <w:rPr>
          <w:rFonts w:ascii="Arial" w:hAnsi="Arial" w:cs="Arial"/>
        </w:rPr>
        <w:lastRenderedPageBreak/>
        <w:t>Second, proposals should be divided into technical, customer, regulatory and commercial sections, each reviewed by named specialists from both companies. A feature should not be considered fully approved simply because it passes technical testing; it must also be suitable for Japanese customers, compliant and practical for Tokyo Gas operations.</w:t>
      </w:r>
    </w:p>
    <w:p w14:paraId="420BA246" w14:textId="365F4B62" w:rsidR="00E71C37" w:rsidRPr="00E71C37" w:rsidRDefault="00E71C37" w:rsidP="00E71C37">
      <w:pPr>
        <w:pStyle w:val="NormalWeb"/>
        <w:spacing w:line="360" w:lineRule="auto"/>
        <w:jc w:val="both"/>
        <w:rPr>
          <w:rFonts w:ascii="Arial" w:hAnsi="Arial" w:cs="Arial"/>
        </w:rPr>
      </w:pPr>
      <w:r w:rsidRPr="00E71C37">
        <w:rPr>
          <w:rFonts w:ascii="Arial" w:hAnsi="Arial" w:cs="Arial"/>
        </w:rPr>
        <w:t xml:space="preserve">Third, the joint venture should maintain a decision log showing whether issues are approved, conditionally approved, awaiting consultation or require revision. It should record unresolved concerns, </w:t>
      </w:r>
      <w:r w:rsidRPr="00E71C37">
        <w:rPr>
          <w:rFonts w:ascii="Arial" w:hAnsi="Arial" w:cs="Arial"/>
        </w:rPr>
        <w:t>responsibility,</w:t>
      </w:r>
      <w:r w:rsidRPr="00E71C37">
        <w:rPr>
          <w:rFonts w:ascii="Arial" w:hAnsi="Arial" w:cs="Arial"/>
        </w:rPr>
        <w:t xml:space="preserve"> and deadlines, reducing the risk that silence or cautious wording is treated as agreement. Meeting summaries should also be circulated for correction.</w:t>
      </w:r>
    </w:p>
    <w:p w14:paraId="0A9C3FD6" w14:textId="2748DF80" w:rsidR="00E71C37" w:rsidRPr="00E71C37" w:rsidRDefault="00E71C37" w:rsidP="00E71C37">
      <w:pPr>
        <w:pStyle w:val="NormalWeb"/>
        <w:spacing w:line="360" w:lineRule="auto"/>
        <w:jc w:val="both"/>
        <w:rPr>
          <w:rFonts w:ascii="Arial" w:hAnsi="Arial" w:cs="Arial"/>
        </w:rPr>
      </w:pPr>
      <w:r w:rsidRPr="00E71C37">
        <w:rPr>
          <w:rFonts w:ascii="Arial" w:hAnsi="Arial" w:cs="Arial"/>
        </w:rPr>
        <w:t>Technical materials should be circulated before meetings so Tokyo Gas can consult relevant departments and Octopus Energy can prepare clear explanations. Consultation should have agreed deadlines, while informal discussions could allow concerns to be raised before formal approval. Rotating meeting leadership could also reduce the influence of English fluency or technological authority.</w:t>
      </w:r>
    </w:p>
    <w:p w14:paraId="1BA18632" w14:textId="53CC18FF" w:rsidR="00E71C37" w:rsidRPr="00E71C37" w:rsidRDefault="00E71C37" w:rsidP="00E71C37">
      <w:pPr>
        <w:pStyle w:val="NormalWeb"/>
        <w:spacing w:line="360" w:lineRule="auto"/>
        <w:jc w:val="both"/>
        <w:rPr>
          <w:rFonts w:ascii="Arial" w:hAnsi="Arial" w:cs="Arial"/>
        </w:rPr>
      </w:pPr>
      <w:r w:rsidRPr="00E71C37">
        <w:rPr>
          <w:rFonts w:ascii="Arial" w:hAnsi="Arial" w:cs="Arial"/>
        </w:rPr>
        <w:t xml:space="preserve">Finally, cross-cultural training should use practical scenarios involving tariffs, Kraken updates, customer data and delayed approvals. Levitt (2022) highlights intercultural competence, while Zakaria and Ab Rahman Muton (2022) show that communication styles can adapt. The aim is to build shared rules balancing technological speed, local </w:t>
      </w:r>
      <w:r w:rsidRPr="00E71C37">
        <w:rPr>
          <w:rFonts w:ascii="Arial" w:hAnsi="Arial" w:cs="Arial"/>
        </w:rPr>
        <w:t>knowledge,</w:t>
      </w:r>
      <w:r w:rsidRPr="00E71C37">
        <w:rPr>
          <w:rFonts w:ascii="Arial" w:hAnsi="Arial" w:cs="Arial"/>
        </w:rPr>
        <w:t xml:space="preserve"> and responsible risk management.</w:t>
      </w:r>
    </w:p>
    <w:p w14:paraId="70B550FE" w14:textId="77777777" w:rsidR="00E71C37" w:rsidRPr="00E71C37" w:rsidRDefault="00E71C37" w:rsidP="00E71C37">
      <w:pPr>
        <w:pStyle w:val="NormalWeb"/>
        <w:spacing w:line="360" w:lineRule="auto"/>
        <w:jc w:val="both"/>
        <w:rPr>
          <w:rFonts w:ascii="Arial" w:hAnsi="Arial" w:cs="Arial"/>
        </w:rPr>
      </w:pPr>
    </w:p>
    <w:p w14:paraId="7F20D004" w14:textId="77777777" w:rsidR="00893983" w:rsidRPr="00E71C37" w:rsidRDefault="00893983" w:rsidP="00E71C37">
      <w:pPr>
        <w:pStyle w:val="Heading1"/>
        <w:spacing w:line="360" w:lineRule="auto"/>
        <w:jc w:val="both"/>
        <w:rPr>
          <w:rFonts w:ascii="Arial" w:hAnsi="Arial" w:cs="Arial"/>
          <w:b/>
          <w:bCs/>
          <w:color w:val="auto"/>
          <w:sz w:val="24"/>
          <w:szCs w:val="24"/>
        </w:rPr>
      </w:pPr>
      <w:bookmarkStart w:id="8" w:name="_Toc237087538"/>
      <w:r w:rsidRPr="00E71C37">
        <w:rPr>
          <w:rFonts w:ascii="Arial" w:hAnsi="Arial" w:cs="Arial"/>
          <w:b/>
          <w:bCs/>
          <w:color w:val="auto"/>
          <w:sz w:val="24"/>
          <w:szCs w:val="24"/>
        </w:rPr>
        <w:t>8. Conclusion</w:t>
      </w:r>
      <w:bookmarkEnd w:id="8"/>
    </w:p>
    <w:p w14:paraId="605933CF" w14:textId="77777777" w:rsidR="00E71C37" w:rsidRPr="00E71C37" w:rsidRDefault="00E71C37" w:rsidP="00E71C37">
      <w:pPr>
        <w:spacing w:line="360" w:lineRule="auto"/>
        <w:jc w:val="both"/>
        <w:rPr>
          <w:rFonts w:ascii="Arial" w:hAnsi="Arial" w:cs="Arial"/>
        </w:rPr>
      </w:pPr>
    </w:p>
    <w:p w14:paraId="4CB76C91" w14:textId="70B2A5CA" w:rsidR="00E71C37" w:rsidRPr="00E71C37" w:rsidRDefault="00E71C37" w:rsidP="00E71C37">
      <w:pPr>
        <w:spacing w:line="360" w:lineRule="auto"/>
        <w:jc w:val="both"/>
        <w:rPr>
          <w:rFonts w:ascii="Arial" w:hAnsi="Arial" w:cs="Arial"/>
        </w:rPr>
      </w:pPr>
      <w:r w:rsidRPr="00E71C37">
        <w:rPr>
          <w:rFonts w:ascii="Arial" w:hAnsi="Arial" w:cs="Arial"/>
        </w:rPr>
        <w:t xml:space="preserve">The analysis demonstrates that communication challenges within the Octopus Energy–Tokyo Gas partnership extend beyond general British–Japanese cultural differences. Hall’s high- and low-context framework explains why indirect wording, pauses and silence may be interpreted differently, while Hofstede’s dimensions highlight potential differences in individual judgement, uncertainty avoidance, </w:t>
      </w:r>
      <w:r w:rsidRPr="00E71C37">
        <w:rPr>
          <w:rFonts w:ascii="Arial" w:hAnsi="Arial" w:cs="Arial"/>
        </w:rPr>
        <w:t>hierarchy,</w:t>
      </w:r>
      <w:r w:rsidRPr="00E71C37">
        <w:rPr>
          <w:rFonts w:ascii="Arial" w:hAnsi="Arial" w:cs="Arial"/>
        </w:rPr>
        <w:t xml:space="preserve"> and long-term orientation.</w:t>
      </w:r>
    </w:p>
    <w:p w14:paraId="33CCC7D3" w14:textId="77777777" w:rsidR="00E71C37" w:rsidRPr="00E71C37" w:rsidRDefault="00E71C37" w:rsidP="00E71C37">
      <w:pPr>
        <w:spacing w:line="360" w:lineRule="auto"/>
        <w:jc w:val="both"/>
        <w:rPr>
          <w:rFonts w:ascii="Arial" w:hAnsi="Arial" w:cs="Arial"/>
        </w:rPr>
      </w:pPr>
    </w:p>
    <w:p w14:paraId="521AB8A0" w14:textId="089F320F" w:rsidR="00E71C37" w:rsidRPr="00E71C37" w:rsidRDefault="00E71C37" w:rsidP="00E71C37">
      <w:pPr>
        <w:spacing w:line="360" w:lineRule="auto"/>
        <w:jc w:val="both"/>
        <w:rPr>
          <w:rFonts w:ascii="Arial" w:hAnsi="Arial" w:cs="Arial"/>
        </w:rPr>
      </w:pPr>
      <w:r w:rsidRPr="00E71C37">
        <w:rPr>
          <w:rFonts w:ascii="Arial" w:hAnsi="Arial" w:cs="Arial"/>
        </w:rPr>
        <w:t xml:space="preserve">These differences could affect Kraken localisation, renewable-tariff </w:t>
      </w:r>
      <w:r w:rsidRPr="00E71C37">
        <w:rPr>
          <w:rFonts w:ascii="Arial" w:hAnsi="Arial" w:cs="Arial"/>
        </w:rPr>
        <w:t>development,</w:t>
      </w:r>
      <w:r w:rsidRPr="00E71C37">
        <w:rPr>
          <w:rFonts w:ascii="Arial" w:hAnsi="Arial" w:cs="Arial"/>
        </w:rPr>
        <w:t xml:space="preserve"> and approval of customer-facing services. Octopus Energy may place greater emphasis on </w:t>
      </w:r>
      <w:r w:rsidRPr="00E71C37">
        <w:rPr>
          <w:rFonts w:ascii="Arial" w:hAnsi="Arial" w:cs="Arial"/>
        </w:rPr>
        <w:lastRenderedPageBreak/>
        <w:t>technological capability and experimentation, whereas Tokyo Gas could prioritise consultation, customer expectations and risk management. However, organisational culture, professional responsibilities, language confidence and individual experience may be as influential as nationality.</w:t>
      </w:r>
    </w:p>
    <w:p w14:paraId="6629BD32" w14:textId="77777777" w:rsidR="00E71C37" w:rsidRPr="00E71C37" w:rsidRDefault="00E71C37" w:rsidP="00E71C37">
      <w:pPr>
        <w:spacing w:line="360" w:lineRule="auto"/>
        <w:jc w:val="both"/>
        <w:rPr>
          <w:rFonts w:ascii="Arial" w:hAnsi="Arial" w:cs="Arial"/>
        </w:rPr>
      </w:pPr>
    </w:p>
    <w:p w14:paraId="3BA756E5" w14:textId="6A4C16A8" w:rsidR="00FF23AE" w:rsidRPr="00E71C37" w:rsidRDefault="00E71C37" w:rsidP="00E71C37">
      <w:pPr>
        <w:spacing w:line="360" w:lineRule="auto"/>
        <w:jc w:val="both"/>
        <w:rPr>
          <w:rFonts w:ascii="Arial" w:hAnsi="Arial" w:cs="Arial"/>
        </w:rPr>
      </w:pPr>
      <w:r w:rsidRPr="00E71C37">
        <w:rPr>
          <w:rFonts w:ascii="Arial" w:hAnsi="Arial" w:cs="Arial"/>
        </w:rPr>
        <w:t>The partnership should therefore develop shared communication practices rather than expect either side to adopt the other’s style. Bilingual terminology, specialist review, clear approval procedures, written confirmation and realistic consultation deadlines can reduce ambiguity while protecting innovation and local expertise. Ultimately, combining Octopus Energy’s technological agility with Tokyo Gas’s knowledge of Japanese customers, regulation and operational risk could turn cultural differences into complementary strengths that support responsible innovation and long-term collaboration.</w:t>
      </w:r>
    </w:p>
    <w:p w14:paraId="419526E4" w14:textId="77777777" w:rsidR="00E71C37" w:rsidRPr="00E71C37" w:rsidRDefault="00E71C37" w:rsidP="00E71C37">
      <w:pPr>
        <w:spacing w:line="360" w:lineRule="auto"/>
        <w:jc w:val="both"/>
        <w:rPr>
          <w:rFonts w:ascii="Arial" w:hAnsi="Arial" w:cs="Arial"/>
        </w:rPr>
      </w:pPr>
    </w:p>
    <w:p w14:paraId="2B532206" w14:textId="77777777" w:rsidR="00E71C37" w:rsidRPr="00E71C37" w:rsidRDefault="00E71C37" w:rsidP="00E71C37">
      <w:pPr>
        <w:spacing w:line="360" w:lineRule="auto"/>
        <w:jc w:val="both"/>
        <w:rPr>
          <w:rFonts w:ascii="Arial" w:hAnsi="Arial" w:cs="Arial"/>
        </w:rPr>
      </w:pPr>
    </w:p>
    <w:p w14:paraId="555655F5" w14:textId="77777777" w:rsidR="00E71C37" w:rsidRPr="00E71C37" w:rsidRDefault="00E71C37" w:rsidP="00E71C37">
      <w:pPr>
        <w:spacing w:line="360" w:lineRule="auto"/>
        <w:jc w:val="both"/>
        <w:rPr>
          <w:rFonts w:ascii="Arial" w:hAnsi="Arial" w:cs="Arial"/>
        </w:rPr>
      </w:pPr>
    </w:p>
    <w:p w14:paraId="651C68DA" w14:textId="77777777" w:rsidR="00E71C37" w:rsidRPr="00E71C37" w:rsidRDefault="00E71C37" w:rsidP="00E71C37">
      <w:pPr>
        <w:spacing w:line="360" w:lineRule="auto"/>
        <w:jc w:val="both"/>
        <w:rPr>
          <w:rFonts w:ascii="Arial" w:hAnsi="Arial" w:cs="Arial"/>
        </w:rPr>
      </w:pPr>
    </w:p>
    <w:p w14:paraId="55C679CB" w14:textId="77777777" w:rsidR="00E71C37" w:rsidRPr="00E71C37" w:rsidRDefault="00E71C37" w:rsidP="00E71C37">
      <w:pPr>
        <w:spacing w:line="360" w:lineRule="auto"/>
        <w:jc w:val="both"/>
        <w:rPr>
          <w:rFonts w:ascii="Arial" w:hAnsi="Arial" w:cs="Arial"/>
        </w:rPr>
      </w:pPr>
    </w:p>
    <w:p w14:paraId="0F8C84E5" w14:textId="77777777" w:rsidR="00E71C37" w:rsidRPr="00E71C37" w:rsidRDefault="00E71C37" w:rsidP="00E71C37">
      <w:pPr>
        <w:spacing w:line="360" w:lineRule="auto"/>
        <w:jc w:val="both"/>
        <w:rPr>
          <w:rFonts w:ascii="Arial" w:hAnsi="Arial" w:cs="Arial"/>
        </w:rPr>
      </w:pPr>
    </w:p>
    <w:p w14:paraId="7D0D53E6" w14:textId="77777777" w:rsidR="00E71C37" w:rsidRPr="00E71C37" w:rsidRDefault="00E71C37" w:rsidP="00E71C37">
      <w:pPr>
        <w:spacing w:line="360" w:lineRule="auto"/>
        <w:jc w:val="both"/>
        <w:rPr>
          <w:rFonts w:ascii="Arial" w:hAnsi="Arial" w:cs="Arial"/>
        </w:rPr>
      </w:pPr>
    </w:p>
    <w:p w14:paraId="31811C3F" w14:textId="77777777" w:rsidR="00E71C37" w:rsidRPr="00E71C37" w:rsidRDefault="00E71C37" w:rsidP="00E71C37">
      <w:pPr>
        <w:spacing w:line="360" w:lineRule="auto"/>
        <w:jc w:val="both"/>
        <w:rPr>
          <w:rFonts w:ascii="Arial" w:hAnsi="Arial" w:cs="Arial"/>
        </w:rPr>
      </w:pPr>
    </w:p>
    <w:p w14:paraId="0C3D87B7" w14:textId="77777777" w:rsidR="00E71C37" w:rsidRPr="00E71C37" w:rsidRDefault="00E71C37" w:rsidP="00E71C37">
      <w:pPr>
        <w:spacing w:line="360" w:lineRule="auto"/>
        <w:jc w:val="both"/>
        <w:rPr>
          <w:rFonts w:ascii="Arial" w:hAnsi="Arial" w:cs="Arial"/>
        </w:rPr>
      </w:pPr>
    </w:p>
    <w:p w14:paraId="0FDC8F41" w14:textId="0114B58F" w:rsidR="00E71C37" w:rsidRPr="00E71C37" w:rsidRDefault="00E71C37" w:rsidP="00E71C37">
      <w:pPr>
        <w:spacing w:line="360" w:lineRule="auto"/>
        <w:jc w:val="both"/>
        <w:rPr>
          <w:rFonts w:ascii="Arial" w:hAnsi="Arial" w:cs="Arial"/>
        </w:rPr>
      </w:pPr>
    </w:p>
    <w:p w14:paraId="363AD68A" w14:textId="77777777" w:rsidR="00E71C37" w:rsidRPr="00E71C37" w:rsidRDefault="00E71C37" w:rsidP="00E71C37">
      <w:pPr>
        <w:spacing w:line="360" w:lineRule="auto"/>
        <w:jc w:val="both"/>
        <w:rPr>
          <w:rFonts w:ascii="Arial" w:hAnsi="Arial" w:cs="Arial"/>
        </w:rPr>
      </w:pPr>
    </w:p>
    <w:p w14:paraId="1AFE0CAC" w14:textId="77777777" w:rsidR="00E71C37" w:rsidRPr="00E71C37" w:rsidRDefault="00E71C37" w:rsidP="00E71C37">
      <w:pPr>
        <w:spacing w:line="360" w:lineRule="auto"/>
        <w:jc w:val="both"/>
        <w:rPr>
          <w:rFonts w:ascii="Arial" w:hAnsi="Arial" w:cs="Arial"/>
        </w:rPr>
      </w:pPr>
    </w:p>
    <w:p w14:paraId="64F33354" w14:textId="77777777" w:rsidR="00E71C37" w:rsidRPr="00E71C37" w:rsidRDefault="00E71C37" w:rsidP="00E71C37">
      <w:pPr>
        <w:spacing w:line="360" w:lineRule="auto"/>
        <w:jc w:val="both"/>
        <w:rPr>
          <w:rFonts w:ascii="Arial" w:hAnsi="Arial" w:cs="Arial"/>
        </w:rPr>
      </w:pPr>
    </w:p>
    <w:p w14:paraId="1761266C" w14:textId="77777777" w:rsidR="00E71C37" w:rsidRPr="00E71C37" w:rsidRDefault="00E71C37" w:rsidP="00E71C37">
      <w:pPr>
        <w:spacing w:line="360" w:lineRule="auto"/>
        <w:jc w:val="both"/>
        <w:rPr>
          <w:rFonts w:ascii="Arial" w:hAnsi="Arial" w:cs="Arial"/>
        </w:rPr>
      </w:pPr>
    </w:p>
    <w:p w14:paraId="1ED33E17" w14:textId="77777777" w:rsidR="00E71C37" w:rsidRPr="00E71C37" w:rsidRDefault="00E71C37" w:rsidP="00E71C37">
      <w:pPr>
        <w:spacing w:line="360" w:lineRule="auto"/>
        <w:jc w:val="both"/>
        <w:rPr>
          <w:rFonts w:ascii="Arial" w:hAnsi="Arial" w:cs="Arial"/>
        </w:rPr>
      </w:pPr>
    </w:p>
    <w:p w14:paraId="0EF1D006" w14:textId="69B32501" w:rsidR="00FF23AE" w:rsidRPr="00E71C37" w:rsidRDefault="00FA4C05" w:rsidP="00E71C37">
      <w:pPr>
        <w:pStyle w:val="Heading2"/>
        <w:spacing w:line="360" w:lineRule="auto"/>
        <w:jc w:val="both"/>
        <w:rPr>
          <w:rFonts w:ascii="Arial" w:hAnsi="Arial" w:cs="Arial"/>
          <w:b/>
          <w:bCs/>
          <w:color w:val="auto"/>
          <w:sz w:val="24"/>
          <w:szCs w:val="24"/>
        </w:rPr>
      </w:pPr>
      <w:bookmarkStart w:id="9" w:name="_Toc237087539"/>
      <w:r w:rsidRPr="00E71C37">
        <w:rPr>
          <w:rFonts w:ascii="Arial" w:hAnsi="Arial" w:cs="Arial"/>
          <w:b/>
          <w:bCs/>
          <w:color w:val="auto"/>
          <w:sz w:val="24"/>
          <w:szCs w:val="24"/>
        </w:rPr>
        <w:lastRenderedPageBreak/>
        <w:t xml:space="preserve">9. </w:t>
      </w:r>
      <w:r w:rsidR="00FF23AE" w:rsidRPr="00E71C37">
        <w:rPr>
          <w:rFonts w:ascii="Arial" w:hAnsi="Arial" w:cs="Arial"/>
          <w:b/>
          <w:bCs/>
          <w:color w:val="auto"/>
          <w:sz w:val="24"/>
          <w:szCs w:val="24"/>
        </w:rPr>
        <w:t>References</w:t>
      </w:r>
      <w:bookmarkEnd w:id="9"/>
    </w:p>
    <w:p w14:paraId="770E17C0" w14:textId="77777777" w:rsidR="00FF23AE" w:rsidRPr="00E71C37" w:rsidRDefault="00FF23AE" w:rsidP="00E71C37">
      <w:pPr>
        <w:spacing w:line="360" w:lineRule="auto"/>
        <w:jc w:val="both"/>
        <w:rPr>
          <w:rFonts w:ascii="Arial" w:hAnsi="Arial" w:cs="Arial"/>
        </w:rPr>
      </w:pPr>
    </w:p>
    <w:p w14:paraId="4710497C" w14:textId="5AA70D75" w:rsidR="00FF23AE" w:rsidRPr="00E71C37" w:rsidRDefault="00FF23AE" w:rsidP="00E71C37">
      <w:pPr>
        <w:pStyle w:val="pdq2pgselectionanchorcontainer"/>
        <w:spacing w:line="360" w:lineRule="auto"/>
        <w:jc w:val="both"/>
        <w:rPr>
          <w:rFonts w:ascii="Arial" w:hAnsi="Arial" w:cs="Arial"/>
        </w:rPr>
      </w:pPr>
      <w:r w:rsidRPr="00E71C37">
        <w:rPr>
          <w:rFonts w:ascii="Arial" w:hAnsi="Arial" w:cs="Arial"/>
        </w:rPr>
        <w:t xml:space="preserve">Agency for Natural Resources and Energy (2025) </w:t>
      </w:r>
      <w:r w:rsidRPr="00E71C37">
        <w:rPr>
          <w:rStyle w:val="Emphasis"/>
          <w:rFonts w:ascii="Arial" w:eastAsiaTheme="majorEastAsia" w:hAnsi="Arial" w:cs="Arial"/>
        </w:rPr>
        <w:t>The 7th Strategic Energy Plan</w:t>
      </w:r>
      <w:r w:rsidRPr="00E71C37">
        <w:rPr>
          <w:rFonts w:ascii="Arial" w:hAnsi="Arial" w:cs="Arial"/>
        </w:rPr>
        <w:t xml:space="preserve">. Tokyo: Ministry of Economy, </w:t>
      </w:r>
      <w:proofErr w:type="gramStart"/>
      <w:r w:rsidRPr="00E71C37">
        <w:rPr>
          <w:rFonts w:ascii="Arial" w:hAnsi="Arial" w:cs="Arial"/>
        </w:rPr>
        <w:t>Trade</w:t>
      </w:r>
      <w:proofErr w:type="gramEnd"/>
      <w:r w:rsidRPr="00E71C37">
        <w:rPr>
          <w:rFonts w:ascii="Arial" w:hAnsi="Arial" w:cs="Arial"/>
        </w:rPr>
        <w:t xml:space="preserve"> and Industry. </w:t>
      </w:r>
      <w:hyperlink r:id="rId13" w:history="1">
        <w:r w:rsidR="00931795" w:rsidRPr="00E71C37">
          <w:rPr>
            <w:rStyle w:val="Hyperlink"/>
            <w:rFonts w:ascii="Arial" w:hAnsi="Arial" w:cs="Arial"/>
            <w:color w:val="auto"/>
          </w:rPr>
          <w:t>https://www.enecho.meti.go.jp/en/category/others/basic_plan/pdf/7th_outline.pdf</w:t>
        </w:r>
      </w:hyperlink>
      <w:r w:rsidR="00931795" w:rsidRPr="00E71C37">
        <w:rPr>
          <w:rFonts w:ascii="Arial" w:hAnsi="Arial" w:cs="Arial"/>
        </w:rPr>
        <w:t xml:space="preserve"> </w:t>
      </w:r>
      <w:r w:rsidRPr="00E71C37">
        <w:rPr>
          <w:rFonts w:ascii="Arial" w:hAnsi="Arial" w:cs="Arial"/>
        </w:rPr>
        <w:t xml:space="preserve">(Accessed: 23 July 2026). </w:t>
      </w:r>
    </w:p>
    <w:p w14:paraId="593D554E" w14:textId="77777777" w:rsidR="00596228" w:rsidRPr="00E71C37" w:rsidRDefault="00596228" w:rsidP="00E71C37">
      <w:pPr>
        <w:pStyle w:val="pdq2pgselectionanchorcontainer"/>
        <w:spacing w:line="360" w:lineRule="auto"/>
        <w:jc w:val="both"/>
        <w:rPr>
          <w:rFonts w:ascii="Arial" w:hAnsi="Arial" w:cs="Arial"/>
        </w:rPr>
      </w:pPr>
    </w:p>
    <w:p w14:paraId="550EC3CF" w14:textId="6D1F5BA8" w:rsidR="00B27FE6" w:rsidRPr="00E71C37" w:rsidRDefault="00FF23AE" w:rsidP="00E71C37">
      <w:pPr>
        <w:pStyle w:val="dx-doi"/>
        <w:spacing w:before="0" w:after="0" w:line="360" w:lineRule="auto"/>
        <w:jc w:val="both"/>
        <w:rPr>
          <w:rFonts w:ascii="Arial" w:hAnsi="Arial" w:cs="Arial"/>
        </w:rPr>
      </w:pPr>
      <w:r w:rsidRPr="00E71C37">
        <w:rPr>
          <w:rFonts w:ascii="Arial" w:hAnsi="Arial" w:cs="Arial"/>
        </w:rPr>
        <w:t xml:space="preserve">Ashta, A., Stokes, P., Hughes, P. and Visser, M. (2025) ‘Japanese cross-cultural management in Indian business-to-business marketing situations: A study of evolving intra-Asian differences in cultural values’, </w:t>
      </w:r>
      <w:r w:rsidRPr="00E71C37">
        <w:rPr>
          <w:rStyle w:val="Emphasis"/>
          <w:rFonts w:ascii="Arial" w:eastAsiaTheme="majorEastAsia" w:hAnsi="Arial" w:cs="Arial"/>
        </w:rPr>
        <w:t>Journal of Business-to-Business Marketing</w:t>
      </w:r>
      <w:r w:rsidRPr="00E71C37">
        <w:rPr>
          <w:rFonts w:ascii="Arial" w:hAnsi="Arial" w:cs="Arial"/>
        </w:rPr>
        <w:t>, 32(3), pp. 307–326.</w:t>
      </w:r>
      <w:r w:rsidR="00B27FE6" w:rsidRPr="00E71C37">
        <w:rPr>
          <w:rFonts w:ascii="Arial" w:hAnsi="Arial" w:cs="Arial"/>
        </w:rPr>
        <w:t xml:space="preserve"> </w:t>
      </w:r>
      <w:hyperlink r:id="rId14" w:history="1">
        <w:r w:rsidR="00B27FE6" w:rsidRPr="00E71C37">
          <w:rPr>
            <w:rStyle w:val="Hyperlink"/>
            <w:rFonts w:ascii="Arial" w:eastAsiaTheme="majorEastAsia" w:hAnsi="Arial" w:cs="Arial"/>
            <w:color w:val="auto"/>
          </w:rPr>
          <w:t>https://</w:t>
        </w:r>
        <w:proofErr w:type="spellStart"/>
        <w:r w:rsidR="00B27FE6" w:rsidRPr="00E71C37">
          <w:rPr>
            <w:rStyle w:val="Hyperlink"/>
            <w:rFonts w:ascii="Arial" w:eastAsiaTheme="majorEastAsia" w:hAnsi="Arial" w:cs="Arial"/>
            <w:color w:val="auto"/>
          </w:rPr>
          <w:t>doi.org</w:t>
        </w:r>
        <w:proofErr w:type="spellEnd"/>
        <w:r w:rsidR="00B27FE6" w:rsidRPr="00E71C37">
          <w:rPr>
            <w:rStyle w:val="Hyperlink"/>
            <w:rFonts w:ascii="Arial" w:eastAsiaTheme="majorEastAsia" w:hAnsi="Arial" w:cs="Arial"/>
            <w:color w:val="auto"/>
          </w:rPr>
          <w:t>/10.1080/1051712X.2024.2399780</w:t>
        </w:r>
      </w:hyperlink>
      <w:r w:rsidR="00B27FE6" w:rsidRPr="00E71C37">
        <w:rPr>
          <w:rFonts w:ascii="Arial" w:hAnsi="Arial" w:cs="Arial"/>
        </w:rPr>
        <w:t>.</w:t>
      </w:r>
    </w:p>
    <w:p w14:paraId="56DFE1D4" w14:textId="2FA36674" w:rsidR="00FF23AE" w:rsidRPr="00E71C37" w:rsidRDefault="00FF23AE" w:rsidP="00E71C37">
      <w:pPr>
        <w:pStyle w:val="NormalWeb"/>
        <w:spacing w:line="360" w:lineRule="auto"/>
        <w:jc w:val="both"/>
        <w:rPr>
          <w:rFonts w:ascii="Arial" w:hAnsi="Arial" w:cs="Arial"/>
        </w:rPr>
      </w:pPr>
    </w:p>
    <w:p w14:paraId="65E75C4D" w14:textId="43F48C7F" w:rsidR="00FF23AE" w:rsidRPr="00E71C37" w:rsidRDefault="00FF23AE" w:rsidP="00E71C37">
      <w:pPr>
        <w:pStyle w:val="NormalWeb"/>
        <w:spacing w:line="360" w:lineRule="auto"/>
        <w:jc w:val="both"/>
        <w:rPr>
          <w:rFonts w:ascii="Arial" w:hAnsi="Arial" w:cs="Arial"/>
        </w:rPr>
      </w:pPr>
      <w:proofErr w:type="spellStart"/>
      <w:r w:rsidRPr="00E71C37">
        <w:rPr>
          <w:rFonts w:ascii="Arial" w:hAnsi="Arial" w:cs="Arial"/>
        </w:rPr>
        <w:t>Bojadjiev</w:t>
      </w:r>
      <w:proofErr w:type="spellEnd"/>
      <w:r w:rsidRPr="00E71C37">
        <w:rPr>
          <w:rFonts w:ascii="Arial" w:hAnsi="Arial" w:cs="Arial"/>
        </w:rPr>
        <w:t xml:space="preserve">, M.I., </w:t>
      </w:r>
      <w:proofErr w:type="spellStart"/>
      <w:r w:rsidRPr="00E71C37">
        <w:rPr>
          <w:rFonts w:ascii="Arial" w:hAnsi="Arial" w:cs="Arial"/>
        </w:rPr>
        <w:t>Vaneva</w:t>
      </w:r>
      <w:proofErr w:type="spellEnd"/>
      <w:r w:rsidRPr="00E71C37">
        <w:rPr>
          <w:rFonts w:ascii="Arial" w:hAnsi="Arial" w:cs="Arial"/>
        </w:rPr>
        <w:t xml:space="preserve">, M., </w:t>
      </w:r>
      <w:proofErr w:type="spellStart"/>
      <w:r w:rsidRPr="00E71C37">
        <w:rPr>
          <w:rFonts w:ascii="Arial" w:hAnsi="Arial" w:cs="Arial"/>
        </w:rPr>
        <w:t>Tomovska</w:t>
      </w:r>
      <w:proofErr w:type="spellEnd"/>
      <w:r w:rsidRPr="00E71C37">
        <w:rPr>
          <w:rFonts w:ascii="Arial" w:hAnsi="Arial" w:cs="Arial"/>
        </w:rPr>
        <w:t xml:space="preserve"> </w:t>
      </w:r>
      <w:proofErr w:type="spellStart"/>
      <w:r w:rsidRPr="00E71C37">
        <w:rPr>
          <w:rFonts w:ascii="Arial" w:hAnsi="Arial" w:cs="Arial"/>
        </w:rPr>
        <w:t>Misoska</w:t>
      </w:r>
      <w:proofErr w:type="spellEnd"/>
      <w:r w:rsidRPr="00E71C37">
        <w:rPr>
          <w:rFonts w:ascii="Arial" w:hAnsi="Arial" w:cs="Arial"/>
        </w:rPr>
        <w:t xml:space="preserve">, A., Mileva, I. and Andonova, M. (2023) ‘The ninth dimension of national culture: Unpacking cross-cultural communication styles’, </w:t>
      </w:r>
      <w:r w:rsidRPr="00E71C37">
        <w:rPr>
          <w:rStyle w:val="Emphasis"/>
          <w:rFonts w:ascii="Arial" w:eastAsiaTheme="majorEastAsia" w:hAnsi="Arial" w:cs="Arial"/>
        </w:rPr>
        <w:t>Interdisciplinary Description of Complex Systems</w:t>
      </w:r>
      <w:r w:rsidRPr="00E71C37">
        <w:rPr>
          <w:rFonts w:ascii="Arial" w:hAnsi="Arial" w:cs="Arial"/>
        </w:rPr>
        <w:t xml:space="preserve">, 21(5), pp. 471–494. </w:t>
      </w:r>
      <w:hyperlink r:id="rId15" w:history="1">
        <w:r w:rsidR="00B27FE6" w:rsidRPr="00E71C37">
          <w:rPr>
            <w:rStyle w:val="Hyperlink"/>
            <w:rFonts w:ascii="Arial" w:eastAsiaTheme="majorEastAsia" w:hAnsi="Arial" w:cs="Arial"/>
            <w:color w:val="auto"/>
            <w:shd w:val="clear" w:color="auto" w:fill="FFFFFF"/>
          </w:rPr>
          <w:t>https://</w:t>
        </w:r>
        <w:proofErr w:type="spellStart"/>
        <w:r w:rsidR="00B27FE6" w:rsidRPr="00E71C37">
          <w:rPr>
            <w:rStyle w:val="Hyperlink"/>
            <w:rFonts w:ascii="Arial" w:eastAsiaTheme="majorEastAsia" w:hAnsi="Arial" w:cs="Arial"/>
            <w:color w:val="auto"/>
            <w:shd w:val="clear" w:color="auto" w:fill="FFFFFF"/>
          </w:rPr>
          <w:t>hrcak.srce.hr</w:t>
        </w:r>
        <w:proofErr w:type="spellEnd"/>
        <w:r w:rsidR="00B27FE6" w:rsidRPr="00E71C37">
          <w:rPr>
            <w:rStyle w:val="Hyperlink"/>
            <w:rFonts w:ascii="Arial" w:eastAsiaTheme="majorEastAsia" w:hAnsi="Arial" w:cs="Arial"/>
            <w:color w:val="auto"/>
            <w:shd w:val="clear" w:color="auto" w:fill="FFFFFF"/>
          </w:rPr>
          <w:t>/307936</w:t>
        </w:r>
      </w:hyperlink>
      <w:r w:rsidR="00B27FE6" w:rsidRPr="00E71C37">
        <w:rPr>
          <w:rFonts w:ascii="Arial" w:hAnsi="Arial" w:cs="Arial"/>
        </w:rPr>
        <w:t>.</w:t>
      </w:r>
    </w:p>
    <w:p w14:paraId="6B700B90" w14:textId="77777777" w:rsidR="007632B9" w:rsidRPr="00E71C37" w:rsidRDefault="007632B9" w:rsidP="00E71C37">
      <w:pPr>
        <w:pStyle w:val="NormalWeb"/>
        <w:spacing w:line="360" w:lineRule="auto"/>
        <w:jc w:val="both"/>
        <w:rPr>
          <w:rFonts w:ascii="Arial" w:hAnsi="Arial" w:cs="Arial"/>
        </w:rPr>
      </w:pPr>
    </w:p>
    <w:p w14:paraId="77CCF174" w14:textId="77777777" w:rsidR="00FF23AE" w:rsidRPr="00E71C37" w:rsidRDefault="00FF23AE" w:rsidP="00E71C37">
      <w:pPr>
        <w:pStyle w:val="NormalWeb"/>
        <w:spacing w:line="360" w:lineRule="auto"/>
        <w:jc w:val="both"/>
        <w:rPr>
          <w:rFonts w:ascii="Arial" w:hAnsi="Arial" w:cs="Arial"/>
        </w:rPr>
      </w:pPr>
      <w:r w:rsidRPr="00E71C37">
        <w:rPr>
          <w:rFonts w:ascii="Arial" w:hAnsi="Arial" w:cs="Arial"/>
        </w:rPr>
        <w:t xml:space="preserve">Hall, E.T. (1976) </w:t>
      </w:r>
      <w:r w:rsidRPr="00E71C37">
        <w:rPr>
          <w:rStyle w:val="Emphasis"/>
          <w:rFonts w:ascii="Arial" w:eastAsiaTheme="majorEastAsia" w:hAnsi="Arial" w:cs="Arial"/>
        </w:rPr>
        <w:t>Beyond Culture</w:t>
      </w:r>
      <w:r w:rsidRPr="00E71C37">
        <w:rPr>
          <w:rFonts w:ascii="Arial" w:hAnsi="Arial" w:cs="Arial"/>
        </w:rPr>
        <w:t xml:space="preserve">. Garden City, NY: Anchor Press/Doubleday. </w:t>
      </w:r>
    </w:p>
    <w:p w14:paraId="5E9AF953" w14:textId="77777777" w:rsidR="007632B9" w:rsidRPr="00E71C37" w:rsidRDefault="007632B9" w:rsidP="00E71C37">
      <w:pPr>
        <w:pStyle w:val="NormalWeb"/>
        <w:spacing w:line="360" w:lineRule="auto"/>
        <w:jc w:val="both"/>
        <w:rPr>
          <w:rFonts w:ascii="Arial" w:hAnsi="Arial" w:cs="Arial"/>
        </w:rPr>
      </w:pPr>
    </w:p>
    <w:p w14:paraId="0C57D62C" w14:textId="77777777" w:rsidR="00FF23AE" w:rsidRPr="00E71C37" w:rsidRDefault="00FF23AE" w:rsidP="00E71C37">
      <w:pPr>
        <w:pStyle w:val="NormalWeb"/>
        <w:spacing w:line="360" w:lineRule="auto"/>
        <w:jc w:val="both"/>
        <w:rPr>
          <w:rFonts w:ascii="Arial" w:hAnsi="Arial" w:cs="Arial"/>
        </w:rPr>
      </w:pPr>
      <w:r w:rsidRPr="00E71C37">
        <w:rPr>
          <w:rFonts w:ascii="Arial" w:hAnsi="Arial" w:cs="Arial"/>
        </w:rPr>
        <w:t xml:space="preserve">Hofstede, G., Hofstede, G.J. and Minkov, M. (2010) </w:t>
      </w:r>
      <w:r w:rsidRPr="00E71C37">
        <w:rPr>
          <w:rStyle w:val="Emphasis"/>
          <w:rFonts w:ascii="Arial" w:eastAsiaTheme="majorEastAsia" w:hAnsi="Arial" w:cs="Arial"/>
        </w:rPr>
        <w:t>Cultures and Organizations: Software of the Mind: Intercultural Cooperation and Its Importance for Survival</w:t>
      </w:r>
      <w:r w:rsidRPr="00E71C37">
        <w:rPr>
          <w:rFonts w:ascii="Arial" w:hAnsi="Arial" w:cs="Arial"/>
        </w:rPr>
        <w:t xml:space="preserve">. 3rd </w:t>
      </w:r>
      <w:proofErr w:type="spellStart"/>
      <w:r w:rsidRPr="00E71C37">
        <w:rPr>
          <w:rFonts w:ascii="Arial" w:hAnsi="Arial" w:cs="Arial"/>
        </w:rPr>
        <w:t>edn</w:t>
      </w:r>
      <w:proofErr w:type="spellEnd"/>
      <w:r w:rsidRPr="00E71C37">
        <w:rPr>
          <w:rFonts w:ascii="Arial" w:hAnsi="Arial" w:cs="Arial"/>
        </w:rPr>
        <w:t xml:space="preserve">. New York: McGraw-Hill. </w:t>
      </w:r>
    </w:p>
    <w:p w14:paraId="10C06AF4" w14:textId="77777777" w:rsidR="007632B9" w:rsidRPr="00E71C37" w:rsidRDefault="007632B9" w:rsidP="00E71C37">
      <w:pPr>
        <w:pStyle w:val="NormalWeb"/>
        <w:spacing w:line="360" w:lineRule="auto"/>
        <w:jc w:val="both"/>
        <w:rPr>
          <w:rFonts w:ascii="Arial" w:hAnsi="Arial" w:cs="Arial"/>
        </w:rPr>
      </w:pPr>
    </w:p>
    <w:p w14:paraId="20C0002C" w14:textId="2A5EDBDA" w:rsidR="00FF23AE" w:rsidRPr="00E71C37" w:rsidRDefault="00FF23AE" w:rsidP="00E71C37">
      <w:pPr>
        <w:pStyle w:val="NormalWeb"/>
        <w:spacing w:line="360" w:lineRule="auto"/>
        <w:jc w:val="both"/>
        <w:rPr>
          <w:rFonts w:ascii="Arial" w:hAnsi="Arial" w:cs="Arial"/>
        </w:rPr>
      </w:pPr>
      <w:r w:rsidRPr="00E71C37">
        <w:rPr>
          <w:rFonts w:ascii="Arial" w:hAnsi="Arial" w:cs="Arial"/>
        </w:rPr>
        <w:t xml:space="preserve">Levitt, S.R. (2022) ‘Intercultural competence in international teamwork: Understanding high- and low-context communication styles’, </w:t>
      </w:r>
      <w:r w:rsidRPr="00E71C37">
        <w:rPr>
          <w:rStyle w:val="Emphasis"/>
          <w:rFonts w:ascii="Arial" w:eastAsiaTheme="majorEastAsia" w:hAnsi="Arial" w:cs="Arial"/>
        </w:rPr>
        <w:t>Communication and Media in Asia Pacific</w:t>
      </w:r>
      <w:r w:rsidRPr="00E71C37">
        <w:rPr>
          <w:rFonts w:ascii="Arial" w:hAnsi="Arial" w:cs="Arial"/>
        </w:rPr>
        <w:t xml:space="preserve">, 5(1), pp. 1–13. </w:t>
      </w:r>
      <w:hyperlink r:id="rId16" w:history="1">
        <w:r w:rsidR="00B27FE6" w:rsidRPr="00E71C37">
          <w:rPr>
            <w:rStyle w:val="Hyperlink"/>
            <w:rFonts w:ascii="Arial" w:hAnsi="Arial" w:cs="Arial"/>
            <w:color w:val="auto"/>
          </w:rPr>
          <w:t>http://</w:t>
        </w:r>
        <w:proofErr w:type="spellStart"/>
        <w:r w:rsidR="00B27FE6" w:rsidRPr="00E71C37">
          <w:rPr>
            <w:rStyle w:val="Hyperlink"/>
            <w:rFonts w:ascii="Arial" w:hAnsi="Arial" w:cs="Arial"/>
            <w:color w:val="auto"/>
          </w:rPr>
          <w:t>doi.org</w:t>
        </w:r>
        <w:proofErr w:type="spellEnd"/>
        <w:r w:rsidR="00B27FE6" w:rsidRPr="00E71C37">
          <w:rPr>
            <w:rStyle w:val="Hyperlink"/>
            <w:rFonts w:ascii="Arial" w:hAnsi="Arial" w:cs="Arial"/>
            <w:color w:val="auto"/>
          </w:rPr>
          <w:t>/10.14456/cmap.2022.1</w:t>
        </w:r>
      </w:hyperlink>
      <w:r w:rsidR="00B27FE6" w:rsidRPr="00E71C37">
        <w:rPr>
          <w:rFonts w:ascii="Arial" w:hAnsi="Arial" w:cs="Arial"/>
        </w:rPr>
        <w:t xml:space="preserve"> .</w:t>
      </w:r>
    </w:p>
    <w:p w14:paraId="5A76D060" w14:textId="747D0557" w:rsidR="00FA4C05" w:rsidRPr="00E71C37" w:rsidRDefault="00FF23AE" w:rsidP="00E71C37">
      <w:pPr>
        <w:pStyle w:val="NormalWeb"/>
        <w:spacing w:line="360" w:lineRule="auto"/>
        <w:jc w:val="both"/>
        <w:rPr>
          <w:rFonts w:ascii="Arial" w:hAnsi="Arial" w:cs="Arial"/>
        </w:rPr>
      </w:pPr>
      <w:r w:rsidRPr="00E71C37">
        <w:rPr>
          <w:rFonts w:ascii="Arial" w:hAnsi="Arial" w:cs="Arial"/>
        </w:rPr>
        <w:lastRenderedPageBreak/>
        <w:t xml:space="preserve">Minkov, M. and Kaasa, A. (2022) ‘Do dimensions of culture exist objectively? A validation of the revised Minkov–Hofstede model of culture with World Values Survey items and scores for 102 countries’, </w:t>
      </w:r>
      <w:r w:rsidRPr="00E71C37">
        <w:rPr>
          <w:rStyle w:val="Emphasis"/>
          <w:rFonts w:ascii="Arial" w:eastAsiaTheme="majorEastAsia" w:hAnsi="Arial" w:cs="Arial"/>
        </w:rPr>
        <w:t>Journal of International Management</w:t>
      </w:r>
      <w:r w:rsidRPr="00E71C37">
        <w:rPr>
          <w:rFonts w:ascii="Arial" w:hAnsi="Arial" w:cs="Arial"/>
        </w:rPr>
        <w:t>, 28(4), article 100971</w:t>
      </w:r>
      <w:r w:rsidR="00FA4C05" w:rsidRPr="00E71C37">
        <w:rPr>
          <w:rFonts w:ascii="Arial" w:hAnsi="Arial" w:cs="Arial"/>
        </w:rPr>
        <w:t xml:space="preserve">, </w:t>
      </w:r>
      <w:hyperlink r:id="rId17" w:history="1">
        <w:r w:rsidR="00FA4C05" w:rsidRPr="00E71C37">
          <w:rPr>
            <w:rStyle w:val="Hyperlink"/>
            <w:rFonts w:ascii="Arial" w:hAnsi="Arial" w:cs="Arial"/>
            <w:color w:val="auto"/>
          </w:rPr>
          <w:t>https://</w:t>
        </w:r>
        <w:proofErr w:type="spellStart"/>
        <w:r w:rsidR="00FA4C05" w:rsidRPr="00E71C37">
          <w:rPr>
            <w:rStyle w:val="Hyperlink"/>
            <w:rFonts w:ascii="Arial" w:hAnsi="Arial" w:cs="Arial"/>
            <w:color w:val="auto"/>
          </w:rPr>
          <w:t>doi.org</w:t>
        </w:r>
        <w:proofErr w:type="spellEnd"/>
        <w:r w:rsidR="00FA4C05" w:rsidRPr="00E71C37">
          <w:rPr>
            <w:rStyle w:val="Hyperlink"/>
            <w:rFonts w:ascii="Arial" w:hAnsi="Arial" w:cs="Arial"/>
            <w:color w:val="auto"/>
          </w:rPr>
          <w:t>/10.1016/j.intman.2022.100971</w:t>
        </w:r>
      </w:hyperlink>
      <w:r w:rsidR="00FA4C05" w:rsidRPr="00E71C37">
        <w:rPr>
          <w:rFonts w:ascii="Arial" w:hAnsi="Arial" w:cs="Arial"/>
        </w:rPr>
        <w:t xml:space="preserve">. </w:t>
      </w:r>
    </w:p>
    <w:p w14:paraId="15F44F20" w14:textId="77777777" w:rsidR="007632B9" w:rsidRPr="00E71C37" w:rsidRDefault="007632B9" w:rsidP="00E71C37">
      <w:pPr>
        <w:pStyle w:val="NormalWeb"/>
        <w:spacing w:line="360" w:lineRule="auto"/>
        <w:jc w:val="both"/>
        <w:rPr>
          <w:rFonts w:ascii="Arial" w:hAnsi="Arial" w:cs="Arial"/>
        </w:rPr>
      </w:pPr>
    </w:p>
    <w:p w14:paraId="4686CE14" w14:textId="2FB7B54D" w:rsidR="00FF23AE" w:rsidRPr="00E71C37" w:rsidRDefault="00FF23AE" w:rsidP="00E71C37">
      <w:pPr>
        <w:pStyle w:val="NormalWeb"/>
        <w:spacing w:line="360" w:lineRule="auto"/>
        <w:jc w:val="both"/>
        <w:rPr>
          <w:rFonts w:ascii="Arial" w:hAnsi="Arial" w:cs="Arial"/>
        </w:rPr>
      </w:pPr>
      <w:r w:rsidRPr="00E71C37">
        <w:rPr>
          <w:rFonts w:ascii="Arial" w:hAnsi="Arial" w:cs="Arial"/>
        </w:rPr>
        <w:t xml:space="preserve">Octopus Energy (2020) </w:t>
      </w:r>
      <w:r w:rsidRPr="00E71C37">
        <w:rPr>
          <w:rStyle w:val="Emphasis"/>
          <w:rFonts w:ascii="Arial" w:eastAsiaTheme="majorEastAsia" w:hAnsi="Arial" w:cs="Arial"/>
        </w:rPr>
        <w:t>Octopus Energy Group enters Asia with landmark partnership with Tokyo Gas</w:t>
      </w:r>
      <w:r w:rsidRPr="00E71C37">
        <w:rPr>
          <w:rFonts w:ascii="Arial" w:hAnsi="Arial" w:cs="Arial"/>
        </w:rPr>
        <w:t xml:space="preserve">. Available at: </w:t>
      </w:r>
      <w:hyperlink r:id="rId18" w:history="1">
        <w:r w:rsidR="00596228" w:rsidRPr="00E71C37">
          <w:rPr>
            <w:rStyle w:val="Hyperlink"/>
            <w:rFonts w:ascii="Arial" w:hAnsi="Arial" w:cs="Arial"/>
            <w:color w:val="auto"/>
          </w:rPr>
          <w:t>https://octopus.energy/press/octopus-energy-group-enters-asia-landmark-partnership-tokyo-gas/</w:t>
        </w:r>
      </w:hyperlink>
      <w:r w:rsidR="00596228" w:rsidRPr="00E71C37">
        <w:rPr>
          <w:rFonts w:ascii="Arial" w:hAnsi="Arial" w:cs="Arial"/>
        </w:rPr>
        <w:t xml:space="preserve">,  </w:t>
      </w:r>
      <w:r w:rsidRPr="00E71C37">
        <w:rPr>
          <w:rFonts w:ascii="Arial" w:hAnsi="Arial" w:cs="Arial"/>
        </w:rPr>
        <w:t xml:space="preserve">(Accessed: 23 July 2026). </w:t>
      </w:r>
    </w:p>
    <w:p w14:paraId="19A9703C" w14:textId="77777777" w:rsidR="007632B9" w:rsidRPr="00E71C37" w:rsidRDefault="007632B9" w:rsidP="00E71C37">
      <w:pPr>
        <w:pStyle w:val="NormalWeb"/>
        <w:spacing w:line="360" w:lineRule="auto"/>
        <w:jc w:val="both"/>
        <w:rPr>
          <w:rFonts w:ascii="Arial" w:hAnsi="Arial" w:cs="Arial"/>
        </w:rPr>
      </w:pPr>
    </w:p>
    <w:p w14:paraId="3C9CC1C3" w14:textId="6A13BB8B" w:rsidR="00FF23AE" w:rsidRPr="00E71C37" w:rsidRDefault="00FF23AE" w:rsidP="00E71C37">
      <w:pPr>
        <w:pStyle w:val="NormalWeb"/>
        <w:spacing w:line="360" w:lineRule="auto"/>
        <w:jc w:val="both"/>
        <w:rPr>
          <w:rFonts w:ascii="Arial" w:hAnsi="Arial" w:cs="Arial"/>
        </w:rPr>
      </w:pPr>
      <w:r w:rsidRPr="00E71C37">
        <w:rPr>
          <w:rFonts w:ascii="Arial" w:hAnsi="Arial" w:cs="Arial"/>
        </w:rPr>
        <w:t xml:space="preserve">Octopus Energy Group (n.d.) </w:t>
      </w:r>
      <w:r w:rsidRPr="00E71C37">
        <w:rPr>
          <w:rStyle w:val="Emphasis"/>
          <w:rFonts w:ascii="Arial" w:eastAsiaTheme="majorEastAsia" w:hAnsi="Arial" w:cs="Arial"/>
        </w:rPr>
        <w:t>Octopus Energy Group</w:t>
      </w:r>
      <w:r w:rsidRPr="00E71C37">
        <w:rPr>
          <w:rFonts w:ascii="Arial" w:hAnsi="Arial" w:cs="Arial"/>
        </w:rPr>
        <w:t xml:space="preserve">. Available at: </w:t>
      </w:r>
      <w:hyperlink r:id="rId19" w:history="1">
        <w:r w:rsidR="00596228" w:rsidRPr="00E71C37">
          <w:rPr>
            <w:rStyle w:val="Hyperlink"/>
            <w:rFonts w:ascii="Arial" w:hAnsi="Arial" w:cs="Arial"/>
            <w:color w:val="auto"/>
          </w:rPr>
          <w:t>https://</w:t>
        </w:r>
        <w:proofErr w:type="spellStart"/>
        <w:r w:rsidR="00596228" w:rsidRPr="00E71C37">
          <w:rPr>
            <w:rStyle w:val="Hyperlink"/>
            <w:rFonts w:ascii="Arial" w:hAnsi="Arial" w:cs="Arial"/>
            <w:color w:val="auto"/>
          </w:rPr>
          <w:t>octopus.energy</w:t>
        </w:r>
        <w:proofErr w:type="spellEnd"/>
        <w:r w:rsidR="00596228" w:rsidRPr="00E71C37">
          <w:rPr>
            <w:rStyle w:val="Hyperlink"/>
            <w:rFonts w:ascii="Arial" w:hAnsi="Arial" w:cs="Arial"/>
            <w:color w:val="auto"/>
          </w:rPr>
          <w:t>/about-us/</w:t>
        </w:r>
      </w:hyperlink>
      <w:r w:rsidR="00596228" w:rsidRPr="00E71C37">
        <w:rPr>
          <w:rFonts w:ascii="Arial" w:hAnsi="Arial" w:cs="Arial"/>
        </w:rPr>
        <w:t xml:space="preserve"> ,</w:t>
      </w:r>
      <w:r w:rsidRPr="00E71C37">
        <w:rPr>
          <w:rFonts w:ascii="Arial" w:hAnsi="Arial" w:cs="Arial"/>
        </w:rPr>
        <w:t xml:space="preserve">(Accessed: 23 July 2026). </w:t>
      </w:r>
    </w:p>
    <w:p w14:paraId="7A2AF2C0" w14:textId="77777777" w:rsidR="007632B9" w:rsidRPr="00E71C37" w:rsidRDefault="007632B9" w:rsidP="00E71C37">
      <w:pPr>
        <w:pStyle w:val="NormalWeb"/>
        <w:spacing w:line="360" w:lineRule="auto"/>
        <w:jc w:val="both"/>
        <w:rPr>
          <w:rFonts w:ascii="Arial" w:hAnsi="Arial" w:cs="Arial"/>
        </w:rPr>
      </w:pPr>
    </w:p>
    <w:p w14:paraId="64C23BBE" w14:textId="02A1C3DB" w:rsidR="00FF23AE" w:rsidRPr="00E71C37" w:rsidRDefault="00FF23AE" w:rsidP="00E71C37">
      <w:pPr>
        <w:pStyle w:val="NormalWeb"/>
        <w:spacing w:line="360" w:lineRule="auto"/>
        <w:jc w:val="both"/>
        <w:rPr>
          <w:rFonts w:ascii="Arial" w:hAnsi="Arial" w:cs="Arial"/>
        </w:rPr>
      </w:pPr>
      <w:r w:rsidRPr="00E71C37">
        <w:rPr>
          <w:rFonts w:ascii="Arial" w:hAnsi="Arial" w:cs="Arial"/>
        </w:rPr>
        <w:t xml:space="preserve">Sethi, R. and Yildiz, M. (2026) ‘Culture and communication’, </w:t>
      </w:r>
      <w:r w:rsidRPr="00E71C37">
        <w:rPr>
          <w:rStyle w:val="Emphasis"/>
          <w:rFonts w:ascii="Arial" w:eastAsiaTheme="majorEastAsia" w:hAnsi="Arial" w:cs="Arial"/>
        </w:rPr>
        <w:t>Journal of Economic Theory</w:t>
      </w:r>
      <w:r w:rsidRPr="00E71C37">
        <w:rPr>
          <w:rFonts w:ascii="Arial" w:hAnsi="Arial" w:cs="Arial"/>
        </w:rPr>
        <w:t>, 233, article 106152</w:t>
      </w:r>
      <w:r w:rsidR="00FA4C05" w:rsidRPr="00E71C37">
        <w:rPr>
          <w:rFonts w:ascii="Arial" w:hAnsi="Arial" w:cs="Arial"/>
        </w:rPr>
        <w:t xml:space="preserve">, </w:t>
      </w:r>
      <w:hyperlink r:id="rId20" w:history="1">
        <w:r w:rsidR="00596228" w:rsidRPr="00E71C37">
          <w:rPr>
            <w:rStyle w:val="Hyperlink"/>
            <w:rFonts w:ascii="Arial" w:hAnsi="Arial" w:cs="Arial"/>
            <w:color w:val="auto"/>
          </w:rPr>
          <w:t>https://</w:t>
        </w:r>
        <w:proofErr w:type="spellStart"/>
        <w:r w:rsidR="00596228" w:rsidRPr="00E71C37">
          <w:rPr>
            <w:rStyle w:val="Hyperlink"/>
            <w:rFonts w:ascii="Arial" w:hAnsi="Arial" w:cs="Arial"/>
            <w:color w:val="auto"/>
          </w:rPr>
          <w:t>doi.org</w:t>
        </w:r>
        <w:proofErr w:type="spellEnd"/>
        <w:r w:rsidR="00596228" w:rsidRPr="00E71C37">
          <w:rPr>
            <w:rStyle w:val="Hyperlink"/>
            <w:rFonts w:ascii="Arial" w:hAnsi="Arial" w:cs="Arial"/>
            <w:color w:val="auto"/>
          </w:rPr>
          <w:t>/10.1016/j.jet.2026.106152</w:t>
        </w:r>
      </w:hyperlink>
      <w:r w:rsidR="00596228" w:rsidRPr="00E71C37">
        <w:rPr>
          <w:rFonts w:ascii="Arial" w:hAnsi="Arial" w:cs="Arial"/>
        </w:rPr>
        <w:t xml:space="preserve"> .</w:t>
      </w:r>
    </w:p>
    <w:p w14:paraId="5A9C39C8" w14:textId="77777777" w:rsidR="007632B9" w:rsidRPr="00E71C37" w:rsidRDefault="007632B9" w:rsidP="00E71C37">
      <w:pPr>
        <w:pStyle w:val="NormalWeb"/>
        <w:spacing w:line="360" w:lineRule="auto"/>
        <w:jc w:val="both"/>
        <w:rPr>
          <w:rFonts w:ascii="Arial" w:hAnsi="Arial" w:cs="Arial"/>
        </w:rPr>
      </w:pPr>
    </w:p>
    <w:p w14:paraId="0A7AC311" w14:textId="21F85110" w:rsidR="00FF23AE" w:rsidRPr="00E71C37" w:rsidRDefault="00FF23AE" w:rsidP="00E71C37">
      <w:pPr>
        <w:pStyle w:val="NormalWeb"/>
        <w:spacing w:line="360" w:lineRule="auto"/>
        <w:jc w:val="both"/>
        <w:rPr>
          <w:rFonts w:ascii="Arial" w:hAnsi="Arial" w:cs="Arial"/>
        </w:rPr>
      </w:pPr>
      <w:r w:rsidRPr="00E71C37">
        <w:rPr>
          <w:rFonts w:ascii="Arial" w:hAnsi="Arial" w:cs="Arial"/>
        </w:rPr>
        <w:t xml:space="preserve">The Culture Factor Group (n.d.) </w:t>
      </w:r>
      <w:r w:rsidRPr="00E71C37">
        <w:rPr>
          <w:rStyle w:val="Emphasis"/>
          <w:rFonts w:ascii="Arial" w:eastAsiaTheme="majorEastAsia" w:hAnsi="Arial" w:cs="Arial"/>
        </w:rPr>
        <w:t>Country comparison tool</w:t>
      </w:r>
      <w:r w:rsidRPr="00E71C37">
        <w:rPr>
          <w:rFonts w:ascii="Arial" w:hAnsi="Arial" w:cs="Arial"/>
        </w:rPr>
        <w:t xml:space="preserve">. Available at: </w:t>
      </w:r>
      <w:hyperlink r:id="rId21" w:history="1">
        <w:r w:rsidR="00596228" w:rsidRPr="00E71C37">
          <w:rPr>
            <w:rStyle w:val="Hyperlink"/>
            <w:rFonts w:ascii="Arial" w:hAnsi="Arial" w:cs="Arial"/>
            <w:color w:val="auto"/>
          </w:rPr>
          <w:t>https://</w:t>
        </w:r>
        <w:proofErr w:type="spellStart"/>
        <w:r w:rsidR="00596228" w:rsidRPr="00E71C37">
          <w:rPr>
            <w:rStyle w:val="Hyperlink"/>
            <w:rFonts w:ascii="Arial" w:hAnsi="Arial" w:cs="Arial"/>
            <w:color w:val="auto"/>
          </w:rPr>
          <w:t>www.theculturefactor.com</w:t>
        </w:r>
        <w:proofErr w:type="spellEnd"/>
        <w:r w:rsidR="00596228" w:rsidRPr="00E71C37">
          <w:rPr>
            <w:rStyle w:val="Hyperlink"/>
            <w:rFonts w:ascii="Arial" w:hAnsi="Arial" w:cs="Arial"/>
            <w:color w:val="auto"/>
          </w:rPr>
          <w:t>/country-comparison-tool</w:t>
        </w:r>
      </w:hyperlink>
      <w:r w:rsidR="00596228" w:rsidRPr="00E71C37">
        <w:rPr>
          <w:rFonts w:ascii="Arial" w:hAnsi="Arial" w:cs="Arial"/>
        </w:rPr>
        <w:t xml:space="preserve"> , </w:t>
      </w:r>
      <w:r w:rsidRPr="00E71C37">
        <w:rPr>
          <w:rFonts w:ascii="Arial" w:hAnsi="Arial" w:cs="Arial"/>
        </w:rPr>
        <w:t xml:space="preserve">(Accessed: 23 July 2026). </w:t>
      </w:r>
    </w:p>
    <w:p w14:paraId="5B520E5C" w14:textId="77777777" w:rsidR="007632B9" w:rsidRPr="00E71C37" w:rsidRDefault="007632B9" w:rsidP="00E71C37">
      <w:pPr>
        <w:pStyle w:val="NormalWeb"/>
        <w:spacing w:line="360" w:lineRule="auto"/>
        <w:jc w:val="both"/>
        <w:rPr>
          <w:rFonts w:ascii="Arial" w:hAnsi="Arial" w:cs="Arial"/>
        </w:rPr>
      </w:pPr>
    </w:p>
    <w:p w14:paraId="229A0AE4" w14:textId="2845FF70" w:rsidR="00FF23AE" w:rsidRPr="00E71C37" w:rsidRDefault="00FF23AE" w:rsidP="00E71C37">
      <w:pPr>
        <w:pStyle w:val="NormalWeb"/>
        <w:spacing w:line="360" w:lineRule="auto"/>
        <w:jc w:val="both"/>
        <w:rPr>
          <w:rFonts w:ascii="Arial" w:hAnsi="Arial" w:cs="Arial"/>
        </w:rPr>
      </w:pPr>
      <w:r w:rsidRPr="00E71C37">
        <w:rPr>
          <w:rFonts w:ascii="Arial" w:hAnsi="Arial" w:cs="Arial"/>
        </w:rPr>
        <w:t xml:space="preserve">Tokyo Gas Co., Ltd. (n.d.) </w:t>
      </w:r>
      <w:r w:rsidRPr="00E71C37">
        <w:rPr>
          <w:rStyle w:val="Emphasis"/>
          <w:rFonts w:ascii="Arial" w:eastAsiaTheme="majorEastAsia" w:hAnsi="Arial" w:cs="Arial"/>
        </w:rPr>
        <w:t>About Us &amp; Management Strategy</w:t>
      </w:r>
      <w:r w:rsidRPr="00E71C37">
        <w:rPr>
          <w:rFonts w:ascii="Arial" w:hAnsi="Arial" w:cs="Arial"/>
        </w:rPr>
        <w:t xml:space="preserve">. Available at: </w:t>
      </w:r>
      <w:hyperlink r:id="rId22" w:history="1">
        <w:r w:rsidR="00596228" w:rsidRPr="00E71C37">
          <w:rPr>
            <w:rStyle w:val="Hyperlink"/>
            <w:rFonts w:ascii="Arial" w:hAnsi="Arial" w:cs="Arial"/>
            <w:color w:val="auto"/>
          </w:rPr>
          <w:t>https://</w:t>
        </w:r>
        <w:proofErr w:type="spellStart"/>
        <w:r w:rsidR="00596228" w:rsidRPr="00E71C37">
          <w:rPr>
            <w:rStyle w:val="Hyperlink"/>
            <w:rFonts w:ascii="Arial" w:hAnsi="Arial" w:cs="Arial"/>
            <w:color w:val="auto"/>
          </w:rPr>
          <w:t>www.tokyo-gas.co.jp</w:t>
        </w:r>
        <w:proofErr w:type="spellEnd"/>
        <w:r w:rsidR="00596228" w:rsidRPr="00E71C37">
          <w:rPr>
            <w:rStyle w:val="Hyperlink"/>
            <w:rFonts w:ascii="Arial" w:hAnsi="Arial" w:cs="Arial"/>
            <w:color w:val="auto"/>
          </w:rPr>
          <w:t>/about/</w:t>
        </w:r>
        <w:proofErr w:type="spellStart"/>
        <w:r w:rsidR="00596228" w:rsidRPr="00E71C37">
          <w:rPr>
            <w:rStyle w:val="Hyperlink"/>
            <w:rFonts w:ascii="Arial" w:hAnsi="Arial" w:cs="Arial"/>
            <w:color w:val="auto"/>
          </w:rPr>
          <w:t>index.html?wovn</w:t>
        </w:r>
        <w:proofErr w:type="spellEnd"/>
        <w:r w:rsidR="00596228" w:rsidRPr="00E71C37">
          <w:rPr>
            <w:rStyle w:val="Hyperlink"/>
            <w:rFonts w:ascii="Arial" w:hAnsi="Arial" w:cs="Arial"/>
            <w:color w:val="auto"/>
          </w:rPr>
          <w:t>=</w:t>
        </w:r>
        <w:proofErr w:type="spellStart"/>
        <w:r w:rsidR="00596228" w:rsidRPr="00E71C37">
          <w:rPr>
            <w:rStyle w:val="Hyperlink"/>
            <w:rFonts w:ascii="Arial" w:hAnsi="Arial" w:cs="Arial"/>
            <w:color w:val="auto"/>
          </w:rPr>
          <w:t>en</w:t>
        </w:r>
        <w:proofErr w:type="spellEnd"/>
      </w:hyperlink>
      <w:r w:rsidR="00596228" w:rsidRPr="00E71C37">
        <w:rPr>
          <w:rFonts w:ascii="Arial" w:hAnsi="Arial" w:cs="Arial"/>
        </w:rPr>
        <w:t xml:space="preserve">  </w:t>
      </w:r>
      <w:r w:rsidRPr="00E71C37">
        <w:rPr>
          <w:rFonts w:ascii="Arial" w:hAnsi="Arial" w:cs="Arial"/>
        </w:rPr>
        <w:t xml:space="preserve">(Accessed: 23 July 2026). </w:t>
      </w:r>
    </w:p>
    <w:p w14:paraId="261CFE72" w14:textId="77777777" w:rsidR="007632B9" w:rsidRPr="00E71C37" w:rsidRDefault="007632B9" w:rsidP="00E71C37">
      <w:pPr>
        <w:pStyle w:val="NormalWeb"/>
        <w:spacing w:line="360" w:lineRule="auto"/>
        <w:jc w:val="both"/>
        <w:rPr>
          <w:rFonts w:ascii="Arial" w:hAnsi="Arial" w:cs="Arial"/>
        </w:rPr>
      </w:pPr>
    </w:p>
    <w:p w14:paraId="0AA08AA6" w14:textId="731A3819" w:rsidR="00FF23AE" w:rsidRPr="007632B9" w:rsidRDefault="00FF23AE" w:rsidP="00E71C37">
      <w:pPr>
        <w:pStyle w:val="NormalWeb"/>
        <w:spacing w:line="360" w:lineRule="auto"/>
        <w:jc w:val="both"/>
        <w:rPr>
          <w:rFonts w:ascii="Arial" w:hAnsi="Arial" w:cs="Arial"/>
        </w:rPr>
      </w:pPr>
      <w:r w:rsidRPr="00E71C37">
        <w:rPr>
          <w:rFonts w:ascii="Arial" w:hAnsi="Arial" w:cs="Arial"/>
        </w:rPr>
        <w:t xml:space="preserve">Zakaria, N. and Ab Rahman Muton, N. (2022) ‘Cultural code-switching in high context global virtual team members: A qualitative study’, </w:t>
      </w:r>
      <w:r w:rsidRPr="00E71C37">
        <w:rPr>
          <w:rStyle w:val="Emphasis"/>
          <w:rFonts w:ascii="Arial" w:eastAsiaTheme="majorEastAsia" w:hAnsi="Arial" w:cs="Arial"/>
        </w:rPr>
        <w:t xml:space="preserve">International Journal of </w:t>
      </w:r>
      <w:proofErr w:type="gramStart"/>
      <w:r w:rsidRPr="00E71C37">
        <w:rPr>
          <w:rStyle w:val="Emphasis"/>
          <w:rFonts w:ascii="Arial" w:eastAsiaTheme="majorEastAsia" w:hAnsi="Arial" w:cs="Arial"/>
        </w:rPr>
        <w:t>Cross</w:t>
      </w:r>
      <w:r w:rsidR="007632B9" w:rsidRPr="007632B9">
        <w:rPr>
          <w:rStyle w:val="Emphasis"/>
          <w:rFonts w:ascii="Arial" w:eastAsiaTheme="majorEastAsia" w:hAnsi="Arial" w:cs="Arial"/>
        </w:rPr>
        <w:t xml:space="preserve"> </w:t>
      </w:r>
      <w:r w:rsidRPr="007632B9">
        <w:rPr>
          <w:rStyle w:val="Emphasis"/>
          <w:rFonts w:ascii="Arial" w:eastAsiaTheme="majorEastAsia" w:hAnsi="Arial" w:cs="Arial"/>
        </w:rPr>
        <w:t>Cultural</w:t>
      </w:r>
      <w:proofErr w:type="gramEnd"/>
      <w:r w:rsidRPr="007632B9">
        <w:rPr>
          <w:rStyle w:val="Emphasis"/>
          <w:rFonts w:ascii="Arial" w:eastAsiaTheme="majorEastAsia" w:hAnsi="Arial" w:cs="Arial"/>
        </w:rPr>
        <w:t xml:space="preserve"> Management</w:t>
      </w:r>
      <w:r w:rsidRPr="007632B9">
        <w:rPr>
          <w:rFonts w:ascii="Arial" w:hAnsi="Arial" w:cs="Arial"/>
        </w:rPr>
        <w:t xml:space="preserve">, 22(3), pp. 487–515. </w:t>
      </w:r>
      <w:hyperlink r:id="rId23" w:history="1">
        <w:r w:rsidR="00596228" w:rsidRPr="007632B9">
          <w:rPr>
            <w:rStyle w:val="Hyperlink"/>
            <w:rFonts w:ascii="Arial" w:eastAsiaTheme="majorEastAsia" w:hAnsi="Arial" w:cs="Arial"/>
            <w:color w:val="auto"/>
            <w:shd w:val="clear" w:color="auto" w:fill="FFFFFF"/>
          </w:rPr>
          <w:t>https://</w:t>
        </w:r>
        <w:proofErr w:type="spellStart"/>
        <w:r w:rsidR="00596228" w:rsidRPr="007632B9">
          <w:rPr>
            <w:rStyle w:val="Hyperlink"/>
            <w:rFonts w:ascii="Arial" w:eastAsiaTheme="majorEastAsia" w:hAnsi="Arial" w:cs="Arial"/>
            <w:color w:val="auto"/>
            <w:shd w:val="clear" w:color="auto" w:fill="FFFFFF"/>
          </w:rPr>
          <w:t>doi.org</w:t>
        </w:r>
        <w:proofErr w:type="spellEnd"/>
        <w:r w:rsidR="00596228" w:rsidRPr="007632B9">
          <w:rPr>
            <w:rStyle w:val="Hyperlink"/>
            <w:rFonts w:ascii="Arial" w:eastAsiaTheme="majorEastAsia" w:hAnsi="Arial" w:cs="Arial"/>
            <w:color w:val="auto"/>
            <w:shd w:val="clear" w:color="auto" w:fill="FFFFFF"/>
          </w:rPr>
          <w:t>/10.1177/14705958221137256</w:t>
        </w:r>
      </w:hyperlink>
      <w:r w:rsidR="00596228" w:rsidRPr="007632B9">
        <w:rPr>
          <w:rFonts w:ascii="Arial" w:hAnsi="Arial" w:cs="Arial"/>
        </w:rPr>
        <w:t>.</w:t>
      </w:r>
    </w:p>
    <w:p w14:paraId="3387E657" w14:textId="77777777" w:rsidR="00FF23AE" w:rsidRPr="00FF23AE" w:rsidRDefault="00FF23AE" w:rsidP="00FF23AE"/>
    <w:sectPr w:rsidR="00FF23AE" w:rsidRPr="00FF23AE" w:rsidSect="00F46CD7">
      <w:footerReference w:type="default" r:id="rId24"/>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0BC2E2" w14:textId="77777777" w:rsidR="007B4E33" w:rsidRDefault="007B4E33" w:rsidP="00F46CD7">
      <w:pPr>
        <w:spacing w:after="0" w:line="240" w:lineRule="auto"/>
      </w:pPr>
      <w:r>
        <w:separator/>
      </w:r>
    </w:p>
  </w:endnote>
  <w:endnote w:type="continuationSeparator" w:id="0">
    <w:p w14:paraId="5B5058AC" w14:textId="77777777" w:rsidR="007B4E33" w:rsidRDefault="007B4E33" w:rsidP="00F46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611808" w14:textId="670765D5" w:rsidR="00F46CD7" w:rsidRPr="009166CB" w:rsidRDefault="00F46CD7" w:rsidP="009166CB">
    <w:pPr>
      <w:pStyle w:val="Footer"/>
      <w:pBdr>
        <w:top w:val="single" w:sz="4" w:space="1" w:color="D9D9D9" w:themeColor="background1" w:themeShade="D9"/>
      </w:pBdr>
      <w:rPr>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2317116"/>
      <w:docPartObj>
        <w:docPartGallery w:val="Page Numbers (Bottom of Page)"/>
        <w:docPartUnique/>
      </w:docPartObj>
    </w:sdtPr>
    <w:sdtEndPr>
      <w:rPr>
        <w:color w:val="7F7F7F" w:themeColor="background1" w:themeShade="7F"/>
        <w:spacing w:val="60"/>
      </w:rPr>
    </w:sdtEndPr>
    <w:sdtContent>
      <w:p w14:paraId="02AD2751" w14:textId="77777777" w:rsidR="009166CB" w:rsidRDefault="009166C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7C9F9F5" w14:textId="77777777" w:rsidR="009166CB" w:rsidRDefault="009166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6D12A" w14:textId="77777777" w:rsidR="007B4E33" w:rsidRDefault="007B4E33" w:rsidP="00F46CD7">
      <w:pPr>
        <w:spacing w:after="0" w:line="240" w:lineRule="auto"/>
      </w:pPr>
      <w:r>
        <w:separator/>
      </w:r>
    </w:p>
  </w:footnote>
  <w:footnote w:type="continuationSeparator" w:id="0">
    <w:p w14:paraId="20085901" w14:textId="77777777" w:rsidR="007B4E33" w:rsidRDefault="007B4E33" w:rsidP="00F46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72D19"/>
    <w:multiLevelType w:val="hybridMultilevel"/>
    <w:tmpl w:val="12849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112790"/>
    <w:multiLevelType w:val="hybridMultilevel"/>
    <w:tmpl w:val="BB845260"/>
    <w:lvl w:ilvl="0" w:tplc="9528BC78">
      <w:start w:val="1"/>
      <w:numFmt w:val="decimal"/>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285ED8"/>
    <w:multiLevelType w:val="multilevel"/>
    <w:tmpl w:val="B5167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5A0166"/>
    <w:multiLevelType w:val="hybridMultilevel"/>
    <w:tmpl w:val="353A7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3625280">
    <w:abstractNumId w:val="3"/>
  </w:num>
  <w:num w:numId="2" w16cid:durableId="1350375406">
    <w:abstractNumId w:val="1"/>
  </w:num>
  <w:num w:numId="3" w16cid:durableId="405301298">
    <w:abstractNumId w:val="0"/>
  </w:num>
  <w:num w:numId="4" w16cid:durableId="811484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223"/>
    <w:rsid w:val="000D69F0"/>
    <w:rsid w:val="000D7C98"/>
    <w:rsid w:val="001A4D3D"/>
    <w:rsid w:val="003B5F48"/>
    <w:rsid w:val="004849C6"/>
    <w:rsid w:val="004D5DED"/>
    <w:rsid w:val="004F0338"/>
    <w:rsid w:val="00596228"/>
    <w:rsid w:val="006C7F85"/>
    <w:rsid w:val="006D25CB"/>
    <w:rsid w:val="007632B9"/>
    <w:rsid w:val="007B4E33"/>
    <w:rsid w:val="00812757"/>
    <w:rsid w:val="00881D94"/>
    <w:rsid w:val="00893983"/>
    <w:rsid w:val="009166CB"/>
    <w:rsid w:val="00931795"/>
    <w:rsid w:val="00AE527A"/>
    <w:rsid w:val="00B27FE6"/>
    <w:rsid w:val="00B81223"/>
    <w:rsid w:val="00E32E88"/>
    <w:rsid w:val="00E71C37"/>
    <w:rsid w:val="00F00CD5"/>
    <w:rsid w:val="00F46CD7"/>
    <w:rsid w:val="00F60C12"/>
    <w:rsid w:val="00FA4C05"/>
    <w:rsid w:val="00FF2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CFEB6"/>
  <w15:chartTrackingRefBased/>
  <w15:docId w15:val="{212C28F4-02C0-40D4-A43B-61BD29A4C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223"/>
  </w:style>
  <w:style w:type="paragraph" w:styleId="Heading1">
    <w:name w:val="heading 1"/>
    <w:basedOn w:val="Normal"/>
    <w:next w:val="Normal"/>
    <w:link w:val="Heading1Char"/>
    <w:uiPriority w:val="9"/>
    <w:qFormat/>
    <w:rsid w:val="00B812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12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2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2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2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2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2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2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2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2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12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2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2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2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2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2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2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223"/>
    <w:rPr>
      <w:rFonts w:eastAsiaTheme="majorEastAsia" w:cstheme="majorBidi"/>
      <w:color w:val="272727" w:themeColor="text1" w:themeTint="D8"/>
    </w:rPr>
  </w:style>
  <w:style w:type="paragraph" w:styleId="Title">
    <w:name w:val="Title"/>
    <w:basedOn w:val="Normal"/>
    <w:next w:val="Normal"/>
    <w:link w:val="TitleChar"/>
    <w:uiPriority w:val="10"/>
    <w:qFormat/>
    <w:rsid w:val="00B812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2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2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2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223"/>
    <w:pPr>
      <w:spacing w:before="160"/>
      <w:jc w:val="center"/>
    </w:pPr>
    <w:rPr>
      <w:i/>
      <w:iCs/>
      <w:color w:val="404040" w:themeColor="text1" w:themeTint="BF"/>
    </w:rPr>
  </w:style>
  <w:style w:type="character" w:customStyle="1" w:styleId="QuoteChar">
    <w:name w:val="Quote Char"/>
    <w:basedOn w:val="DefaultParagraphFont"/>
    <w:link w:val="Quote"/>
    <w:uiPriority w:val="29"/>
    <w:rsid w:val="00B81223"/>
    <w:rPr>
      <w:i/>
      <w:iCs/>
      <w:color w:val="404040" w:themeColor="text1" w:themeTint="BF"/>
    </w:rPr>
  </w:style>
  <w:style w:type="paragraph" w:styleId="ListParagraph">
    <w:name w:val="List Paragraph"/>
    <w:basedOn w:val="Normal"/>
    <w:uiPriority w:val="34"/>
    <w:qFormat/>
    <w:rsid w:val="00B81223"/>
    <w:pPr>
      <w:ind w:left="720"/>
      <w:contextualSpacing/>
    </w:pPr>
  </w:style>
  <w:style w:type="character" w:styleId="IntenseEmphasis">
    <w:name w:val="Intense Emphasis"/>
    <w:basedOn w:val="DefaultParagraphFont"/>
    <w:uiPriority w:val="21"/>
    <w:qFormat/>
    <w:rsid w:val="00B81223"/>
    <w:rPr>
      <w:i/>
      <w:iCs/>
      <w:color w:val="0F4761" w:themeColor="accent1" w:themeShade="BF"/>
    </w:rPr>
  </w:style>
  <w:style w:type="paragraph" w:styleId="IntenseQuote">
    <w:name w:val="Intense Quote"/>
    <w:basedOn w:val="Normal"/>
    <w:next w:val="Normal"/>
    <w:link w:val="IntenseQuoteChar"/>
    <w:uiPriority w:val="30"/>
    <w:qFormat/>
    <w:rsid w:val="00B812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223"/>
    <w:rPr>
      <w:i/>
      <w:iCs/>
      <w:color w:val="0F4761" w:themeColor="accent1" w:themeShade="BF"/>
    </w:rPr>
  </w:style>
  <w:style w:type="character" w:styleId="IntenseReference">
    <w:name w:val="Intense Reference"/>
    <w:basedOn w:val="DefaultParagraphFont"/>
    <w:uiPriority w:val="32"/>
    <w:qFormat/>
    <w:rsid w:val="00B81223"/>
    <w:rPr>
      <w:b/>
      <w:bCs/>
      <w:smallCaps/>
      <w:color w:val="0F4761" w:themeColor="accent1" w:themeShade="BF"/>
      <w:spacing w:val="5"/>
    </w:rPr>
  </w:style>
  <w:style w:type="paragraph" w:customStyle="1" w:styleId="pdq2pgselectionanchorcontainer">
    <w:name w:val="pdq2pg_selectionanchorcontainer"/>
    <w:basedOn w:val="Normal"/>
    <w:rsid w:val="00FF23A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F23AE"/>
    <w:rPr>
      <w:i/>
      <w:iCs/>
    </w:rPr>
  </w:style>
  <w:style w:type="character" w:styleId="Hyperlink">
    <w:name w:val="Hyperlink"/>
    <w:basedOn w:val="DefaultParagraphFont"/>
    <w:uiPriority w:val="99"/>
    <w:unhideWhenUsed/>
    <w:rsid w:val="00FF23AE"/>
    <w:rPr>
      <w:color w:val="0000FF"/>
      <w:u w:val="single"/>
    </w:rPr>
  </w:style>
  <w:style w:type="paragraph" w:styleId="NormalWeb">
    <w:name w:val="Normal (Web)"/>
    <w:basedOn w:val="Normal"/>
    <w:uiPriority w:val="99"/>
    <w:unhideWhenUsed/>
    <w:rsid w:val="00FF23A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F46CD7"/>
    <w:pPr>
      <w:tabs>
        <w:tab w:val="center" w:pos="4677"/>
        <w:tab w:val="right" w:pos="9355"/>
      </w:tabs>
      <w:spacing w:after="0" w:line="240" w:lineRule="auto"/>
    </w:pPr>
  </w:style>
  <w:style w:type="character" w:customStyle="1" w:styleId="HeaderChar">
    <w:name w:val="Header Char"/>
    <w:basedOn w:val="DefaultParagraphFont"/>
    <w:link w:val="Header"/>
    <w:uiPriority w:val="99"/>
    <w:rsid w:val="00F46CD7"/>
  </w:style>
  <w:style w:type="paragraph" w:styleId="Footer">
    <w:name w:val="footer"/>
    <w:basedOn w:val="Normal"/>
    <w:link w:val="FooterChar"/>
    <w:uiPriority w:val="99"/>
    <w:unhideWhenUsed/>
    <w:rsid w:val="00F46CD7"/>
    <w:pPr>
      <w:tabs>
        <w:tab w:val="center" w:pos="4677"/>
        <w:tab w:val="right" w:pos="9355"/>
      </w:tabs>
      <w:spacing w:after="0" w:line="240" w:lineRule="auto"/>
    </w:pPr>
  </w:style>
  <w:style w:type="character" w:customStyle="1" w:styleId="FooterChar">
    <w:name w:val="Footer Char"/>
    <w:basedOn w:val="DefaultParagraphFont"/>
    <w:link w:val="Footer"/>
    <w:uiPriority w:val="99"/>
    <w:rsid w:val="00F46CD7"/>
  </w:style>
  <w:style w:type="paragraph" w:styleId="TOCHeading">
    <w:name w:val="TOC Heading"/>
    <w:basedOn w:val="Heading1"/>
    <w:next w:val="Normal"/>
    <w:uiPriority w:val="39"/>
    <w:unhideWhenUsed/>
    <w:qFormat/>
    <w:rsid w:val="00F46CD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00CD5"/>
    <w:pPr>
      <w:tabs>
        <w:tab w:val="right" w:leader="dot" w:pos="9345"/>
      </w:tabs>
      <w:spacing w:after="100" w:line="360" w:lineRule="auto"/>
    </w:pPr>
  </w:style>
  <w:style w:type="paragraph" w:styleId="TOC2">
    <w:name w:val="toc 2"/>
    <w:basedOn w:val="Normal"/>
    <w:next w:val="Normal"/>
    <w:autoRedefine/>
    <w:uiPriority w:val="39"/>
    <w:unhideWhenUsed/>
    <w:rsid w:val="00F46CD7"/>
    <w:pPr>
      <w:tabs>
        <w:tab w:val="right" w:leader="dot" w:pos="9345"/>
      </w:tabs>
      <w:spacing w:after="100" w:line="360" w:lineRule="auto"/>
      <w:ind w:left="240"/>
    </w:pPr>
  </w:style>
  <w:style w:type="paragraph" w:customStyle="1" w:styleId="gjcqjg1a">
    <w:name w:val="gjcqjg1a"/>
    <w:basedOn w:val="Normal"/>
    <w:rsid w:val="004D5DE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D5DED"/>
    <w:rPr>
      <w:b/>
      <w:bCs/>
    </w:rPr>
  </w:style>
  <w:style w:type="paragraph" w:customStyle="1" w:styleId="dx-doi">
    <w:name w:val="dx-doi"/>
    <w:basedOn w:val="Normal"/>
    <w:rsid w:val="00B27F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B27FE6"/>
    <w:rPr>
      <w:color w:val="605E5C"/>
      <w:shd w:val="clear" w:color="auto" w:fill="E1DFDD"/>
    </w:rPr>
  </w:style>
  <w:style w:type="character" w:customStyle="1" w:styleId="anchor-text">
    <w:name w:val="anchor-text"/>
    <w:basedOn w:val="DefaultParagraphFont"/>
    <w:rsid w:val="00FA4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538490">
      <w:bodyDiv w:val="1"/>
      <w:marLeft w:val="0"/>
      <w:marRight w:val="0"/>
      <w:marTop w:val="0"/>
      <w:marBottom w:val="0"/>
      <w:divBdr>
        <w:top w:val="none" w:sz="0" w:space="0" w:color="auto"/>
        <w:left w:val="none" w:sz="0" w:space="0" w:color="auto"/>
        <w:bottom w:val="none" w:sz="0" w:space="0" w:color="auto"/>
        <w:right w:val="none" w:sz="0" w:space="0" w:color="auto"/>
      </w:divBdr>
    </w:div>
    <w:div w:id="157889206">
      <w:bodyDiv w:val="1"/>
      <w:marLeft w:val="0"/>
      <w:marRight w:val="0"/>
      <w:marTop w:val="0"/>
      <w:marBottom w:val="0"/>
      <w:divBdr>
        <w:top w:val="none" w:sz="0" w:space="0" w:color="auto"/>
        <w:left w:val="none" w:sz="0" w:space="0" w:color="auto"/>
        <w:bottom w:val="none" w:sz="0" w:space="0" w:color="auto"/>
        <w:right w:val="none" w:sz="0" w:space="0" w:color="auto"/>
      </w:divBdr>
    </w:div>
    <w:div w:id="319237687">
      <w:bodyDiv w:val="1"/>
      <w:marLeft w:val="0"/>
      <w:marRight w:val="0"/>
      <w:marTop w:val="0"/>
      <w:marBottom w:val="0"/>
      <w:divBdr>
        <w:top w:val="none" w:sz="0" w:space="0" w:color="auto"/>
        <w:left w:val="none" w:sz="0" w:space="0" w:color="auto"/>
        <w:bottom w:val="none" w:sz="0" w:space="0" w:color="auto"/>
        <w:right w:val="none" w:sz="0" w:space="0" w:color="auto"/>
      </w:divBdr>
      <w:divsChild>
        <w:div w:id="424110268">
          <w:marLeft w:val="0"/>
          <w:marRight w:val="0"/>
          <w:marTop w:val="0"/>
          <w:marBottom w:val="0"/>
          <w:divBdr>
            <w:top w:val="none" w:sz="0" w:space="0" w:color="auto"/>
            <w:left w:val="none" w:sz="0" w:space="0" w:color="auto"/>
            <w:bottom w:val="none" w:sz="0" w:space="0" w:color="auto"/>
            <w:right w:val="none" w:sz="0" w:space="0" w:color="auto"/>
          </w:divBdr>
          <w:divsChild>
            <w:div w:id="333148545">
              <w:marLeft w:val="0"/>
              <w:marRight w:val="0"/>
              <w:marTop w:val="0"/>
              <w:marBottom w:val="0"/>
              <w:divBdr>
                <w:top w:val="none" w:sz="0" w:space="0" w:color="auto"/>
                <w:left w:val="none" w:sz="0" w:space="0" w:color="auto"/>
                <w:bottom w:val="none" w:sz="0" w:space="0" w:color="auto"/>
                <w:right w:val="none" w:sz="0" w:space="0" w:color="auto"/>
              </w:divBdr>
              <w:divsChild>
                <w:div w:id="1239097410">
                  <w:marLeft w:val="0"/>
                  <w:marRight w:val="0"/>
                  <w:marTop w:val="0"/>
                  <w:marBottom w:val="0"/>
                  <w:divBdr>
                    <w:top w:val="none" w:sz="0" w:space="0" w:color="auto"/>
                    <w:left w:val="none" w:sz="0" w:space="0" w:color="auto"/>
                    <w:bottom w:val="none" w:sz="0" w:space="0" w:color="auto"/>
                    <w:right w:val="none" w:sz="0" w:space="0" w:color="auto"/>
                  </w:divBdr>
                  <w:divsChild>
                    <w:div w:id="1748451698">
                      <w:marLeft w:val="0"/>
                      <w:marRight w:val="0"/>
                      <w:marTop w:val="0"/>
                      <w:marBottom w:val="0"/>
                      <w:divBdr>
                        <w:top w:val="none" w:sz="0" w:space="0" w:color="auto"/>
                        <w:left w:val="none" w:sz="0" w:space="0" w:color="auto"/>
                        <w:bottom w:val="none" w:sz="0" w:space="0" w:color="auto"/>
                        <w:right w:val="none" w:sz="0" w:space="0" w:color="auto"/>
                      </w:divBdr>
                      <w:divsChild>
                        <w:div w:id="963343811">
                          <w:marLeft w:val="0"/>
                          <w:marRight w:val="0"/>
                          <w:marTop w:val="0"/>
                          <w:marBottom w:val="0"/>
                          <w:divBdr>
                            <w:top w:val="none" w:sz="0" w:space="0" w:color="auto"/>
                            <w:left w:val="none" w:sz="0" w:space="0" w:color="auto"/>
                            <w:bottom w:val="none" w:sz="0" w:space="0" w:color="auto"/>
                            <w:right w:val="none" w:sz="0" w:space="0" w:color="auto"/>
                          </w:divBdr>
                          <w:divsChild>
                            <w:div w:id="2053725582">
                              <w:marLeft w:val="0"/>
                              <w:marRight w:val="0"/>
                              <w:marTop w:val="0"/>
                              <w:marBottom w:val="0"/>
                              <w:divBdr>
                                <w:top w:val="none" w:sz="0" w:space="0" w:color="auto"/>
                                <w:left w:val="none" w:sz="0" w:space="0" w:color="auto"/>
                                <w:bottom w:val="none" w:sz="0" w:space="0" w:color="auto"/>
                                <w:right w:val="none" w:sz="0" w:space="0" w:color="auto"/>
                              </w:divBdr>
                              <w:divsChild>
                                <w:div w:id="145781427">
                                  <w:marLeft w:val="0"/>
                                  <w:marRight w:val="0"/>
                                  <w:marTop w:val="0"/>
                                  <w:marBottom w:val="0"/>
                                  <w:divBdr>
                                    <w:top w:val="none" w:sz="0" w:space="0" w:color="auto"/>
                                    <w:left w:val="none" w:sz="0" w:space="0" w:color="auto"/>
                                    <w:bottom w:val="none" w:sz="0" w:space="0" w:color="auto"/>
                                    <w:right w:val="none" w:sz="0" w:space="0" w:color="auto"/>
                                  </w:divBdr>
                                  <w:divsChild>
                                    <w:div w:id="26496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9519225">
      <w:bodyDiv w:val="1"/>
      <w:marLeft w:val="0"/>
      <w:marRight w:val="0"/>
      <w:marTop w:val="0"/>
      <w:marBottom w:val="0"/>
      <w:divBdr>
        <w:top w:val="none" w:sz="0" w:space="0" w:color="auto"/>
        <w:left w:val="none" w:sz="0" w:space="0" w:color="auto"/>
        <w:bottom w:val="none" w:sz="0" w:space="0" w:color="auto"/>
        <w:right w:val="none" w:sz="0" w:space="0" w:color="auto"/>
      </w:divBdr>
    </w:div>
    <w:div w:id="644555056">
      <w:bodyDiv w:val="1"/>
      <w:marLeft w:val="0"/>
      <w:marRight w:val="0"/>
      <w:marTop w:val="0"/>
      <w:marBottom w:val="0"/>
      <w:divBdr>
        <w:top w:val="none" w:sz="0" w:space="0" w:color="auto"/>
        <w:left w:val="none" w:sz="0" w:space="0" w:color="auto"/>
        <w:bottom w:val="none" w:sz="0" w:space="0" w:color="auto"/>
        <w:right w:val="none" w:sz="0" w:space="0" w:color="auto"/>
      </w:divBdr>
    </w:div>
    <w:div w:id="1111515999">
      <w:bodyDiv w:val="1"/>
      <w:marLeft w:val="0"/>
      <w:marRight w:val="0"/>
      <w:marTop w:val="0"/>
      <w:marBottom w:val="0"/>
      <w:divBdr>
        <w:top w:val="none" w:sz="0" w:space="0" w:color="auto"/>
        <w:left w:val="none" w:sz="0" w:space="0" w:color="auto"/>
        <w:bottom w:val="none" w:sz="0" w:space="0" w:color="auto"/>
        <w:right w:val="none" w:sz="0" w:space="0" w:color="auto"/>
      </w:divBdr>
      <w:divsChild>
        <w:div w:id="1525171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2303205">
      <w:bodyDiv w:val="1"/>
      <w:marLeft w:val="0"/>
      <w:marRight w:val="0"/>
      <w:marTop w:val="0"/>
      <w:marBottom w:val="0"/>
      <w:divBdr>
        <w:top w:val="none" w:sz="0" w:space="0" w:color="auto"/>
        <w:left w:val="none" w:sz="0" w:space="0" w:color="auto"/>
        <w:bottom w:val="none" w:sz="0" w:space="0" w:color="auto"/>
        <w:right w:val="none" w:sz="0" w:space="0" w:color="auto"/>
      </w:divBdr>
    </w:div>
    <w:div w:id="1591936827">
      <w:bodyDiv w:val="1"/>
      <w:marLeft w:val="0"/>
      <w:marRight w:val="0"/>
      <w:marTop w:val="0"/>
      <w:marBottom w:val="0"/>
      <w:divBdr>
        <w:top w:val="none" w:sz="0" w:space="0" w:color="auto"/>
        <w:left w:val="none" w:sz="0" w:space="0" w:color="auto"/>
        <w:bottom w:val="none" w:sz="0" w:space="0" w:color="auto"/>
        <w:right w:val="none" w:sz="0" w:space="0" w:color="auto"/>
      </w:divBdr>
      <w:divsChild>
        <w:div w:id="1672373074">
          <w:marLeft w:val="0"/>
          <w:marRight w:val="0"/>
          <w:marTop w:val="0"/>
          <w:marBottom w:val="0"/>
          <w:divBdr>
            <w:top w:val="none" w:sz="0" w:space="0" w:color="auto"/>
            <w:left w:val="none" w:sz="0" w:space="0" w:color="auto"/>
            <w:bottom w:val="none" w:sz="0" w:space="0" w:color="auto"/>
            <w:right w:val="none" w:sz="0" w:space="0" w:color="auto"/>
          </w:divBdr>
          <w:divsChild>
            <w:div w:id="2018772925">
              <w:marLeft w:val="0"/>
              <w:marRight w:val="0"/>
              <w:marTop w:val="0"/>
              <w:marBottom w:val="0"/>
              <w:divBdr>
                <w:top w:val="none" w:sz="0" w:space="0" w:color="auto"/>
                <w:left w:val="none" w:sz="0" w:space="0" w:color="auto"/>
                <w:bottom w:val="none" w:sz="0" w:space="0" w:color="auto"/>
                <w:right w:val="none" w:sz="0" w:space="0" w:color="auto"/>
              </w:divBdr>
              <w:divsChild>
                <w:div w:id="1304852151">
                  <w:marLeft w:val="0"/>
                  <w:marRight w:val="0"/>
                  <w:marTop w:val="0"/>
                  <w:marBottom w:val="0"/>
                  <w:divBdr>
                    <w:top w:val="none" w:sz="0" w:space="0" w:color="auto"/>
                    <w:left w:val="none" w:sz="0" w:space="0" w:color="auto"/>
                    <w:bottom w:val="none" w:sz="0" w:space="0" w:color="auto"/>
                    <w:right w:val="none" w:sz="0" w:space="0" w:color="auto"/>
                  </w:divBdr>
                  <w:divsChild>
                    <w:div w:id="1287811822">
                      <w:marLeft w:val="0"/>
                      <w:marRight w:val="0"/>
                      <w:marTop w:val="0"/>
                      <w:marBottom w:val="0"/>
                      <w:divBdr>
                        <w:top w:val="none" w:sz="0" w:space="0" w:color="auto"/>
                        <w:left w:val="none" w:sz="0" w:space="0" w:color="auto"/>
                        <w:bottom w:val="none" w:sz="0" w:space="0" w:color="auto"/>
                        <w:right w:val="none" w:sz="0" w:space="0" w:color="auto"/>
                      </w:divBdr>
                      <w:divsChild>
                        <w:div w:id="1854570490">
                          <w:marLeft w:val="0"/>
                          <w:marRight w:val="0"/>
                          <w:marTop w:val="0"/>
                          <w:marBottom w:val="0"/>
                          <w:divBdr>
                            <w:top w:val="none" w:sz="0" w:space="0" w:color="auto"/>
                            <w:left w:val="none" w:sz="0" w:space="0" w:color="auto"/>
                            <w:bottom w:val="none" w:sz="0" w:space="0" w:color="auto"/>
                            <w:right w:val="none" w:sz="0" w:space="0" w:color="auto"/>
                          </w:divBdr>
                          <w:divsChild>
                            <w:div w:id="2006590896">
                              <w:marLeft w:val="0"/>
                              <w:marRight w:val="0"/>
                              <w:marTop w:val="0"/>
                              <w:marBottom w:val="0"/>
                              <w:divBdr>
                                <w:top w:val="none" w:sz="0" w:space="0" w:color="auto"/>
                                <w:left w:val="none" w:sz="0" w:space="0" w:color="auto"/>
                                <w:bottom w:val="none" w:sz="0" w:space="0" w:color="auto"/>
                                <w:right w:val="none" w:sz="0" w:space="0" w:color="auto"/>
                              </w:divBdr>
                              <w:divsChild>
                                <w:div w:id="2129005705">
                                  <w:marLeft w:val="0"/>
                                  <w:marRight w:val="0"/>
                                  <w:marTop w:val="0"/>
                                  <w:marBottom w:val="0"/>
                                  <w:divBdr>
                                    <w:top w:val="none" w:sz="0" w:space="0" w:color="auto"/>
                                    <w:left w:val="none" w:sz="0" w:space="0" w:color="auto"/>
                                    <w:bottom w:val="none" w:sz="0" w:space="0" w:color="auto"/>
                                    <w:right w:val="none" w:sz="0" w:space="0" w:color="auto"/>
                                  </w:divBdr>
                                  <w:divsChild>
                                    <w:div w:id="64378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372681">
      <w:bodyDiv w:val="1"/>
      <w:marLeft w:val="0"/>
      <w:marRight w:val="0"/>
      <w:marTop w:val="0"/>
      <w:marBottom w:val="0"/>
      <w:divBdr>
        <w:top w:val="none" w:sz="0" w:space="0" w:color="auto"/>
        <w:left w:val="none" w:sz="0" w:space="0" w:color="auto"/>
        <w:bottom w:val="none" w:sz="0" w:space="0" w:color="auto"/>
        <w:right w:val="none" w:sz="0" w:space="0" w:color="auto"/>
      </w:divBdr>
    </w:div>
    <w:div w:id="2030719201">
      <w:bodyDiv w:val="1"/>
      <w:marLeft w:val="0"/>
      <w:marRight w:val="0"/>
      <w:marTop w:val="0"/>
      <w:marBottom w:val="0"/>
      <w:divBdr>
        <w:top w:val="none" w:sz="0" w:space="0" w:color="auto"/>
        <w:left w:val="none" w:sz="0" w:space="0" w:color="auto"/>
        <w:bottom w:val="none" w:sz="0" w:space="0" w:color="auto"/>
        <w:right w:val="none" w:sz="0" w:space="0" w:color="auto"/>
      </w:divBdr>
    </w:div>
    <w:div w:id="205916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echo.meti.go.jp/en/category/others/basic_plan/pdf/7th_outline.pdf" TargetMode="External"/><Relationship Id="rId18" Type="http://schemas.openxmlformats.org/officeDocument/2006/relationships/hyperlink" Target="https://octopus.energy/press/octopus-energy-group-enters-asia-landmark-partnership-tokyo-ga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theculturefactor.com/country-comparison-tool"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oi.org/10.1016/j.intman.2022.10097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doi.org/10.14456/cmap.2022.1" TargetMode="External"/><Relationship Id="rId20" Type="http://schemas.openxmlformats.org/officeDocument/2006/relationships/hyperlink" Target="https://doi.org/10.1016/j.jet.2026.10615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hrcak.srce.hr/307936" TargetMode="External"/><Relationship Id="rId23" Type="http://schemas.openxmlformats.org/officeDocument/2006/relationships/hyperlink" Target="https://doi.org/10.1177/14705958221137256" TargetMode="External"/><Relationship Id="rId10" Type="http://schemas.openxmlformats.org/officeDocument/2006/relationships/endnotes" Target="endnotes.xml"/><Relationship Id="rId19" Type="http://schemas.openxmlformats.org/officeDocument/2006/relationships/hyperlink" Target="https://octopus.energy/about-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80/1051712X.2024.2399780" TargetMode="External"/><Relationship Id="rId22" Type="http://schemas.openxmlformats.org/officeDocument/2006/relationships/hyperlink" Target="https://www.tokyo-gas.co.jp/about/index.html?wovn=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f3ab0a0-177c-4664-a7c5-83ebe3d5d33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F1B30F5168BD4798AF0BC34582E39D" ma:contentTypeVersion="13" ma:contentTypeDescription="Create a new document." ma:contentTypeScope="" ma:versionID="15c9b8e8d668dc4316f977ab2df6c76e">
  <xsd:schema xmlns:xsd="http://www.w3.org/2001/XMLSchema" xmlns:xs="http://www.w3.org/2001/XMLSchema" xmlns:p="http://schemas.microsoft.com/office/2006/metadata/properties" xmlns:ns3="6f3ab0a0-177c-4664-a7c5-83ebe3d5d33a" xmlns:ns4="40f56d7e-19cf-4c71-ac65-8a0d9fdd6cc1" targetNamespace="http://schemas.microsoft.com/office/2006/metadata/properties" ma:root="true" ma:fieldsID="932ed3beffdb84628c9474779345da9a" ns3:_="" ns4:_="">
    <xsd:import namespace="6f3ab0a0-177c-4664-a7c5-83ebe3d5d33a"/>
    <xsd:import namespace="40f56d7e-19cf-4c71-ac65-8a0d9fdd6c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ab0a0-177c-4664-a7c5-83ebe3d5d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f56d7e-19cf-4c71-ac65-8a0d9fdd6cc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C8F78-CAAE-4222-BE78-EE7C606F079B}">
  <ds:schemaRefs>
    <ds:schemaRef ds:uri="http://schemas.microsoft.com/office/2006/metadata/properties"/>
    <ds:schemaRef ds:uri="http://schemas.microsoft.com/office/infopath/2007/PartnerControls"/>
    <ds:schemaRef ds:uri="6f3ab0a0-177c-4664-a7c5-83ebe3d5d33a"/>
  </ds:schemaRefs>
</ds:datastoreItem>
</file>

<file path=customXml/itemProps2.xml><?xml version="1.0" encoding="utf-8"?>
<ds:datastoreItem xmlns:ds="http://schemas.openxmlformats.org/officeDocument/2006/customXml" ds:itemID="{A6490AF2-7770-498D-A29B-5B0BD51C4570}">
  <ds:schemaRefs>
    <ds:schemaRef ds:uri="http://schemas.microsoft.com/sharepoint/v3/contenttype/forms"/>
  </ds:schemaRefs>
</ds:datastoreItem>
</file>

<file path=customXml/itemProps3.xml><?xml version="1.0" encoding="utf-8"?>
<ds:datastoreItem xmlns:ds="http://schemas.openxmlformats.org/officeDocument/2006/customXml" ds:itemID="{462254F7-C892-4393-AFD0-0B7C309618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ab0a0-177c-4664-a7c5-83ebe3d5d33a"/>
    <ds:schemaRef ds:uri="40f56d7e-19cf-4c71-ac65-8a0d9fdd6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27B9C4-B166-474E-82B3-DCAF72FE5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3000</Words>
  <Characters>17106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Trofim Borta (2239414)</dc:creator>
  <cp:keywords/>
  <dc:description/>
  <cp:lastModifiedBy>Trofim Borta (2239414)</cp:lastModifiedBy>
  <cp:revision>2</cp:revision>
  <dcterms:created xsi:type="dcterms:W3CDTF">2026-08-08T12:19:00Z</dcterms:created>
  <dcterms:modified xsi:type="dcterms:W3CDTF">2026-08-08T12:19:00Z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0x010100DAF1B30F5168BD4798AF0BC34582E39D</vt:lpwstr>
  </property>
</Properties>
</file>