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22475554"/>
        <w:docPartObj>
          <w:docPartGallery w:val="Cover Pages"/>
          <w:docPartUnique/>
        </w:docPartObj>
      </w:sdtPr>
      <w:sdtEndPr>
        <w:rPr>
          <w:rFonts w:eastAsiaTheme="majorEastAsia" w:cstheme="majorBidi"/>
          <w:b/>
          <w:color w:val="323E4F" w:themeColor="text2" w:themeShade="BF"/>
          <w:sz w:val="32"/>
          <w:szCs w:val="32"/>
        </w:rPr>
      </w:sdtEndPr>
      <w:sdtContent>
        <w:p w14:paraId="5384490A" w14:textId="61520008" w:rsidR="007D1947" w:rsidRDefault="00C72DB2" w:rsidP="00C72DB2">
          <w:pPr>
            <w:jc w:val="center"/>
          </w:pPr>
          <w:r>
            <w:rPr>
              <w:noProof/>
              <w:lang w:val="en-US"/>
            </w:rPr>
            <w:drawing>
              <wp:inline distT="0" distB="0" distL="0" distR="0" wp14:anchorId="1F328368" wp14:editId="1A1978FE">
                <wp:extent cx="2700655" cy="89598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0655" cy="895985"/>
                        </a:xfrm>
                        <a:prstGeom prst="rect">
                          <a:avLst/>
                        </a:prstGeom>
                        <a:noFill/>
                      </pic:spPr>
                    </pic:pic>
                  </a:graphicData>
                </a:graphic>
              </wp:inline>
            </w:drawing>
          </w:r>
        </w:p>
        <w:p w14:paraId="205C9237" w14:textId="78CBF3A6" w:rsidR="009C2FF5" w:rsidRPr="009C2FF5" w:rsidRDefault="009C2FF5" w:rsidP="009C2FF5">
          <w:pPr>
            <w:jc w:val="center"/>
            <w:rPr>
              <w:b/>
              <w:sz w:val="36"/>
            </w:rPr>
          </w:pPr>
          <w:r w:rsidRPr="009C2FF5">
            <w:rPr>
              <w:b/>
              <w:sz w:val="36"/>
            </w:rPr>
            <w:t>Finance for Business Managers</w:t>
          </w:r>
        </w:p>
        <w:p w14:paraId="21D82F84" w14:textId="1A621D7A" w:rsidR="009C2FF5" w:rsidRPr="009C2FF5" w:rsidRDefault="009C2FF5" w:rsidP="009C2FF5">
          <w:pPr>
            <w:jc w:val="center"/>
            <w:rPr>
              <w:b/>
              <w:sz w:val="36"/>
            </w:rPr>
          </w:pPr>
          <w:r w:rsidRPr="009C2FF5">
            <w:rPr>
              <w:b/>
              <w:sz w:val="36"/>
            </w:rPr>
            <w:t>BMMB7005</w:t>
          </w:r>
        </w:p>
        <w:p w14:paraId="62952387" w14:textId="77777777" w:rsidR="00C72DB2" w:rsidRDefault="00C72DB2" w:rsidP="00C72DB2">
          <w:pPr>
            <w:jc w:val="center"/>
          </w:pPr>
        </w:p>
        <w:p w14:paraId="2A1A5D3A" w14:textId="67567E5C" w:rsidR="00C72DB2" w:rsidRPr="00C72DB2" w:rsidRDefault="00C72DB2" w:rsidP="00C72DB2">
          <w:pPr>
            <w:jc w:val="center"/>
          </w:pPr>
          <w:r>
            <w:rPr>
              <w:noProof/>
              <w:lang w:val="en-US"/>
            </w:rPr>
            <w:drawing>
              <wp:inline distT="0" distB="0" distL="0" distR="0" wp14:anchorId="64D24ABE" wp14:editId="13382016">
                <wp:extent cx="1420495" cy="749935"/>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20495" cy="749935"/>
                        </a:xfrm>
                        <a:prstGeom prst="rect">
                          <a:avLst/>
                        </a:prstGeom>
                        <a:noFill/>
                      </pic:spPr>
                    </pic:pic>
                  </a:graphicData>
                </a:graphic>
              </wp:inline>
            </w:drawing>
          </w:r>
        </w:p>
        <w:p w14:paraId="14F2F2DB" w14:textId="3BC79AC0" w:rsidR="007D1947" w:rsidRDefault="00C0288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C0288F">
            <w:rPr>
              <w:rFonts w:asciiTheme="majorHAnsi" w:eastAsiaTheme="majorEastAsia" w:hAnsiTheme="majorHAnsi" w:cstheme="majorBidi"/>
              <w:caps/>
              <w:color w:val="5B9BD5" w:themeColor="accent1"/>
              <w:sz w:val="72"/>
              <w:szCs w:val="72"/>
            </w:rPr>
            <w:t xml:space="preserve">Financial Performance Analysis and Strategic Investment Appraisal </w:t>
          </w:r>
        </w:p>
        <w:p w14:paraId="465B75B6" w14:textId="77777777" w:rsidR="00C72DB2" w:rsidRDefault="00C0288F" w:rsidP="00C72DB2">
          <w:pPr>
            <w:jc w:val="center"/>
          </w:pPr>
          <w:r w:rsidRPr="00C0288F">
            <w:t>Reckitt Benckiser Group plc and Westward Plc</w:t>
          </w:r>
        </w:p>
        <w:p w14:paraId="1ADC1124" w14:textId="74E9BF43" w:rsidR="007D1947" w:rsidRDefault="007D1947" w:rsidP="00C72DB2">
          <w:pPr>
            <w:jc w:val="center"/>
          </w:pPr>
          <w:r>
            <w:rPr>
              <w:noProof/>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AF8D9" w14:textId="6A5A8CF6" w:rsidR="00A760D2" w:rsidRDefault="00A760D2">
                                <w:pPr>
                                  <w:pStyle w:val="NoSpacing"/>
                                  <w:spacing w:after="40"/>
                                  <w:jc w:val="center"/>
                                  <w:rPr>
                                    <w:caps/>
                                    <w:color w:val="5B9BD5" w:themeColor="accent1"/>
                                    <w:sz w:val="28"/>
                                    <w:szCs w:val="28"/>
                                  </w:rPr>
                                </w:pPr>
                              </w:p>
                              <w:p w14:paraId="69E98CB3" w14:textId="591DE156" w:rsidR="00A760D2" w:rsidRDefault="00A760D2">
                                <w:pPr>
                                  <w:pStyle w:val="NoSpacing"/>
                                  <w:jc w:val="center"/>
                                  <w:rPr>
                                    <w:color w:val="5B9BD5" w:themeColor="accent1"/>
                                  </w:rPr>
                                </w:pPr>
                                <w:r>
                                  <w:rPr>
                                    <w:caps/>
                                    <w:color w:val="5B9BD5" w:themeColor="accent1"/>
                                    <w:lang w:val="en-GB"/>
                                  </w:rPr>
                                  <w:t>University of Wales Trinity Saint David</w:t>
                                </w:r>
                              </w:p>
                              <w:p w14:paraId="3FC79022" w14:textId="2EDEA8B6" w:rsidR="00A760D2" w:rsidRDefault="00A760D2">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p w14:paraId="52BAF8D9" w14:textId="6A5A8CF6" w:rsidR="00A760D2" w:rsidRDefault="00A760D2">
                          <w:pPr>
                            <w:pStyle w:val="NoSpacing"/>
                            <w:spacing w:after="40"/>
                            <w:jc w:val="center"/>
                            <w:rPr>
                              <w:caps/>
                              <w:color w:val="5B9BD5" w:themeColor="accent1"/>
                              <w:sz w:val="28"/>
                              <w:szCs w:val="28"/>
                            </w:rPr>
                          </w:pPr>
                        </w:p>
                        <w:p w14:paraId="69E98CB3" w14:textId="591DE156" w:rsidR="00A760D2" w:rsidRDefault="00A760D2">
                          <w:pPr>
                            <w:pStyle w:val="NoSpacing"/>
                            <w:jc w:val="center"/>
                            <w:rPr>
                              <w:color w:val="5B9BD5" w:themeColor="accent1"/>
                            </w:rPr>
                          </w:pPr>
                          <w:r>
                            <w:rPr>
                              <w:caps/>
                              <w:color w:val="5B9BD5" w:themeColor="accent1"/>
                              <w:lang w:val="en-GB"/>
                            </w:rPr>
                            <w:t>University of Wales Trinity Saint David</w:t>
                          </w:r>
                        </w:p>
                        <w:p w14:paraId="3FC79022" w14:textId="2EDEA8B6" w:rsidR="00A760D2" w:rsidRDefault="00A760D2">
                          <w:pPr>
                            <w:pStyle w:val="NoSpacing"/>
                            <w:jc w:val="center"/>
                            <w:rPr>
                              <w:color w:val="5B9BD5" w:themeColor="accent1"/>
                            </w:rPr>
                          </w:pPr>
                        </w:p>
                      </w:txbxContent>
                    </v:textbox>
                    <w10:wrap anchorx="margin" anchory="page"/>
                  </v:shape>
                </w:pict>
              </mc:Fallback>
            </mc:AlternateContent>
          </w:r>
        </w:p>
        <w:p w14:paraId="1A965F96" w14:textId="77777777" w:rsidR="00C72DB2" w:rsidRDefault="00C72DB2" w:rsidP="00C72DB2">
          <w:pPr>
            <w:jc w:val="center"/>
          </w:pPr>
          <w:r>
            <w:rPr>
              <w:noProof/>
              <w:lang w:val="en-US"/>
            </w:rPr>
            <w:drawing>
              <wp:inline distT="0" distB="0" distL="0" distR="0" wp14:anchorId="3779998D" wp14:editId="02C61C6C">
                <wp:extent cx="756285" cy="48133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56285" cy="481330"/>
                        </a:xfrm>
                        <a:prstGeom prst="rect">
                          <a:avLst/>
                        </a:prstGeom>
                        <a:noFill/>
                      </pic:spPr>
                    </pic:pic>
                  </a:graphicData>
                </a:graphic>
              </wp:inline>
            </w:drawing>
          </w:r>
        </w:p>
        <w:p w14:paraId="659A678A" w14:textId="77777777" w:rsidR="00C72DB2" w:rsidRDefault="00C72DB2" w:rsidP="00C72DB2">
          <w:pPr>
            <w:jc w:val="center"/>
          </w:pPr>
        </w:p>
        <w:p w14:paraId="30D56B6E" w14:textId="08907934" w:rsidR="00C72DB2" w:rsidRDefault="00C72DB2" w:rsidP="00C72DB2">
          <w:pPr>
            <w:jc w:val="center"/>
          </w:pPr>
          <w:r>
            <w:t>Name: AL AMIN</w:t>
          </w:r>
        </w:p>
        <w:p w14:paraId="0687255E" w14:textId="463F786C" w:rsidR="00C72DB2" w:rsidRDefault="00C72DB2" w:rsidP="00C72DB2">
          <w:pPr>
            <w:jc w:val="center"/>
          </w:pPr>
          <w:r>
            <w:t>Signature: AL AMIN</w:t>
          </w:r>
        </w:p>
        <w:p w14:paraId="6B60DAF2" w14:textId="09B148CA" w:rsidR="00114EDD" w:rsidRDefault="00C72DB2" w:rsidP="00C72DB2">
          <w:pPr>
            <w:jc w:val="center"/>
            <w:sectPr w:rsidR="00114EDD" w:rsidSect="007D1947">
              <w:footerReference w:type="default" r:id="rId11"/>
              <w:pgSz w:w="11906" w:h="16838"/>
              <w:pgMar w:top="1440" w:right="1440" w:bottom="1440" w:left="1440" w:header="708" w:footer="708" w:gutter="0"/>
              <w:pgNumType w:start="0"/>
              <w:cols w:space="708"/>
              <w:titlePg/>
              <w:docGrid w:linePitch="360"/>
            </w:sectPr>
          </w:pPr>
          <w:r>
            <w:t>Student ID: 2506610</w:t>
          </w:r>
          <w:r w:rsidR="007D1947">
            <w:br w:type="page"/>
          </w:r>
        </w:p>
        <w:p w14:paraId="078A531F" w14:textId="084C1F7E" w:rsidR="007D1947" w:rsidRDefault="007D1947" w:rsidP="007D1947">
          <w:pPr>
            <w:pStyle w:val="Heading1"/>
          </w:pPr>
          <w:bookmarkStart w:id="0" w:name="_Toc218972895"/>
          <w:r>
            <w:lastRenderedPageBreak/>
            <w:t>Executive Summary</w:t>
          </w:r>
          <w:bookmarkEnd w:id="0"/>
        </w:p>
        <w:p w14:paraId="247CBB79" w14:textId="77777777" w:rsidR="00114EDD" w:rsidRDefault="00114EDD" w:rsidP="00114EDD">
          <w:pPr>
            <w:rPr>
              <w:lang w:val="en-US"/>
            </w:rPr>
          </w:pPr>
          <w:r w:rsidRPr="00114EDD">
            <w:rPr>
              <w:lang w:val="en-US"/>
            </w:rPr>
            <w:t>The report looks at the fiscal years of 2023 to 2024 of Reckitt Benckiser Group plc and specifically the key financial ratios in reference to profitability, liquidity, efficiency, and gearing, as well as investor performance. The review shows that it has improved its gross profit margin and capital efficiency, but operating and overall profitability have limited margins due to an increase in finance expenses. Liquidity ratios cast doubt on the short-term solvency, and efficiency ratios put an aggressive working-capital concept portrayed with a negative cash conversion cycle under the spotlight. The increasing trend of the gearing ratios means that there is increased financial leverage and that the capital structure has to be managed with care. Investor ratios show a decreasing dividend cover, and this explains why the company needs a mo</w:t>
          </w:r>
          <w:r>
            <w:rPr>
              <w:lang w:val="en-US"/>
            </w:rPr>
            <w:t>re sustainable dividend policy.</w:t>
          </w:r>
        </w:p>
        <w:p w14:paraId="6C062EAA" w14:textId="6030CF5F" w:rsidR="00114EDD" w:rsidRPr="00114EDD" w:rsidRDefault="00114EDD" w:rsidP="00114EDD">
          <w:pPr>
            <w:rPr>
              <w:lang w:val="en-US"/>
            </w:rPr>
          </w:pPr>
          <w:r w:rsidRPr="00114EDD">
            <w:rPr>
              <w:lang w:val="en-US"/>
            </w:rPr>
            <w:t>Based on these findings, the report dispenses various recommendations, such as a more vigilant management of operating expenses, the reinforcement of the liquidity fortitude, and a moderate disposition of debt and equity financing, thus assuring profitability in the lo</w:t>
          </w:r>
          <w:r>
            <w:rPr>
              <w:lang w:val="en-US"/>
            </w:rPr>
            <w:t xml:space="preserve">ng term and financial agility. </w:t>
          </w:r>
          <w:r w:rsidRPr="00114EDD">
            <w:rPr>
              <w:lang w:val="en-US"/>
            </w:rPr>
            <w:t>In addition, the report will estimate the capital investment options of Westward Plc using Net Present Value (NPV) and Internal Rate of Return (IRR) to evaluate three projects that will be mutually exclusive. The findings show that the best business channel, in terms of NPV and IRR, is B, which is an online retail channel that is friendly and the best investment in terms of this criterion. In line with this, the report recommends the priority of using Option B with references to capital rationing considerations.</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0EAD00A7" w14:textId="77777777" w:rsidR="007D1947" w:rsidRDefault="007D1947"/>
        <w:sdt>
          <w:sdtPr>
            <w:rPr>
              <w:rFonts w:asciiTheme="minorHAnsi" w:hAnsiTheme="minorHAnsi"/>
              <w:b/>
              <w:sz w:val="22"/>
            </w:rPr>
            <w:id w:val="-1297214018"/>
            <w:docPartObj>
              <w:docPartGallery w:val="Table of Contents"/>
              <w:docPartUnique/>
            </w:docPartObj>
          </w:sdtPr>
          <w:sdtEndPr>
            <w:rPr>
              <w:rFonts w:ascii="Times New Roman" w:hAnsi="Times New Roman"/>
              <w:b w:val="0"/>
              <w:bCs/>
              <w:noProof/>
              <w:sz w:val="24"/>
            </w:rPr>
          </w:sdtEndPr>
          <w:sdtContent>
            <w:p w14:paraId="1DFECD67" w14:textId="77777777" w:rsidR="007D1947" w:rsidRPr="005F6EE4" w:rsidRDefault="007D1947" w:rsidP="005F6EE4">
              <w:pPr>
                <w:jc w:val="center"/>
                <w:rPr>
                  <w:b/>
                  <w:sz w:val="32"/>
                </w:rPr>
              </w:pPr>
              <w:r w:rsidRPr="005F6EE4">
                <w:rPr>
                  <w:b/>
                  <w:sz w:val="32"/>
                </w:rPr>
                <w:t>Table of Contents</w:t>
              </w:r>
            </w:p>
            <w:p w14:paraId="50170BE0" w14:textId="268A7A70" w:rsidR="000C4C48" w:rsidRDefault="007D1947">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18972895" w:history="1">
                <w:r w:rsidR="000C4C48" w:rsidRPr="00DF7A18">
                  <w:rPr>
                    <w:rStyle w:val="Hyperlink"/>
                    <w:noProof/>
                  </w:rPr>
                  <w:t>Executive Summary</w:t>
                </w:r>
                <w:r w:rsidR="000C4C48">
                  <w:rPr>
                    <w:noProof/>
                    <w:webHidden/>
                  </w:rPr>
                  <w:tab/>
                </w:r>
                <w:r w:rsidR="000C4C48">
                  <w:rPr>
                    <w:noProof/>
                    <w:webHidden/>
                  </w:rPr>
                  <w:fldChar w:fldCharType="begin"/>
                </w:r>
                <w:r w:rsidR="000C4C48">
                  <w:rPr>
                    <w:noProof/>
                    <w:webHidden/>
                  </w:rPr>
                  <w:instrText xml:space="preserve"> PAGEREF _Toc218972895 \h </w:instrText>
                </w:r>
                <w:r w:rsidR="000C4C48">
                  <w:rPr>
                    <w:noProof/>
                    <w:webHidden/>
                  </w:rPr>
                </w:r>
                <w:r w:rsidR="000C4C48">
                  <w:rPr>
                    <w:noProof/>
                    <w:webHidden/>
                  </w:rPr>
                  <w:fldChar w:fldCharType="separate"/>
                </w:r>
                <w:r w:rsidR="000C4C48">
                  <w:rPr>
                    <w:noProof/>
                    <w:webHidden/>
                  </w:rPr>
                  <w:t>i</w:t>
                </w:r>
                <w:r w:rsidR="000C4C48">
                  <w:rPr>
                    <w:noProof/>
                    <w:webHidden/>
                  </w:rPr>
                  <w:fldChar w:fldCharType="end"/>
                </w:r>
              </w:hyperlink>
            </w:p>
            <w:p w14:paraId="1F2F7BD3" w14:textId="4B630799" w:rsidR="000C4C48" w:rsidRDefault="000C4C48">
              <w:pPr>
                <w:pStyle w:val="TOC1"/>
                <w:tabs>
                  <w:tab w:val="right" w:leader="dot" w:pos="9016"/>
                </w:tabs>
                <w:rPr>
                  <w:rFonts w:asciiTheme="minorHAnsi" w:eastAsiaTheme="minorEastAsia" w:hAnsiTheme="minorHAnsi"/>
                  <w:noProof/>
                  <w:sz w:val="22"/>
                  <w:lang w:val="en-US"/>
                </w:rPr>
              </w:pPr>
              <w:hyperlink w:anchor="_Toc218972896" w:history="1">
                <w:r w:rsidRPr="00DF7A18">
                  <w:rPr>
                    <w:rStyle w:val="Hyperlink"/>
                    <w:noProof/>
                  </w:rPr>
                  <w:t>Introduction</w:t>
                </w:r>
                <w:r>
                  <w:rPr>
                    <w:noProof/>
                    <w:webHidden/>
                  </w:rPr>
                  <w:tab/>
                </w:r>
                <w:r>
                  <w:rPr>
                    <w:noProof/>
                    <w:webHidden/>
                  </w:rPr>
                  <w:fldChar w:fldCharType="begin"/>
                </w:r>
                <w:r>
                  <w:rPr>
                    <w:noProof/>
                    <w:webHidden/>
                  </w:rPr>
                  <w:instrText xml:space="preserve"> PAGEREF _Toc218972896 \h </w:instrText>
                </w:r>
                <w:r>
                  <w:rPr>
                    <w:noProof/>
                    <w:webHidden/>
                  </w:rPr>
                </w:r>
                <w:r>
                  <w:rPr>
                    <w:noProof/>
                    <w:webHidden/>
                  </w:rPr>
                  <w:fldChar w:fldCharType="separate"/>
                </w:r>
                <w:r>
                  <w:rPr>
                    <w:noProof/>
                    <w:webHidden/>
                  </w:rPr>
                  <w:t>1</w:t>
                </w:r>
                <w:r>
                  <w:rPr>
                    <w:noProof/>
                    <w:webHidden/>
                  </w:rPr>
                  <w:fldChar w:fldCharType="end"/>
                </w:r>
              </w:hyperlink>
            </w:p>
            <w:p w14:paraId="7BAE1342" w14:textId="2837258C" w:rsidR="000C4C48" w:rsidRDefault="000C4C48">
              <w:pPr>
                <w:pStyle w:val="TOC1"/>
                <w:tabs>
                  <w:tab w:val="right" w:leader="dot" w:pos="9016"/>
                </w:tabs>
                <w:rPr>
                  <w:rFonts w:asciiTheme="minorHAnsi" w:eastAsiaTheme="minorEastAsia" w:hAnsiTheme="minorHAnsi"/>
                  <w:noProof/>
                  <w:sz w:val="22"/>
                  <w:lang w:val="en-US"/>
                </w:rPr>
              </w:pPr>
              <w:hyperlink w:anchor="_Toc218972897" w:history="1">
                <w:r w:rsidRPr="00DF7A18">
                  <w:rPr>
                    <w:rStyle w:val="Hyperlink"/>
                    <w:noProof/>
                  </w:rPr>
                  <w:t>TASK 1</w:t>
                </w:r>
                <w:r>
                  <w:rPr>
                    <w:noProof/>
                    <w:webHidden/>
                  </w:rPr>
                  <w:tab/>
                </w:r>
                <w:r>
                  <w:rPr>
                    <w:noProof/>
                    <w:webHidden/>
                  </w:rPr>
                  <w:fldChar w:fldCharType="begin"/>
                </w:r>
                <w:r>
                  <w:rPr>
                    <w:noProof/>
                    <w:webHidden/>
                  </w:rPr>
                  <w:instrText xml:space="preserve"> PAGEREF _Toc218972897 \h </w:instrText>
                </w:r>
                <w:r>
                  <w:rPr>
                    <w:noProof/>
                    <w:webHidden/>
                  </w:rPr>
                </w:r>
                <w:r>
                  <w:rPr>
                    <w:noProof/>
                    <w:webHidden/>
                  </w:rPr>
                  <w:fldChar w:fldCharType="separate"/>
                </w:r>
                <w:r>
                  <w:rPr>
                    <w:noProof/>
                    <w:webHidden/>
                  </w:rPr>
                  <w:t>2</w:t>
                </w:r>
                <w:r>
                  <w:rPr>
                    <w:noProof/>
                    <w:webHidden/>
                  </w:rPr>
                  <w:fldChar w:fldCharType="end"/>
                </w:r>
              </w:hyperlink>
            </w:p>
            <w:p w14:paraId="6025C15D" w14:textId="7D8C49CD" w:rsidR="000C4C48" w:rsidRDefault="000C4C48">
              <w:pPr>
                <w:pStyle w:val="TOC2"/>
                <w:tabs>
                  <w:tab w:val="right" w:leader="dot" w:pos="9016"/>
                </w:tabs>
                <w:rPr>
                  <w:rFonts w:asciiTheme="minorHAnsi" w:eastAsiaTheme="minorEastAsia" w:hAnsiTheme="minorHAnsi"/>
                  <w:noProof/>
                  <w:sz w:val="22"/>
                  <w:lang w:val="en-US"/>
                </w:rPr>
              </w:pPr>
              <w:hyperlink w:anchor="_Toc218972898" w:history="1">
                <w:r w:rsidRPr="00DF7A18">
                  <w:rPr>
                    <w:rStyle w:val="Hyperlink"/>
                    <w:noProof/>
                  </w:rPr>
                  <w:t>1.0 Profitability Analysis</w:t>
                </w:r>
                <w:r>
                  <w:rPr>
                    <w:noProof/>
                    <w:webHidden/>
                  </w:rPr>
                  <w:tab/>
                </w:r>
                <w:r>
                  <w:rPr>
                    <w:noProof/>
                    <w:webHidden/>
                  </w:rPr>
                  <w:fldChar w:fldCharType="begin"/>
                </w:r>
                <w:r>
                  <w:rPr>
                    <w:noProof/>
                    <w:webHidden/>
                  </w:rPr>
                  <w:instrText xml:space="preserve"> PAGEREF _Toc218972898 \h </w:instrText>
                </w:r>
                <w:r>
                  <w:rPr>
                    <w:noProof/>
                    <w:webHidden/>
                  </w:rPr>
                </w:r>
                <w:r>
                  <w:rPr>
                    <w:noProof/>
                    <w:webHidden/>
                  </w:rPr>
                  <w:fldChar w:fldCharType="separate"/>
                </w:r>
                <w:r>
                  <w:rPr>
                    <w:noProof/>
                    <w:webHidden/>
                  </w:rPr>
                  <w:t>2</w:t>
                </w:r>
                <w:r>
                  <w:rPr>
                    <w:noProof/>
                    <w:webHidden/>
                  </w:rPr>
                  <w:fldChar w:fldCharType="end"/>
                </w:r>
              </w:hyperlink>
            </w:p>
            <w:p w14:paraId="2377E654" w14:textId="6C96498C" w:rsidR="000C4C48" w:rsidRDefault="000C4C48">
              <w:pPr>
                <w:pStyle w:val="TOC2"/>
                <w:tabs>
                  <w:tab w:val="right" w:leader="dot" w:pos="9016"/>
                </w:tabs>
                <w:rPr>
                  <w:rFonts w:asciiTheme="minorHAnsi" w:eastAsiaTheme="minorEastAsia" w:hAnsiTheme="minorHAnsi"/>
                  <w:noProof/>
                  <w:sz w:val="22"/>
                  <w:lang w:val="en-US"/>
                </w:rPr>
              </w:pPr>
              <w:hyperlink w:anchor="_Toc218972899" w:history="1">
                <w:r w:rsidRPr="00DF7A18">
                  <w:rPr>
                    <w:rStyle w:val="Hyperlink"/>
                    <w:noProof/>
                  </w:rPr>
                  <w:t>2.0 Liquidity Analysis</w:t>
                </w:r>
                <w:r>
                  <w:rPr>
                    <w:noProof/>
                    <w:webHidden/>
                  </w:rPr>
                  <w:tab/>
                </w:r>
                <w:r>
                  <w:rPr>
                    <w:noProof/>
                    <w:webHidden/>
                  </w:rPr>
                  <w:fldChar w:fldCharType="begin"/>
                </w:r>
                <w:r>
                  <w:rPr>
                    <w:noProof/>
                    <w:webHidden/>
                  </w:rPr>
                  <w:instrText xml:space="preserve"> PAGEREF _Toc218972899 \h </w:instrText>
                </w:r>
                <w:r>
                  <w:rPr>
                    <w:noProof/>
                    <w:webHidden/>
                  </w:rPr>
                </w:r>
                <w:r>
                  <w:rPr>
                    <w:noProof/>
                    <w:webHidden/>
                  </w:rPr>
                  <w:fldChar w:fldCharType="separate"/>
                </w:r>
                <w:r>
                  <w:rPr>
                    <w:noProof/>
                    <w:webHidden/>
                  </w:rPr>
                  <w:t>3</w:t>
                </w:r>
                <w:r>
                  <w:rPr>
                    <w:noProof/>
                    <w:webHidden/>
                  </w:rPr>
                  <w:fldChar w:fldCharType="end"/>
                </w:r>
              </w:hyperlink>
            </w:p>
            <w:p w14:paraId="49CBDA50" w14:textId="7BDFCBD4" w:rsidR="000C4C48" w:rsidRDefault="000C4C48">
              <w:pPr>
                <w:pStyle w:val="TOC2"/>
                <w:tabs>
                  <w:tab w:val="right" w:leader="dot" w:pos="9016"/>
                </w:tabs>
                <w:rPr>
                  <w:rFonts w:asciiTheme="minorHAnsi" w:eastAsiaTheme="minorEastAsia" w:hAnsiTheme="minorHAnsi"/>
                  <w:noProof/>
                  <w:sz w:val="22"/>
                  <w:lang w:val="en-US"/>
                </w:rPr>
              </w:pPr>
              <w:hyperlink w:anchor="_Toc218972900" w:history="1">
                <w:r w:rsidRPr="00DF7A18">
                  <w:rPr>
                    <w:rStyle w:val="Hyperlink"/>
                    <w:noProof/>
                  </w:rPr>
                  <w:t>3.0 Efficiency Analysis</w:t>
                </w:r>
                <w:r>
                  <w:rPr>
                    <w:noProof/>
                    <w:webHidden/>
                  </w:rPr>
                  <w:tab/>
                </w:r>
                <w:r>
                  <w:rPr>
                    <w:noProof/>
                    <w:webHidden/>
                  </w:rPr>
                  <w:fldChar w:fldCharType="begin"/>
                </w:r>
                <w:r>
                  <w:rPr>
                    <w:noProof/>
                    <w:webHidden/>
                  </w:rPr>
                  <w:instrText xml:space="preserve"> PAGEREF _Toc218972900 \h </w:instrText>
                </w:r>
                <w:r>
                  <w:rPr>
                    <w:noProof/>
                    <w:webHidden/>
                  </w:rPr>
                </w:r>
                <w:r>
                  <w:rPr>
                    <w:noProof/>
                    <w:webHidden/>
                  </w:rPr>
                  <w:fldChar w:fldCharType="separate"/>
                </w:r>
                <w:r>
                  <w:rPr>
                    <w:noProof/>
                    <w:webHidden/>
                  </w:rPr>
                  <w:t>4</w:t>
                </w:r>
                <w:r>
                  <w:rPr>
                    <w:noProof/>
                    <w:webHidden/>
                  </w:rPr>
                  <w:fldChar w:fldCharType="end"/>
                </w:r>
              </w:hyperlink>
            </w:p>
            <w:p w14:paraId="2C8318F0" w14:textId="754D7618" w:rsidR="000C4C48" w:rsidRDefault="000C4C48">
              <w:pPr>
                <w:pStyle w:val="TOC2"/>
                <w:tabs>
                  <w:tab w:val="right" w:leader="dot" w:pos="9016"/>
                </w:tabs>
                <w:rPr>
                  <w:rFonts w:asciiTheme="minorHAnsi" w:eastAsiaTheme="minorEastAsia" w:hAnsiTheme="minorHAnsi"/>
                  <w:noProof/>
                  <w:sz w:val="22"/>
                  <w:lang w:val="en-US"/>
                </w:rPr>
              </w:pPr>
              <w:hyperlink w:anchor="_Toc218972901" w:history="1">
                <w:r w:rsidRPr="00DF7A18">
                  <w:rPr>
                    <w:rStyle w:val="Hyperlink"/>
                    <w:noProof/>
                  </w:rPr>
                  <w:t>4.0 Gearing Analysis</w:t>
                </w:r>
                <w:r>
                  <w:rPr>
                    <w:noProof/>
                    <w:webHidden/>
                  </w:rPr>
                  <w:tab/>
                </w:r>
                <w:r>
                  <w:rPr>
                    <w:noProof/>
                    <w:webHidden/>
                  </w:rPr>
                  <w:fldChar w:fldCharType="begin"/>
                </w:r>
                <w:r>
                  <w:rPr>
                    <w:noProof/>
                    <w:webHidden/>
                  </w:rPr>
                  <w:instrText xml:space="preserve"> PAGEREF _Toc218972901 \h </w:instrText>
                </w:r>
                <w:r>
                  <w:rPr>
                    <w:noProof/>
                    <w:webHidden/>
                  </w:rPr>
                </w:r>
                <w:r>
                  <w:rPr>
                    <w:noProof/>
                    <w:webHidden/>
                  </w:rPr>
                  <w:fldChar w:fldCharType="separate"/>
                </w:r>
                <w:r>
                  <w:rPr>
                    <w:noProof/>
                    <w:webHidden/>
                  </w:rPr>
                  <w:t>5</w:t>
                </w:r>
                <w:r>
                  <w:rPr>
                    <w:noProof/>
                    <w:webHidden/>
                  </w:rPr>
                  <w:fldChar w:fldCharType="end"/>
                </w:r>
              </w:hyperlink>
            </w:p>
            <w:p w14:paraId="3C607BEA" w14:textId="530F8BFF" w:rsidR="000C4C48" w:rsidRDefault="000C4C48">
              <w:pPr>
                <w:pStyle w:val="TOC2"/>
                <w:tabs>
                  <w:tab w:val="right" w:leader="dot" w:pos="9016"/>
                </w:tabs>
                <w:rPr>
                  <w:rFonts w:asciiTheme="minorHAnsi" w:eastAsiaTheme="minorEastAsia" w:hAnsiTheme="minorHAnsi"/>
                  <w:noProof/>
                  <w:sz w:val="22"/>
                  <w:lang w:val="en-US"/>
                </w:rPr>
              </w:pPr>
              <w:hyperlink w:anchor="_Toc218972902" w:history="1">
                <w:r w:rsidRPr="00DF7A18">
                  <w:rPr>
                    <w:rStyle w:val="Hyperlink"/>
                    <w:noProof/>
                  </w:rPr>
                  <w:t>5.0 Investor Ratio Analysis</w:t>
                </w:r>
                <w:r>
                  <w:rPr>
                    <w:noProof/>
                    <w:webHidden/>
                  </w:rPr>
                  <w:tab/>
                </w:r>
                <w:r>
                  <w:rPr>
                    <w:noProof/>
                    <w:webHidden/>
                  </w:rPr>
                  <w:fldChar w:fldCharType="begin"/>
                </w:r>
                <w:r>
                  <w:rPr>
                    <w:noProof/>
                    <w:webHidden/>
                  </w:rPr>
                  <w:instrText xml:space="preserve"> PAGEREF _Toc218972902 \h </w:instrText>
                </w:r>
                <w:r>
                  <w:rPr>
                    <w:noProof/>
                    <w:webHidden/>
                  </w:rPr>
                </w:r>
                <w:r>
                  <w:rPr>
                    <w:noProof/>
                    <w:webHidden/>
                  </w:rPr>
                  <w:fldChar w:fldCharType="separate"/>
                </w:r>
                <w:r>
                  <w:rPr>
                    <w:noProof/>
                    <w:webHidden/>
                  </w:rPr>
                  <w:t>7</w:t>
                </w:r>
                <w:r>
                  <w:rPr>
                    <w:noProof/>
                    <w:webHidden/>
                  </w:rPr>
                  <w:fldChar w:fldCharType="end"/>
                </w:r>
              </w:hyperlink>
            </w:p>
            <w:p w14:paraId="5C7E99D8" w14:textId="7F476BED" w:rsidR="000C4C48" w:rsidRDefault="000C4C48">
              <w:pPr>
                <w:pStyle w:val="TOC2"/>
                <w:tabs>
                  <w:tab w:val="right" w:leader="dot" w:pos="9016"/>
                </w:tabs>
                <w:rPr>
                  <w:rFonts w:asciiTheme="minorHAnsi" w:eastAsiaTheme="minorEastAsia" w:hAnsiTheme="minorHAnsi"/>
                  <w:noProof/>
                  <w:sz w:val="22"/>
                  <w:lang w:val="en-US"/>
                </w:rPr>
              </w:pPr>
              <w:hyperlink w:anchor="_Toc218972903" w:history="1">
                <w:r w:rsidRPr="00DF7A18">
                  <w:rPr>
                    <w:rStyle w:val="Hyperlink"/>
                    <w:noProof/>
                  </w:rPr>
                  <w:t>6.0 Limitations in Ratio Analysis</w:t>
                </w:r>
                <w:r>
                  <w:rPr>
                    <w:noProof/>
                    <w:webHidden/>
                  </w:rPr>
                  <w:tab/>
                </w:r>
                <w:r>
                  <w:rPr>
                    <w:noProof/>
                    <w:webHidden/>
                  </w:rPr>
                  <w:fldChar w:fldCharType="begin"/>
                </w:r>
                <w:r>
                  <w:rPr>
                    <w:noProof/>
                    <w:webHidden/>
                  </w:rPr>
                  <w:instrText xml:space="preserve"> PAGEREF _Toc218972903 \h </w:instrText>
                </w:r>
                <w:r>
                  <w:rPr>
                    <w:noProof/>
                    <w:webHidden/>
                  </w:rPr>
                </w:r>
                <w:r>
                  <w:rPr>
                    <w:noProof/>
                    <w:webHidden/>
                  </w:rPr>
                  <w:fldChar w:fldCharType="separate"/>
                </w:r>
                <w:r>
                  <w:rPr>
                    <w:noProof/>
                    <w:webHidden/>
                  </w:rPr>
                  <w:t>7</w:t>
                </w:r>
                <w:r>
                  <w:rPr>
                    <w:noProof/>
                    <w:webHidden/>
                  </w:rPr>
                  <w:fldChar w:fldCharType="end"/>
                </w:r>
              </w:hyperlink>
            </w:p>
            <w:p w14:paraId="7FE0EB80" w14:textId="1D2CC029" w:rsidR="000C4C48" w:rsidRDefault="000C4C48">
              <w:pPr>
                <w:pStyle w:val="TOC2"/>
                <w:tabs>
                  <w:tab w:val="right" w:leader="dot" w:pos="9016"/>
                </w:tabs>
                <w:rPr>
                  <w:rFonts w:asciiTheme="minorHAnsi" w:eastAsiaTheme="minorEastAsia" w:hAnsiTheme="minorHAnsi"/>
                  <w:noProof/>
                  <w:sz w:val="22"/>
                  <w:lang w:val="en-US"/>
                </w:rPr>
              </w:pPr>
              <w:hyperlink w:anchor="_Toc218972904" w:history="1">
                <w:r w:rsidRPr="00DF7A18">
                  <w:rPr>
                    <w:rStyle w:val="Hyperlink"/>
                    <w:noProof/>
                  </w:rPr>
                  <w:t>7.0 Recommendations</w:t>
                </w:r>
                <w:r>
                  <w:rPr>
                    <w:noProof/>
                    <w:webHidden/>
                  </w:rPr>
                  <w:tab/>
                </w:r>
                <w:r>
                  <w:rPr>
                    <w:noProof/>
                    <w:webHidden/>
                  </w:rPr>
                  <w:fldChar w:fldCharType="begin"/>
                </w:r>
                <w:r>
                  <w:rPr>
                    <w:noProof/>
                    <w:webHidden/>
                  </w:rPr>
                  <w:instrText xml:space="preserve"> PAGEREF _Toc218972904 \h </w:instrText>
                </w:r>
                <w:r>
                  <w:rPr>
                    <w:noProof/>
                    <w:webHidden/>
                  </w:rPr>
                </w:r>
                <w:r>
                  <w:rPr>
                    <w:noProof/>
                    <w:webHidden/>
                  </w:rPr>
                  <w:fldChar w:fldCharType="separate"/>
                </w:r>
                <w:r>
                  <w:rPr>
                    <w:noProof/>
                    <w:webHidden/>
                  </w:rPr>
                  <w:t>8</w:t>
                </w:r>
                <w:r>
                  <w:rPr>
                    <w:noProof/>
                    <w:webHidden/>
                  </w:rPr>
                  <w:fldChar w:fldCharType="end"/>
                </w:r>
              </w:hyperlink>
            </w:p>
            <w:p w14:paraId="72B78D40" w14:textId="59A4901A" w:rsidR="000C4C48" w:rsidRDefault="000C4C48">
              <w:pPr>
                <w:pStyle w:val="TOC1"/>
                <w:tabs>
                  <w:tab w:val="right" w:leader="dot" w:pos="9016"/>
                </w:tabs>
                <w:rPr>
                  <w:rFonts w:asciiTheme="minorHAnsi" w:eastAsiaTheme="minorEastAsia" w:hAnsiTheme="minorHAnsi"/>
                  <w:noProof/>
                  <w:sz w:val="22"/>
                  <w:lang w:val="en-US"/>
                </w:rPr>
              </w:pPr>
              <w:hyperlink w:anchor="_Toc218972905" w:history="1">
                <w:r w:rsidRPr="00DF7A18">
                  <w:rPr>
                    <w:rStyle w:val="Hyperlink"/>
                    <w:noProof/>
                  </w:rPr>
                  <w:t>Task 2</w:t>
                </w:r>
                <w:r>
                  <w:rPr>
                    <w:noProof/>
                    <w:webHidden/>
                  </w:rPr>
                  <w:tab/>
                </w:r>
                <w:r>
                  <w:rPr>
                    <w:noProof/>
                    <w:webHidden/>
                  </w:rPr>
                  <w:fldChar w:fldCharType="begin"/>
                </w:r>
                <w:r>
                  <w:rPr>
                    <w:noProof/>
                    <w:webHidden/>
                  </w:rPr>
                  <w:instrText xml:space="preserve"> PAGEREF _Toc218972905 \h </w:instrText>
                </w:r>
                <w:r>
                  <w:rPr>
                    <w:noProof/>
                    <w:webHidden/>
                  </w:rPr>
                </w:r>
                <w:r>
                  <w:rPr>
                    <w:noProof/>
                    <w:webHidden/>
                  </w:rPr>
                  <w:fldChar w:fldCharType="separate"/>
                </w:r>
                <w:r>
                  <w:rPr>
                    <w:noProof/>
                    <w:webHidden/>
                  </w:rPr>
                  <w:t>9</w:t>
                </w:r>
                <w:r>
                  <w:rPr>
                    <w:noProof/>
                    <w:webHidden/>
                  </w:rPr>
                  <w:fldChar w:fldCharType="end"/>
                </w:r>
              </w:hyperlink>
            </w:p>
            <w:p w14:paraId="06B2C4EB" w14:textId="55695D63" w:rsidR="000C4C48" w:rsidRDefault="000C4C48">
              <w:pPr>
                <w:pStyle w:val="TOC2"/>
                <w:tabs>
                  <w:tab w:val="right" w:leader="dot" w:pos="9016"/>
                </w:tabs>
                <w:rPr>
                  <w:rFonts w:asciiTheme="minorHAnsi" w:eastAsiaTheme="minorEastAsia" w:hAnsiTheme="minorHAnsi"/>
                  <w:noProof/>
                  <w:sz w:val="22"/>
                  <w:lang w:val="en-US"/>
                </w:rPr>
              </w:pPr>
              <w:hyperlink w:anchor="_Toc218972906" w:history="1">
                <w:r w:rsidRPr="00DF7A18">
                  <w:rPr>
                    <w:rStyle w:val="Hyperlink"/>
                    <w:noProof/>
                    <w:lang w:val="en-US"/>
                  </w:rPr>
                  <w:t>1.0 Methodology and Assumptions</w:t>
                </w:r>
                <w:r>
                  <w:rPr>
                    <w:noProof/>
                    <w:webHidden/>
                  </w:rPr>
                  <w:tab/>
                </w:r>
                <w:r>
                  <w:rPr>
                    <w:noProof/>
                    <w:webHidden/>
                  </w:rPr>
                  <w:fldChar w:fldCharType="begin"/>
                </w:r>
                <w:r>
                  <w:rPr>
                    <w:noProof/>
                    <w:webHidden/>
                  </w:rPr>
                  <w:instrText xml:space="preserve"> PAGEREF _Toc218972906 \h </w:instrText>
                </w:r>
                <w:r>
                  <w:rPr>
                    <w:noProof/>
                    <w:webHidden/>
                  </w:rPr>
                </w:r>
                <w:r>
                  <w:rPr>
                    <w:noProof/>
                    <w:webHidden/>
                  </w:rPr>
                  <w:fldChar w:fldCharType="separate"/>
                </w:r>
                <w:r>
                  <w:rPr>
                    <w:noProof/>
                    <w:webHidden/>
                  </w:rPr>
                  <w:t>9</w:t>
                </w:r>
                <w:r>
                  <w:rPr>
                    <w:noProof/>
                    <w:webHidden/>
                  </w:rPr>
                  <w:fldChar w:fldCharType="end"/>
                </w:r>
              </w:hyperlink>
            </w:p>
            <w:p w14:paraId="133917CE" w14:textId="465373A6" w:rsidR="000C4C48" w:rsidRDefault="000C4C48">
              <w:pPr>
                <w:pStyle w:val="TOC2"/>
                <w:tabs>
                  <w:tab w:val="right" w:leader="dot" w:pos="9016"/>
                </w:tabs>
                <w:rPr>
                  <w:rFonts w:asciiTheme="minorHAnsi" w:eastAsiaTheme="minorEastAsia" w:hAnsiTheme="minorHAnsi"/>
                  <w:noProof/>
                  <w:sz w:val="22"/>
                  <w:lang w:val="en-US"/>
                </w:rPr>
              </w:pPr>
              <w:hyperlink w:anchor="_Toc218972907" w:history="1">
                <w:r w:rsidRPr="00DF7A18">
                  <w:rPr>
                    <w:rStyle w:val="Hyperlink"/>
                    <w:noProof/>
                    <w:lang w:val="en-US"/>
                  </w:rPr>
                  <w:t>2.0 Net Present Value (NPV) Evaluation</w:t>
                </w:r>
                <w:r>
                  <w:rPr>
                    <w:noProof/>
                    <w:webHidden/>
                  </w:rPr>
                  <w:tab/>
                </w:r>
                <w:r>
                  <w:rPr>
                    <w:noProof/>
                    <w:webHidden/>
                  </w:rPr>
                  <w:fldChar w:fldCharType="begin"/>
                </w:r>
                <w:r>
                  <w:rPr>
                    <w:noProof/>
                    <w:webHidden/>
                  </w:rPr>
                  <w:instrText xml:space="preserve"> PAGEREF _Toc218972907 \h </w:instrText>
                </w:r>
                <w:r>
                  <w:rPr>
                    <w:noProof/>
                    <w:webHidden/>
                  </w:rPr>
                </w:r>
                <w:r>
                  <w:rPr>
                    <w:noProof/>
                    <w:webHidden/>
                  </w:rPr>
                  <w:fldChar w:fldCharType="separate"/>
                </w:r>
                <w:r>
                  <w:rPr>
                    <w:noProof/>
                    <w:webHidden/>
                  </w:rPr>
                  <w:t>9</w:t>
                </w:r>
                <w:r>
                  <w:rPr>
                    <w:noProof/>
                    <w:webHidden/>
                  </w:rPr>
                  <w:fldChar w:fldCharType="end"/>
                </w:r>
              </w:hyperlink>
            </w:p>
            <w:p w14:paraId="105308AA" w14:textId="2885C150" w:rsidR="000C4C48" w:rsidRDefault="000C4C48">
              <w:pPr>
                <w:pStyle w:val="TOC3"/>
                <w:tabs>
                  <w:tab w:val="right" w:leader="dot" w:pos="9016"/>
                </w:tabs>
                <w:rPr>
                  <w:rFonts w:asciiTheme="minorHAnsi" w:eastAsiaTheme="minorEastAsia" w:hAnsiTheme="minorHAnsi"/>
                  <w:noProof/>
                  <w:sz w:val="22"/>
                  <w:lang w:val="en-US"/>
                </w:rPr>
              </w:pPr>
              <w:hyperlink w:anchor="_Toc218972908" w:history="1">
                <w:r w:rsidRPr="00DF7A18">
                  <w:rPr>
                    <w:rStyle w:val="Hyperlink"/>
                    <w:noProof/>
                    <w:lang w:val="en-US"/>
                  </w:rPr>
                  <w:t>2.1 Capital Allowances and Tax Effects</w:t>
                </w:r>
                <w:r>
                  <w:rPr>
                    <w:noProof/>
                    <w:webHidden/>
                  </w:rPr>
                  <w:tab/>
                </w:r>
                <w:r>
                  <w:rPr>
                    <w:noProof/>
                    <w:webHidden/>
                  </w:rPr>
                  <w:fldChar w:fldCharType="begin"/>
                </w:r>
                <w:r>
                  <w:rPr>
                    <w:noProof/>
                    <w:webHidden/>
                  </w:rPr>
                  <w:instrText xml:space="preserve"> PAGEREF _Toc218972908 \h </w:instrText>
                </w:r>
                <w:r>
                  <w:rPr>
                    <w:noProof/>
                    <w:webHidden/>
                  </w:rPr>
                </w:r>
                <w:r>
                  <w:rPr>
                    <w:noProof/>
                    <w:webHidden/>
                  </w:rPr>
                  <w:fldChar w:fldCharType="separate"/>
                </w:r>
                <w:r>
                  <w:rPr>
                    <w:noProof/>
                    <w:webHidden/>
                  </w:rPr>
                  <w:t>9</w:t>
                </w:r>
                <w:r>
                  <w:rPr>
                    <w:noProof/>
                    <w:webHidden/>
                  </w:rPr>
                  <w:fldChar w:fldCharType="end"/>
                </w:r>
              </w:hyperlink>
            </w:p>
            <w:p w14:paraId="5C801887" w14:textId="60779761" w:rsidR="000C4C48" w:rsidRDefault="000C4C48">
              <w:pPr>
                <w:pStyle w:val="TOC3"/>
                <w:tabs>
                  <w:tab w:val="right" w:leader="dot" w:pos="9016"/>
                </w:tabs>
                <w:rPr>
                  <w:rFonts w:asciiTheme="minorHAnsi" w:eastAsiaTheme="minorEastAsia" w:hAnsiTheme="minorHAnsi"/>
                  <w:noProof/>
                  <w:sz w:val="22"/>
                  <w:lang w:val="en-US"/>
                </w:rPr>
              </w:pPr>
              <w:hyperlink w:anchor="_Toc218972909" w:history="1">
                <w:r w:rsidRPr="00DF7A18">
                  <w:rPr>
                    <w:rStyle w:val="Hyperlink"/>
                    <w:noProof/>
                    <w:lang w:val="en-US"/>
                  </w:rPr>
                  <w:t>2.2 NPV of Options A, B, and C Calculations</w:t>
                </w:r>
                <w:r>
                  <w:rPr>
                    <w:noProof/>
                    <w:webHidden/>
                  </w:rPr>
                  <w:tab/>
                </w:r>
                <w:r>
                  <w:rPr>
                    <w:noProof/>
                    <w:webHidden/>
                  </w:rPr>
                  <w:fldChar w:fldCharType="begin"/>
                </w:r>
                <w:r>
                  <w:rPr>
                    <w:noProof/>
                    <w:webHidden/>
                  </w:rPr>
                  <w:instrText xml:space="preserve"> PAGEREF _Toc218972909 \h </w:instrText>
                </w:r>
                <w:r>
                  <w:rPr>
                    <w:noProof/>
                    <w:webHidden/>
                  </w:rPr>
                </w:r>
                <w:r>
                  <w:rPr>
                    <w:noProof/>
                    <w:webHidden/>
                  </w:rPr>
                  <w:fldChar w:fldCharType="separate"/>
                </w:r>
                <w:r>
                  <w:rPr>
                    <w:noProof/>
                    <w:webHidden/>
                  </w:rPr>
                  <w:t>10</w:t>
                </w:r>
                <w:r>
                  <w:rPr>
                    <w:noProof/>
                    <w:webHidden/>
                  </w:rPr>
                  <w:fldChar w:fldCharType="end"/>
                </w:r>
              </w:hyperlink>
            </w:p>
            <w:p w14:paraId="3939EAC7" w14:textId="3EC96FF6" w:rsidR="000C4C48" w:rsidRDefault="000C4C48">
              <w:pPr>
                <w:pStyle w:val="TOC3"/>
                <w:tabs>
                  <w:tab w:val="right" w:leader="dot" w:pos="9016"/>
                </w:tabs>
                <w:rPr>
                  <w:rFonts w:asciiTheme="minorHAnsi" w:eastAsiaTheme="minorEastAsia" w:hAnsiTheme="minorHAnsi"/>
                  <w:noProof/>
                  <w:sz w:val="22"/>
                  <w:lang w:val="en-US"/>
                </w:rPr>
              </w:pPr>
              <w:hyperlink w:anchor="_Toc218972910" w:history="1">
                <w:r w:rsidRPr="00DF7A18">
                  <w:rPr>
                    <w:rStyle w:val="Hyperlink"/>
                    <w:noProof/>
                    <w:lang w:val="en-US"/>
                  </w:rPr>
                  <w:t>2.3 NPV Ranking and Recommendation</w:t>
                </w:r>
                <w:r>
                  <w:rPr>
                    <w:noProof/>
                    <w:webHidden/>
                  </w:rPr>
                  <w:tab/>
                </w:r>
                <w:r>
                  <w:rPr>
                    <w:noProof/>
                    <w:webHidden/>
                  </w:rPr>
                  <w:fldChar w:fldCharType="begin"/>
                </w:r>
                <w:r>
                  <w:rPr>
                    <w:noProof/>
                    <w:webHidden/>
                  </w:rPr>
                  <w:instrText xml:space="preserve"> PAGEREF _Toc218972910 \h </w:instrText>
                </w:r>
                <w:r>
                  <w:rPr>
                    <w:noProof/>
                    <w:webHidden/>
                  </w:rPr>
                </w:r>
                <w:r>
                  <w:rPr>
                    <w:noProof/>
                    <w:webHidden/>
                  </w:rPr>
                  <w:fldChar w:fldCharType="separate"/>
                </w:r>
                <w:r>
                  <w:rPr>
                    <w:noProof/>
                    <w:webHidden/>
                  </w:rPr>
                  <w:t>12</w:t>
                </w:r>
                <w:r>
                  <w:rPr>
                    <w:noProof/>
                    <w:webHidden/>
                  </w:rPr>
                  <w:fldChar w:fldCharType="end"/>
                </w:r>
              </w:hyperlink>
            </w:p>
            <w:p w14:paraId="7DF0B82B" w14:textId="1EEA47FC" w:rsidR="000C4C48" w:rsidRDefault="000C4C48">
              <w:pPr>
                <w:pStyle w:val="TOC2"/>
                <w:tabs>
                  <w:tab w:val="right" w:leader="dot" w:pos="9016"/>
                </w:tabs>
                <w:rPr>
                  <w:rFonts w:asciiTheme="minorHAnsi" w:eastAsiaTheme="minorEastAsia" w:hAnsiTheme="minorHAnsi"/>
                  <w:noProof/>
                  <w:sz w:val="22"/>
                  <w:lang w:val="en-US"/>
                </w:rPr>
              </w:pPr>
              <w:hyperlink w:anchor="_Toc218972911" w:history="1">
                <w:r w:rsidRPr="00DF7A18">
                  <w:rPr>
                    <w:rStyle w:val="Hyperlink"/>
                    <w:noProof/>
                    <w:lang w:val="en-US"/>
                  </w:rPr>
                  <w:t>3.0 Internal Rate of Return (IRR)</w:t>
                </w:r>
                <w:r>
                  <w:rPr>
                    <w:noProof/>
                    <w:webHidden/>
                  </w:rPr>
                  <w:tab/>
                </w:r>
                <w:r>
                  <w:rPr>
                    <w:noProof/>
                    <w:webHidden/>
                  </w:rPr>
                  <w:fldChar w:fldCharType="begin"/>
                </w:r>
                <w:r>
                  <w:rPr>
                    <w:noProof/>
                    <w:webHidden/>
                  </w:rPr>
                  <w:instrText xml:space="preserve"> PAGEREF _Toc218972911 \h </w:instrText>
                </w:r>
                <w:r>
                  <w:rPr>
                    <w:noProof/>
                    <w:webHidden/>
                  </w:rPr>
                </w:r>
                <w:r>
                  <w:rPr>
                    <w:noProof/>
                    <w:webHidden/>
                  </w:rPr>
                  <w:fldChar w:fldCharType="separate"/>
                </w:r>
                <w:r>
                  <w:rPr>
                    <w:noProof/>
                    <w:webHidden/>
                  </w:rPr>
                  <w:t>12</w:t>
                </w:r>
                <w:r>
                  <w:rPr>
                    <w:noProof/>
                    <w:webHidden/>
                  </w:rPr>
                  <w:fldChar w:fldCharType="end"/>
                </w:r>
              </w:hyperlink>
            </w:p>
            <w:p w14:paraId="16D64EB2" w14:textId="505FDDCD" w:rsidR="000C4C48" w:rsidRDefault="000C4C48">
              <w:pPr>
                <w:pStyle w:val="TOC2"/>
                <w:tabs>
                  <w:tab w:val="right" w:leader="dot" w:pos="9016"/>
                </w:tabs>
                <w:rPr>
                  <w:rFonts w:asciiTheme="minorHAnsi" w:eastAsiaTheme="minorEastAsia" w:hAnsiTheme="minorHAnsi"/>
                  <w:noProof/>
                  <w:sz w:val="22"/>
                  <w:lang w:val="en-US"/>
                </w:rPr>
              </w:pPr>
              <w:hyperlink w:anchor="_Toc218972912" w:history="1">
                <w:r w:rsidRPr="00DF7A18">
                  <w:rPr>
                    <w:rStyle w:val="Hyperlink"/>
                    <w:noProof/>
                    <w:lang w:val="en-US"/>
                  </w:rPr>
                  <w:t>4.0 Interpretation for Management</w:t>
                </w:r>
                <w:r>
                  <w:rPr>
                    <w:noProof/>
                    <w:webHidden/>
                  </w:rPr>
                  <w:tab/>
                </w:r>
                <w:r>
                  <w:rPr>
                    <w:noProof/>
                    <w:webHidden/>
                  </w:rPr>
                  <w:fldChar w:fldCharType="begin"/>
                </w:r>
                <w:r>
                  <w:rPr>
                    <w:noProof/>
                    <w:webHidden/>
                  </w:rPr>
                  <w:instrText xml:space="preserve"> PAGEREF _Toc218972912 \h </w:instrText>
                </w:r>
                <w:r>
                  <w:rPr>
                    <w:noProof/>
                    <w:webHidden/>
                  </w:rPr>
                </w:r>
                <w:r>
                  <w:rPr>
                    <w:noProof/>
                    <w:webHidden/>
                  </w:rPr>
                  <w:fldChar w:fldCharType="separate"/>
                </w:r>
                <w:r>
                  <w:rPr>
                    <w:noProof/>
                    <w:webHidden/>
                  </w:rPr>
                  <w:t>14</w:t>
                </w:r>
                <w:r>
                  <w:rPr>
                    <w:noProof/>
                    <w:webHidden/>
                  </w:rPr>
                  <w:fldChar w:fldCharType="end"/>
                </w:r>
              </w:hyperlink>
            </w:p>
            <w:p w14:paraId="3695CCEB" w14:textId="6C97E57B" w:rsidR="000C4C48" w:rsidRDefault="000C4C48">
              <w:pPr>
                <w:pStyle w:val="TOC3"/>
                <w:tabs>
                  <w:tab w:val="right" w:leader="dot" w:pos="9016"/>
                </w:tabs>
                <w:rPr>
                  <w:rFonts w:asciiTheme="minorHAnsi" w:eastAsiaTheme="minorEastAsia" w:hAnsiTheme="minorHAnsi"/>
                  <w:noProof/>
                  <w:sz w:val="22"/>
                  <w:lang w:val="en-US"/>
                </w:rPr>
              </w:pPr>
              <w:hyperlink w:anchor="_Toc218972913" w:history="1">
                <w:r w:rsidRPr="00DF7A18">
                  <w:rPr>
                    <w:rStyle w:val="Hyperlink"/>
                    <w:noProof/>
                    <w:lang w:val="en-US"/>
                  </w:rPr>
                  <w:t>4.1 Why NPV Is the Preferred Appraisal Method</w:t>
                </w:r>
                <w:r>
                  <w:rPr>
                    <w:noProof/>
                    <w:webHidden/>
                  </w:rPr>
                  <w:tab/>
                </w:r>
                <w:r>
                  <w:rPr>
                    <w:noProof/>
                    <w:webHidden/>
                  </w:rPr>
                  <w:fldChar w:fldCharType="begin"/>
                </w:r>
                <w:r>
                  <w:rPr>
                    <w:noProof/>
                    <w:webHidden/>
                  </w:rPr>
                  <w:instrText xml:space="preserve"> PAGEREF _Toc218972913 \h </w:instrText>
                </w:r>
                <w:r>
                  <w:rPr>
                    <w:noProof/>
                    <w:webHidden/>
                  </w:rPr>
                </w:r>
                <w:r>
                  <w:rPr>
                    <w:noProof/>
                    <w:webHidden/>
                  </w:rPr>
                  <w:fldChar w:fldCharType="separate"/>
                </w:r>
                <w:r>
                  <w:rPr>
                    <w:noProof/>
                    <w:webHidden/>
                  </w:rPr>
                  <w:t>14</w:t>
                </w:r>
                <w:r>
                  <w:rPr>
                    <w:noProof/>
                    <w:webHidden/>
                  </w:rPr>
                  <w:fldChar w:fldCharType="end"/>
                </w:r>
              </w:hyperlink>
            </w:p>
            <w:p w14:paraId="2BE32D70" w14:textId="5D35E1AD" w:rsidR="000C4C48" w:rsidRDefault="000C4C48">
              <w:pPr>
                <w:pStyle w:val="TOC3"/>
                <w:tabs>
                  <w:tab w:val="right" w:leader="dot" w:pos="9016"/>
                </w:tabs>
                <w:rPr>
                  <w:rFonts w:asciiTheme="minorHAnsi" w:eastAsiaTheme="minorEastAsia" w:hAnsiTheme="minorHAnsi"/>
                  <w:noProof/>
                  <w:sz w:val="22"/>
                  <w:lang w:val="en-US"/>
                </w:rPr>
              </w:pPr>
              <w:hyperlink w:anchor="_Toc218972914" w:history="1">
                <w:r w:rsidRPr="00DF7A18">
                  <w:rPr>
                    <w:rStyle w:val="Hyperlink"/>
                    <w:noProof/>
                    <w:lang w:val="en-US"/>
                  </w:rPr>
                  <w:t>4.2 Continued Use of Non-Discounting Methods</w:t>
                </w:r>
                <w:r>
                  <w:rPr>
                    <w:noProof/>
                    <w:webHidden/>
                  </w:rPr>
                  <w:tab/>
                </w:r>
                <w:r>
                  <w:rPr>
                    <w:noProof/>
                    <w:webHidden/>
                  </w:rPr>
                  <w:fldChar w:fldCharType="begin"/>
                </w:r>
                <w:r>
                  <w:rPr>
                    <w:noProof/>
                    <w:webHidden/>
                  </w:rPr>
                  <w:instrText xml:space="preserve"> PAGEREF _Toc218972914 \h </w:instrText>
                </w:r>
                <w:r>
                  <w:rPr>
                    <w:noProof/>
                    <w:webHidden/>
                  </w:rPr>
                </w:r>
                <w:r>
                  <w:rPr>
                    <w:noProof/>
                    <w:webHidden/>
                  </w:rPr>
                  <w:fldChar w:fldCharType="separate"/>
                </w:r>
                <w:r>
                  <w:rPr>
                    <w:noProof/>
                    <w:webHidden/>
                  </w:rPr>
                  <w:t>14</w:t>
                </w:r>
                <w:r>
                  <w:rPr>
                    <w:noProof/>
                    <w:webHidden/>
                  </w:rPr>
                  <w:fldChar w:fldCharType="end"/>
                </w:r>
              </w:hyperlink>
            </w:p>
            <w:p w14:paraId="4552E1E7" w14:textId="1526EC27" w:rsidR="000C4C48" w:rsidRDefault="000C4C48">
              <w:pPr>
                <w:pStyle w:val="TOC3"/>
                <w:tabs>
                  <w:tab w:val="right" w:leader="dot" w:pos="9016"/>
                </w:tabs>
                <w:rPr>
                  <w:rFonts w:asciiTheme="minorHAnsi" w:eastAsiaTheme="minorEastAsia" w:hAnsiTheme="minorHAnsi"/>
                  <w:noProof/>
                  <w:sz w:val="22"/>
                  <w:lang w:val="en-US"/>
                </w:rPr>
              </w:pPr>
              <w:hyperlink w:anchor="_Toc218972915" w:history="1">
                <w:r w:rsidRPr="00DF7A18">
                  <w:rPr>
                    <w:rStyle w:val="Hyperlink"/>
                    <w:noProof/>
                    <w:lang w:val="en-US"/>
                  </w:rPr>
                  <w:t>4.3 Other Factors Affecting the Investment Decision</w:t>
                </w:r>
                <w:r>
                  <w:rPr>
                    <w:noProof/>
                    <w:webHidden/>
                  </w:rPr>
                  <w:tab/>
                </w:r>
                <w:r>
                  <w:rPr>
                    <w:noProof/>
                    <w:webHidden/>
                  </w:rPr>
                  <w:fldChar w:fldCharType="begin"/>
                </w:r>
                <w:r>
                  <w:rPr>
                    <w:noProof/>
                    <w:webHidden/>
                  </w:rPr>
                  <w:instrText xml:space="preserve"> PAGEREF _Toc218972915 \h </w:instrText>
                </w:r>
                <w:r>
                  <w:rPr>
                    <w:noProof/>
                    <w:webHidden/>
                  </w:rPr>
                </w:r>
                <w:r>
                  <w:rPr>
                    <w:noProof/>
                    <w:webHidden/>
                  </w:rPr>
                  <w:fldChar w:fldCharType="separate"/>
                </w:r>
                <w:r>
                  <w:rPr>
                    <w:noProof/>
                    <w:webHidden/>
                  </w:rPr>
                  <w:t>14</w:t>
                </w:r>
                <w:r>
                  <w:rPr>
                    <w:noProof/>
                    <w:webHidden/>
                  </w:rPr>
                  <w:fldChar w:fldCharType="end"/>
                </w:r>
              </w:hyperlink>
            </w:p>
            <w:p w14:paraId="17B127F2" w14:textId="28B6CE6F" w:rsidR="000C4C48" w:rsidRDefault="000C4C48">
              <w:pPr>
                <w:pStyle w:val="TOC2"/>
                <w:tabs>
                  <w:tab w:val="right" w:leader="dot" w:pos="9016"/>
                </w:tabs>
                <w:rPr>
                  <w:rFonts w:asciiTheme="minorHAnsi" w:eastAsiaTheme="minorEastAsia" w:hAnsiTheme="minorHAnsi"/>
                  <w:noProof/>
                  <w:sz w:val="22"/>
                  <w:lang w:val="en-US"/>
                </w:rPr>
              </w:pPr>
              <w:hyperlink w:anchor="_Toc218972916" w:history="1">
                <w:r w:rsidRPr="00DF7A18">
                  <w:rPr>
                    <w:rStyle w:val="Hyperlink"/>
                    <w:noProof/>
                    <w:lang w:val="en-US"/>
                  </w:rPr>
                  <w:t>5.0 Capital Rationing Analysis</w:t>
                </w:r>
                <w:r>
                  <w:rPr>
                    <w:noProof/>
                    <w:webHidden/>
                  </w:rPr>
                  <w:tab/>
                </w:r>
                <w:r>
                  <w:rPr>
                    <w:noProof/>
                    <w:webHidden/>
                  </w:rPr>
                  <w:fldChar w:fldCharType="begin"/>
                </w:r>
                <w:r>
                  <w:rPr>
                    <w:noProof/>
                    <w:webHidden/>
                  </w:rPr>
                  <w:instrText xml:space="preserve"> PAGEREF _Toc218972916 \h </w:instrText>
                </w:r>
                <w:r>
                  <w:rPr>
                    <w:noProof/>
                    <w:webHidden/>
                  </w:rPr>
                </w:r>
                <w:r>
                  <w:rPr>
                    <w:noProof/>
                    <w:webHidden/>
                  </w:rPr>
                  <w:fldChar w:fldCharType="separate"/>
                </w:r>
                <w:r>
                  <w:rPr>
                    <w:noProof/>
                    <w:webHidden/>
                  </w:rPr>
                  <w:t>15</w:t>
                </w:r>
                <w:r>
                  <w:rPr>
                    <w:noProof/>
                    <w:webHidden/>
                  </w:rPr>
                  <w:fldChar w:fldCharType="end"/>
                </w:r>
              </w:hyperlink>
            </w:p>
            <w:p w14:paraId="02563E44" w14:textId="60FAC725" w:rsidR="000C4C48" w:rsidRDefault="000C4C48">
              <w:pPr>
                <w:pStyle w:val="TOC3"/>
                <w:tabs>
                  <w:tab w:val="right" w:leader="dot" w:pos="9016"/>
                </w:tabs>
                <w:rPr>
                  <w:rFonts w:asciiTheme="minorHAnsi" w:eastAsiaTheme="minorEastAsia" w:hAnsiTheme="minorHAnsi"/>
                  <w:noProof/>
                  <w:sz w:val="22"/>
                  <w:lang w:val="en-US"/>
                </w:rPr>
              </w:pPr>
              <w:hyperlink w:anchor="_Toc218972917" w:history="1">
                <w:r w:rsidRPr="00DF7A18">
                  <w:rPr>
                    <w:rStyle w:val="Hyperlink"/>
                    <w:noProof/>
                    <w:lang w:val="en-US"/>
                  </w:rPr>
                  <w:t>5.1 Profitability Index and Ranking</w:t>
                </w:r>
                <w:r>
                  <w:rPr>
                    <w:noProof/>
                    <w:webHidden/>
                  </w:rPr>
                  <w:tab/>
                </w:r>
                <w:r>
                  <w:rPr>
                    <w:noProof/>
                    <w:webHidden/>
                  </w:rPr>
                  <w:fldChar w:fldCharType="begin"/>
                </w:r>
                <w:r>
                  <w:rPr>
                    <w:noProof/>
                    <w:webHidden/>
                  </w:rPr>
                  <w:instrText xml:space="preserve"> PAGEREF _Toc218972917 \h </w:instrText>
                </w:r>
                <w:r>
                  <w:rPr>
                    <w:noProof/>
                    <w:webHidden/>
                  </w:rPr>
                </w:r>
                <w:r>
                  <w:rPr>
                    <w:noProof/>
                    <w:webHidden/>
                  </w:rPr>
                  <w:fldChar w:fldCharType="separate"/>
                </w:r>
                <w:r>
                  <w:rPr>
                    <w:noProof/>
                    <w:webHidden/>
                  </w:rPr>
                  <w:t>15</w:t>
                </w:r>
                <w:r>
                  <w:rPr>
                    <w:noProof/>
                    <w:webHidden/>
                  </w:rPr>
                  <w:fldChar w:fldCharType="end"/>
                </w:r>
              </w:hyperlink>
            </w:p>
            <w:p w14:paraId="419F77E4" w14:textId="06F0AC65" w:rsidR="000C4C48" w:rsidRDefault="000C4C48">
              <w:pPr>
                <w:pStyle w:val="TOC3"/>
                <w:tabs>
                  <w:tab w:val="right" w:leader="dot" w:pos="9016"/>
                </w:tabs>
                <w:rPr>
                  <w:rFonts w:asciiTheme="minorHAnsi" w:eastAsiaTheme="minorEastAsia" w:hAnsiTheme="minorHAnsi"/>
                  <w:noProof/>
                  <w:sz w:val="22"/>
                  <w:lang w:val="en-US"/>
                </w:rPr>
              </w:pPr>
              <w:hyperlink w:anchor="_Toc218972918" w:history="1">
                <w:r w:rsidRPr="00DF7A18">
                  <w:rPr>
                    <w:rStyle w:val="Hyperlink"/>
                    <w:noProof/>
                  </w:rPr>
                  <w:t>5.2 Optimal Investment Policy</w:t>
                </w:r>
                <w:r>
                  <w:rPr>
                    <w:noProof/>
                    <w:webHidden/>
                  </w:rPr>
                  <w:tab/>
                </w:r>
                <w:r>
                  <w:rPr>
                    <w:noProof/>
                    <w:webHidden/>
                  </w:rPr>
                  <w:fldChar w:fldCharType="begin"/>
                </w:r>
                <w:r>
                  <w:rPr>
                    <w:noProof/>
                    <w:webHidden/>
                  </w:rPr>
                  <w:instrText xml:space="preserve"> PAGEREF _Toc218972918 \h </w:instrText>
                </w:r>
                <w:r>
                  <w:rPr>
                    <w:noProof/>
                    <w:webHidden/>
                  </w:rPr>
                </w:r>
                <w:r>
                  <w:rPr>
                    <w:noProof/>
                    <w:webHidden/>
                  </w:rPr>
                  <w:fldChar w:fldCharType="separate"/>
                </w:r>
                <w:r>
                  <w:rPr>
                    <w:noProof/>
                    <w:webHidden/>
                  </w:rPr>
                  <w:t>16</w:t>
                </w:r>
                <w:r>
                  <w:rPr>
                    <w:noProof/>
                    <w:webHidden/>
                  </w:rPr>
                  <w:fldChar w:fldCharType="end"/>
                </w:r>
              </w:hyperlink>
            </w:p>
            <w:p w14:paraId="1DC740B9" w14:textId="0889B40E" w:rsidR="000C4C48" w:rsidRDefault="000C4C48">
              <w:pPr>
                <w:pStyle w:val="TOC2"/>
                <w:tabs>
                  <w:tab w:val="right" w:leader="dot" w:pos="9016"/>
                </w:tabs>
                <w:rPr>
                  <w:rFonts w:asciiTheme="minorHAnsi" w:eastAsiaTheme="minorEastAsia" w:hAnsiTheme="minorHAnsi"/>
                  <w:noProof/>
                  <w:sz w:val="22"/>
                  <w:lang w:val="en-US"/>
                </w:rPr>
              </w:pPr>
              <w:hyperlink w:anchor="_Toc218972919" w:history="1">
                <w:r w:rsidRPr="00DF7A18">
                  <w:rPr>
                    <w:rStyle w:val="Hyperlink"/>
                    <w:noProof/>
                    <w:lang w:val="en-US"/>
                  </w:rPr>
                  <w:t>6.0 Funding the Investment Program</w:t>
                </w:r>
                <w:r>
                  <w:rPr>
                    <w:noProof/>
                    <w:webHidden/>
                  </w:rPr>
                  <w:tab/>
                </w:r>
                <w:r>
                  <w:rPr>
                    <w:noProof/>
                    <w:webHidden/>
                  </w:rPr>
                  <w:fldChar w:fldCharType="begin"/>
                </w:r>
                <w:r>
                  <w:rPr>
                    <w:noProof/>
                    <w:webHidden/>
                  </w:rPr>
                  <w:instrText xml:space="preserve"> PAGEREF _Toc218972919 \h </w:instrText>
                </w:r>
                <w:r>
                  <w:rPr>
                    <w:noProof/>
                    <w:webHidden/>
                  </w:rPr>
                </w:r>
                <w:r>
                  <w:rPr>
                    <w:noProof/>
                    <w:webHidden/>
                  </w:rPr>
                  <w:fldChar w:fldCharType="separate"/>
                </w:r>
                <w:r>
                  <w:rPr>
                    <w:noProof/>
                    <w:webHidden/>
                  </w:rPr>
                  <w:t>16</w:t>
                </w:r>
                <w:r>
                  <w:rPr>
                    <w:noProof/>
                    <w:webHidden/>
                  </w:rPr>
                  <w:fldChar w:fldCharType="end"/>
                </w:r>
              </w:hyperlink>
            </w:p>
            <w:p w14:paraId="000AA9FD" w14:textId="28FDB028" w:rsidR="000C4C48" w:rsidRDefault="000C4C48">
              <w:pPr>
                <w:pStyle w:val="TOC1"/>
                <w:tabs>
                  <w:tab w:val="right" w:leader="dot" w:pos="9016"/>
                </w:tabs>
                <w:rPr>
                  <w:rFonts w:asciiTheme="minorHAnsi" w:eastAsiaTheme="minorEastAsia" w:hAnsiTheme="minorHAnsi"/>
                  <w:noProof/>
                  <w:sz w:val="22"/>
                  <w:lang w:val="en-US"/>
                </w:rPr>
              </w:pPr>
              <w:hyperlink w:anchor="_Toc218972920" w:history="1">
                <w:r w:rsidRPr="00DF7A18">
                  <w:rPr>
                    <w:rStyle w:val="Hyperlink"/>
                    <w:noProof/>
                    <w:lang w:val="en-US"/>
                  </w:rPr>
                  <w:t>Conclusion</w:t>
                </w:r>
                <w:r>
                  <w:rPr>
                    <w:noProof/>
                    <w:webHidden/>
                  </w:rPr>
                  <w:tab/>
                </w:r>
                <w:r>
                  <w:rPr>
                    <w:noProof/>
                    <w:webHidden/>
                  </w:rPr>
                  <w:fldChar w:fldCharType="begin"/>
                </w:r>
                <w:r>
                  <w:rPr>
                    <w:noProof/>
                    <w:webHidden/>
                  </w:rPr>
                  <w:instrText xml:space="preserve"> PAGEREF _Toc218972920 \h </w:instrText>
                </w:r>
                <w:r>
                  <w:rPr>
                    <w:noProof/>
                    <w:webHidden/>
                  </w:rPr>
                </w:r>
                <w:r>
                  <w:rPr>
                    <w:noProof/>
                    <w:webHidden/>
                  </w:rPr>
                  <w:fldChar w:fldCharType="separate"/>
                </w:r>
                <w:r>
                  <w:rPr>
                    <w:noProof/>
                    <w:webHidden/>
                  </w:rPr>
                  <w:t>17</w:t>
                </w:r>
                <w:r>
                  <w:rPr>
                    <w:noProof/>
                    <w:webHidden/>
                  </w:rPr>
                  <w:fldChar w:fldCharType="end"/>
                </w:r>
              </w:hyperlink>
            </w:p>
            <w:p w14:paraId="34280BE7" w14:textId="504F8277" w:rsidR="000C4C48" w:rsidRDefault="000C4C48">
              <w:pPr>
                <w:pStyle w:val="TOC1"/>
                <w:tabs>
                  <w:tab w:val="right" w:leader="dot" w:pos="9016"/>
                </w:tabs>
                <w:rPr>
                  <w:rFonts w:asciiTheme="minorHAnsi" w:eastAsiaTheme="minorEastAsia" w:hAnsiTheme="minorHAnsi"/>
                  <w:noProof/>
                  <w:sz w:val="22"/>
                  <w:lang w:val="en-US"/>
                </w:rPr>
              </w:pPr>
              <w:hyperlink w:anchor="_Toc218972921" w:history="1">
                <w:r w:rsidRPr="00DF7A18">
                  <w:rPr>
                    <w:rStyle w:val="Hyperlink"/>
                    <w:noProof/>
                  </w:rPr>
                  <w:t>References</w:t>
                </w:r>
                <w:r>
                  <w:rPr>
                    <w:noProof/>
                    <w:webHidden/>
                  </w:rPr>
                  <w:tab/>
                </w:r>
                <w:r>
                  <w:rPr>
                    <w:noProof/>
                    <w:webHidden/>
                  </w:rPr>
                  <w:fldChar w:fldCharType="begin"/>
                </w:r>
                <w:r>
                  <w:rPr>
                    <w:noProof/>
                    <w:webHidden/>
                  </w:rPr>
                  <w:instrText xml:space="preserve"> PAGEREF _Toc218972921 \h </w:instrText>
                </w:r>
                <w:r>
                  <w:rPr>
                    <w:noProof/>
                    <w:webHidden/>
                  </w:rPr>
                </w:r>
                <w:r>
                  <w:rPr>
                    <w:noProof/>
                    <w:webHidden/>
                  </w:rPr>
                  <w:fldChar w:fldCharType="separate"/>
                </w:r>
                <w:r>
                  <w:rPr>
                    <w:noProof/>
                    <w:webHidden/>
                  </w:rPr>
                  <w:t>18</w:t>
                </w:r>
                <w:r>
                  <w:rPr>
                    <w:noProof/>
                    <w:webHidden/>
                  </w:rPr>
                  <w:fldChar w:fldCharType="end"/>
                </w:r>
              </w:hyperlink>
            </w:p>
            <w:p w14:paraId="05194699" w14:textId="353868BE" w:rsidR="007D1947" w:rsidRDefault="007D1947">
              <w:r>
                <w:rPr>
                  <w:b/>
                  <w:bCs/>
                  <w:noProof/>
                </w:rPr>
                <w:fldChar w:fldCharType="end"/>
              </w:r>
              <w:r w:rsidR="00114EDD">
                <w:rPr>
                  <w:b/>
                  <w:bCs/>
                  <w:noProof/>
                </w:rPr>
                <w:t xml:space="preserve"> </w:t>
              </w:r>
            </w:p>
          </w:sdtContent>
        </w:sdt>
        <w:p w14:paraId="5AD4FC36" w14:textId="0DD45F78" w:rsidR="004A11F6" w:rsidRPr="000C4C48" w:rsidRDefault="000C4C48" w:rsidP="000C4C48">
          <w:pPr>
            <w:jc w:val="center"/>
            <w:rPr>
              <w:b/>
              <w:sz w:val="28"/>
            </w:rPr>
          </w:pPr>
          <w:r w:rsidRPr="000C4C48">
            <w:rPr>
              <w:b/>
              <w:sz w:val="28"/>
            </w:rPr>
            <w:t>List</w:t>
          </w:r>
          <w:r w:rsidR="00114EDD" w:rsidRPr="000C4C48">
            <w:rPr>
              <w:b/>
              <w:sz w:val="28"/>
            </w:rPr>
            <w:t xml:space="preserve"> of Tables</w:t>
          </w:r>
        </w:p>
        <w:bookmarkStart w:id="1" w:name="_GoBack"/>
        <w:bookmarkEnd w:id="1"/>
        <w:p w14:paraId="187C6E1E" w14:textId="4AAE5863" w:rsidR="000C4C48" w:rsidRDefault="00114EDD">
          <w:pPr>
            <w:pStyle w:val="TableofFigures"/>
            <w:tabs>
              <w:tab w:val="right" w:leader="dot" w:pos="9016"/>
            </w:tabs>
            <w:rPr>
              <w:rFonts w:asciiTheme="minorHAnsi" w:eastAsiaTheme="minorEastAsia" w:hAnsiTheme="minorHAnsi"/>
              <w:noProof/>
              <w:sz w:val="22"/>
              <w:lang w:val="en-US"/>
            </w:rPr>
          </w:pPr>
          <w:r>
            <w:fldChar w:fldCharType="begin"/>
          </w:r>
          <w:r>
            <w:instrText xml:space="preserve"> TOC \h \z \c "Table" </w:instrText>
          </w:r>
          <w:r>
            <w:fldChar w:fldCharType="separate"/>
          </w:r>
          <w:hyperlink w:anchor="_Toc218972922" w:history="1">
            <w:r w:rsidR="000C4C48" w:rsidRPr="00D02708">
              <w:rPr>
                <w:rStyle w:val="Hyperlink"/>
                <w:rFonts w:cs="Times New Roman"/>
                <w:i/>
                <w:noProof/>
              </w:rPr>
              <w:t>Table 1: Profitability Ratios (FY2023–FY2024)</w:t>
            </w:r>
            <w:r w:rsidR="000C4C48" w:rsidRPr="00D02708">
              <w:rPr>
                <w:rStyle w:val="Hyperlink"/>
                <w:noProof/>
              </w:rPr>
              <w:t xml:space="preserve"> </w:t>
            </w:r>
            <w:r w:rsidR="000C4C48" w:rsidRPr="00D02708">
              <w:rPr>
                <w:rStyle w:val="Hyperlink"/>
                <w:rFonts w:cs="Times New Roman"/>
                <w:i/>
                <w:noProof/>
              </w:rPr>
              <w:t>(Author)</w:t>
            </w:r>
            <w:r w:rsidR="000C4C48">
              <w:rPr>
                <w:noProof/>
                <w:webHidden/>
              </w:rPr>
              <w:tab/>
            </w:r>
            <w:r w:rsidR="000C4C48">
              <w:rPr>
                <w:noProof/>
                <w:webHidden/>
              </w:rPr>
              <w:fldChar w:fldCharType="begin"/>
            </w:r>
            <w:r w:rsidR="000C4C48">
              <w:rPr>
                <w:noProof/>
                <w:webHidden/>
              </w:rPr>
              <w:instrText xml:space="preserve"> PAGEREF _Toc218972922 \h </w:instrText>
            </w:r>
            <w:r w:rsidR="000C4C48">
              <w:rPr>
                <w:noProof/>
                <w:webHidden/>
              </w:rPr>
            </w:r>
            <w:r w:rsidR="000C4C48">
              <w:rPr>
                <w:noProof/>
                <w:webHidden/>
              </w:rPr>
              <w:fldChar w:fldCharType="separate"/>
            </w:r>
            <w:r w:rsidR="000C4C48">
              <w:rPr>
                <w:noProof/>
                <w:webHidden/>
              </w:rPr>
              <w:t>2</w:t>
            </w:r>
            <w:r w:rsidR="000C4C48">
              <w:rPr>
                <w:noProof/>
                <w:webHidden/>
              </w:rPr>
              <w:fldChar w:fldCharType="end"/>
            </w:r>
          </w:hyperlink>
        </w:p>
        <w:p w14:paraId="7899460B" w14:textId="48368C9D" w:rsidR="000C4C48" w:rsidRDefault="000C4C48">
          <w:pPr>
            <w:pStyle w:val="TableofFigures"/>
            <w:tabs>
              <w:tab w:val="right" w:leader="dot" w:pos="9016"/>
            </w:tabs>
            <w:rPr>
              <w:rFonts w:asciiTheme="minorHAnsi" w:eastAsiaTheme="minorEastAsia" w:hAnsiTheme="minorHAnsi"/>
              <w:noProof/>
              <w:sz w:val="22"/>
              <w:lang w:val="en-US"/>
            </w:rPr>
          </w:pPr>
          <w:hyperlink w:anchor="_Toc218972923" w:history="1">
            <w:r w:rsidRPr="00D02708">
              <w:rPr>
                <w:rStyle w:val="Hyperlink"/>
                <w:rFonts w:cs="Times New Roman"/>
                <w:i/>
                <w:noProof/>
              </w:rPr>
              <w:t>Table 2: Liquidity Ratios (FY2023–FY2024)</w:t>
            </w:r>
            <w:r w:rsidRPr="00D02708">
              <w:rPr>
                <w:rStyle w:val="Hyperlink"/>
                <w:noProof/>
              </w:rPr>
              <w:t xml:space="preserve"> </w:t>
            </w:r>
            <w:r w:rsidRPr="00D02708">
              <w:rPr>
                <w:rStyle w:val="Hyperlink"/>
                <w:rFonts w:cs="Times New Roman"/>
                <w:i/>
                <w:noProof/>
              </w:rPr>
              <w:t>(Author)</w:t>
            </w:r>
            <w:r>
              <w:rPr>
                <w:noProof/>
                <w:webHidden/>
              </w:rPr>
              <w:tab/>
            </w:r>
            <w:r>
              <w:rPr>
                <w:noProof/>
                <w:webHidden/>
              </w:rPr>
              <w:fldChar w:fldCharType="begin"/>
            </w:r>
            <w:r>
              <w:rPr>
                <w:noProof/>
                <w:webHidden/>
              </w:rPr>
              <w:instrText xml:space="preserve"> PAGEREF _Toc218972923 \h </w:instrText>
            </w:r>
            <w:r>
              <w:rPr>
                <w:noProof/>
                <w:webHidden/>
              </w:rPr>
            </w:r>
            <w:r>
              <w:rPr>
                <w:noProof/>
                <w:webHidden/>
              </w:rPr>
              <w:fldChar w:fldCharType="separate"/>
            </w:r>
            <w:r>
              <w:rPr>
                <w:noProof/>
                <w:webHidden/>
              </w:rPr>
              <w:t>3</w:t>
            </w:r>
            <w:r>
              <w:rPr>
                <w:noProof/>
                <w:webHidden/>
              </w:rPr>
              <w:fldChar w:fldCharType="end"/>
            </w:r>
          </w:hyperlink>
        </w:p>
        <w:p w14:paraId="2B210956" w14:textId="1692D077" w:rsidR="000C4C48" w:rsidRDefault="000C4C48">
          <w:pPr>
            <w:pStyle w:val="TableofFigures"/>
            <w:tabs>
              <w:tab w:val="right" w:leader="dot" w:pos="9016"/>
            </w:tabs>
            <w:rPr>
              <w:rFonts w:asciiTheme="minorHAnsi" w:eastAsiaTheme="minorEastAsia" w:hAnsiTheme="minorHAnsi"/>
              <w:noProof/>
              <w:sz w:val="22"/>
              <w:lang w:val="en-US"/>
            </w:rPr>
          </w:pPr>
          <w:hyperlink w:anchor="_Toc218972924" w:history="1">
            <w:r w:rsidRPr="00D02708">
              <w:rPr>
                <w:rStyle w:val="Hyperlink"/>
                <w:rFonts w:cs="Times New Roman"/>
                <w:i/>
                <w:noProof/>
              </w:rPr>
              <w:t>Table 3: Efficiency Ratios (FY2023–FY2024)</w:t>
            </w:r>
            <w:r w:rsidRPr="00D02708">
              <w:rPr>
                <w:rStyle w:val="Hyperlink"/>
                <w:noProof/>
              </w:rPr>
              <w:t xml:space="preserve"> </w:t>
            </w:r>
            <w:r w:rsidRPr="00D02708">
              <w:rPr>
                <w:rStyle w:val="Hyperlink"/>
                <w:rFonts w:cs="Times New Roman"/>
                <w:i/>
                <w:noProof/>
              </w:rPr>
              <w:t>(Author)</w:t>
            </w:r>
            <w:r>
              <w:rPr>
                <w:noProof/>
                <w:webHidden/>
              </w:rPr>
              <w:tab/>
            </w:r>
            <w:r>
              <w:rPr>
                <w:noProof/>
                <w:webHidden/>
              </w:rPr>
              <w:fldChar w:fldCharType="begin"/>
            </w:r>
            <w:r>
              <w:rPr>
                <w:noProof/>
                <w:webHidden/>
              </w:rPr>
              <w:instrText xml:space="preserve"> PAGEREF _Toc218972924 \h </w:instrText>
            </w:r>
            <w:r>
              <w:rPr>
                <w:noProof/>
                <w:webHidden/>
              </w:rPr>
            </w:r>
            <w:r>
              <w:rPr>
                <w:noProof/>
                <w:webHidden/>
              </w:rPr>
              <w:fldChar w:fldCharType="separate"/>
            </w:r>
            <w:r>
              <w:rPr>
                <w:noProof/>
                <w:webHidden/>
              </w:rPr>
              <w:t>4</w:t>
            </w:r>
            <w:r>
              <w:rPr>
                <w:noProof/>
                <w:webHidden/>
              </w:rPr>
              <w:fldChar w:fldCharType="end"/>
            </w:r>
          </w:hyperlink>
        </w:p>
        <w:p w14:paraId="2D6FED1A" w14:textId="17CE2CD1" w:rsidR="000C4C48" w:rsidRDefault="000C4C48">
          <w:pPr>
            <w:pStyle w:val="TableofFigures"/>
            <w:tabs>
              <w:tab w:val="right" w:leader="dot" w:pos="9016"/>
            </w:tabs>
            <w:rPr>
              <w:rFonts w:asciiTheme="minorHAnsi" w:eastAsiaTheme="minorEastAsia" w:hAnsiTheme="minorHAnsi"/>
              <w:noProof/>
              <w:sz w:val="22"/>
              <w:lang w:val="en-US"/>
            </w:rPr>
          </w:pPr>
          <w:hyperlink w:anchor="_Toc218972925" w:history="1">
            <w:r w:rsidRPr="00D02708">
              <w:rPr>
                <w:rStyle w:val="Hyperlink"/>
                <w:rFonts w:cs="Times New Roman"/>
                <w:i/>
                <w:noProof/>
              </w:rPr>
              <w:t>Table 4: Gearing Ratios (FY2023–FY2024)</w:t>
            </w:r>
            <w:r w:rsidRPr="00D02708">
              <w:rPr>
                <w:rStyle w:val="Hyperlink"/>
                <w:noProof/>
              </w:rPr>
              <w:t xml:space="preserve"> </w:t>
            </w:r>
            <w:r w:rsidRPr="00D02708">
              <w:rPr>
                <w:rStyle w:val="Hyperlink"/>
                <w:rFonts w:cs="Times New Roman"/>
                <w:i/>
                <w:noProof/>
              </w:rPr>
              <w:t>(Author)</w:t>
            </w:r>
            <w:r>
              <w:rPr>
                <w:noProof/>
                <w:webHidden/>
              </w:rPr>
              <w:tab/>
            </w:r>
            <w:r>
              <w:rPr>
                <w:noProof/>
                <w:webHidden/>
              </w:rPr>
              <w:fldChar w:fldCharType="begin"/>
            </w:r>
            <w:r>
              <w:rPr>
                <w:noProof/>
                <w:webHidden/>
              </w:rPr>
              <w:instrText xml:space="preserve"> PAGEREF _Toc218972925 \h </w:instrText>
            </w:r>
            <w:r>
              <w:rPr>
                <w:noProof/>
                <w:webHidden/>
              </w:rPr>
            </w:r>
            <w:r>
              <w:rPr>
                <w:noProof/>
                <w:webHidden/>
              </w:rPr>
              <w:fldChar w:fldCharType="separate"/>
            </w:r>
            <w:r>
              <w:rPr>
                <w:noProof/>
                <w:webHidden/>
              </w:rPr>
              <w:t>5</w:t>
            </w:r>
            <w:r>
              <w:rPr>
                <w:noProof/>
                <w:webHidden/>
              </w:rPr>
              <w:fldChar w:fldCharType="end"/>
            </w:r>
          </w:hyperlink>
        </w:p>
        <w:p w14:paraId="39E7D583" w14:textId="309C4F77" w:rsidR="000C4C48" w:rsidRDefault="000C4C48">
          <w:pPr>
            <w:pStyle w:val="TableofFigures"/>
            <w:tabs>
              <w:tab w:val="right" w:leader="dot" w:pos="9016"/>
            </w:tabs>
            <w:rPr>
              <w:rFonts w:asciiTheme="minorHAnsi" w:eastAsiaTheme="minorEastAsia" w:hAnsiTheme="minorHAnsi"/>
              <w:noProof/>
              <w:sz w:val="22"/>
              <w:lang w:val="en-US"/>
            </w:rPr>
          </w:pPr>
          <w:hyperlink w:anchor="_Toc218972926" w:history="1">
            <w:r w:rsidRPr="00D02708">
              <w:rPr>
                <w:rStyle w:val="Hyperlink"/>
                <w:rFonts w:cs="Times New Roman"/>
                <w:i/>
                <w:noProof/>
              </w:rPr>
              <w:t>Table 5: Investor Ratios (FY2023–FY2024) (Author)</w:t>
            </w:r>
            <w:r>
              <w:rPr>
                <w:noProof/>
                <w:webHidden/>
              </w:rPr>
              <w:tab/>
            </w:r>
            <w:r>
              <w:rPr>
                <w:noProof/>
                <w:webHidden/>
              </w:rPr>
              <w:fldChar w:fldCharType="begin"/>
            </w:r>
            <w:r>
              <w:rPr>
                <w:noProof/>
                <w:webHidden/>
              </w:rPr>
              <w:instrText xml:space="preserve"> PAGEREF _Toc218972926 \h </w:instrText>
            </w:r>
            <w:r>
              <w:rPr>
                <w:noProof/>
                <w:webHidden/>
              </w:rPr>
            </w:r>
            <w:r>
              <w:rPr>
                <w:noProof/>
                <w:webHidden/>
              </w:rPr>
              <w:fldChar w:fldCharType="separate"/>
            </w:r>
            <w:r>
              <w:rPr>
                <w:noProof/>
                <w:webHidden/>
              </w:rPr>
              <w:t>7</w:t>
            </w:r>
            <w:r>
              <w:rPr>
                <w:noProof/>
                <w:webHidden/>
              </w:rPr>
              <w:fldChar w:fldCharType="end"/>
            </w:r>
          </w:hyperlink>
        </w:p>
        <w:p w14:paraId="0DF6DEFB" w14:textId="060CDA6C" w:rsidR="000C4C48" w:rsidRDefault="000C4C48">
          <w:pPr>
            <w:pStyle w:val="TableofFigures"/>
            <w:tabs>
              <w:tab w:val="right" w:leader="dot" w:pos="9016"/>
            </w:tabs>
            <w:rPr>
              <w:rFonts w:asciiTheme="minorHAnsi" w:eastAsiaTheme="minorEastAsia" w:hAnsiTheme="minorHAnsi"/>
              <w:noProof/>
              <w:sz w:val="22"/>
              <w:lang w:val="en-US"/>
            </w:rPr>
          </w:pPr>
          <w:hyperlink w:anchor="_Toc218972927" w:history="1">
            <w:r w:rsidRPr="00D02708">
              <w:rPr>
                <w:rStyle w:val="Hyperlink"/>
                <w:i/>
                <w:noProof/>
              </w:rPr>
              <w:t>Table 6: Capital Allowances and Tax Shields (Author)</w:t>
            </w:r>
            <w:r>
              <w:rPr>
                <w:noProof/>
                <w:webHidden/>
              </w:rPr>
              <w:tab/>
            </w:r>
            <w:r>
              <w:rPr>
                <w:noProof/>
                <w:webHidden/>
              </w:rPr>
              <w:fldChar w:fldCharType="begin"/>
            </w:r>
            <w:r>
              <w:rPr>
                <w:noProof/>
                <w:webHidden/>
              </w:rPr>
              <w:instrText xml:space="preserve"> PAGEREF _Toc218972927 \h </w:instrText>
            </w:r>
            <w:r>
              <w:rPr>
                <w:noProof/>
                <w:webHidden/>
              </w:rPr>
            </w:r>
            <w:r>
              <w:rPr>
                <w:noProof/>
                <w:webHidden/>
              </w:rPr>
              <w:fldChar w:fldCharType="separate"/>
            </w:r>
            <w:r>
              <w:rPr>
                <w:noProof/>
                <w:webHidden/>
              </w:rPr>
              <w:t>9</w:t>
            </w:r>
            <w:r>
              <w:rPr>
                <w:noProof/>
                <w:webHidden/>
              </w:rPr>
              <w:fldChar w:fldCharType="end"/>
            </w:r>
          </w:hyperlink>
        </w:p>
        <w:p w14:paraId="52D4F53C" w14:textId="75903BF1" w:rsidR="000C4C48" w:rsidRDefault="000C4C48">
          <w:pPr>
            <w:pStyle w:val="TableofFigures"/>
            <w:tabs>
              <w:tab w:val="right" w:leader="dot" w:pos="9016"/>
            </w:tabs>
            <w:rPr>
              <w:rFonts w:asciiTheme="minorHAnsi" w:eastAsiaTheme="minorEastAsia" w:hAnsiTheme="minorHAnsi"/>
              <w:noProof/>
              <w:sz w:val="22"/>
              <w:lang w:val="en-US"/>
            </w:rPr>
          </w:pPr>
          <w:hyperlink w:anchor="_Toc218972928" w:history="1">
            <w:r w:rsidRPr="00D02708">
              <w:rPr>
                <w:rStyle w:val="Hyperlink"/>
                <w:i/>
                <w:noProof/>
              </w:rPr>
              <w:t xml:space="preserve">Table 7: </w:t>
            </w:r>
            <w:r w:rsidRPr="00D02708">
              <w:rPr>
                <w:rStyle w:val="Hyperlink"/>
                <w:i/>
                <w:noProof/>
                <w:lang w:val="en-US"/>
              </w:rPr>
              <w:t>NPV of Options A, B, and C Calculations (Author)</w:t>
            </w:r>
            <w:r>
              <w:rPr>
                <w:noProof/>
                <w:webHidden/>
              </w:rPr>
              <w:tab/>
            </w:r>
            <w:r>
              <w:rPr>
                <w:noProof/>
                <w:webHidden/>
              </w:rPr>
              <w:fldChar w:fldCharType="begin"/>
            </w:r>
            <w:r>
              <w:rPr>
                <w:noProof/>
                <w:webHidden/>
              </w:rPr>
              <w:instrText xml:space="preserve"> PAGEREF _Toc218972928 \h </w:instrText>
            </w:r>
            <w:r>
              <w:rPr>
                <w:noProof/>
                <w:webHidden/>
              </w:rPr>
            </w:r>
            <w:r>
              <w:rPr>
                <w:noProof/>
                <w:webHidden/>
              </w:rPr>
              <w:fldChar w:fldCharType="separate"/>
            </w:r>
            <w:r>
              <w:rPr>
                <w:noProof/>
                <w:webHidden/>
              </w:rPr>
              <w:t>10</w:t>
            </w:r>
            <w:r>
              <w:rPr>
                <w:noProof/>
                <w:webHidden/>
              </w:rPr>
              <w:fldChar w:fldCharType="end"/>
            </w:r>
          </w:hyperlink>
        </w:p>
        <w:p w14:paraId="4ED0E586" w14:textId="262D2F78" w:rsidR="000C4C48" w:rsidRDefault="000C4C48">
          <w:pPr>
            <w:pStyle w:val="TableofFigures"/>
            <w:tabs>
              <w:tab w:val="right" w:leader="dot" w:pos="9016"/>
            </w:tabs>
            <w:rPr>
              <w:rFonts w:asciiTheme="minorHAnsi" w:eastAsiaTheme="minorEastAsia" w:hAnsiTheme="minorHAnsi"/>
              <w:noProof/>
              <w:sz w:val="22"/>
              <w:lang w:val="en-US"/>
            </w:rPr>
          </w:pPr>
          <w:hyperlink w:anchor="_Toc218972929" w:history="1">
            <w:r w:rsidRPr="00D02708">
              <w:rPr>
                <w:rStyle w:val="Hyperlink"/>
                <w:i/>
                <w:noProof/>
              </w:rPr>
              <w:t>Table 8: Summary of NPV Results (Author)</w:t>
            </w:r>
            <w:r>
              <w:rPr>
                <w:noProof/>
                <w:webHidden/>
              </w:rPr>
              <w:tab/>
            </w:r>
            <w:r>
              <w:rPr>
                <w:noProof/>
                <w:webHidden/>
              </w:rPr>
              <w:fldChar w:fldCharType="begin"/>
            </w:r>
            <w:r>
              <w:rPr>
                <w:noProof/>
                <w:webHidden/>
              </w:rPr>
              <w:instrText xml:space="preserve"> PAGEREF _Toc218972929 \h </w:instrText>
            </w:r>
            <w:r>
              <w:rPr>
                <w:noProof/>
                <w:webHidden/>
              </w:rPr>
            </w:r>
            <w:r>
              <w:rPr>
                <w:noProof/>
                <w:webHidden/>
              </w:rPr>
              <w:fldChar w:fldCharType="separate"/>
            </w:r>
            <w:r>
              <w:rPr>
                <w:noProof/>
                <w:webHidden/>
              </w:rPr>
              <w:t>12</w:t>
            </w:r>
            <w:r>
              <w:rPr>
                <w:noProof/>
                <w:webHidden/>
              </w:rPr>
              <w:fldChar w:fldCharType="end"/>
            </w:r>
          </w:hyperlink>
        </w:p>
        <w:p w14:paraId="3F0220A5" w14:textId="70586C94" w:rsidR="000C4C48" w:rsidRDefault="000C4C48">
          <w:pPr>
            <w:pStyle w:val="TableofFigures"/>
            <w:tabs>
              <w:tab w:val="right" w:leader="dot" w:pos="9016"/>
            </w:tabs>
            <w:rPr>
              <w:rFonts w:asciiTheme="minorHAnsi" w:eastAsiaTheme="minorEastAsia" w:hAnsiTheme="minorHAnsi"/>
              <w:noProof/>
              <w:sz w:val="22"/>
              <w:lang w:val="en-US"/>
            </w:rPr>
          </w:pPr>
          <w:hyperlink w:anchor="_Toc218972930" w:history="1">
            <w:r w:rsidRPr="00D02708">
              <w:rPr>
                <w:rStyle w:val="Hyperlink"/>
                <w:i/>
                <w:noProof/>
              </w:rPr>
              <w:t xml:space="preserve">Table 9: </w:t>
            </w:r>
            <w:r w:rsidRPr="00D02708">
              <w:rPr>
                <w:rStyle w:val="Hyperlink"/>
                <w:i/>
                <w:noProof/>
                <w:lang w:val="en-US"/>
              </w:rPr>
              <w:t>Internal Rate of Return (IRR) (Author)</w:t>
            </w:r>
            <w:r>
              <w:rPr>
                <w:noProof/>
                <w:webHidden/>
              </w:rPr>
              <w:tab/>
            </w:r>
            <w:r>
              <w:rPr>
                <w:noProof/>
                <w:webHidden/>
              </w:rPr>
              <w:fldChar w:fldCharType="begin"/>
            </w:r>
            <w:r>
              <w:rPr>
                <w:noProof/>
                <w:webHidden/>
              </w:rPr>
              <w:instrText xml:space="preserve"> PAGEREF _Toc218972930 \h </w:instrText>
            </w:r>
            <w:r>
              <w:rPr>
                <w:noProof/>
                <w:webHidden/>
              </w:rPr>
            </w:r>
            <w:r>
              <w:rPr>
                <w:noProof/>
                <w:webHidden/>
              </w:rPr>
              <w:fldChar w:fldCharType="separate"/>
            </w:r>
            <w:r>
              <w:rPr>
                <w:noProof/>
                <w:webHidden/>
              </w:rPr>
              <w:t>13</w:t>
            </w:r>
            <w:r>
              <w:rPr>
                <w:noProof/>
                <w:webHidden/>
              </w:rPr>
              <w:fldChar w:fldCharType="end"/>
            </w:r>
          </w:hyperlink>
        </w:p>
        <w:p w14:paraId="4FAB210C" w14:textId="24407CF0" w:rsidR="000C4C48" w:rsidRDefault="000C4C48">
          <w:pPr>
            <w:pStyle w:val="TableofFigures"/>
            <w:tabs>
              <w:tab w:val="right" w:leader="dot" w:pos="9016"/>
            </w:tabs>
            <w:rPr>
              <w:rFonts w:asciiTheme="minorHAnsi" w:eastAsiaTheme="minorEastAsia" w:hAnsiTheme="minorHAnsi"/>
              <w:noProof/>
              <w:sz w:val="22"/>
              <w:lang w:val="en-US"/>
            </w:rPr>
          </w:pPr>
          <w:hyperlink w:anchor="_Toc218972931" w:history="1">
            <w:r w:rsidRPr="00D02708">
              <w:rPr>
                <w:rStyle w:val="Hyperlink"/>
                <w:i/>
                <w:noProof/>
              </w:rPr>
              <w:t>Table 10: Profitability Index (Author)</w:t>
            </w:r>
            <w:r>
              <w:rPr>
                <w:noProof/>
                <w:webHidden/>
              </w:rPr>
              <w:tab/>
            </w:r>
            <w:r>
              <w:rPr>
                <w:noProof/>
                <w:webHidden/>
              </w:rPr>
              <w:fldChar w:fldCharType="begin"/>
            </w:r>
            <w:r>
              <w:rPr>
                <w:noProof/>
                <w:webHidden/>
              </w:rPr>
              <w:instrText xml:space="preserve"> PAGEREF _Toc218972931 \h </w:instrText>
            </w:r>
            <w:r>
              <w:rPr>
                <w:noProof/>
                <w:webHidden/>
              </w:rPr>
            </w:r>
            <w:r>
              <w:rPr>
                <w:noProof/>
                <w:webHidden/>
              </w:rPr>
              <w:fldChar w:fldCharType="separate"/>
            </w:r>
            <w:r>
              <w:rPr>
                <w:noProof/>
                <w:webHidden/>
              </w:rPr>
              <w:t>15</w:t>
            </w:r>
            <w:r>
              <w:rPr>
                <w:noProof/>
                <w:webHidden/>
              </w:rPr>
              <w:fldChar w:fldCharType="end"/>
            </w:r>
          </w:hyperlink>
        </w:p>
        <w:p w14:paraId="768193F9" w14:textId="400B9C6A" w:rsidR="00114EDD" w:rsidRPr="00114EDD" w:rsidRDefault="00114EDD" w:rsidP="00114EDD">
          <w:r>
            <w:fldChar w:fldCharType="end"/>
          </w:r>
        </w:p>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762A8266" w14:textId="00381AEC" w:rsidR="00A760D2" w:rsidRPr="00A67016" w:rsidRDefault="00A760D2" w:rsidP="00A67016">
          <w:pPr>
            <w:spacing w:line="259" w:lineRule="auto"/>
            <w:jc w:val="left"/>
            <w:rPr>
              <w:rFonts w:eastAsiaTheme="majorEastAsia" w:cstheme="majorBidi"/>
              <w:b/>
              <w:color w:val="323E4F" w:themeColor="text2" w:themeShade="BF"/>
              <w:sz w:val="32"/>
              <w:szCs w:val="32"/>
            </w:rPr>
            <w:sectPr w:rsidR="00A760D2" w:rsidRPr="00A67016" w:rsidSect="00114EDD">
              <w:footerReference w:type="first" r:id="rId12"/>
              <w:pgSz w:w="11906" w:h="16838"/>
              <w:pgMar w:top="1440" w:right="1440" w:bottom="1440" w:left="1440" w:header="708" w:footer="708" w:gutter="0"/>
              <w:pgNumType w:fmt="lowerRoman" w:start="1"/>
              <w:cols w:space="708"/>
              <w:titlePg/>
              <w:docGrid w:linePitch="360"/>
            </w:sectPr>
          </w:pPr>
        </w:p>
        <w:p w14:paraId="51F3FAB9" w14:textId="02F5205B" w:rsidR="00B3309D" w:rsidRPr="00B3309D" w:rsidRDefault="003210FA" w:rsidP="00A67016">
          <w:pPr>
            <w:pStyle w:val="Heading1"/>
            <w:tabs>
              <w:tab w:val="center" w:pos="4513"/>
              <w:tab w:val="left" w:pos="5565"/>
            </w:tabs>
            <w:jc w:val="left"/>
          </w:pPr>
          <w:r>
            <w:lastRenderedPageBreak/>
            <w:tab/>
          </w:r>
          <w:bookmarkStart w:id="2" w:name="_Toc218972896"/>
          <w:r w:rsidR="00B3309D" w:rsidRPr="00B3309D">
            <w:t>Introduction</w:t>
          </w:r>
          <w:bookmarkEnd w:id="2"/>
        </w:p>
        <w:p w14:paraId="4232A73C" w14:textId="7F04B308" w:rsidR="00AB48F9" w:rsidRDefault="00AB48F9" w:rsidP="00AB48F9">
          <w:pPr>
            <w:rPr>
              <w:lang w:val="en-US"/>
            </w:rPr>
          </w:pPr>
          <w:r w:rsidRPr="00AB48F9">
            <w:rPr>
              <w:lang w:val="en-US"/>
            </w:rPr>
            <w:t>The current report not only determines the financial performance of Reckitt Benckiser Group plc (Reckitt) but also analyzes strategic investment choices in Westward Plc, thus giving an insight and recommendations that are aimed at improving long-term profitability and value of the shareholders. Reckitt, which belongs to the FTSE 100 and is located on the London Stock Exchange, will go through significant restructuring in 2024 and will focus on refocusing products, simplifying its organization, and cutting its costs so that it can execute operations better and achieve better medium-term profitability (Reckitt Benckiser Group plc, 2025). Alongside this change agenda, the report will analyze the financial performance of Reckitt (fiscal years 2023-2024) based on finance, profitability, liquidity, efficiency, gearing, and investor ratios, and provide practical advice to</w:t>
          </w:r>
          <w:r>
            <w:rPr>
              <w:lang w:val="en-US"/>
            </w:rPr>
            <w:t xml:space="preserve"> the directors in the company</w:t>
          </w:r>
          <w:r w:rsidR="003210FA">
            <w:rPr>
              <w:lang w:val="en-US"/>
            </w:rPr>
            <w:t xml:space="preserve"> </w:t>
          </w:r>
          <w:r w:rsidR="003210FA" w:rsidRPr="003210FA">
            <w:rPr>
              <w:lang w:val="en-US"/>
            </w:rPr>
            <w:t>(London Stock Exchange, 2025)</w:t>
          </w:r>
          <w:r>
            <w:rPr>
              <w:lang w:val="en-US"/>
            </w:rPr>
            <w:t>.</w:t>
          </w:r>
        </w:p>
        <w:p w14:paraId="655CBAEB" w14:textId="2C4692F9" w:rsidR="00AB48F9" w:rsidRPr="00AB48F9" w:rsidRDefault="00AB48F9" w:rsidP="00AB48F9">
          <w:pPr>
            <w:rPr>
              <w:lang w:val="en-US"/>
            </w:rPr>
          </w:pPr>
          <w:r w:rsidRPr="00AB48F9">
            <w:rPr>
              <w:lang w:val="en-US"/>
            </w:rPr>
            <w:t>On the other hand, Westward Plc, a major UK manufacturer of quality curtain products, is considering three strategic expansion options due to the increasing competition in the industry and varying market trends. These alternatives are increasing its retail facility, developing an internet marketing store, and producing wooden and Roman blinds. These strategic options are reviewed in the report using capital investment appraisal methods of net present value (NPV) and internal rate of return (IRR), and the report will address managerial implications, financing, and capital rationing, aiming to optimize shareholder value (London Stock Exchange, 2025).</w:t>
          </w:r>
        </w:p>
        <w:p w14:paraId="17E6730F" w14:textId="33C69C08" w:rsidR="00B3309D" w:rsidRPr="00B3309D" w:rsidRDefault="00B3309D" w:rsidP="00B3309D">
          <w:pPr>
            <w:rPr>
              <w:rFonts w:cs="Times New Roman"/>
              <w:szCs w:val="24"/>
            </w:rPr>
          </w:pPr>
        </w:p>
        <w:p w14:paraId="7ED8D6D8" w14:textId="272DCBB2" w:rsidR="00B3309D" w:rsidRDefault="00B3309D" w:rsidP="00B3309D">
          <w:pPr>
            <w:rPr>
              <w:rFonts w:cs="Times New Roman"/>
              <w:szCs w:val="24"/>
            </w:rPr>
          </w:pPr>
        </w:p>
        <w:p w14:paraId="39EC06CC" w14:textId="0305A38E" w:rsidR="00605300" w:rsidRDefault="00605300">
          <w:pPr>
            <w:spacing w:line="259" w:lineRule="auto"/>
            <w:jc w:val="left"/>
            <w:rPr>
              <w:rFonts w:cs="Times New Roman"/>
              <w:szCs w:val="24"/>
            </w:rPr>
          </w:pPr>
          <w:r>
            <w:rPr>
              <w:rFonts w:cs="Times New Roman"/>
              <w:szCs w:val="24"/>
            </w:rPr>
            <w:br w:type="page"/>
          </w:r>
        </w:p>
        <w:p w14:paraId="0A602960" w14:textId="510F05E7" w:rsidR="00605300" w:rsidRDefault="00605300" w:rsidP="00605300">
          <w:pPr>
            <w:pStyle w:val="Heading1"/>
          </w:pPr>
          <w:bookmarkStart w:id="3" w:name="_Toc218972897"/>
          <w:r>
            <w:lastRenderedPageBreak/>
            <w:t>TASK 1</w:t>
          </w:r>
          <w:bookmarkEnd w:id="3"/>
        </w:p>
        <w:p w14:paraId="5FB718D9" w14:textId="13D0004E" w:rsidR="00B3309D" w:rsidRDefault="00605300" w:rsidP="00B3309D">
          <w:pPr>
            <w:pStyle w:val="Heading2"/>
          </w:pPr>
          <w:bookmarkStart w:id="4" w:name="_Toc218972898"/>
          <w:r>
            <w:t>1</w:t>
          </w:r>
          <w:r w:rsidR="00B3309D" w:rsidRPr="00B3309D">
            <w:t>.</w:t>
          </w:r>
          <w:r w:rsidR="00B3309D">
            <w:t>0</w:t>
          </w:r>
          <w:r w:rsidR="00B3309D" w:rsidRPr="00B3309D">
            <w:t xml:space="preserve"> Profitability Analysis</w:t>
          </w:r>
          <w:bookmarkEnd w:id="4"/>
          <w:r w:rsidR="00B3309D" w:rsidRPr="00B3309D">
            <w:t xml:space="preserve"> </w:t>
          </w:r>
        </w:p>
        <w:p w14:paraId="41FCEDB2" w14:textId="56907844" w:rsidR="00B3309D" w:rsidRPr="00B3309D" w:rsidRDefault="00B3309D" w:rsidP="00B3309D">
          <w:pPr>
            <w:pStyle w:val="Caption"/>
            <w:keepNext/>
            <w:jc w:val="center"/>
            <w:rPr>
              <w:rFonts w:cs="Times New Roman"/>
              <w:i/>
              <w:color w:val="auto"/>
            </w:rPr>
          </w:pPr>
          <w:bookmarkStart w:id="5" w:name="_Toc218972922"/>
          <w:r w:rsidRPr="00B3309D">
            <w:rPr>
              <w:rFonts w:cs="Times New Roman"/>
              <w:i/>
              <w:color w:val="auto"/>
            </w:rPr>
            <w:t xml:space="preserve">Table </w:t>
          </w:r>
          <w:r w:rsidRPr="00B3309D">
            <w:rPr>
              <w:rFonts w:cs="Times New Roman"/>
              <w:i/>
              <w:color w:val="auto"/>
            </w:rPr>
            <w:fldChar w:fldCharType="begin"/>
          </w:r>
          <w:r w:rsidRPr="00B3309D">
            <w:rPr>
              <w:rFonts w:cs="Times New Roman"/>
              <w:i/>
              <w:color w:val="auto"/>
            </w:rPr>
            <w:instrText xml:space="preserve"> SEQ Table \* ARABIC </w:instrText>
          </w:r>
          <w:r w:rsidRPr="00B3309D">
            <w:rPr>
              <w:rFonts w:cs="Times New Roman"/>
              <w:i/>
              <w:color w:val="auto"/>
            </w:rPr>
            <w:fldChar w:fldCharType="separate"/>
          </w:r>
          <w:r w:rsidR="00A760D2">
            <w:rPr>
              <w:rFonts w:cs="Times New Roman"/>
              <w:i/>
              <w:noProof/>
              <w:color w:val="auto"/>
            </w:rPr>
            <w:t>1</w:t>
          </w:r>
          <w:r w:rsidRPr="00B3309D">
            <w:rPr>
              <w:rFonts w:cs="Times New Roman"/>
              <w:i/>
              <w:color w:val="auto"/>
            </w:rPr>
            <w:fldChar w:fldCharType="end"/>
          </w:r>
          <w:r w:rsidRPr="00B3309D">
            <w:rPr>
              <w:rFonts w:cs="Times New Roman"/>
              <w:i/>
              <w:color w:val="auto"/>
            </w:rPr>
            <w:t>: Profitability Ratios (FY2023–FY2024)</w:t>
          </w:r>
          <w:r w:rsidRPr="00B3309D">
            <w:t xml:space="preserve"> </w:t>
          </w:r>
          <w:r w:rsidRPr="00B3309D">
            <w:rPr>
              <w:rFonts w:cs="Times New Roman"/>
              <w:i/>
              <w:color w:val="auto"/>
            </w:rPr>
            <w:t>(Author)</w:t>
          </w:r>
          <w:bookmarkEnd w:id="5"/>
        </w:p>
        <w:tbl>
          <w:tblPr>
            <w:tblStyle w:val="TableGrid"/>
            <w:tblW w:w="0" w:type="auto"/>
            <w:tblLook w:val="04A0" w:firstRow="1" w:lastRow="0" w:firstColumn="1" w:lastColumn="0" w:noHBand="0" w:noVBand="1"/>
          </w:tblPr>
          <w:tblGrid>
            <w:gridCol w:w="3303"/>
            <w:gridCol w:w="3498"/>
            <w:gridCol w:w="1168"/>
            <w:gridCol w:w="1047"/>
          </w:tblGrid>
          <w:tr w:rsidR="00B3309D" w:rsidRPr="00B3309D" w14:paraId="45829A20" w14:textId="77777777" w:rsidTr="00B3309D">
            <w:trPr>
              <w:trHeight w:val="300"/>
            </w:trPr>
            <w:tc>
              <w:tcPr>
                <w:tcW w:w="3407" w:type="dxa"/>
                <w:hideMark/>
              </w:tcPr>
              <w:p w14:paraId="1B08AACF" w14:textId="77777777" w:rsidR="00B3309D" w:rsidRPr="00B3309D" w:rsidRDefault="00B3309D" w:rsidP="00B3309D">
                <w:pPr>
                  <w:jc w:val="left"/>
                  <w:rPr>
                    <w:b/>
                    <w:bCs/>
                  </w:rPr>
                </w:pPr>
                <w:r w:rsidRPr="00B3309D">
                  <w:rPr>
                    <w:b/>
                    <w:bCs/>
                  </w:rPr>
                  <w:t>Ratio</w:t>
                </w:r>
              </w:p>
            </w:tc>
            <w:tc>
              <w:tcPr>
                <w:tcW w:w="3610" w:type="dxa"/>
                <w:hideMark/>
              </w:tcPr>
              <w:p w14:paraId="368D8CCF" w14:textId="77777777" w:rsidR="00B3309D" w:rsidRPr="00B3309D" w:rsidRDefault="00B3309D" w:rsidP="00B3309D">
                <w:pPr>
                  <w:jc w:val="left"/>
                  <w:rPr>
                    <w:b/>
                    <w:bCs/>
                  </w:rPr>
                </w:pPr>
                <w:r w:rsidRPr="00B3309D">
                  <w:rPr>
                    <w:b/>
                    <w:bCs/>
                  </w:rPr>
                  <w:t>Formula</w:t>
                </w:r>
              </w:p>
            </w:tc>
            <w:tc>
              <w:tcPr>
                <w:tcW w:w="1176" w:type="dxa"/>
                <w:hideMark/>
              </w:tcPr>
              <w:p w14:paraId="6F5FB138" w14:textId="77777777" w:rsidR="00B3309D" w:rsidRPr="00B3309D" w:rsidRDefault="00B3309D" w:rsidP="00B3309D">
                <w:pPr>
                  <w:jc w:val="left"/>
                  <w:rPr>
                    <w:b/>
                    <w:bCs/>
                  </w:rPr>
                </w:pPr>
                <w:r w:rsidRPr="00B3309D">
                  <w:rPr>
                    <w:b/>
                    <w:bCs/>
                  </w:rPr>
                  <w:t>FY2023</w:t>
                </w:r>
              </w:p>
            </w:tc>
            <w:tc>
              <w:tcPr>
                <w:tcW w:w="1049" w:type="dxa"/>
                <w:hideMark/>
              </w:tcPr>
              <w:p w14:paraId="451EB13F" w14:textId="77777777" w:rsidR="00B3309D" w:rsidRPr="00B3309D" w:rsidRDefault="00B3309D" w:rsidP="00B3309D">
                <w:pPr>
                  <w:jc w:val="left"/>
                  <w:rPr>
                    <w:b/>
                    <w:bCs/>
                  </w:rPr>
                </w:pPr>
                <w:r w:rsidRPr="00B3309D">
                  <w:rPr>
                    <w:b/>
                    <w:bCs/>
                  </w:rPr>
                  <w:t>FY2024</w:t>
                </w:r>
              </w:p>
            </w:tc>
          </w:tr>
          <w:tr w:rsidR="00B3309D" w:rsidRPr="00B3309D" w14:paraId="05E36136" w14:textId="77777777" w:rsidTr="00B3309D">
            <w:trPr>
              <w:trHeight w:val="300"/>
            </w:trPr>
            <w:tc>
              <w:tcPr>
                <w:tcW w:w="3407" w:type="dxa"/>
                <w:hideMark/>
              </w:tcPr>
              <w:p w14:paraId="3E5F881B" w14:textId="77777777" w:rsidR="00B3309D" w:rsidRPr="00B3309D" w:rsidRDefault="00B3309D">
                <w:r w:rsidRPr="00B3309D">
                  <w:t>Gross Profit Margin (%)</w:t>
                </w:r>
              </w:p>
            </w:tc>
            <w:tc>
              <w:tcPr>
                <w:tcW w:w="3610" w:type="dxa"/>
                <w:hideMark/>
              </w:tcPr>
              <w:p w14:paraId="71F53C69" w14:textId="77777777" w:rsidR="00B3309D" w:rsidRPr="00B3309D" w:rsidRDefault="00B3309D">
                <w:r w:rsidRPr="00B3309D">
                  <w:t>(Gross Profit ÷ Revenue) × 100</w:t>
                </w:r>
              </w:p>
            </w:tc>
            <w:tc>
              <w:tcPr>
                <w:tcW w:w="1176" w:type="dxa"/>
                <w:hideMark/>
              </w:tcPr>
              <w:p w14:paraId="681B88B8" w14:textId="77777777" w:rsidR="00B3309D" w:rsidRPr="00B3309D" w:rsidRDefault="00B3309D" w:rsidP="00B3309D">
                <w:pPr>
                  <w:jc w:val="left"/>
                </w:pPr>
                <w:r w:rsidRPr="00B3309D">
                  <w:t>59.97%</w:t>
                </w:r>
              </w:p>
            </w:tc>
            <w:tc>
              <w:tcPr>
                <w:tcW w:w="1049" w:type="dxa"/>
                <w:hideMark/>
              </w:tcPr>
              <w:p w14:paraId="0358EF5C" w14:textId="77777777" w:rsidR="00B3309D" w:rsidRPr="00B3309D" w:rsidRDefault="00B3309D" w:rsidP="00B3309D">
                <w:pPr>
                  <w:jc w:val="left"/>
                </w:pPr>
                <w:r w:rsidRPr="00B3309D">
                  <w:t>60.66%</w:t>
                </w:r>
              </w:p>
            </w:tc>
          </w:tr>
          <w:tr w:rsidR="00B3309D" w:rsidRPr="00B3309D" w14:paraId="48143452" w14:textId="77777777" w:rsidTr="00B3309D">
            <w:trPr>
              <w:trHeight w:val="300"/>
            </w:trPr>
            <w:tc>
              <w:tcPr>
                <w:tcW w:w="3407" w:type="dxa"/>
                <w:hideMark/>
              </w:tcPr>
              <w:p w14:paraId="7F14FE59" w14:textId="77777777" w:rsidR="00B3309D" w:rsidRPr="00B3309D" w:rsidRDefault="00B3309D">
                <w:r w:rsidRPr="00B3309D">
                  <w:t>Operating Profit Margin (%)</w:t>
                </w:r>
              </w:p>
            </w:tc>
            <w:tc>
              <w:tcPr>
                <w:tcW w:w="3610" w:type="dxa"/>
                <w:hideMark/>
              </w:tcPr>
              <w:p w14:paraId="636EA333" w14:textId="77777777" w:rsidR="00B3309D" w:rsidRPr="00B3309D" w:rsidRDefault="00B3309D">
                <w:r w:rsidRPr="00B3309D">
                  <w:t>(Operating Profit ÷ Revenue) × 100</w:t>
                </w:r>
              </w:p>
            </w:tc>
            <w:tc>
              <w:tcPr>
                <w:tcW w:w="1176" w:type="dxa"/>
                <w:hideMark/>
              </w:tcPr>
              <w:p w14:paraId="2677D9EF" w14:textId="77777777" w:rsidR="00B3309D" w:rsidRPr="00B3309D" w:rsidRDefault="00B3309D" w:rsidP="00B3309D">
                <w:pPr>
                  <w:jc w:val="left"/>
                </w:pPr>
                <w:r w:rsidRPr="00B3309D">
                  <w:t>17.33%</w:t>
                </w:r>
              </w:p>
            </w:tc>
            <w:tc>
              <w:tcPr>
                <w:tcW w:w="1049" w:type="dxa"/>
                <w:hideMark/>
              </w:tcPr>
              <w:p w14:paraId="5EF069B5" w14:textId="77777777" w:rsidR="00B3309D" w:rsidRPr="00B3309D" w:rsidRDefault="00B3309D" w:rsidP="00B3309D">
                <w:pPr>
                  <w:jc w:val="left"/>
                </w:pPr>
                <w:r w:rsidRPr="00B3309D">
                  <w:t>17.11%</w:t>
                </w:r>
              </w:p>
            </w:tc>
          </w:tr>
          <w:tr w:rsidR="00B3309D" w:rsidRPr="00B3309D" w14:paraId="45A17255" w14:textId="77777777" w:rsidTr="00B3309D">
            <w:trPr>
              <w:trHeight w:val="300"/>
            </w:trPr>
            <w:tc>
              <w:tcPr>
                <w:tcW w:w="3407" w:type="dxa"/>
                <w:hideMark/>
              </w:tcPr>
              <w:p w14:paraId="4A281963" w14:textId="77777777" w:rsidR="00B3309D" w:rsidRPr="00B3309D" w:rsidRDefault="00B3309D">
                <w:r w:rsidRPr="00B3309D">
                  <w:t>Net Profit Margin (%)</w:t>
                </w:r>
              </w:p>
            </w:tc>
            <w:tc>
              <w:tcPr>
                <w:tcW w:w="3610" w:type="dxa"/>
                <w:hideMark/>
              </w:tcPr>
              <w:p w14:paraId="7F62BE82" w14:textId="77777777" w:rsidR="00B3309D" w:rsidRPr="00B3309D" w:rsidRDefault="00B3309D">
                <w:r w:rsidRPr="00B3309D">
                  <w:t>(Profit After Tax ÷ Revenue) × 100</w:t>
                </w:r>
              </w:p>
            </w:tc>
            <w:tc>
              <w:tcPr>
                <w:tcW w:w="1176" w:type="dxa"/>
                <w:hideMark/>
              </w:tcPr>
              <w:p w14:paraId="0A336F60" w14:textId="77777777" w:rsidR="00B3309D" w:rsidRPr="00B3309D" w:rsidRDefault="00B3309D" w:rsidP="00B3309D">
                <w:pPr>
                  <w:jc w:val="left"/>
                </w:pPr>
                <w:r w:rsidRPr="00B3309D">
                  <w:t>11.34%</w:t>
                </w:r>
              </w:p>
            </w:tc>
            <w:tc>
              <w:tcPr>
                <w:tcW w:w="1049" w:type="dxa"/>
                <w:hideMark/>
              </w:tcPr>
              <w:p w14:paraId="724469F3" w14:textId="77777777" w:rsidR="00B3309D" w:rsidRPr="00B3309D" w:rsidRDefault="00B3309D" w:rsidP="00B3309D">
                <w:pPr>
                  <w:jc w:val="left"/>
                </w:pPr>
                <w:r w:rsidRPr="00B3309D">
                  <w:t>10.08%</w:t>
                </w:r>
              </w:p>
            </w:tc>
          </w:tr>
          <w:tr w:rsidR="00B3309D" w:rsidRPr="00B3309D" w14:paraId="43C42202" w14:textId="77777777" w:rsidTr="00B3309D">
            <w:trPr>
              <w:trHeight w:val="315"/>
            </w:trPr>
            <w:tc>
              <w:tcPr>
                <w:tcW w:w="3407" w:type="dxa"/>
                <w:hideMark/>
              </w:tcPr>
              <w:p w14:paraId="5DAC05D0" w14:textId="77777777" w:rsidR="00B3309D" w:rsidRPr="00B3309D" w:rsidRDefault="00B3309D">
                <w:r w:rsidRPr="00B3309D">
                  <w:t>Return on Capital Employed (ROCE) (%)</w:t>
                </w:r>
              </w:p>
            </w:tc>
            <w:tc>
              <w:tcPr>
                <w:tcW w:w="3610" w:type="dxa"/>
                <w:hideMark/>
              </w:tcPr>
              <w:p w14:paraId="2B67DBB9" w14:textId="77777777" w:rsidR="00B3309D" w:rsidRPr="00B3309D" w:rsidRDefault="00B3309D">
                <w:r w:rsidRPr="00B3309D">
                  <w:t>Operating Profit ÷ Capital Employed × 100</w:t>
                </w:r>
              </w:p>
            </w:tc>
            <w:tc>
              <w:tcPr>
                <w:tcW w:w="1176" w:type="dxa"/>
                <w:hideMark/>
              </w:tcPr>
              <w:p w14:paraId="4A6515E8" w14:textId="77777777" w:rsidR="00B3309D" w:rsidRPr="00B3309D" w:rsidRDefault="00B3309D" w:rsidP="00B3309D">
                <w:pPr>
                  <w:jc w:val="left"/>
                </w:pPr>
                <w:r w:rsidRPr="00B3309D">
                  <w:t>29.89%</w:t>
                </w:r>
              </w:p>
            </w:tc>
            <w:tc>
              <w:tcPr>
                <w:tcW w:w="1049" w:type="dxa"/>
                <w:hideMark/>
              </w:tcPr>
              <w:p w14:paraId="23064CFC" w14:textId="77777777" w:rsidR="00B3309D" w:rsidRPr="00B3309D" w:rsidRDefault="00B3309D" w:rsidP="00B3309D">
                <w:pPr>
                  <w:jc w:val="left"/>
                </w:pPr>
                <w:r w:rsidRPr="00B3309D">
                  <w:t>36.09%</w:t>
                </w:r>
              </w:p>
            </w:tc>
          </w:tr>
        </w:tbl>
        <w:p w14:paraId="361D3255" w14:textId="77777777" w:rsidR="00017AF0" w:rsidRDefault="00017AF0" w:rsidP="00017AF0">
          <w:pPr>
            <w:rPr>
              <w:lang w:val="en-US"/>
            </w:rPr>
          </w:pPr>
          <w:r w:rsidRPr="00017AF0">
            <w:rPr>
              <w:lang w:val="en-US"/>
            </w:rPr>
            <w:t>The FY2023 and FY2024 profitability ratios at Reckitt Benckiser Group plc portray a complex array of positive and negative trends and should be considered in more detail in comp</w:t>
          </w:r>
          <w:r>
            <w:rPr>
              <w:lang w:val="en-US"/>
            </w:rPr>
            <w:t>arison to the industry values.</w:t>
          </w:r>
        </w:p>
        <w:p w14:paraId="45FFE0BE" w14:textId="77777777" w:rsidR="00017AF0" w:rsidRDefault="00017AF0" w:rsidP="00017AF0">
          <w:pPr>
            <w:rPr>
              <w:lang w:val="en-US"/>
            </w:rPr>
          </w:pPr>
          <w:r w:rsidRPr="00017AF0">
            <w:rPr>
              <w:lang w:val="en-US"/>
            </w:rPr>
            <w:t xml:space="preserve">Gross Profit Margin also grew slightly, though, from 59.97 in FY2023 to 60.66 in FY2024. This upgrade shows that the company was able to maintain its pricing strength and product mix, although it focuses on high-margin </w:t>
          </w:r>
          <w:proofErr w:type="spellStart"/>
          <w:r w:rsidRPr="00017AF0">
            <w:rPr>
              <w:lang w:val="en-US"/>
            </w:rPr>
            <w:t>Powerbrands</w:t>
          </w:r>
          <w:proofErr w:type="spellEnd"/>
          <w:r w:rsidRPr="00017AF0">
            <w:rPr>
              <w:lang w:val="en-US"/>
            </w:rPr>
            <w:t>. Besides, actions like simplification of portfolios and concentration in core brands are seen to have produced positive results. However, in comparison with the industry average of consumer goods companies, which is between 40% and 50% on average, the margin of Reckitt is still strong, which shows that it has a competitive advantage in product prices and costs (Recki</w:t>
          </w:r>
          <w:r>
            <w:rPr>
              <w:lang w:val="en-US"/>
            </w:rPr>
            <w:t>tt Benckiser Group plc, 2025).</w:t>
          </w:r>
        </w:p>
        <w:p w14:paraId="4EC1A76E" w14:textId="59316B43" w:rsidR="00017AF0" w:rsidRDefault="00017AF0" w:rsidP="00017AF0">
          <w:pPr>
            <w:rPr>
              <w:lang w:val="en-US"/>
            </w:rPr>
          </w:pPr>
          <w:r w:rsidRPr="00017AF0">
            <w:rPr>
              <w:lang w:val="en-US"/>
            </w:rPr>
            <w:t>The Operating Profit Margin slightly dropped to 17.11 though it used to be 17.33%. Although the gross profit margin showed a small increase, the decreasing trend in the operating margin indicates that operating costs such as restructuring, branding support, and administrative costs went up at a rate higher than the gross profits. This is striking when compared against the average operating margin of about 20 to 25 percent in the consumer goods market and serves as a sign of a possible inefficiency in operating cost control as compared to sales g</w:t>
          </w:r>
          <w:r>
            <w:rPr>
              <w:lang w:val="en-US"/>
            </w:rPr>
            <w:t>rowth (</w:t>
          </w:r>
          <w:proofErr w:type="spellStart"/>
          <w:r>
            <w:rPr>
              <w:lang w:val="en-US"/>
            </w:rPr>
            <w:t>Atrill</w:t>
          </w:r>
          <w:proofErr w:type="spellEnd"/>
          <w:r>
            <w:rPr>
              <w:lang w:val="en-US"/>
            </w:rPr>
            <w:t xml:space="preserve"> &amp; </w:t>
          </w:r>
          <w:proofErr w:type="spellStart"/>
          <w:r>
            <w:rPr>
              <w:lang w:val="en-US"/>
            </w:rPr>
            <w:t>McLaney</w:t>
          </w:r>
          <w:proofErr w:type="spellEnd"/>
          <w:r>
            <w:rPr>
              <w:lang w:val="en-US"/>
            </w:rPr>
            <w:t>, 2025).</w:t>
          </w:r>
        </w:p>
        <w:p w14:paraId="6616DD85" w14:textId="0F5D6BE9" w:rsidR="00017AF0" w:rsidRDefault="00017AF0" w:rsidP="00017AF0">
          <w:pPr>
            <w:rPr>
              <w:lang w:val="en-US"/>
            </w:rPr>
          </w:pPr>
          <w:r w:rsidRPr="00017AF0">
            <w:rPr>
              <w:lang w:val="en-US"/>
            </w:rPr>
            <w:t xml:space="preserve">The Net Profit Margin has undergone a greater decrease in the years 11.34% in the FY2023 and 10.08% in the FY2024. This meltdown can be greatly explained by increased financial expenses and declining after-tax profits, which have a huge impact on highly leveraged </w:t>
          </w:r>
          <w:r w:rsidRPr="00017AF0">
            <w:rPr>
              <w:lang w:val="en-US"/>
            </w:rPr>
            <w:lastRenderedPageBreak/>
            <w:t>organizations. By contrast, the average net profit margin in the industry is approximately 8%-10%, signifying that the activity of Reckitt is not at its very best but in fact under strain in terms of shareholder returns, specifically in respect of its financial assimilatory i</w:t>
          </w:r>
          <w:r>
            <w:rPr>
              <w:lang w:val="en-US"/>
            </w:rPr>
            <w:t>ndulgence (Berk et al., 2019).</w:t>
          </w:r>
        </w:p>
        <w:p w14:paraId="7CBC04BB" w14:textId="77777777" w:rsidR="00017AF0" w:rsidRDefault="00017AF0" w:rsidP="00017AF0">
          <w:pPr>
            <w:rPr>
              <w:lang w:val="en-US"/>
            </w:rPr>
          </w:pPr>
          <w:r w:rsidRPr="00017AF0">
            <w:rPr>
              <w:lang w:val="en-US"/>
            </w:rPr>
            <w:t>On the contrary, the Return on Capital Employed (ROCE) increased significantly, reaching 29.89 percent to 36.09 percent. Such augmentation is an indicator of more efficient utilization of capital, which may be supported in capital structure through share buybacks or capital impairment recognition. The ROCE benchmark in the consumer goods sector typically revolves around 20 percent to 25 percent, and thus, the performance in this area by Reckitt is quite good. However, a rising ROCE would also be indicative of the shrinking capital base that would be a cause for concern unless it is supplemented by actual operational improvement (Gitman and</w:t>
          </w:r>
          <w:r>
            <w:rPr>
              <w:lang w:val="en-US"/>
            </w:rPr>
            <w:t xml:space="preserve"> Zutter, 2018).</w:t>
          </w:r>
        </w:p>
        <w:p w14:paraId="2A80B70F" w14:textId="77777777" w:rsidR="00B3309D" w:rsidRPr="00B3309D" w:rsidRDefault="00B3309D" w:rsidP="00B3309D">
          <w:pPr>
            <w:rPr>
              <w:rFonts w:eastAsia="Times New Roman" w:cs="Times New Roman"/>
              <w:szCs w:val="24"/>
            </w:rPr>
          </w:pPr>
          <w:r w:rsidRPr="00B3309D">
            <w:rPr>
              <w:rFonts w:eastAsia="Times New Roman" w:cs="Times New Roman"/>
              <w:b/>
              <w:i/>
              <w:szCs w:val="24"/>
            </w:rPr>
            <w:t>Recommendations:</w:t>
          </w:r>
          <w:r w:rsidRPr="00B3309D">
            <w:rPr>
              <w:rFonts w:eastAsia="Times New Roman" w:cs="Times New Roman"/>
              <w:szCs w:val="24"/>
            </w:rPr>
            <w:t xml:space="preserve"> the management should make control of operating costs stricter in order to convert gains on gross margin into sustainable operating profit, re-evaluate the financing structure with an aim of reducing the interest expense exposure, and ensure that operating profit growth is not based on balance-sheet shrinkage in the name of performance improvement.</w:t>
          </w:r>
        </w:p>
        <w:p w14:paraId="26FB78A4" w14:textId="139FEDFC" w:rsidR="00B3309D" w:rsidRDefault="00AB48F9" w:rsidP="00B3309D">
          <w:pPr>
            <w:pStyle w:val="Heading2"/>
          </w:pPr>
          <w:bookmarkStart w:id="6" w:name="_Toc218972899"/>
          <w:r>
            <w:t>2</w:t>
          </w:r>
          <w:r w:rsidR="00B3309D" w:rsidRPr="00B3309D">
            <w:t>.</w:t>
          </w:r>
          <w:r w:rsidR="00B3309D">
            <w:t>0</w:t>
          </w:r>
          <w:r w:rsidR="00B3309D" w:rsidRPr="00B3309D">
            <w:t xml:space="preserve"> Liquidity Analysis</w:t>
          </w:r>
          <w:bookmarkEnd w:id="6"/>
        </w:p>
        <w:p w14:paraId="5FE9C5D5" w14:textId="2F2A5C54" w:rsidR="00B3309D" w:rsidRPr="00B3309D" w:rsidRDefault="00B3309D" w:rsidP="00B3309D">
          <w:pPr>
            <w:pStyle w:val="Caption"/>
            <w:keepNext/>
            <w:jc w:val="center"/>
            <w:rPr>
              <w:rFonts w:cs="Times New Roman"/>
              <w:i/>
              <w:color w:val="auto"/>
            </w:rPr>
          </w:pPr>
          <w:bookmarkStart w:id="7" w:name="_Toc218972923"/>
          <w:r w:rsidRPr="00B3309D">
            <w:rPr>
              <w:rFonts w:cs="Times New Roman"/>
              <w:i/>
              <w:color w:val="auto"/>
            </w:rPr>
            <w:t xml:space="preserve">Table </w:t>
          </w:r>
          <w:r w:rsidRPr="00B3309D">
            <w:rPr>
              <w:rFonts w:cs="Times New Roman"/>
              <w:i/>
              <w:color w:val="auto"/>
            </w:rPr>
            <w:fldChar w:fldCharType="begin"/>
          </w:r>
          <w:r w:rsidRPr="00B3309D">
            <w:rPr>
              <w:rFonts w:cs="Times New Roman"/>
              <w:i/>
              <w:color w:val="auto"/>
            </w:rPr>
            <w:instrText xml:space="preserve"> SEQ Table \* ARABIC </w:instrText>
          </w:r>
          <w:r w:rsidRPr="00B3309D">
            <w:rPr>
              <w:rFonts w:cs="Times New Roman"/>
              <w:i/>
              <w:color w:val="auto"/>
            </w:rPr>
            <w:fldChar w:fldCharType="separate"/>
          </w:r>
          <w:r w:rsidR="00A760D2">
            <w:rPr>
              <w:rFonts w:cs="Times New Roman"/>
              <w:i/>
              <w:noProof/>
              <w:color w:val="auto"/>
            </w:rPr>
            <w:t>2</w:t>
          </w:r>
          <w:r w:rsidRPr="00B3309D">
            <w:rPr>
              <w:rFonts w:cs="Times New Roman"/>
              <w:i/>
              <w:color w:val="auto"/>
            </w:rPr>
            <w:fldChar w:fldCharType="end"/>
          </w:r>
          <w:r w:rsidRPr="00B3309D">
            <w:rPr>
              <w:rFonts w:cs="Times New Roman"/>
              <w:i/>
              <w:color w:val="auto"/>
            </w:rPr>
            <w:t>: Liquidity Ratios (FY2023–FY2024)</w:t>
          </w:r>
          <w:r w:rsidRPr="00B3309D">
            <w:t xml:space="preserve"> </w:t>
          </w:r>
          <w:r w:rsidRPr="00B3309D">
            <w:rPr>
              <w:rFonts w:cs="Times New Roman"/>
              <w:i/>
              <w:color w:val="auto"/>
            </w:rPr>
            <w:t>(Author)</w:t>
          </w:r>
          <w:bookmarkEnd w:id="7"/>
        </w:p>
        <w:tbl>
          <w:tblPr>
            <w:tblStyle w:val="TableGrid"/>
            <w:tblW w:w="0" w:type="auto"/>
            <w:tblLook w:val="04A0" w:firstRow="1" w:lastRow="0" w:firstColumn="1" w:lastColumn="0" w:noHBand="0" w:noVBand="1"/>
          </w:tblPr>
          <w:tblGrid>
            <w:gridCol w:w="3023"/>
            <w:gridCol w:w="3281"/>
            <w:gridCol w:w="1476"/>
            <w:gridCol w:w="1236"/>
          </w:tblGrid>
          <w:tr w:rsidR="00B3309D" w:rsidRPr="00B3309D" w14:paraId="132BAA81" w14:textId="77777777" w:rsidTr="00B3309D">
            <w:trPr>
              <w:trHeight w:val="300"/>
            </w:trPr>
            <w:tc>
              <w:tcPr>
                <w:tcW w:w="3218" w:type="dxa"/>
                <w:hideMark/>
              </w:tcPr>
              <w:p w14:paraId="53ED6A79" w14:textId="77777777" w:rsidR="00B3309D" w:rsidRPr="00B3309D" w:rsidRDefault="00B3309D" w:rsidP="00B3309D">
                <w:pPr>
                  <w:jc w:val="left"/>
                  <w:rPr>
                    <w:b/>
                    <w:bCs/>
                  </w:rPr>
                </w:pPr>
                <w:r w:rsidRPr="00B3309D">
                  <w:rPr>
                    <w:b/>
                    <w:bCs/>
                  </w:rPr>
                  <w:t>Ratio</w:t>
                </w:r>
              </w:p>
            </w:tc>
            <w:tc>
              <w:tcPr>
                <w:tcW w:w="3473" w:type="dxa"/>
                <w:hideMark/>
              </w:tcPr>
              <w:p w14:paraId="561A7B8C" w14:textId="77777777" w:rsidR="00B3309D" w:rsidRPr="00B3309D" w:rsidRDefault="00B3309D" w:rsidP="00B3309D">
                <w:pPr>
                  <w:jc w:val="left"/>
                  <w:rPr>
                    <w:b/>
                    <w:bCs/>
                  </w:rPr>
                </w:pPr>
                <w:r w:rsidRPr="00B3309D">
                  <w:rPr>
                    <w:b/>
                    <w:bCs/>
                  </w:rPr>
                  <w:t>Formula</w:t>
                </w:r>
              </w:p>
            </w:tc>
            <w:tc>
              <w:tcPr>
                <w:tcW w:w="1387" w:type="dxa"/>
                <w:hideMark/>
              </w:tcPr>
              <w:p w14:paraId="510290A9" w14:textId="77777777" w:rsidR="00B3309D" w:rsidRPr="00B3309D" w:rsidRDefault="00B3309D" w:rsidP="00B3309D">
                <w:pPr>
                  <w:jc w:val="left"/>
                  <w:rPr>
                    <w:b/>
                    <w:bCs/>
                  </w:rPr>
                </w:pPr>
                <w:r w:rsidRPr="00B3309D">
                  <w:rPr>
                    <w:b/>
                    <w:bCs/>
                  </w:rPr>
                  <w:t>FY2023</w:t>
                </w:r>
              </w:p>
            </w:tc>
            <w:tc>
              <w:tcPr>
                <w:tcW w:w="1164" w:type="dxa"/>
                <w:hideMark/>
              </w:tcPr>
              <w:p w14:paraId="6A748553" w14:textId="77777777" w:rsidR="00B3309D" w:rsidRPr="00B3309D" w:rsidRDefault="00B3309D" w:rsidP="00B3309D">
                <w:pPr>
                  <w:jc w:val="left"/>
                  <w:rPr>
                    <w:b/>
                    <w:bCs/>
                  </w:rPr>
                </w:pPr>
                <w:r w:rsidRPr="00B3309D">
                  <w:rPr>
                    <w:b/>
                    <w:bCs/>
                  </w:rPr>
                  <w:t>FY2024</w:t>
                </w:r>
              </w:p>
            </w:tc>
          </w:tr>
          <w:tr w:rsidR="00B3309D" w:rsidRPr="00B3309D" w14:paraId="03E113CA" w14:textId="77777777" w:rsidTr="00B3309D">
            <w:trPr>
              <w:trHeight w:val="300"/>
            </w:trPr>
            <w:tc>
              <w:tcPr>
                <w:tcW w:w="3218" w:type="dxa"/>
                <w:hideMark/>
              </w:tcPr>
              <w:p w14:paraId="0D38D92E" w14:textId="77777777" w:rsidR="00B3309D" w:rsidRPr="00B3309D" w:rsidRDefault="00B3309D">
                <w:r w:rsidRPr="00B3309D">
                  <w:t>Current Ratio</w:t>
                </w:r>
              </w:p>
            </w:tc>
            <w:tc>
              <w:tcPr>
                <w:tcW w:w="3473" w:type="dxa"/>
                <w:hideMark/>
              </w:tcPr>
              <w:p w14:paraId="58F063AB" w14:textId="77777777" w:rsidR="00B3309D" w:rsidRPr="00B3309D" w:rsidRDefault="00B3309D">
                <w:r w:rsidRPr="00B3309D">
                  <w:t>Current Assets ÷ Current Liabilities</w:t>
                </w:r>
              </w:p>
            </w:tc>
            <w:tc>
              <w:tcPr>
                <w:tcW w:w="1387" w:type="dxa"/>
                <w:hideMark/>
              </w:tcPr>
              <w:p w14:paraId="192C8C89" w14:textId="77777777" w:rsidR="00B3309D" w:rsidRPr="00B3309D" w:rsidRDefault="00B3309D" w:rsidP="00B3309D">
                <w:pPr>
                  <w:jc w:val="left"/>
                </w:pPr>
                <w:r w:rsidRPr="00B3309D">
                  <w:t>0.635883905</w:t>
                </w:r>
              </w:p>
            </w:tc>
            <w:tc>
              <w:tcPr>
                <w:tcW w:w="1164" w:type="dxa"/>
                <w:hideMark/>
              </w:tcPr>
              <w:p w14:paraId="5D182F72" w14:textId="77777777" w:rsidR="00B3309D" w:rsidRPr="00B3309D" w:rsidRDefault="00B3309D" w:rsidP="00B3309D">
                <w:pPr>
                  <w:jc w:val="left"/>
                </w:pPr>
                <w:r w:rsidRPr="00B3309D">
                  <w:t>0.5788745</w:t>
                </w:r>
              </w:p>
            </w:tc>
          </w:tr>
          <w:tr w:rsidR="00B3309D" w:rsidRPr="00B3309D" w14:paraId="5740592D" w14:textId="77777777" w:rsidTr="00B3309D">
            <w:trPr>
              <w:trHeight w:val="315"/>
            </w:trPr>
            <w:tc>
              <w:tcPr>
                <w:tcW w:w="3218" w:type="dxa"/>
                <w:hideMark/>
              </w:tcPr>
              <w:p w14:paraId="6CC0EB05" w14:textId="77777777" w:rsidR="00B3309D" w:rsidRPr="00B3309D" w:rsidRDefault="00B3309D">
                <w:r w:rsidRPr="00B3309D">
                  <w:t>Quick Ratio</w:t>
                </w:r>
              </w:p>
            </w:tc>
            <w:tc>
              <w:tcPr>
                <w:tcW w:w="3473" w:type="dxa"/>
                <w:hideMark/>
              </w:tcPr>
              <w:p w14:paraId="40051953" w14:textId="77777777" w:rsidR="00B3309D" w:rsidRPr="00B3309D" w:rsidRDefault="00B3309D">
                <w:r w:rsidRPr="00B3309D">
                  <w:t>(Current Assets − Inventory) ÷ Current Liabilities</w:t>
                </w:r>
              </w:p>
            </w:tc>
            <w:tc>
              <w:tcPr>
                <w:tcW w:w="1387" w:type="dxa"/>
                <w:hideMark/>
              </w:tcPr>
              <w:p w14:paraId="1EA95E65" w14:textId="77777777" w:rsidR="00B3309D" w:rsidRPr="00B3309D" w:rsidRDefault="00B3309D" w:rsidP="00B3309D">
                <w:pPr>
                  <w:jc w:val="left"/>
                </w:pPr>
                <w:r w:rsidRPr="00B3309D">
                  <w:t>0.43955385</w:t>
                </w:r>
              </w:p>
            </w:tc>
            <w:tc>
              <w:tcPr>
                <w:tcW w:w="1164" w:type="dxa"/>
                <w:hideMark/>
              </w:tcPr>
              <w:p w14:paraId="629708FA" w14:textId="77777777" w:rsidR="00B3309D" w:rsidRPr="00B3309D" w:rsidRDefault="00B3309D" w:rsidP="00B3309D">
                <w:pPr>
                  <w:jc w:val="left"/>
                </w:pPr>
                <w:r w:rsidRPr="00B3309D">
                  <w:t>0.3878887</w:t>
                </w:r>
              </w:p>
            </w:tc>
          </w:tr>
        </w:tbl>
        <w:p w14:paraId="03FFB660" w14:textId="77777777" w:rsidR="00B3309D" w:rsidRPr="00B3309D" w:rsidRDefault="00B3309D" w:rsidP="00B3309D"/>
        <w:p w14:paraId="7A8BD49F" w14:textId="360CAC18" w:rsidR="00017AF0" w:rsidRDefault="00017AF0" w:rsidP="00017AF0">
          <w:pPr>
            <w:rPr>
              <w:rFonts w:eastAsia="Times New Roman" w:cs="Times New Roman"/>
              <w:szCs w:val="24"/>
              <w:lang w:val="en-US"/>
            </w:rPr>
          </w:pPr>
          <w:r w:rsidRPr="00017AF0">
            <w:rPr>
              <w:rFonts w:eastAsia="Times New Roman" w:cs="Times New Roman"/>
              <w:szCs w:val="24"/>
              <w:lang w:val="en-US"/>
            </w:rPr>
            <w:t xml:space="preserve">The liquidity ratios of Reckitt Benckiser Group plc show some anxieties about the short-term solvency as well as the ability of the company to meet the immediate financial commitments. Improving liquidity position, FY2023 current ratio: 0.64, FY2024 current ratio: 0.58. A current ratio of less than one indicates that the firm is not able to meet its short-term commitments, and this is even more worrying when compared to industry standards, which are usually 1.5 to 2.0 in the case of consumer-goods firms. This fall implies that there will be an increasing </w:t>
          </w:r>
          <w:r w:rsidRPr="00017AF0">
            <w:rPr>
              <w:rFonts w:eastAsia="Times New Roman" w:cs="Times New Roman"/>
              <w:szCs w:val="24"/>
              <w:lang w:val="en-US"/>
            </w:rPr>
            <w:lastRenderedPageBreak/>
            <w:t xml:space="preserve">dependency on future cash flows and that the management of working capital must be properly executed to take care </w:t>
          </w:r>
          <w:r>
            <w:rPr>
              <w:rFonts w:eastAsia="Times New Roman" w:cs="Times New Roman"/>
              <w:szCs w:val="24"/>
              <w:lang w:val="en-US"/>
            </w:rPr>
            <w:t>of the short-term obligations</w:t>
          </w:r>
          <w:r w:rsidR="003210FA" w:rsidRPr="003210FA">
            <w:t xml:space="preserve"> </w:t>
          </w:r>
          <w:r w:rsidR="003210FA" w:rsidRPr="003210FA">
            <w:rPr>
              <w:rFonts w:eastAsia="Times New Roman" w:cs="Times New Roman"/>
              <w:szCs w:val="24"/>
              <w:lang w:val="en-US"/>
            </w:rPr>
            <w:t>year (Horngren et al., 2013)</w:t>
          </w:r>
          <w:r>
            <w:rPr>
              <w:rFonts w:eastAsia="Times New Roman" w:cs="Times New Roman"/>
              <w:szCs w:val="24"/>
              <w:lang w:val="en-US"/>
            </w:rPr>
            <w:t>.</w:t>
          </w:r>
        </w:p>
        <w:p w14:paraId="79DB779A" w14:textId="77777777" w:rsidR="00017AF0" w:rsidRDefault="00017AF0" w:rsidP="00017AF0">
          <w:pPr>
            <w:rPr>
              <w:rFonts w:eastAsia="Times New Roman" w:cs="Times New Roman"/>
              <w:szCs w:val="24"/>
              <w:lang w:val="en-US"/>
            </w:rPr>
          </w:pPr>
          <w:r w:rsidRPr="00017AF0">
            <w:rPr>
              <w:rFonts w:eastAsia="Times New Roman" w:cs="Times New Roman"/>
              <w:szCs w:val="24"/>
              <w:lang w:val="en-US"/>
            </w:rPr>
            <w:t>Equally, the quick ratio, which excludes inventory under current assets, has declined to 0.39 in FY2024 compared to 0.44 in FY2023. This also highlights the issue of liquidity, since it shows that despite not having inventory, the company's liquid assets (which mostly comprise cash and receivables) are not enough to meet current obligations. The 0.39 ratio on the quick ratio is significantly lower than the commonly used standard of 1.0 to indicate strong liquidity capability, indicating the possible difficulties in managing cash flows in the case of economic instability or a changing demand envi</w:t>
          </w:r>
          <w:r>
            <w:rPr>
              <w:rFonts w:eastAsia="Times New Roman" w:cs="Times New Roman"/>
              <w:szCs w:val="24"/>
              <w:lang w:val="en-US"/>
            </w:rPr>
            <w:t>ronment (Palepu et al., 2022).</w:t>
          </w:r>
        </w:p>
        <w:p w14:paraId="184FFC47" w14:textId="418CDE04" w:rsidR="00B3309D" w:rsidRPr="00B3309D" w:rsidRDefault="00B3309D" w:rsidP="00B3309D">
          <w:pPr>
            <w:rPr>
              <w:rFonts w:cs="Times New Roman"/>
              <w:szCs w:val="24"/>
            </w:rPr>
          </w:pPr>
          <w:r w:rsidRPr="00B3309D">
            <w:rPr>
              <w:rFonts w:eastAsia="Times New Roman" w:cs="Times New Roman"/>
              <w:b/>
              <w:i/>
              <w:szCs w:val="24"/>
            </w:rPr>
            <w:t>Recommendation:</w:t>
          </w:r>
          <w:r w:rsidRPr="00B3309D">
            <w:rPr>
              <w:rFonts w:eastAsia="Times New Roman" w:cs="Times New Roman"/>
              <w:szCs w:val="24"/>
            </w:rPr>
            <w:t xml:space="preserve"> The management of the company has to strengthen the short-term liquidity resiliency through the improvement of receivables collection procedures and the maintenance of a sufficient cash buffer, and reconsider the trade-off between aggressive working-capital policies and financial risk in order to guarantee the stability of operations.</w:t>
          </w:r>
        </w:p>
        <w:p w14:paraId="4F8DFB52" w14:textId="16A39713" w:rsidR="00B3309D" w:rsidRDefault="00AB48F9" w:rsidP="00B3309D">
          <w:pPr>
            <w:pStyle w:val="Heading2"/>
          </w:pPr>
          <w:bookmarkStart w:id="8" w:name="_Toc218972900"/>
          <w:r>
            <w:t>3</w:t>
          </w:r>
          <w:r w:rsidR="00B3309D" w:rsidRPr="00B3309D">
            <w:t>.</w:t>
          </w:r>
          <w:r w:rsidR="00B3309D">
            <w:t>0</w:t>
          </w:r>
          <w:r w:rsidR="00B3309D" w:rsidRPr="00B3309D">
            <w:t xml:space="preserve"> Efficiency Analysis</w:t>
          </w:r>
          <w:bookmarkEnd w:id="8"/>
        </w:p>
        <w:p w14:paraId="7B959757" w14:textId="627E5444" w:rsidR="00B3309D" w:rsidRPr="00B3309D" w:rsidRDefault="00B3309D" w:rsidP="00B3309D">
          <w:pPr>
            <w:pStyle w:val="Caption"/>
            <w:keepNext/>
            <w:jc w:val="center"/>
            <w:rPr>
              <w:rFonts w:cs="Times New Roman"/>
              <w:i/>
              <w:color w:val="000000" w:themeColor="text1"/>
            </w:rPr>
          </w:pPr>
          <w:bookmarkStart w:id="9" w:name="_Toc218972924"/>
          <w:r w:rsidRPr="00B3309D">
            <w:rPr>
              <w:rFonts w:cs="Times New Roman"/>
              <w:i/>
              <w:color w:val="000000" w:themeColor="text1"/>
            </w:rPr>
            <w:t xml:space="preserve">Table </w:t>
          </w:r>
          <w:r w:rsidRPr="00B3309D">
            <w:rPr>
              <w:rFonts w:cs="Times New Roman"/>
              <w:i/>
              <w:color w:val="000000" w:themeColor="text1"/>
            </w:rPr>
            <w:fldChar w:fldCharType="begin"/>
          </w:r>
          <w:r w:rsidRPr="00B3309D">
            <w:rPr>
              <w:rFonts w:cs="Times New Roman"/>
              <w:i/>
              <w:color w:val="000000" w:themeColor="text1"/>
            </w:rPr>
            <w:instrText xml:space="preserve"> SEQ Table \* ARABIC </w:instrText>
          </w:r>
          <w:r w:rsidRPr="00B3309D">
            <w:rPr>
              <w:rFonts w:cs="Times New Roman"/>
              <w:i/>
              <w:color w:val="000000" w:themeColor="text1"/>
            </w:rPr>
            <w:fldChar w:fldCharType="separate"/>
          </w:r>
          <w:r w:rsidR="00A760D2">
            <w:rPr>
              <w:rFonts w:cs="Times New Roman"/>
              <w:i/>
              <w:noProof/>
              <w:color w:val="000000" w:themeColor="text1"/>
            </w:rPr>
            <w:t>3</w:t>
          </w:r>
          <w:r w:rsidRPr="00B3309D">
            <w:rPr>
              <w:rFonts w:cs="Times New Roman"/>
              <w:i/>
              <w:color w:val="000000" w:themeColor="text1"/>
            </w:rPr>
            <w:fldChar w:fldCharType="end"/>
          </w:r>
          <w:r w:rsidRPr="00B3309D">
            <w:rPr>
              <w:rFonts w:cs="Times New Roman"/>
              <w:i/>
              <w:color w:val="000000" w:themeColor="text1"/>
            </w:rPr>
            <w:t>: E</w:t>
          </w:r>
          <w:r>
            <w:rPr>
              <w:rFonts w:cs="Times New Roman"/>
              <w:i/>
              <w:color w:val="000000" w:themeColor="text1"/>
            </w:rPr>
            <w:t>fficiency Ratios (FY2023–FY2024</w:t>
          </w:r>
          <w:r w:rsidRPr="00B3309D">
            <w:rPr>
              <w:rFonts w:cs="Times New Roman"/>
              <w:i/>
              <w:color w:val="000000" w:themeColor="text1"/>
            </w:rPr>
            <w:t>)</w:t>
          </w:r>
          <w:r w:rsidRPr="00B3309D">
            <w:t xml:space="preserve"> </w:t>
          </w:r>
          <w:r w:rsidRPr="00B3309D">
            <w:rPr>
              <w:rFonts w:cs="Times New Roman"/>
              <w:i/>
              <w:color w:val="000000" w:themeColor="text1"/>
            </w:rPr>
            <w:t>(Author)</w:t>
          </w:r>
          <w:bookmarkEnd w:id="9"/>
        </w:p>
        <w:tbl>
          <w:tblPr>
            <w:tblStyle w:val="TableGrid"/>
            <w:tblW w:w="0" w:type="auto"/>
            <w:tblLook w:val="04A0" w:firstRow="1" w:lastRow="0" w:firstColumn="1" w:lastColumn="0" w:noHBand="0" w:noVBand="1"/>
          </w:tblPr>
          <w:tblGrid>
            <w:gridCol w:w="3077"/>
            <w:gridCol w:w="3227"/>
            <w:gridCol w:w="1476"/>
            <w:gridCol w:w="1236"/>
          </w:tblGrid>
          <w:tr w:rsidR="00B3309D" w:rsidRPr="00B3309D" w14:paraId="1341E898" w14:textId="77777777" w:rsidTr="00017AF0">
            <w:trPr>
              <w:trHeight w:val="300"/>
            </w:trPr>
            <w:tc>
              <w:tcPr>
                <w:tcW w:w="3185" w:type="dxa"/>
                <w:hideMark/>
              </w:tcPr>
              <w:p w14:paraId="1EE4E763" w14:textId="77777777" w:rsidR="00B3309D" w:rsidRPr="00B3309D" w:rsidRDefault="00B3309D" w:rsidP="00B3309D">
                <w:pPr>
                  <w:jc w:val="left"/>
                  <w:rPr>
                    <w:b/>
                    <w:bCs/>
                  </w:rPr>
                </w:pPr>
                <w:r w:rsidRPr="00B3309D">
                  <w:rPr>
                    <w:b/>
                    <w:bCs/>
                  </w:rPr>
                  <w:t>Ratio</w:t>
                </w:r>
              </w:p>
            </w:tc>
            <w:tc>
              <w:tcPr>
                <w:tcW w:w="3345" w:type="dxa"/>
                <w:hideMark/>
              </w:tcPr>
              <w:p w14:paraId="4E8D73FE" w14:textId="77777777" w:rsidR="00B3309D" w:rsidRPr="00B3309D" w:rsidRDefault="00B3309D" w:rsidP="00B3309D">
                <w:pPr>
                  <w:jc w:val="left"/>
                  <w:rPr>
                    <w:b/>
                    <w:bCs/>
                  </w:rPr>
                </w:pPr>
                <w:r w:rsidRPr="00B3309D">
                  <w:rPr>
                    <w:b/>
                    <w:bCs/>
                  </w:rPr>
                  <w:t>Formula</w:t>
                </w:r>
              </w:p>
            </w:tc>
            <w:tc>
              <w:tcPr>
                <w:tcW w:w="1476" w:type="dxa"/>
                <w:hideMark/>
              </w:tcPr>
              <w:p w14:paraId="23A7A580" w14:textId="77777777" w:rsidR="00B3309D" w:rsidRPr="00B3309D" w:rsidRDefault="00B3309D" w:rsidP="00B3309D">
                <w:pPr>
                  <w:jc w:val="left"/>
                  <w:rPr>
                    <w:b/>
                    <w:bCs/>
                  </w:rPr>
                </w:pPr>
                <w:r w:rsidRPr="00B3309D">
                  <w:rPr>
                    <w:b/>
                    <w:bCs/>
                  </w:rPr>
                  <w:t>FY2023</w:t>
                </w:r>
              </w:p>
            </w:tc>
            <w:tc>
              <w:tcPr>
                <w:tcW w:w="1236" w:type="dxa"/>
                <w:hideMark/>
              </w:tcPr>
              <w:p w14:paraId="7184EB40" w14:textId="77777777" w:rsidR="00B3309D" w:rsidRPr="00B3309D" w:rsidRDefault="00B3309D" w:rsidP="00B3309D">
                <w:pPr>
                  <w:jc w:val="left"/>
                  <w:rPr>
                    <w:b/>
                    <w:bCs/>
                  </w:rPr>
                </w:pPr>
                <w:r w:rsidRPr="00B3309D">
                  <w:rPr>
                    <w:b/>
                    <w:bCs/>
                  </w:rPr>
                  <w:t>FY2024</w:t>
                </w:r>
              </w:p>
            </w:tc>
          </w:tr>
          <w:tr w:rsidR="00B3309D" w:rsidRPr="00B3309D" w14:paraId="549DA371" w14:textId="77777777" w:rsidTr="00017AF0">
            <w:trPr>
              <w:trHeight w:val="300"/>
            </w:trPr>
            <w:tc>
              <w:tcPr>
                <w:tcW w:w="3185" w:type="dxa"/>
                <w:hideMark/>
              </w:tcPr>
              <w:p w14:paraId="6284C9E3" w14:textId="77777777" w:rsidR="00B3309D" w:rsidRPr="00B3309D" w:rsidRDefault="00B3309D">
                <w:r w:rsidRPr="00B3309D">
                  <w:t>Inventory Days (days)</w:t>
                </w:r>
              </w:p>
            </w:tc>
            <w:tc>
              <w:tcPr>
                <w:tcW w:w="3345" w:type="dxa"/>
                <w:hideMark/>
              </w:tcPr>
              <w:p w14:paraId="1B41EBEC" w14:textId="77777777" w:rsidR="00B3309D" w:rsidRPr="00B3309D" w:rsidRDefault="00B3309D">
                <w:r w:rsidRPr="00B3309D">
                  <w:t>(Inventory ÷ Cost of Sales) × 365</w:t>
                </w:r>
              </w:p>
            </w:tc>
            <w:tc>
              <w:tcPr>
                <w:tcW w:w="1476" w:type="dxa"/>
                <w:hideMark/>
              </w:tcPr>
              <w:p w14:paraId="4B048A23" w14:textId="77777777" w:rsidR="00B3309D" w:rsidRPr="00B3309D" w:rsidRDefault="00B3309D" w:rsidP="00B3309D">
                <w:pPr>
                  <w:jc w:val="left"/>
                </w:pPr>
                <w:r w:rsidRPr="00B3309D">
                  <w:t>102.190012</w:t>
                </w:r>
              </w:p>
            </w:tc>
            <w:tc>
              <w:tcPr>
                <w:tcW w:w="1236" w:type="dxa"/>
                <w:hideMark/>
              </w:tcPr>
              <w:p w14:paraId="08342C8C" w14:textId="77777777" w:rsidR="00B3309D" w:rsidRPr="00B3309D" w:rsidRDefault="00B3309D" w:rsidP="00B3309D">
                <w:pPr>
                  <w:jc w:val="left"/>
                </w:pPr>
                <w:r w:rsidRPr="00B3309D">
                  <w:t>99.337101</w:t>
                </w:r>
              </w:p>
            </w:tc>
          </w:tr>
          <w:tr w:rsidR="00B3309D" w:rsidRPr="00B3309D" w14:paraId="141DC33B" w14:textId="77777777" w:rsidTr="00017AF0">
            <w:trPr>
              <w:trHeight w:val="300"/>
            </w:trPr>
            <w:tc>
              <w:tcPr>
                <w:tcW w:w="3185" w:type="dxa"/>
                <w:hideMark/>
              </w:tcPr>
              <w:p w14:paraId="3E9402D0" w14:textId="77777777" w:rsidR="00B3309D" w:rsidRPr="00B3309D" w:rsidRDefault="00B3309D">
                <w:r w:rsidRPr="00B3309D">
                  <w:t>Receivables Days (days)</w:t>
                </w:r>
              </w:p>
            </w:tc>
            <w:tc>
              <w:tcPr>
                <w:tcW w:w="3345" w:type="dxa"/>
                <w:hideMark/>
              </w:tcPr>
              <w:p w14:paraId="4F3CBA75" w14:textId="77777777" w:rsidR="00B3309D" w:rsidRPr="00B3309D" w:rsidRDefault="00B3309D">
                <w:r w:rsidRPr="00B3309D">
                  <w:t>(Trade Receivables ÷ Revenue) × 365</w:t>
                </w:r>
              </w:p>
            </w:tc>
            <w:tc>
              <w:tcPr>
                <w:tcW w:w="1476" w:type="dxa"/>
                <w:hideMark/>
              </w:tcPr>
              <w:p w14:paraId="67C9ECA0" w14:textId="77777777" w:rsidR="00B3309D" w:rsidRPr="00B3309D" w:rsidRDefault="00B3309D" w:rsidP="00B3309D">
                <w:pPr>
                  <w:jc w:val="left"/>
                </w:pPr>
                <w:r w:rsidRPr="00B3309D">
                  <w:t>51.52529609</w:t>
                </w:r>
              </w:p>
            </w:tc>
            <w:tc>
              <w:tcPr>
                <w:tcW w:w="1236" w:type="dxa"/>
                <w:hideMark/>
              </w:tcPr>
              <w:p w14:paraId="488792F6" w14:textId="77777777" w:rsidR="00B3309D" w:rsidRPr="00B3309D" w:rsidRDefault="00B3309D" w:rsidP="00B3309D">
                <w:pPr>
                  <w:jc w:val="left"/>
                </w:pPr>
                <w:r w:rsidRPr="00B3309D">
                  <w:t>53.865128</w:t>
                </w:r>
              </w:p>
            </w:tc>
          </w:tr>
          <w:tr w:rsidR="00B3309D" w:rsidRPr="00B3309D" w14:paraId="4099CD8C" w14:textId="77777777" w:rsidTr="00017AF0">
            <w:trPr>
              <w:trHeight w:val="300"/>
            </w:trPr>
            <w:tc>
              <w:tcPr>
                <w:tcW w:w="3185" w:type="dxa"/>
                <w:hideMark/>
              </w:tcPr>
              <w:p w14:paraId="54D77C6F" w14:textId="77777777" w:rsidR="00B3309D" w:rsidRPr="00B3309D" w:rsidRDefault="00B3309D">
                <w:r w:rsidRPr="00B3309D">
                  <w:t>Payables Days (days)</w:t>
                </w:r>
              </w:p>
            </w:tc>
            <w:tc>
              <w:tcPr>
                <w:tcW w:w="3345" w:type="dxa"/>
                <w:hideMark/>
              </w:tcPr>
              <w:p w14:paraId="69CD8B88" w14:textId="77777777" w:rsidR="00B3309D" w:rsidRPr="00B3309D" w:rsidRDefault="00B3309D">
                <w:r w:rsidRPr="00B3309D">
                  <w:t>(Trade Payables ÷ Cost of Sales) × 365</w:t>
                </w:r>
              </w:p>
            </w:tc>
            <w:tc>
              <w:tcPr>
                <w:tcW w:w="1476" w:type="dxa"/>
                <w:hideMark/>
              </w:tcPr>
              <w:p w14:paraId="0D6EDF1D" w14:textId="77777777" w:rsidR="00B3309D" w:rsidRPr="00B3309D" w:rsidRDefault="00B3309D" w:rsidP="00B3309D">
                <w:pPr>
                  <w:jc w:val="left"/>
                </w:pPr>
                <w:r w:rsidRPr="00B3309D">
                  <w:t>343.7130152</w:t>
                </w:r>
              </w:p>
            </w:tc>
            <w:tc>
              <w:tcPr>
                <w:tcW w:w="1236" w:type="dxa"/>
                <w:hideMark/>
              </w:tcPr>
              <w:p w14:paraId="717214ED" w14:textId="77777777" w:rsidR="00B3309D" w:rsidRPr="00B3309D" w:rsidRDefault="00B3309D" w:rsidP="00B3309D">
                <w:pPr>
                  <w:jc w:val="left"/>
                </w:pPr>
                <w:r w:rsidRPr="00B3309D">
                  <w:t>346.46842</w:t>
                </w:r>
              </w:p>
            </w:tc>
          </w:tr>
          <w:tr w:rsidR="00B3309D" w:rsidRPr="00B3309D" w14:paraId="1EC0131D" w14:textId="77777777" w:rsidTr="00017AF0">
            <w:trPr>
              <w:trHeight w:val="615"/>
            </w:trPr>
            <w:tc>
              <w:tcPr>
                <w:tcW w:w="3185" w:type="dxa"/>
                <w:hideMark/>
              </w:tcPr>
              <w:p w14:paraId="676F3AAA" w14:textId="77777777" w:rsidR="00B3309D" w:rsidRPr="00B3309D" w:rsidRDefault="00B3309D">
                <w:r w:rsidRPr="00B3309D">
                  <w:t>Cash Conversion Cycle (days)</w:t>
                </w:r>
              </w:p>
            </w:tc>
            <w:tc>
              <w:tcPr>
                <w:tcW w:w="3345" w:type="dxa"/>
                <w:hideMark/>
              </w:tcPr>
              <w:p w14:paraId="312A7E8D" w14:textId="77777777" w:rsidR="00B3309D" w:rsidRPr="00B3309D" w:rsidRDefault="00B3309D">
                <w:r w:rsidRPr="00B3309D">
                  <w:t>Inventory Days + Receivables Days − Payables Days</w:t>
                </w:r>
              </w:p>
            </w:tc>
            <w:tc>
              <w:tcPr>
                <w:tcW w:w="1476" w:type="dxa"/>
                <w:hideMark/>
              </w:tcPr>
              <w:p w14:paraId="4645A530" w14:textId="77777777" w:rsidR="00B3309D" w:rsidRPr="00B3309D" w:rsidRDefault="00B3309D" w:rsidP="00B3309D">
                <w:pPr>
                  <w:jc w:val="left"/>
                </w:pPr>
                <w:r w:rsidRPr="00B3309D">
                  <w:t>-189.997707</w:t>
                </w:r>
              </w:p>
            </w:tc>
            <w:tc>
              <w:tcPr>
                <w:tcW w:w="1236" w:type="dxa"/>
                <w:hideMark/>
              </w:tcPr>
              <w:p w14:paraId="78DF0497" w14:textId="77777777" w:rsidR="00B3309D" w:rsidRPr="00B3309D" w:rsidRDefault="00B3309D" w:rsidP="00B3309D">
                <w:pPr>
                  <w:jc w:val="left"/>
                </w:pPr>
                <w:r w:rsidRPr="00B3309D">
                  <w:t>-193.2662</w:t>
                </w:r>
              </w:p>
            </w:tc>
          </w:tr>
        </w:tbl>
        <w:p w14:paraId="60101B83" w14:textId="77777777" w:rsidR="00017AF0" w:rsidRDefault="00017AF0" w:rsidP="00017AF0">
          <w:pPr>
            <w:rPr>
              <w:lang w:val="en-US"/>
            </w:rPr>
          </w:pPr>
          <w:r w:rsidRPr="00017AF0">
            <w:rPr>
              <w:lang w:val="en-US"/>
            </w:rPr>
            <w:t xml:space="preserve">The efficiency ratio of Reckitt Benckiser Group plc indicates that the company has adopted an extremely aggressive working-capital policy, which is portrayed by a negative cash conversion cycle. The decrease in INV Days between 102.19 of FY2023 and 99.34 of FY2024 proves the enhancement of the inventory turnover and a better capacity to organize the stock levels. The trend is aligned with the simplification of the strategic portfolio of Reckitt and the focus on the core brands that presumably lowered the complexity of the products and the threat of obsolescence (Reckitt Benckiser Group plc, 2025). Against the industry, in which consumer-goods companies usually indicate between 30 and 60 days for turnover of inventory, Reckitt </w:t>
          </w:r>
          <w:r w:rsidRPr="00017AF0">
            <w:rPr>
              <w:lang w:val="en-US"/>
            </w:rPr>
            <w:lastRenderedPageBreak/>
            <w:t xml:space="preserve">has a relatively sluggish turnover; however, the monitored progress indicates </w:t>
          </w:r>
          <w:r>
            <w:rPr>
              <w:lang w:val="en-US"/>
            </w:rPr>
            <w:t>improved management of stocks.</w:t>
          </w:r>
        </w:p>
        <w:p w14:paraId="1B045C6C" w14:textId="77777777" w:rsidR="00017AF0" w:rsidRDefault="00017AF0" w:rsidP="00017AF0">
          <w:pPr>
            <w:rPr>
              <w:lang w:val="en-US"/>
            </w:rPr>
          </w:pPr>
          <w:r w:rsidRPr="00017AF0">
            <w:rPr>
              <w:lang w:val="en-US"/>
            </w:rPr>
            <w:t>On the other hand, Receivables Days were 51.53 in FY2023 and 53.87 in FY2024, which means that the decrease in accounts receivable collection has slowed down. The cause of such an increase could be the extension of various credit terms to customers to maintain levels of sales or an increase in exposure to new markets that have longer collection cycles. The standard level of industry at receivables is in the range of 40 to 50 days, and thus, Reckitt has a slightly higher standard than the industry; thus, there is concern about its liquidity and its ability to cover the cash-flow requirements (Khan and Jain, 2014).</w:t>
          </w:r>
        </w:p>
        <w:p w14:paraId="5FDF0696" w14:textId="77777777" w:rsidR="00017AF0" w:rsidRDefault="00017AF0" w:rsidP="00017AF0">
          <w:pPr>
            <w:rPr>
              <w:lang w:val="en-US"/>
            </w:rPr>
          </w:pPr>
          <w:r w:rsidRPr="00017AF0">
            <w:rPr>
              <w:lang w:val="en-US"/>
            </w:rPr>
            <w:t>Payables Days also increased to 343.71 and 346.47, which indicates the dependency of the supplier credit as a financing tool by Reckitt. Although this measure can increase the short-term cash flow, it will elevate supplier relations and performance, as well as harm long-term price dealings (Penman, 2010). The average payables days outstanding in the industry is between 60 and 90 days; therefore, Reckitt is paying much above the standard, indicating that it is using aggressive credit management methods at the ris</w:t>
          </w:r>
          <w:r>
            <w:rPr>
              <w:lang w:val="en-US"/>
            </w:rPr>
            <w:t>k of losing supplier goodwill.</w:t>
          </w:r>
        </w:p>
        <w:p w14:paraId="026BCE9D" w14:textId="667AC22D" w:rsidR="00B3309D" w:rsidRPr="00017AF0" w:rsidRDefault="00017AF0" w:rsidP="00B3309D">
          <w:pPr>
            <w:rPr>
              <w:lang w:val="en-US"/>
            </w:rPr>
          </w:pPr>
          <w:r w:rsidRPr="00017AF0">
            <w:rPr>
              <w:lang w:val="en-US"/>
            </w:rPr>
            <w:t xml:space="preserve">The cash conversion cycle deteriorated slightly, reaching -193.27 days in FY2024, compared to 189.99 days in FY2023. Continued operation of a negative cycle is part of the indication that Reckitt is getting money in the form of cash from the customers before payments to the suppliers are made, hence enhancing cash flow and capital-repayment efficiency. Still, the very negative values can indicate the presence of seasonality in working-capital balances and can be a difficulty for sustainability across the year (Ross et al., 2016). </w:t>
          </w:r>
        </w:p>
        <w:p w14:paraId="14EF563A" w14:textId="7CE21202" w:rsidR="00B3309D" w:rsidRPr="00B3309D" w:rsidRDefault="00B3309D" w:rsidP="00B3309D">
          <w:pPr>
            <w:rPr>
              <w:rFonts w:eastAsia="Times New Roman" w:cs="Times New Roman"/>
              <w:szCs w:val="24"/>
            </w:rPr>
          </w:pPr>
          <w:r w:rsidRPr="00B3309D">
            <w:rPr>
              <w:rFonts w:eastAsia="Times New Roman" w:cs="Times New Roman"/>
              <w:b/>
              <w:i/>
              <w:szCs w:val="24"/>
            </w:rPr>
            <w:t>Recommendation:</w:t>
          </w:r>
          <w:r w:rsidRPr="00B3309D">
            <w:rPr>
              <w:rFonts w:eastAsia="Times New Roman" w:cs="Times New Roman"/>
              <w:szCs w:val="24"/>
            </w:rPr>
            <w:t xml:space="preserve"> The management is encouraged to further optimize its inventory levels and tighten the control over receivables to avoid further decline in the efficiency of the collection, and review the practices of the supplier payment periodically to reconcile the cash benefits with the long-term resiliency of the supply chain.</w:t>
          </w:r>
        </w:p>
        <w:p w14:paraId="3CCBB5F4" w14:textId="0A734428" w:rsidR="00B3309D" w:rsidRDefault="00AB48F9" w:rsidP="00B3309D">
          <w:pPr>
            <w:pStyle w:val="Heading2"/>
          </w:pPr>
          <w:bookmarkStart w:id="10" w:name="_Toc218972901"/>
          <w:r>
            <w:t>4</w:t>
          </w:r>
          <w:r w:rsidR="00B3309D" w:rsidRPr="00B3309D">
            <w:t>.</w:t>
          </w:r>
          <w:r w:rsidR="00B3309D">
            <w:t>0</w:t>
          </w:r>
          <w:r w:rsidR="00B3309D" w:rsidRPr="00B3309D">
            <w:t xml:space="preserve"> Gearing Analysis</w:t>
          </w:r>
          <w:bookmarkEnd w:id="10"/>
        </w:p>
        <w:p w14:paraId="1770249C" w14:textId="4C3D735C" w:rsidR="00B3309D" w:rsidRPr="00B3309D" w:rsidRDefault="00B3309D" w:rsidP="00B3309D">
          <w:pPr>
            <w:pStyle w:val="Caption"/>
            <w:keepNext/>
            <w:jc w:val="center"/>
            <w:rPr>
              <w:rFonts w:cs="Times New Roman"/>
              <w:i/>
              <w:color w:val="000000" w:themeColor="text1"/>
            </w:rPr>
          </w:pPr>
          <w:bookmarkStart w:id="11" w:name="_Toc218972925"/>
          <w:r w:rsidRPr="00B3309D">
            <w:rPr>
              <w:rFonts w:cs="Times New Roman"/>
              <w:i/>
              <w:color w:val="000000" w:themeColor="text1"/>
            </w:rPr>
            <w:t xml:space="preserve">Table </w:t>
          </w:r>
          <w:r w:rsidRPr="00B3309D">
            <w:rPr>
              <w:rFonts w:cs="Times New Roman"/>
              <w:i/>
              <w:color w:val="000000" w:themeColor="text1"/>
            </w:rPr>
            <w:fldChar w:fldCharType="begin"/>
          </w:r>
          <w:r w:rsidRPr="00B3309D">
            <w:rPr>
              <w:rFonts w:cs="Times New Roman"/>
              <w:i/>
              <w:color w:val="000000" w:themeColor="text1"/>
            </w:rPr>
            <w:instrText xml:space="preserve"> SEQ Table \* ARABIC </w:instrText>
          </w:r>
          <w:r w:rsidRPr="00B3309D">
            <w:rPr>
              <w:rFonts w:cs="Times New Roman"/>
              <w:i/>
              <w:color w:val="000000" w:themeColor="text1"/>
            </w:rPr>
            <w:fldChar w:fldCharType="separate"/>
          </w:r>
          <w:r w:rsidR="00A760D2">
            <w:rPr>
              <w:rFonts w:cs="Times New Roman"/>
              <w:i/>
              <w:noProof/>
              <w:color w:val="000000" w:themeColor="text1"/>
            </w:rPr>
            <w:t>4</w:t>
          </w:r>
          <w:r w:rsidRPr="00B3309D">
            <w:rPr>
              <w:rFonts w:cs="Times New Roman"/>
              <w:i/>
              <w:color w:val="000000" w:themeColor="text1"/>
            </w:rPr>
            <w:fldChar w:fldCharType="end"/>
          </w:r>
          <w:r w:rsidRPr="00B3309D">
            <w:rPr>
              <w:rFonts w:cs="Times New Roman"/>
              <w:i/>
              <w:color w:val="000000" w:themeColor="text1"/>
            </w:rPr>
            <w:t>: Gearing Ratios (FY2023–FY2024)</w:t>
          </w:r>
          <w:r w:rsidRPr="00B3309D">
            <w:t xml:space="preserve"> </w:t>
          </w:r>
          <w:r w:rsidRPr="00B3309D">
            <w:rPr>
              <w:rFonts w:cs="Times New Roman"/>
              <w:i/>
              <w:color w:val="000000" w:themeColor="text1"/>
            </w:rPr>
            <w:t>(Author)</w:t>
          </w:r>
          <w:bookmarkEnd w:id="11"/>
        </w:p>
        <w:tbl>
          <w:tblPr>
            <w:tblStyle w:val="TableGrid"/>
            <w:tblW w:w="0" w:type="auto"/>
            <w:tblLook w:val="04A0" w:firstRow="1" w:lastRow="0" w:firstColumn="1" w:lastColumn="0" w:noHBand="0" w:noVBand="1"/>
          </w:tblPr>
          <w:tblGrid>
            <w:gridCol w:w="3035"/>
            <w:gridCol w:w="3269"/>
            <w:gridCol w:w="1476"/>
            <w:gridCol w:w="1236"/>
          </w:tblGrid>
          <w:tr w:rsidR="00B3309D" w:rsidRPr="00B3309D" w14:paraId="749D94FB" w14:textId="77777777" w:rsidTr="00B3309D">
            <w:trPr>
              <w:trHeight w:val="300"/>
            </w:trPr>
            <w:tc>
              <w:tcPr>
                <w:tcW w:w="3226" w:type="dxa"/>
                <w:hideMark/>
              </w:tcPr>
              <w:p w14:paraId="660C74E2" w14:textId="77777777" w:rsidR="00B3309D" w:rsidRPr="00B3309D" w:rsidRDefault="00B3309D" w:rsidP="00B3309D">
                <w:pPr>
                  <w:jc w:val="left"/>
                  <w:rPr>
                    <w:b/>
                    <w:bCs/>
                  </w:rPr>
                </w:pPr>
                <w:r w:rsidRPr="00B3309D">
                  <w:rPr>
                    <w:b/>
                    <w:bCs/>
                  </w:rPr>
                  <w:t>Ratio</w:t>
                </w:r>
              </w:p>
            </w:tc>
            <w:tc>
              <w:tcPr>
                <w:tcW w:w="3465" w:type="dxa"/>
                <w:hideMark/>
              </w:tcPr>
              <w:p w14:paraId="06ECDE0B" w14:textId="77777777" w:rsidR="00B3309D" w:rsidRPr="00B3309D" w:rsidRDefault="00B3309D" w:rsidP="00B3309D">
                <w:pPr>
                  <w:jc w:val="left"/>
                  <w:rPr>
                    <w:b/>
                    <w:bCs/>
                  </w:rPr>
                </w:pPr>
                <w:r w:rsidRPr="00B3309D">
                  <w:rPr>
                    <w:b/>
                    <w:bCs/>
                  </w:rPr>
                  <w:t>Formula</w:t>
                </w:r>
              </w:p>
            </w:tc>
            <w:tc>
              <w:tcPr>
                <w:tcW w:w="1387" w:type="dxa"/>
                <w:hideMark/>
              </w:tcPr>
              <w:p w14:paraId="480EFA9A" w14:textId="77777777" w:rsidR="00B3309D" w:rsidRPr="00B3309D" w:rsidRDefault="00B3309D" w:rsidP="00B3309D">
                <w:pPr>
                  <w:jc w:val="left"/>
                  <w:rPr>
                    <w:b/>
                    <w:bCs/>
                  </w:rPr>
                </w:pPr>
                <w:r w:rsidRPr="00B3309D">
                  <w:rPr>
                    <w:b/>
                    <w:bCs/>
                  </w:rPr>
                  <w:t>FY2023</w:t>
                </w:r>
              </w:p>
            </w:tc>
            <w:tc>
              <w:tcPr>
                <w:tcW w:w="1164" w:type="dxa"/>
                <w:hideMark/>
              </w:tcPr>
              <w:p w14:paraId="01B0BF0A" w14:textId="77777777" w:rsidR="00B3309D" w:rsidRPr="00B3309D" w:rsidRDefault="00B3309D" w:rsidP="00B3309D">
                <w:pPr>
                  <w:jc w:val="left"/>
                  <w:rPr>
                    <w:b/>
                    <w:bCs/>
                  </w:rPr>
                </w:pPr>
                <w:r w:rsidRPr="00B3309D">
                  <w:rPr>
                    <w:b/>
                    <w:bCs/>
                  </w:rPr>
                  <w:t>FY2024</w:t>
                </w:r>
              </w:p>
            </w:tc>
          </w:tr>
          <w:tr w:rsidR="00B3309D" w:rsidRPr="00B3309D" w14:paraId="670ABF94" w14:textId="77777777" w:rsidTr="00B3309D">
            <w:trPr>
              <w:trHeight w:val="300"/>
            </w:trPr>
            <w:tc>
              <w:tcPr>
                <w:tcW w:w="3226" w:type="dxa"/>
                <w:hideMark/>
              </w:tcPr>
              <w:p w14:paraId="5C6963C9" w14:textId="77777777" w:rsidR="00B3309D" w:rsidRPr="00B3309D" w:rsidRDefault="00B3309D">
                <w:r w:rsidRPr="00B3309D">
                  <w:t>Debt-to-Equity Ratio</w:t>
                </w:r>
              </w:p>
            </w:tc>
            <w:tc>
              <w:tcPr>
                <w:tcW w:w="3465" w:type="dxa"/>
                <w:hideMark/>
              </w:tcPr>
              <w:p w14:paraId="5225F780" w14:textId="77777777" w:rsidR="00B3309D" w:rsidRPr="00B3309D" w:rsidRDefault="00B3309D">
                <w:r w:rsidRPr="00B3309D">
                  <w:t>Total Debt ÷ Total Equity</w:t>
                </w:r>
              </w:p>
            </w:tc>
            <w:tc>
              <w:tcPr>
                <w:tcW w:w="1387" w:type="dxa"/>
                <w:hideMark/>
              </w:tcPr>
              <w:p w14:paraId="1594CF68" w14:textId="77777777" w:rsidR="00B3309D" w:rsidRPr="00B3309D" w:rsidRDefault="00B3309D" w:rsidP="00B3309D">
                <w:pPr>
                  <w:jc w:val="left"/>
                </w:pPr>
                <w:r w:rsidRPr="00B3309D">
                  <w:t>2.204156335</w:t>
                </w:r>
              </w:p>
            </w:tc>
            <w:tc>
              <w:tcPr>
                <w:tcW w:w="1164" w:type="dxa"/>
                <w:hideMark/>
              </w:tcPr>
              <w:p w14:paraId="08E57D76" w14:textId="77777777" w:rsidR="00B3309D" w:rsidRPr="00B3309D" w:rsidRDefault="00B3309D" w:rsidP="00B3309D">
                <w:pPr>
                  <w:jc w:val="left"/>
                </w:pPr>
                <w:r w:rsidRPr="00B3309D">
                  <w:t>2.7645833</w:t>
                </w:r>
              </w:p>
            </w:tc>
          </w:tr>
          <w:tr w:rsidR="00B3309D" w:rsidRPr="00B3309D" w14:paraId="56C7E43D" w14:textId="77777777" w:rsidTr="00B3309D">
            <w:trPr>
              <w:trHeight w:val="300"/>
            </w:trPr>
            <w:tc>
              <w:tcPr>
                <w:tcW w:w="3226" w:type="dxa"/>
                <w:hideMark/>
              </w:tcPr>
              <w:p w14:paraId="226474F2" w14:textId="77777777" w:rsidR="00B3309D" w:rsidRPr="00B3309D" w:rsidRDefault="00B3309D">
                <w:r w:rsidRPr="00B3309D">
                  <w:t>Gearing (%)</w:t>
                </w:r>
              </w:p>
            </w:tc>
            <w:tc>
              <w:tcPr>
                <w:tcW w:w="3465" w:type="dxa"/>
                <w:hideMark/>
              </w:tcPr>
              <w:p w14:paraId="02E73C23" w14:textId="77777777" w:rsidR="00B3309D" w:rsidRPr="00B3309D" w:rsidRDefault="00B3309D">
                <w:r w:rsidRPr="00B3309D">
                  <w:t>Net Debt ÷ (Net Debt + Equity) × 100</w:t>
                </w:r>
              </w:p>
            </w:tc>
            <w:tc>
              <w:tcPr>
                <w:tcW w:w="1387" w:type="dxa"/>
                <w:hideMark/>
              </w:tcPr>
              <w:p w14:paraId="7BFAC47B" w14:textId="77777777" w:rsidR="00B3309D" w:rsidRPr="00B3309D" w:rsidRDefault="00B3309D" w:rsidP="00B3309D">
                <w:pPr>
                  <w:jc w:val="left"/>
                </w:pPr>
                <w:r w:rsidRPr="00B3309D">
                  <w:t>68.79%</w:t>
                </w:r>
              </w:p>
            </w:tc>
            <w:tc>
              <w:tcPr>
                <w:tcW w:w="1164" w:type="dxa"/>
                <w:hideMark/>
              </w:tcPr>
              <w:p w14:paraId="5E50A49C" w14:textId="77777777" w:rsidR="00B3309D" w:rsidRPr="00B3309D" w:rsidRDefault="00B3309D" w:rsidP="00B3309D">
                <w:pPr>
                  <w:jc w:val="left"/>
                </w:pPr>
                <w:r w:rsidRPr="00B3309D">
                  <w:t>73.44%</w:t>
                </w:r>
              </w:p>
            </w:tc>
          </w:tr>
          <w:tr w:rsidR="00B3309D" w:rsidRPr="00B3309D" w14:paraId="13E02327" w14:textId="77777777" w:rsidTr="00B3309D">
            <w:trPr>
              <w:trHeight w:val="315"/>
            </w:trPr>
            <w:tc>
              <w:tcPr>
                <w:tcW w:w="3226" w:type="dxa"/>
                <w:hideMark/>
              </w:tcPr>
              <w:p w14:paraId="4D8BE3C2" w14:textId="77777777" w:rsidR="00B3309D" w:rsidRPr="00B3309D" w:rsidRDefault="00B3309D">
                <w:r w:rsidRPr="00B3309D">
                  <w:lastRenderedPageBreak/>
                  <w:t>Interest Cover (times)</w:t>
                </w:r>
              </w:p>
            </w:tc>
            <w:tc>
              <w:tcPr>
                <w:tcW w:w="3465" w:type="dxa"/>
                <w:hideMark/>
              </w:tcPr>
              <w:p w14:paraId="0AAD5D06" w14:textId="77777777" w:rsidR="00B3309D" w:rsidRPr="00B3309D" w:rsidRDefault="00B3309D">
                <w:r w:rsidRPr="00B3309D">
                  <w:t>Operating Profit ÷ Finance Costs</w:t>
                </w:r>
              </w:p>
            </w:tc>
            <w:tc>
              <w:tcPr>
                <w:tcW w:w="1387" w:type="dxa"/>
                <w:hideMark/>
              </w:tcPr>
              <w:p w14:paraId="37D676F6" w14:textId="77777777" w:rsidR="00B3309D" w:rsidRPr="00B3309D" w:rsidRDefault="00B3309D" w:rsidP="00B3309D">
                <w:pPr>
                  <w:jc w:val="left"/>
                </w:pPr>
                <w:r w:rsidRPr="00B3309D">
                  <w:t>7.444117647</w:t>
                </w:r>
              </w:p>
            </w:tc>
            <w:tc>
              <w:tcPr>
                <w:tcW w:w="1164" w:type="dxa"/>
                <w:hideMark/>
              </w:tcPr>
              <w:p w14:paraId="399E95A8" w14:textId="77777777" w:rsidR="00B3309D" w:rsidRPr="00B3309D" w:rsidRDefault="00B3309D" w:rsidP="00B3309D">
                <w:pPr>
                  <w:jc w:val="left"/>
                </w:pPr>
                <w:r w:rsidRPr="00B3309D">
                  <w:t>6.0323383</w:t>
                </w:r>
              </w:p>
            </w:tc>
          </w:tr>
        </w:tbl>
        <w:p w14:paraId="1C2411B8" w14:textId="77777777" w:rsidR="00AB48F9" w:rsidRDefault="00AB48F9" w:rsidP="00AB48F9">
          <w:pPr>
            <w:rPr>
              <w:lang w:val="en-US"/>
            </w:rPr>
          </w:pPr>
          <w:r w:rsidRPr="00AB48F9">
            <w:rPr>
              <w:lang w:val="en-US"/>
            </w:rPr>
            <w:t>The financial leverage of Reckitt Benckiser Group plc also demonstrates a tangible increase in the financial leverage during FY2023-2024, which emphasizes an exaggerated use of debt financing. The debt-to-equity ratio saw an increase in FY203, compared to FY204, illustrating a significant decline in equity and a significant growth in debt. This development can either be explained by the restructuring of equity capital or the impairment of assets or shareholder dividend payments that shrank equity capital, thus increasing the leverage ratio, despite the relative stability in the absolute debt level. As a result, the increased financial leverage triggers concerns over the ability of the firm to handle debt in times of economic turbulence because the industry average, as per the debt equation that marks a healthy debt-to-equity ratio in consumer-goods businesses, is between 0.5 and 1.0 (Recki</w:t>
          </w:r>
          <w:r>
            <w:rPr>
              <w:lang w:val="en-US"/>
            </w:rPr>
            <w:t>tt Benckiser Group plc, 2025).</w:t>
          </w:r>
        </w:p>
        <w:p w14:paraId="48A1D1EA" w14:textId="2EC87DA9" w:rsidR="00AB48F9" w:rsidRDefault="00AB48F9" w:rsidP="00AB48F9">
          <w:pPr>
            <w:rPr>
              <w:lang w:val="en-US"/>
            </w:rPr>
          </w:pPr>
          <w:r w:rsidRPr="00AB48F9">
            <w:rPr>
              <w:lang w:val="en-US"/>
            </w:rPr>
            <w:t>The gearing ratio also increased to 73.44% as compared to 68.79%, which means that the company is funding the capital structure more with debt. Even though an elevated gearing ratio will enhance equity returns in the projection of steady earnings, it will also increase financial risk. The increased debt dependence in a setting that experiences an increase in the interest rates could exacerbate profitability strain, with the increased amount of interest payments consuming a larger portion of operating pr</w:t>
          </w:r>
          <w:r>
            <w:rPr>
              <w:lang w:val="en-US"/>
            </w:rPr>
            <w:t>ofits (Shim and Siegel, 2012).</w:t>
          </w:r>
        </w:p>
        <w:p w14:paraId="5E7BAF08" w14:textId="77777777" w:rsidR="00AB48F9" w:rsidRDefault="00AB48F9" w:rsidP="00AB48F9">
          <w:pPr>
            <w:rPr>
              <w:lang w:val="en-US"/>
            </w:rPr>
          </w:pPr>
          <w:r w:rsidRPr="00AB48F9">
            <w:rPr>
              <w:lang w:val="en-US"/>
            </w:rPr>
            <w:t>The Interest Cover Ratio decreased to 6.03 times in FY2024 as compared to 7.44 times in FY2023, indicating a reduced capacity to meet the interest expense using the operating profit. Even though the ratio remains well above the traditional 23 times, the negative trend indicates that Reckitt has fewer buffers to work through financial shocks and rate rises. Constant deterioration of interest coverage, especially with the subsequent increase in gearing, might cause a lack of confidence by the market regarding the financial stability of the firm over the long ter</w:t>
          </w:r>
          <w:r>
            <w:rPr>
              <w:lang w:val="en-US"/>
            </w:rPr>
            <w:t>m (Farris and Hutchison, 2002).</w:t>
          </w:r>
        </w:p>
        <w:p w14:paraId="6E102509" w14:textId="2464CDE3" w:rsidR="00B3309D" w:rsidRPr="00B3309D" w:rsidRDefault="00B3309D" w:rsidP="00B3309D">
          <w:pPr>
            <w:rPr>
              <w:rFonts w:cs="Times New Roman"/>
              <w:szCs w:val="24"/>
            </w:rPr>
          </w:pPr>
          <w:r w:rsidRPr="00B3309D">
            <w:rPr>
              <w:rFonts w:eastAsia="Times New Roman" w:cs="Times New Roman"/>
              <w:b/>
              <w:i/>
              <w:color w:val="000000" w:themeColor="text1"/>
              <w:szCs w:val="24"/>
            </w:rPr>
            <w:t>Recommendations:</w:t>
          </w:r>
          <w:r w:rsidRPr="00B3309D">
            <w:rPr>
              <w:rFonts w:eastAsia="Times New Roman" w:cs="Times New Roman"/>
              <w:color w:val="000000" w:themeColor="text1"/>
              <w:szCs w:val="24"/>
            </w:rPr>
            <w:t xml:space="preserve"> </w:t>
          </w:r>
          <w:r w:rsidRPr="00B3309D">
            <w:rPr>
              <w:rFonts w:eastAsia="Times New Roman" w:cs="Times New Roman"/>
              <w:szCs w:val="24"/>
            </w:rPr>
            <w:t>the management should focus on the stabilization of the equity base with the help of retained earnings, thoroughly address decisions to borrow further, and also consider a gradual deleverage that will allow the company to maintain financial flexibility and have confidence in investors.</w:t>
          </w:r>
        </w:p>
        <w:p w14:paraId="634889D9" w14:textId="77777777" w:rsidR="009E1FEE" w:rsidRDefault="009E1FEE">
          <w:pPr>
            <w:spacing w:line="259" w:lineRule="auto"/>
            <w:jc w:val="left"/>
            <w:rPr>
              <w:rFonts w:eastAsiaTheme="majorEastAsia" w:cstheme="majorBidi"/>
              <w:b/>
              <w:sz w:val="28"/>
              <w:szCs w:val="26"/>
            </w:rPr>
          </w:pPr>
          <w:r>
            <w:br w:type="page"/>
          </w:r>
        </w:p>
        <w:p w14:paraId="7C69AA79" w14:textId="36F2659B" w:rsidR="00B3309D" w:rsidRDefault="00AB48F9" w:rsidP="00B3309D">
          <w:pPr>
            <w:pStyle w:val="Heading2"/>
          </w:pPr>
          <w:bookmarkStart w:id="12" w:name="_Toc218972902"/>
          <w:r>
            <w:lastRenderedPageBreak/>
            <w:t>5</w:t>
          </w:r>
          <w:r w:rsidR="00B3309D" w:rsidRPr="00B3309D">
            <w:t>.</w:t>
          </w:r>
          <w:r w:rsidR="00B3309D">
            <w:t>0</w:t>
          </w:r>
          <w:r w:rsidR="00B3309D" w:rsidRPr="00B3309D">
            <w:t xml:space="preserve"> Investor Ratio Analysis</w:t>
          </w:r>
          <w:bookmarkEnd w:id="12"/>
        </w:p>
        <w:p w14:paraId="217065FF" w14:textId="3627DB2B" w:rsidR="00B3309D" w:rsidRPr="00B3309D" w:rsidRDefault="00B3309D" w:rsidP="00B3309D">
          <w:pPr>
            <w:pStyle w:val="Caption"/>
            <w:keepNext/>
            <w:jc w:val="center"/>
            <w:rPr>
              <w:rFonts w:cs="Times New Roman"/>
              <w:i/>
              <w:color w:val="000000" w:themeColor="text1"/>
            </w:rPr>
          </w:pPr>
          <w:bookmarkStart w:id="13" w:name="_Toc218972926"/>
          <w:r w:rsidRPr="00B3309D">
            <w:rPr>
              <w:rFonts w:cs="Times New Roman"/>
              <w:i/>
              <w:color w:val="000000" w:themeColor="text1"/>
            </w:rPr>
            <w:t xml:space="preserve">Table </w:t>
          </w:r>
          <w:r w:rsidRPr="00B3309D">
            <w:rPr>
              <w:rFonts w:cs="Times New Roman"/>
              <w:i/>
              <w:color w:val="000000" w:themeColor="text1"/>
            </w:rPr>
            <w:fldChar w:fldCharType="begin"/>
          </w:r>
          <w:r w:rsidRPr="00B3309D">
            <w:rPr>
              <w:rFonts w:cs="Times New Roman"/>
              <w:i/>
              <w:color w:val="000000" w:themeColor="text1"/>
            </w:rPr>
            <w:instrText xml:space="preserve"> SEQ Table \* ARABIC </w:instrText>
          </w:r>
          <w:r w:rsidRPr="00B3309D">
            <w:rPr>
              <w:rFonts w:cs="Times New Roman"/>
              <w:i/>
              <w:color w:val="000000" w:themeColor="text1"/>
            </w:rPr>
            <w:fldChar w:fldCharType="separate"/>
          </w:r>
          <w:r w:rsidR="00A760D2">
            <w:rPr>
              <w:rFonts w:cs="Times New Roman"/>
              <w:i/>
              <w:noProof/>
              <w:color w:val="000000" w:themeColor="text1"/>
            </w:rPr>
            <w:t>5</w:t>
          </w:r>
          <w:r w:rsidRPr="00B3309D">
            <w:rPr>
              <w:rFonts w:cs="Times New Roman"/>
              <w:i/>
              <w:color w:val="000000" w:themeColor="text1"/>
            </w:rPr>
            <w:fldChar w:fldCharType="end"/>
          </w:r>
          <w:r w:rsidRPr="00B3309D">
            <w:rPr>
              <w:rFonts w:cs="Times New Roman"/>
              <w:i/>
              <w:color w:val="000000" w:themeColor="text1"/>
            </w:rPr>
            <w:t>: Investor Ratios (FY2023–FY2024)</w:t>
          </w:r>
          <w:r>
            <w:rPr>
              <w:rFonts w:cs="Times New Roman"/>
              <w:i/>
              <w:color w:val="000000" w:themeColor="text1"/>
            </w:rPr>
            <w:t xml:space="preserve"> (Author)</w:t>
          </w:r>
          <w:bookmarkEnd w:id="13"/>
        </w:p>
        <w:tbl>
          <w:tblPr>
            <w:tblStyle w:val="TableGrid"/>
            <w:tblW w:w="0" w:type="auto"/>
            <w:tblLook w:val="04A0" w:firstRow="1" w:lastRow="0" w:firstColumn="1" w:lastColumn="0" w:noHBand="0" w:noVBand="1"/>
          </w:tblPr>
          <w:tblGrid>
            <w:gridCol w:w="3077"/>
            <w:gridCol w:w="3227"/>
            <w:gridCol w:w="1476"/>
            <w:gridCol w:w="1236"/>
          </w:tblGrid>
          <w:tr w:rsidR="00B3309D" w:rsidRPr="00B3309D" w14:paraId="1AEA1A7B" w14:textId="77777777" w:rsidTr="00AB48F9">
            <w:trPr>
              <w:trHeight w:val="300"/>
            </w:trPr>
            <w:tc>
              <w:tcPr>
                <w:tcW w:w="3186" w:type="dxa"/>
                <w:hideMark/>
              </w:tcPr>
              <w:p w14:paraId="0E295643" w14:textId="77777777" w:rsidR="00B3309D" w:rsidRPr="00B3309D" w:rsidRDefault="00B3309D" w:rsidP="00B3309D">
                <w:pPr>
                  <w:jc w:val="left"/>
                  <w:rPr>
                    <w:b/>
                    <w:bCs/>
                  </w:rPr>
                </w:pPr>
                <w:r w:rsidRPr="00B3309D">
                  <w:rPr>
                    <w:b/>
                    <w:bCs/>
                  </w:rPr>
                  <w:t>Ratio</w:t>
                </w:r>
              </w:p>
            </w:tc>
            <w:tc>
              <w:tcPr>
                <w:tcW w:w="3344" w:type="dxa"/>
                <w:hideMark/>
              </w:tcPr>
              <w:p w14:paraId="62DF0C00" w14:textId="77777777" w:rsidR="00B3309D" w:rsidRPr="00B3309D" w:rsidRDefault="00B3309D" w:rsidP="00B3309D">
                <w:pPr>
                  <w:jc w:val="left"/>
                  <w:rPr>
                    <w:b/>
                    <w:bCs/>
                  </w:rPr>
                </w:pPr>
                <w:r w:rsidRPr="00B3309D">
                  <w:rPr>
                    <w:b/>
                    <w:bCs/>
                  </w:rPr>
                  <w:t>Formula</w:t>
                </w:r>
              </w:p>
            </w:tc>
            <w:tc>
              <w:tcPr>
                <w:tcW w:w="1476" w:type="dxa"/>
                <w:hideMark/>
              </w:tcPr>
              <w:p w14:paraId="21DC36AA" w14:textId="77777777" w:rsidR="00B3309D" w:rsidRPr="00B3309D" w:rsidRDefault="00B3309D" w:rsidP="00B3309D">
                <w:pPr>
                  <w:jc w:val="left"/>
                  <w:rPr>
                    <w:b/>
                    <w:bCs/>
                  </w:rPr>
                </w:pPr>
                <w:r w:rsidRPr="00B3309D">
                  <w:rPr>
                    <w:b/>
                    <w:bCs/>
                  </w:rPr>
                  <w:t>FY2023</w:t>
                </w:r>
              </w:p>
            </w:tc>
            <w:tc>
              <w:tcPr>
                <w:tcW w:w="1236" w:type="dxa"/>
                <w:hideMark/>
              </w:tcPr>
              <w:p w14:paraId="1829E95C" w14:textId="77777777" w:rsidR="00B3309D" w:rsidRPr="00B3309D" w:rsidRDefault="00B3309D" w:rsidP="00B3309D">
                <w:pPr>
                  <w:jc w:val="left"/>
                  <w:rPr>
                    <w:b/>
                    <w:bCs/>
                  </w:rPr>
                </w:pPr>
                <w:r w:rsidRPr="00B3309D">
                  <w:rPr>
                    <w:b/>
                    <w:bCs/>
                  </w:rPr>
                  <w:t>FY2024</w:t>
                </w:r>
              </w:p>
            </w:tc>
          </w:tr>
          <w:tr w:rsidR="00B3309D" w:rsidRPr="00B3309D" w14:paraId="29CD3F12" w14:textId="77777777" w:rsidTr="00AB48F9">
            <w:trPr>
              <w:trHeight w:val="300"/>
            </w:trPr>
            <w:tc>
              <w:tcPr>
                <w:tcW w:w="3186" w:type="dxa"/>
                <w:hideMark/>
              </w:tcPr>
              <w:p w14:paraId="2206B308" w14:textId="77777777" w:rsidR="00B3309D" w:rsidRPr="00B3309D" w:rsidRDefault="00B3309D">
                <w:r w:rsidRPr="00B3309D">
                  <w:t>Dividend Cover (times)</w:t>
                </w:r>
              </w:p>
            </w:tc>
            <w:tc>
              <w:tcPr>
                <w:tcW w:w="3344" w:type="dxa"/>
                <w:hideMark/>
              </w:tcPr>
              <w:p w14:paraId="760F0548" w14:textId="77777777" w:rsidR="00B3309D" w:rsidRPr="00B3309D" w:rsidRDefault="00B3309D">
                <w:r w:rsidRPr="00B3309D">
                  <w:t>EPS ÷ DPS</w:t>
                </w:r>
              </w:p>
            </w:tc>
            <w:tc>
              <w:tcPr>
                <w:tcW w:w="1476" w:type="dxa"/>
                <w:hideMark/>
              </w:tcPr>
              <w:p w14:paraId="394A9105" w14:textId="77777777" w:rsidR="00B3309D" w:rsidRPr="00B3309D" w:rsidRDefault="00B3309D" w:rsidP="00B3309D">
                <w:pPr>
                  <w:jc w:val="left"/>
                </w:pPr>
                <w:r w:rsidRPr="00B3309D">
                  <w:t>1.188051948</w:t>
                </w:r>
              </w:p>
            </w:tc>
            <w:tc>
              <w:tcPr>
                <w:tcW w:w="1236" w:type="dxa"/>
                <w:hideMark/>
              </w:tcPr>
              <w:p w14:paraId="7CAA3C03" w14:textId="77777777" w:rsidR="00B3309D" w:rsidRPr="00B3309D" w:rsidRDefault="00B3309D" w:rsidP="00B3309D">
                <w:pPr>
                  <w:jc w:val="left"/>
                </w:pPr>
                <w:r w:rsidRPr="00B3309D">
                  <w:t>1.0054429</w:t>
                </w:r>
              </w:p>
            </w:tc>
          </w:tr>
        </w:tbl>
        <w:p w14:paraId="4F099456" w14:textId="77777777" w:rsidR="00AB48F9" w:rsidRDefault="00AB48F9" w:rsidP="00AB48F9">
          <w:pPr>
            <w:rPr>
              <w:lang w:val="en-US"/>
            </w:rPr>
          </w:pPr>
          <w:r w:rsidRPr="00AB48F9">
            <w:rPr>
              <w:lang w:val="en-US"/>
            </w:rPr>
            <w:t>In FY2024, the dividend cover ratio decreased compared to FY2023 by 0.19 times, and it means that the earnings were almost equal to the dividends paid in FY2024. This decline can be attributed to declining earnings per share (EPS) and a slight increase in dividends per share (DPS). The preference of the management to maintain dividend payments despite declining profitability seems to be intended to increase shareholder confidence, but it also limits resources and the ability to invest or pay debts, which may limit financial flexibility over the long term (Watson et al., 2023</w:t>
          </w:r>
          <w:r>
            <w:rPr>
              <w:lang w:val="en-US"/>
            </w:rPr>
            <w:t>).</w:t>
          </w:r>
        </w:p>
        <w:p w14:paraId="1D343BA4" w14:textId="0AF1AB5A" w:rsidR="00B3309D" w:rsidRPr="00AB48F9" w:rsidRDefault="00AB48F9" w:rsidP="00AB48F9">
          <w:pPr>
            <w:rPr>
              <w:lang w:val="en-US"/>
            </w:rPr>
          </w:pPr>
          <w:r w:rsidRPr="00AB48F9">
            <w:rPr>
              <w:lang w:val="en-US"/>
            </w:rPr>
            <w:t xml:space="preserve">The dividend cover ratio is worrying because of industry standards, where the usual dividend cover ratio of between 2 and 3 years is considered to be healthy, whereas Reckitt has a 1.01 times ratio. It shows an increasing reliance on the modernized earnings to sustain the dividend distributions and hence could weaken the subsequent capital growth, especially in a space marked by the increase in leverage and financing expenses (Drury and </w:t>
          </w:r>
          <w:proofErr w:type="spellStart"/>
          <w:r w:rsidRPr="00AB48F9">
            <w:rPr>
              <w:lang w:val="en-US"/>
            </w:rPr>
            <w:t>Tayles</w:t>
          </w:r>
          <w:proofErr w:type="spellEnd"/>
          <w:r w:rsidRPr="00AB48F9">
            <w:rPr>
              <w:lang w:val="en-US"/>
            </w:rPr>
            <w:t>, 2024). It is, however, vital to note that the computation of dividend coverage is done based on accounting earnings and not cash flows, which can give a false impression of the financial position of the company.</w:t>
          </w:r>
        </w:p>
        <w:p w14:paraId="77E0D153" w14:textId="77777777" w:rsidR="00B3309D" w:rsidRPr="00B3309D" w:rsidRDefault="00B3309D" w:rsidP="00B3309D">
          <w:pPr>
            <w:rPr>
              <w:rFonts w:eastAsia="Times New Roman" w:cs="Times New Roman"/>
              <w:szCs w:val="24"/>
            </w:rPr>
          </w:pPr>
          <w:r w:rsidRPr="00B3309D">
            <w:rPr>
              <w:rFonts w:eastAsia="Times New Roman" w:cs="Times New Roman"/>
              <w:b/>
              <w:i/>
              <w:szCs w:val="24"/>
            </w:rPr>
            <w:t>Recommendation:</w:t>
          </w:r>
          <w:r w:rsidRPr="00B3309D">
            <w:rPr>
              <w:rFonts w:eastAsia="Times New Roman" w:cs="Times New Roman"/>
              <w:szCs w:val="24"/>
            </w:rPr>
            <w:t xml:space="preserve"> Reckitt can implement a more moderate dividend policy in line with sustainable earnings and cash generation in order to safeguard the long-term shareholder value.</w:t>
          </w:r>
        </w:p>
        <w:p w14:paraId="06CB59B0" w14:textId="7938C03E" w:rsidR="00B3309D" w:rsidRPr="00B3309D" w:rsidRDefault="00AB48F9" w:rsidP="00B3309D">
          <w:pPr>
            <w:pStyle w:val="Heading2"/>
          </w:pPr>
          <w:bookmarkStart w:id="14" w:name="_Toc218972903"/>
          <w:r>
            <w:t>6</w:t>
          </w:r>
          <w:r w:rsidR="00B3309D" w:rsidRPr="00B3309D">
            <w:t>.</w:t>
          </w:r>
          <w:r w:rsidR="00B3309D">
            <w:t>0</w:t>
          </w:r>
          <w:r w:rsidR="00B3309D" w:rsidRPr="00B3309D">
            <w:t xml:space="preserve"> Limitations</w:t>
          </w:r>
          <w:r w:rsidR="00B3309D">
            <w:t xml:space="preserve"> in Ratio Analysis</w:t>
          </w:r>
          <w:bookmarkEnd w:id="14"/>
        </w:p>
        <w:p w14:paraId="423C6438" w14:textId="3C646C76" w:rsidR="00B3309D" w:rsidRPr="00B3309D" w:rsidRDefault="00B3309D" w:rsidP="00B3309D">
          <w:pPr>
            <w:rPr>
              <w:rFonts w:eastAsia="Times New Roman" w:cs="Times New Roman"/>
              <w:szCs w:val="24"/>
            </w:rPr>
          </w:pPr>
          <w:r w:rsidRPr="00B3309D">
            <w:rPr>
              <w:rFonts w:eastAsia="Times New Roman" w:cs="Times New Roman"/>
              <w:szCs w:val="24"/>
            </w:rPr>
            <w:t>Even though the ratio analysis gives a systematic approach to the evaluation of the financial performance, it also has a number of limitations that should be discussed. First, ratios are very susceptible to accounting policies and judgments such as depreciation procedures, impairment recognition, and inventory valuation. In the case of a multinational like Reckitt Benckiser Group plc, year-on-year comparisons can also be considerably misleading as accounting estimates change or exceptional items are not treated, especially when there has been some great restructuring or even portfolio changes (</w:t>
          </w:r>
          <w:proofErr w:type="spellStart"/>
          <w:r w:rsidRPr="00B3309D">
            <w:rPr>
              <w:rFonts w:eastAsia="Times New Roman" w:cs="Times New Roman"/>
              <w:szCs w:val="24"/>
            </w:rPr>
            <w:t>Atrill</w:t>
          </w:r>
          <w:proofErr w:type="spellEnd"/>
          <w:r w:rsidRPr="00B3309D">
            <w:rPr>
              <w:rFonts w:eastAsia="Times New Roman" w:cs="Times New Roman"/>
              <w:szCs w:val="24"/>
            </w:rPr>
            <w:t xml:space="preserve"> </w:t>
          </w:r>
          <w:r w:rsidR="00114EDD">
            <w:rPr>
              <w:rFonts w:eastAsia="Times New Roman" w:cs="Times New Roman"/>
              <w:szCs w:val="24"/>
            </w:rPr>
            <w:t>and</w:t>
          </w:r>
          <w:r w:rsidRPr="00B3309D">
            <w:rPr>
              <w:rFonts w:eastAsia="Times New Roman" w:cs="Times New Roman"/>
              <w:szCs w:val="24"/>
            </w:rPr>
            <w:t xml:space="preserve"> </w:t>
          </w:r>
          <w:proofErr w:type="spellStart"/>
          <w:r w:rsidRPr="00B3309D">
            <w:rPr>
              <w:rFonts w:eastAsia="Times New Roman" w:cs="Times New Roman"/>
              <w:szCs w:val="24"/>
            </w:rPr>
            <w:t>McLaney</w:t>
          </w:r>
          <w:proofErr w:type="spellEnd"/>
          <w:r w:rsidRPr="00B3309D">
            <w:rPr>
              <w:rFonts w:eastAsia="Times New Roman" w:cs="Times New Roman"/>
              <w:szCs w:val="24"/>
            </w:rPr>
            <w:t>, 2025).</w:t>
          </w:r>
        </w:p>
        <w:p w14:paraId="21DD836D" w14:textId="77777777" w:rsidR="00B3309D" w:rsidRPr="00B3309D" w:rsidRDefault="00B3309D" w:rsidP="00B3309D">
          <w:pPr>
            <w:rPr>
              <w:rFonts w:eastAsia="Times New Roman" w:cs="Times New Roman"/>
              <w:szCs w:val="24"/>
            </w:rPr>
          </w:pPr>
          <w:r w:rsidRPr="00B3309D">
            <w:rPr>
              <w:rFonts w:eastAsia="Times New Roman" w:cs="Times New Roman"/>
              <w:szCs w:val="24"/>
            </w:rPr>
            <w:t xml:space="preserve">Second, ratios are calculated using previous financial information, and as such, will signal the past performance and not future performance. During both strategically important changes and </w:t>
          </w:r>
          <w:r w:rsidRPr="00B3309D">
            <w:rPr>
              <w:rFonts w:eastAsia="Times New Roman" w:cs="Times New Roman"/>
              <w:szCs w:val="24"/>
            </w:rPr>
            <w:lastRenderedPageBreak/>
            <w:t>unstable situations in the market, historical ratios might offer limited information regarding the anticipated performance or risk level (IFRS, 2025).</w:t>
          </w:r>
        </w:p>
        <w:p w14:paraId="4A07A039" w14:textId="77777777" w:rsidR="00B3309D" w:rsidRPr="00B3309D" w:rsidRDefault="00B3309D" w:rsidP="00B3309D">
          <w:pPr>
            <w:rPr>
              <w:rFonts w:eastAsia="Times New Roman" w:cs="Times New Roman"/>
              <w:szCs w:val="24"/>
            </w:rPr>
          </w:pPr>
          <w:r w:rsidRPr="00B3309D">
            <w:rPr>
              <w:rFonts w:eastAsia="Times New Roman" w:cs="Times New Roman"/>
              <w:szCs w:val="24"/>
            </w:rPr>
            <w:t xml:space="preserve">Third, the ratio analysis fails to effectively reflect upon external and non-financial aspects, including brand value, regulatory risk, litigation risk, or consumer </w:t>
          </w:r>
          <w:proofErr w:type="spellStart"/>
          <w:r w:rsidRPr="00B3309D">
            <w:rPr>
              <w:rFonts w:eastAsia="Times New Roman" w:cs="Times New Roman"/>
              <w:szCs w:val="24"/>
            </w:rPr>
            <w:t>behavior</w:t>
          </w:r>
          <w:proofErr w:type="spellEnd"/>
          <w:r w:rsidRPr="00B3309D">
            <w:rPr>
              <w:rFonts w:eastAsia="Times New Roman" w:cs="Times New Roman"/>
              <w:szCs w:val="24"/>
            </w:rPr>
            <w:t xml:space="preserve"> changes, which are very important within the context of the consumer health and hygiene industry. Lastly, there are problems of comparability in terms of benchmarking periods or competing with other businesses because of competing business models, geographic exposure, and accounting practices.</w:t>
          </w:r>
        </w:p>
        <w:p w14:paraId="219A8A51" w14:textId="77777777" w:rsidR="00B3309D" w:rsidRPr="00B3309D" w:rsidRDefault="00B3309D" w:rsidP="00B3309D">
          <w:pPr>
            <w:rPr>
              <w:rFonts w:eastAsia="Times New Roman" w:cs="Times New Roman"/>
              <w:szCs w:val="24"/>
            </w:rPr>
          </w:pPr>
          <w:r w:rsidRPr="00B3309D">
            <w:rPr>
              <w:rFonts w:eastAsia="Times New Roman" w:cs="Times New Roman"/>
              <w:szCs w:val="24"/>
            </w:rPr>
            <w:t>Consequently, the ratio analysis must be adopted as an auxiliary tool alongside the cash flow analysis, strategic analysis, and qualitative evaluation as opposed to the decisive basis.</w:t>
          </w:r>
        </w:p>
        <w:p w14:paraId="40B91693" w14:textId="7932078B" w:rsidR="00B3309D" w:rsidRPr="00B3309D" w:rsidRDefault="00AB48F9" w:rsidP="00B3309D">
          <w:pPr>
            <w:pStyle w:val="Heading2"/>
          </w:pPr>
          <w:bookmarkStart w:id="15" w:name="_Toc218972904"/>
          <w:r>
            <w:t>7</w:t>
          </w:r>
          <w:r w:rsidR="00B3309D" w:rsidRPr="00B3309D">
            <w:t>.</w:t>
          </w:r>
          <w:r w:rsidR="00B3309D">
            <w:t>0</w:t>
          </w:r>
          <w:r w:rsidR="00B3309D" w:rsidRPr="00B3309D">
            <w:t xml:space="preserve"> Recommendations</w:t>
          </w:r>
          <w:bookmarkEnd w:id="15"/>
          <w:r w:rsidR="00B3309D" w:rsidRPr="00B3309D">
            <w:t xml:space="preserve"> </w:t>
          </w:r>
        </w:p>
        <w:p w14:paraId="0E280EA1" w14:textId="114BEED9" w:rsidR="00CF0E48" w:rsidRPr="00AB48F9" w:rsidRDefault="00B3309D" w:rsidP="00CF0E48">
          <w:pPr>
            <w:rPr>
              <w:rFonts w:cs="Times New Roman"/>
              <w:szCs w:val="24"/>
            </w:rPr>
          </w:pPr>
          <w:r w:rsidRPr="00B3309D">
            <w:rPr>
              <w:rFonts w:cs="Times New Roman"/>
              <w:szCs w:val="24"/>
            </w:rPr>
            <w:t>The ratio analysis that includes FY2023—FY2024 recommends four financial-based steps that Reckitt Benckiser Group plc needs to prioritize. First, to make the small net margin turn into a stronger bottom-line performance, the management should strengthen its control over operating costs by introducing zero-based budgeting in the areas of overheads and seeking specific procurement savings and more rigorous bottom-line control on brand and marketing budgets; the status quo in operating efficiency is imperative to increase profitability. Second, the liquidity resilience should be enhanced. The case under consideration also shows a decreasing trend in current and quick ratios, which points toward the increasing overdependence on cash timing in the short term. The ways in which Reckitt should speed up the collection of receivables include stiffer credit conditions for risky clients, better dispute resolution frameworks, and targeted early-pay incentives, all without compromising inventory gains so that cash will not be locked away in slow-moving stock. Third, the capital structure has to be actively managed. The increase in gearing and the decline in the interest cover are a warrant of a progressive deleverages strategy involving the use of excess operational cash flows and controlled use of capital that lowers the sensitivity to interest rate changes. Lastly, the almost unity payout cover indicates a limited buffer of earnings; Reckitt must think of a more flexible payout policy, pegged on sustainable earnings and cash flow generation, so as to trade between shareholder payouts and the ability to retain earnings and capac</w:t>
          </w:r>
          <w:r>
            <w:rPr>
              <w:rFonts w:cs="Times New Roman"/>
              <w:szCs w:val="24"/>
            </w:rPr>
            <w:t>ity to support a balance sheet.</w:t>
          </w:r>
        </w:p>
        <w:p w14:paraId="11657221" w14:textId="38667AAD" w:rsidR="00CF0E48" w:rsidRPr="00AB48F9" w:rsidRDefault="00B3309D" w:rsidP="00AB48F9">
          <w:pPr>
            <w:pStyle w:val="Heading1"/>
          </w:pPr>
          <w:r>
            <w:br w:type="page"/>
          </w:r>
          <w:bookmarkStart w:id="16" w:name="_Toc218972905"/>
          <w:r w:rsidR="00CF0E48">
            <w:lastRenderedPageBreak/>
            <w:t>Task 2</w:t>
          </w:r>
          <w:bookmarkEnd w:id="16"/>
        </w:p>
        <w:p w14:paraId="218F8792" w14:textId="3EADBA63" w:rsidR="003B4CF2" w:rsidRPr="003B4CF2" w:rsidRDefault="003210FA" w:rsidP="00084D69">
          <w:pPr>
            <w:pStyle w:val="Heading2"/>
            <w:rPr>
              <w:lang w:val="en-US"/>
            </w:rPr>
          </w:pPr>
          <w:bookmarkStart w:id="17" w:name="_Toc218972906"/>
          <w:r>
            <w:rPr>
              <w:lang w:val="en-US"/>
            </w:rPr>
            <w:t>1</w:t>
          </w:r>
          <w:r w:rsidR="003B4CF2" w:rsidRPr="003B4CF2">
            <w:rPr>
              <w:lang w:val="en-US"/>
            </w:rPr>
            <w:t>.</w:t>
          </w:r>
          <w:r w:rsidR="009E1FEE">
            <w:rPr>
              <w:lang w:val="en-US"/>
            </w:rPr>
            <w:t>0</w:t>
          </w:r>
          <w:r w:rsidR="003B4CF2" w:rsidRPr="003B4CF2">
            <w:rPr>
              <w:lang w:val="en-US"/>
            </w:rPr>
            <w:t xml:space="preserve"> Methodology and Assumptions</w:t>
          </w:r>
          <w:bookmarkEnd w:id="17"/>
          <w:r w:rsidR="003B4CF2" w:rsidRPr="003B4CF2">
            <w:rPr>
              <w:lang w:val="en-US"/>
            </w:rPr>
            <w:t xml:space="preserve"> </w:t>
          </w:r>
        </w:p>
        <w:p w14:paraId="358A305C" w14:textId="56753197" w:rsidR="003B4CF2" w:rsidRPr="009E1FEE" w:rsidRDefault="003B4CF2" w:rsidP="00084D69">
          <w:pPr>
            <w:pStyle w:val="ListParagraph"/>
            <w:numPr>
              <w:ilvl w:val="0"/>
              <w:numId w:val="3"/>
            </w:numPr>
          </w:pPr>
          <w:r w:rsidRPr="009E1FEE">
            <w:t xml:space="preserve">Cost of capital: </w:t>
          </w:r>
          <w:r w:rsidRPr="009E1FEE">
            <w:rPr>
              <w:rStyle w:val="Strong"/>
            </w:rPr>
            <w:t>6%</w:t>
          </w:r>
        </w:p>
        <w:p w14:paraId="116E10A4" w14:textId="66BBDD57" w:rsidR="003B4CF2" w:rsidRPr="009E1FEE" w:rsidRDefault="003B4CF2" w:rsidP="00084D69">
          <w:pPr>
            <w:pStyle w:val="ListParagraph"/>
            <w:numPr>
              <w:ilvl w:val="0"/>
              <w:numId w:val="3"/>
            </w:numPr>
          </w:pPr>
          <w:r w:rsidRPr="009E1FEE">
            <w:t xml:space="preserve">Corporation tax rate: </w:t>
          </w:r>
          <w:r w:rsidRPr="009E1FEE">
            <w:rPr>
              <w:rStyle w:val="Strong"/>
            </w:rPr>
            <w:t>25%</w:t>
          </w:r>
        </w:p>
        <w:p w14:paraId="4681278A" w14:textId="53AA5531" w:rsidR="003B4CF2" w:rsidRPr="009E1FEE" w:rsidRDefault="003B4CF2" w:rsidP="00084D69">
          <w:pPr>
            <w:pStyle w:val="ListParagraph"/>
            <w:numPr>
              <w:ilvl w:val="0"/>
              <w:numId w:val="3"/>
            </w:numPr>
          </w:pPr>
          <w:r w:rsidRPr="009E1FEE">
            <w:t xml:space="preserve">Capital allowances: </w:t>
          </w:r>
          <w:r w:rsidRPr="009E1FEE">
            <w:rPr>
              <w:rStyle w:val="Strong"/>
            </w:rPr>
            <w:t>20% straight-line per annum</w:t>
          </w:r>
        </w:p>
        <w:p w14:paraId="63D6A94E" w14:textId="0E40F243" w:rsidR="003B4CF2" w:rsidRPr="009E1FEE" w:rsidRDefault="003B4CF2" w:rsidP="00084D69">
          <w:pPr>
            <w:pStyle w:val="ListParagraph"/>
            <w:numPr>
              <w:ilvl w:val="0"/>
              <w:numId w:val="3"/>
            </w:numPr>
          </w:pPr>
          <w:r w:rsidRPr="009E1FEE">
            <w:t xml:space="preserve">Project life: </w:t>
          </w:r>
          <w:r w:rsidRPr="009E1FEE">
            <w:rPr>
              <w:rStyle w:val="Strong"/>
            </w:rPr>
            <w:t>4 years</w:t>
          </w:r>
        </w:p>
        <w:p w14:paraId="3D29FCD0" w14:textId="347DAC0E" w:rsidR="003B4CF2" w:rsidRPr="009E1FEE" w:rsidRDefault="003B4CF2" w:rsidP="00084D69">
          <w:pPr>
            <w:pStyle w:val="ListParagraph"/>
            <w:numPr>
              <w:ilvl w:val="0"/>
              <w:numId w:val="3"/>
            </w:numPr>
          </w:pPr>
          <w:r w:rsidRPr="009E1FEE">
            <w:t>All cash flows occur at year-end</w:t>
          </w:r>
        </w:p>
        <w:p w14:paraId="19854B48" w14:textId="5382FAA5" w:rsidR="003B4CF2" w:rsidRPr="00084D69" w:rsidRDefault="00406291" w:rsidP="00084D69">
          <w:pPr>
            <w:pStyle w:val="ListParagraph"/>
            <w:numPr>
              <w:ilvl w:val="0"/>
              <w:numId w:val="3"/>
            </w:numPr>
            <w:rPr>
              <w:rFonts w:eastAsia="Times New Roman" w:cs="Times New Roman"/>
              <w:szCs w:val="24"/>
              <w:lang w:val="en-US"/>
            </w:rPr>
          </w:pPr>
          <w:r w:rsidRPr="00084D69">
            <w:rPr>
              <w:rFonts w:eastAsia="Times New Roman" w:cs="Times New Roman"/>
              <w:szCs w:val="24"/>
              <w:lang w:val="en-US"/>
            </w:rPr>
            <w:t>Capital allowances create a tax shield equal to:</w:t>
          </w:r>
          <w:r w:rsidR="009E1FEE" w:rsidRPr="00084D69">
            <w:rPr>
              <w:rFonts w:eastAsia="Times New Roman" w:cs="Times New Roman"/>
              <w:szCs w:val="24"/>
              <w:lang w:val="en-US"/>
            </w:rPr>
            <w:t xml:space="preserve"> </w:t>
          </w:r>
          <w:r w:rsidRPr="00084D69">
            <w:rPr>
              <w:rFonts w:eastAsia="Times New Roman" w:cs="Times New Roman"/>
              <w:szCs w:val="24"/>
              <w:lang w:val="en-US"/>
            </w:rPr>
            <w:t>Capital allowance × tax rate</w:t>
          </w:r>
        </w:p>
        <w:p w14:paraId="1A509D7F" w14:textId="441E6E29" w:rsidR="003B4CF2" w:rsidRPr="003B4CF2" w:rsidRDefault="009E1FEE" w:rsidP="00084D69">
          <w:pPr>
            <w:rPr>
              <w:lang w:val="en-US"/>
            </w:rPr>
          </w:pPr>
          <w:r w:rsidRPr="009E1FEE">
            <w:rPr>
              <w:lang w:val="en-US"/>
            </w:rPr>
            <w:t xml:space="preserve">This appraisal uses the methods of discounted cash flow (DCF) in order to make a comparison of the three mutually exclusive projects on a similar and value-based basis. The elevation principle is Net Present Value (NPV), which is bolstered by a rough Internal Rate of Return (IRR) to the favored decision since NPV gauges the absolute wealth produced after considering the time worth of money and the opportunity cost of capital </w:t>
          </w:r>
          <w:r w:rsidR="00114EDD" w:rsidRPr="00114EDD">
            <w:rPr>
              <w:lang w:val="en-US"/>
            </w:rPr>
            <w:t>(Bhimani, 2022)</w:t>
          </w:r>
          <w:r>
            <w:rPr>
              <w:lang w:val="en-US"/>
            </w:rPr>
            <w:t>. A discount rate of 6</w:t>
          </w:r>
          <w:r w:rsidRPr="009E1FEE">
            <w:rPr>
              <w:lang w:val="en-US"/>
            </w:rPr>
            <w:t xml:space="preserve"> percent is taken as the cost of capital by considering the discount rate required on projects of similar risk, although this does not yield the same result, and therefore the directors are advised to see the rankings in conjunction with risk and strategic fit </w:t>
          </w:r>
          <w:r w:rsidR="00114EDD" w:rsidRPr="00114EDD">
            <w:rPr>
              <w:lang w:val="en-US"/>
            </w:rPr>
            <w:t>(</w:t>
          </w:r>
          <w:proofErr w:type="spellStart"/>
          <w:r w:rsidR="00114EDD" w:rsidRPr="00114EDD">
            <w:rPr>
              <w:lang w:val="en-US"/>
            </w:rPr>
            <w:t>Atrill</w:t>
          </w:r>
          <w:proofErr w:type="spellEnd"/>
          <w:r w:rsidR="00114EDD" w:rsidRPr="00114EDD">
            <w:rPr>
              <w:lang w:val="en-US"/>
            </w:rPr>
            <w:t xml:space="preserve"> </w:t>
          </w:r>
          <w:r w:rsidR="00114EDD">
            <w:rPr>
              <w:lang w:val="en-US"/>
            </w:rPr>
            <w:t>and</w:t>
          </w:r>
          <w:r w:rsidR="00114EDD" w:rsidRPr="00114EDD">
            <w:rPr>
              <w:lang w:val="en-US"/>
            </w:rPr>
            <w:t xml:space="preserve"> </w:t>
          </w:r>
          <w:proofErr w:type="spellStart"/>
          <w:r w:rsidR="00114EDD" w:rsidRPr="00114EDD">
            <w:rPr>
              <w:lang w:val="en-US"/>
            </w:rPr>
            <w:t>McLaney</w:t>
          </w:r>
          <w:proofErr w:type="spellEnd"/>
          <w:r w:rsidR="00114EDD" w:rsidRPr="00114EDD">
            <w:rPr>
              <w:lang w:val="en-US"/>
            </w:rPr>
            <w:t>, 2025)</w:t>
          </w:r>
          <w:r w:rsidRPr="009E1FEE">
            <w:rPr>
              <w:lang w:val="en-US"/>
            </w:rPr>
            <w:t xml:space="preserve">. The cash flow will be computed as end-of-year cash flows over the 4-year horizon and transformed to after-tax cash flows at a corporate tax rate of 25. Capital allowances are calculated at 20 percent on a straight-line basis and result in tax shields every year that are added to after-tax operating cash flows, which is also in line with the standard practice of project appraisal </w:t>
          </w:r>
          <w:r w:rsidR="00114EDD" w:rsidRPr="00114EDD">
            <w:rPr>
              <w:lang w:val="en-US"/>
            </w:rPr>
            <w:t xml:space="preserve">(Drury </w:t>
          </w:r>
          <w:r w:rsidR="00114EDD">
            <w:rPr>
              <w:lang w:val="en-US"/>
            </w:rPr>
            <w:t>and</w:t>
          </w:r>
          <w:r w:rsidR="00114EDD" w:rsidRPr="00114EDD">
            <w:rPr>
              <w:lang w:val="en-US"/>
            </w:rPr>
            <w:t xml:space="preserve"> </w:t>
          </w:r>
          <w:proofErr w:type="spellStart"/>
          <w:r w:rsidR="00114EDD" w:rsidRPr="00114EDD">
            <w:rPr>
              <w:lang w:val="en-US"/>
            </w:rPr>
            <w:t>Tayles</w:t>
          </w:r>
          <w:proofErr w:type="spellEnd"/>
          <w:r w:rsidR="00114EDD" w:rsidRPr="00114EDD">
            <w:rPr>
              <w:lang w:val="en-US"/>
            </w:rPr>
            <w:t>, 2024)</w:t>
          </w:r>
          <w:r w:rsidRPr="009E1FEE">
            <w:rPr>
              <w:lang w:val="en-US"/>
            </w:rPr>
            <w:t>.</w:t>
          </w:r>
        </w:p>
        <w:p w14:paraId="3576BC9F" w14:textId="2F75F4AC" w:rsidR="00482346" w:rsidRPr="00482346" w:rsidRDefault="003210FA" w:rsidP="00084D69">
          <w:pPr>
            <w:pStyle w:val="Heading2"/>
            <w:rPr>
              <w:lang w:val="en-US"/>
            </w:rPr>
          </w:pPr>
          <w:bookmarkStart w:id="18" w:name="_Toc218972907"/>
          <w:r>
            <w:rPr>
              <w:lang w:val="en-US"/>
            </w:rPr>
            <w:t>2</w:t>
          </w:r>
          <w:r w:rsidR="00482346" w:rsidRPr="00482346">
            <w:rPr>
              <w:lang w:val="en-US"/>
            </w:rPr>
            <w:t>.</w:t>
          </w:r>
          <w:r w:rsidR="009E1FEE">
            <w:rPr>
              <w:lang w:val="en-US"/>
            </w:rPr>
            <w:t>0</w:t>
          </w:r>
          <w:r w:rsidR="00482346" w:rsidRPr="00482346">
            <w:rPr>
              <w:lang w:val="en-US"/>
            </w:rPr>
            <w:t xml:space="preserve"> Net Present Value (NPV) Evaluation</w:t>
          </w:r>
          <w:bookmarkEnd w:id="18"/>
          <w:r w:rsidR="00482346" w:rsidRPr="00482346">
            <w:rPr>
              <w:lang w:val="en-US"/>
            </w:rPr>
            <w:t xml:space="preserve"> </w:t>
          </w:r>
        </w:p>
        <w:p w14:paraId="4D163079" w14:textId="4FB3FAE4" w:rsidR="00182C60" w:rsidRDefault="003210FA" w:rsidP="00084D69">
          <w:pPr>
            <w:pStyle w:val="Heading3"/>
            <w:rPr>
              <w:lang w:val="en-US"/>
            </w:rPr>
          </w:pPr>
          <w:bookmarkStart w:id="19" w:name="_Toc218972908"/>
          <w:r>
            <w:rPr>
              <w:lang w:val="en-US"/>
            </w:rPr>
            <w:t>2</w:t>
          </w:r>
          <w:r w:rsidR="00482346" w:rsidRPr="00482346">
            <w:rPr>
              <w:lang w:val="en-US"/>
            </w:rPr>
            <w:t>.1 Capital Allowances and Tax Effects</w:t>
          </w:r>
          <w:bookmarkEnd w:id="19"/>
        </w:p>
        <w:p w14:paraId="7A4C988C" w14:textId="48D44D35" w:rsidR="00182C60" w:rsidRPr="00182C60" w:rsidRDefault="00182C60" w:rsidP="00182C60">
          <w:pPr>
            <w:pStyle w:val="Caption"/>
            <w:keepNext/>
            <w:jc w:val="center"/>
            <w:rPr>
              <w:i/>
              <w:color w:val="000000" w:themeColor="text1"/>
            </w:rPr>
          </w:pPr>
          <w:bookmarkStart w:id="20" w:name="_Toc218972927"/>
          <w:r w:rsidRPr="00182C60">
            <w:rPr>
              <w:i/>
              <w:color w:val="000000" w:themeColor="text1"/>
            </w:rPr>
            <w:t xml:space="preserve">Table </w:t>
          </w:r>
          <w:r w:rsidRPr="00182C60">
            <w:rPr>
              <w:i/>
              <w:color w:val="000000" w:themeColor="text1"/>
            </w:rPr>
            <w:fldChar w:fldCharType="begin"/>
          </w:r>
          <w:r w:rsidRPr="00182C60">
            <w:rPr>
              <w:i/>
              <w:color w:val="000000" w:themeColor="text1"/>
            </w:rPr>
            <w:instrText xml:space="preserve"> SEQ Table \* ARABIC </w:instrText>
          </w:r>
          <w:r w:rsidRPr="00182C60">
            <w:rPr>
              <w:i/>
              <w:color w:val="000000" w:themeColor="text1"/>
            </w:rPr>
            <w:fldChar w:fldCharType="separate"/>
          </w:r>
          <w:r w:rsidR="00A760D2">
            <w:rPr>
              <w:i/>
              <w:noProof/>
              <w:color w:val="000000" w:themeColor="text1"/>
            </w:rPr>
            <w:t>6</w:t>
          </w:r>
          <w:r w:rsidRPr="00182C60">
            <w:rPr>
              <w:i/>
              <w:color w:val="000000" w:themeColor="text1"/>
            </w:rPr>
            <w:fldChar w:fldCharType="end"/>
          </w:r>
          <w:r w:rsidRPr="00182C60">
            <w:rPr>
              <w:i/>
              <w:color w:val="000000" w:themeColor="text1"/>
            </w:rPr>
            <w:t>: Capital Allowances and Tax Shields (Author)</w:t>
          </w:r>
          <w:bookmarkEnd w:id="20"/>
        </w:p>
        <w:tbl>
          <w:tblPr>
            <w:tblStyle w:val="TableGrid"/>
            <w:tblW w:w="0" w:type="auto"/>
            <w:tblLook w:val="04A0" w:firstRow="1" w:lastRow="0" w:firstColumn="1" w:lastColumn="0" w:noHBand="0" w:noVBand="1"/>
          </w:tblPr>
          <w:tblGrid>
            <w:gridCol w:w="2470"/>
            <w:gridCol w:w="2200"/>
            <w:gridCol w:w="2182"/>
            <w:gridCol w:w="2164"/>
          </w:tblGrid>
          <w:tr w:rsidR="00182C60" w:rsidRPr="00182C60" w14:paraId="795D2188" w14:textId="77777777" w:rsidTr="00182C60">
            <w:trPr>
              <w:trHeight w:val="570"/>
            </w:trPr>
            <w:tc>
              <w:tcPr>
                <w:tcW w:w="2533" w:type="dxa"/>
                <w:noWrap/>
                <w:hideMark/>
              </w:tcPr>
              <w:p w14:paraId="717EFF37" w14:textId="77777777" w:rsidR="00182C60" w:rsidRPr="00182C60" w:rsidRDefault="00182C60" w:rsidP="00182C60">
                <w:r w:rsidRPr="00182C60">
                  <w:t>Option</w:t>
                </w:r>
              </w:p>
            </w:tc>
            <w:tc>
              <w:tcPr>
                <w:tcW w:w="2255" w:type="dxa"/>
                <w:noWrap/>
                <w:hideMark/>
              </w:tcPr>
              <w:p w14:paraId="3011C696" w14:textId="77777777" w:rsidR="00182C60" w:rsidRPr="00182C60" w:rsidRDefault="00182C60">
                <w:r w:rsidRPr="00182C60">
                  <w:t>Initial Investment (£000)</w:t>
                </w:r>
              </w:p>
            </w:tc>
            <w:tc>
              <w:tcPr>
                <w:tcW w:w="2236" w:type="dxa"/>
                <w:noWrap/>
                <w:hideMark/>
              </w:tcPr>
              <w:p w14:paraId="34FC27A8" w14:textId="77777777" w:rsidR="00182C60" w:rsidRPr="00182C60" w:rsidRDefault="00182C60">
                <w:r w:rsidRPr="00182C60">
                  <w:t>Annual Allowance (20%)</w:t>
                </w:r>
              </w:p>
            </w:tc>
            <w:tc>
              <w:tcPr>
                <w:tcW w:w="2218" w:type="dxa"/>
                <w:noWrap/>
                <w:hideMark/>
              </w:tcPr>
              <w:p w14:paraId="488A3697" w14:textId="77777777" w:rsidR="00182C60" w:rsidRPr="00182C60" w:rsidRDefault="00182C60">
                <w:r w:rsidRPr="00182C60">
                  <w:t>Annual Tax Shield (25%)</w:t>
                </w:r>
              </w:p>
            </w:tc>
          </w:tr>
          <w:tr w:rsidR="00182C60" w:rsidRPr="00182C60" w14:paraId="70CD60C0" w14:textId="77777777" w:rsidTr="00182C60">
            <w:trPr>
              <w:trHeight w:val="300"/>
            </w:trPr>
            <w:tc>
              <w:tcPr>
                <w:tcW w:w="2533" w:type="dxa"/>
                <w:noWrap/>
                <w:hideMark/>
              </w:tcPr>
              <w:p w14:paraId="04DC6714" w14:textId="77777777" w:rsidR="00182C60" w:rsidRPr="00182C60" w:rsidRDefault="00182C60">
                <w:r w:rsidRPr="00182C60">
                  <w:t>A</w:t>
                </w:r>
              </w:p>
            </w:tc>
            <w:tc>
              <w:tcPr>
                <w:tcW w:w="2255" w:type="dxa"/>
                <w:noWrap/>
                <w:hideMark/>
              </w:tcPr>
              <w:p w14:paraId="166B29BC" w14:textId="77777777" w:rsidR="00182C60" w:rsidRPr="00182C60" w:rsidRDefault="00182C60" w:rsidP="00182C60">
                <w:r w:rsidRPr="00182C60">
                  <w:t>600</w:t>
                </w:r>
              </w:p>
            </w:tc>
            <w:tc>
              <w:tcPr>
                <w:tcW w:w="2236" w:type="dxa"/>
                <w:noWrap/>
                <w:hideMark/>
              </w:tcPr>
              <w:p w14:paraId="282CBF01" w14:textId="77777777" w:rsidR="00182C60" w:rsidRPr="00182C60" w:rsidRDefault="00182C60" w:rsidP="00182C60">
                <w:r w:rsidRPr="00182C60">
                  <w:t>120</w:t>
                </w:r>
              </w:p>
            </w:tc>
            <w:tc>
              <w:tcPr>
                <w:tcW w:w="2218" w:type="dxa"/>
                <w:noWrap/>
                <w:hideMark/>
              </w:tcPr>
              <w:p w14:paraId="57A85B8F" w14:textId="77777777" w:rsidR="00182C60" w:rsidRPr="00182C60" w:rsidRDefault="00182C60" w:rsidP="00182C60">
                <w:r w:rsidRPr="00182C60">
                  <w:t>30</w:t>
                </w:r>
              </w:p>
            </w:tc>
          </w:tr>
          <w:tr w:rsidR="00182C60" w:rsidRPr="00182C60" w14:paraId="7EF07882" w14:textId="77777777" w:rsidTr="00182C60">
            <w:trPr>
              <w:trHeight w:val="300"/>
            </w:trPr>
            <w:tc>
              <w:tcPr>
                <w:tcW w:w="2533" w:type="dxa"/>
                <w:noWrap/>
                <w:hideMark/>
              </w:tcPr>
              <w:p w14:paraId="1205A3DC" w14:textId="77777777" w:rsidR="00182C60" w:rsidRPr="00182C60" w:rsidRDefault="00182C60">
                <w:r w:rsidRPr="00182C60">
                  <w:t>B</w:t>
                </w:r>
              </w:p>
            </w:tc>
            <w:tc>
              <w:tcPr>
                <w:tcW w:w="2255" w:type="dxa"/>
                <w:noWrap/>
                <w:hideMark/>
              </w:tcPr>
              <w:p w14:paraId="7D6BD701" w14:textId="77777777" w:rsidR="00182C60" w:rsidRPr="00182C60" w:rsidRDefault="00182C60" w:rsidP="00182C60">
                <w:r w:rsidRPr="00182C60">
                  <w:t>1,000</w:t>
                </w:r>
              </w:p>
            </w:tc>
            <w:tc>
              <w:tcPr>
                <w:tcW w:w="2236" w:type="dxa"/>
                <w:noWrap/>
                <w:hideMark/>
              </w:tcPr>
              <w:p w14:paraId="2D244863" w14:textId="77777777" w:rsidR="00182C60" w:rsidRPr="00182C60" w:rsidRDefault="00182C60" w:rsidP="00182C60">
                <w:r w:rsidRPr="00182C60">
                  <w:t>200</w:t>
                </w:r>
              </w:p>
            </w:tc>
            <w:tc>
              <w:tcPr>
                <w:tcW w:w="2218" w:type="dxa"/>
                <w:noWrap/>
                <w:hideMark/>
              </w:tcPr>
              <w:p w14:paraId="63F9BDBA" w14:textId="77777777" w:rsidR="00182C60" w:rsidRPr="00182C60" w:rsidRDefault="00182C60" w:rsidP="00182C60">
                <w:r w:rsidRPr="00182C60">
                  <w:t>50</w:t>
                </w:r>
              </w:p>
            </w:tc>
          </w:tr>
          <w:tr w:rsidR="00182C60" w:rsidRPr="00182C60" w14:paraId="67AD95E3" w14:textId="77777777" w:rsidTr="00182C60">
            <w:trPr>
              <w:trHeight w:val="315"/>
            </w:trPr>
            <w:tc>
              <w:tcPr>
                <w:tcW w:w="2533" w:type="dxa"/>
                <w:noWrap/>
                <w:hideMark/>
              </w:tcPr>
              <w:p w14:paraId="6A4C21AA" w14:textId="77777777" w:rsidR="00182C60" w:rsidRPr="00182C60" w:rsidRDefault="00182C60">
                <w:r w:rsidRPr="00182C60">
                  <w:t>C</w:t>
                </w:r>
              </w:p>
            </w:tc>
            <w:tc>
              <w:tcPr>
                <w:tcW w:w="2255" w:type="dxa"/>
                <w:noWrap/>
                <w:hideMark/>
              </w:tcPr>
              <w:p w14:paraId="05B45C24" w14:textId="77777777" w:rsidR="00182C60" w:rsidRPr="00182C60" w:rsidRDefault="00182C60" w:rsidP="00182C60">
                <w:r w:rsidRPr="00182C60">
                  <w:t>1,600</w:t>
                </w:r>
              </w:p>
            </w:tc>
            <w:tc>
              <w:tcPr>
                <w:tcW w:w="2236" w:type="dxa"/>
                <w:noWrap/>
                <w:hideMark/>
              </w:tcPr>
              <w:p w14:paraId="733F7B56" w14:textId="77777777" w:rsidR="00182C60" w:rsidRPr="00182C60" w:rsidRDefault="00182C60" w:rsidP="00182C60">
                <w:r w:rsidRPr="00182C60">
                  <w:t>320</w:t>
                </w:r>
              </w:p>
            </w:tc>
            <w:tc>
              <w:tcPr>
                <w:tcW w:w="2218" w:type="dxa"/>
                <w:noWrap/>
                <w:hideMark/>
              </w:tcPr>
              <w:p w14:paraId="656B7D2A" w14:textId="77777777" w:rsidR="00182C60" w:rsidRPr="00182C60" w:rsidRDefault="00182C60" w:rsidP="00182C60">
                <w:r w:rsidRPr="00182C60">
                  <w:t>80</w:t>
                </w:r>
              </w:p>
            </w:tc>
          </w:tr>
        </w:tbl>
        <w:p w14:paraId="272EDF1E" w14:textId="674E753C" w:rsidR="00482346" w:rsidRPr="00482346" w:rsidRDefault="00482346" w:rsidP="00182C60">
          <w:pPr>
            <w:rPr>
              <w:lang w:val="en-US"/>
            </w:rPr>
          </w:pPr>
          <w:r w:rsidRPr="00482346">
            <w:rPr>
              <w:lang w:val="en-US"/>
            </w:rPr>
            <w:t xml:space="preserve"> </w:t>
          </w:r>
        </w:p>
        <w:p w14:paraId="6C81F2EC" w14:textId="56977690" w:rsidR="009E1FEE" w:rsidRPr="0050152B" w:rsidRDefault="009E1FEE" w:rsidP="00084D69">
          <w:pPr>
            <w:rPr>
              <w:lang w:val="en-US"/>
            </w:rPr>
          </w:pPr>
          <w:r w:rsidRPr="009E1FEE">
            <w:rPr>
              <w:lang w:val="en-US"/>
            </w:rPr>
            <w:lastRenderedPageBreak/>
            <w:t>The Westward Plc investment appraisal is based on after-tax returns because taxation is a bona fide cash outflow, which has a direct effect on the wealth of the shareholders. Corporation tax will be paid on the annual operating cash flows of 25 percent and 20 percent capital allowances over each option on a straight-line basis. Capital allowances, though non-cash accounting expenses, do create equal tax shields as the allowance times the tax rate, which increases the net project cash inflows (</w:t>
          </w:r>
          <w:r w:rsidR="00114EDD" w:rsidRPr="00114EDD">
            <w:rPr>
              <w:lang w:val="en-US"/>
            </w:rPr>
            <w:t>Penman, 2010)</w:t>
          </w:r>
          <w:r w:rsidRPr="009E1FEE">
            <w:rPr>
              <w:lang w:val="en-US"/>
            </w:rPr>
            <w:t xml:space="preserve">. Table 3.1 indicates that the annual tax shield represents the maximum (£80k) in Option C because it is more capital intensive but the lowest of all (£30k) in Option A. Omission of tax shields would significantly underestimate capital-intensive projects and will lead to an inaccurate inter-project comparison, making it critically important to capture the project on the unbiased NPV evaluation </w:t>
          </w:r>
          <w:r w:rsidR="00114EDD" w:rsidRPr="00114EDD">
            <w:rPr>
              <w:lang w:val="en-US"/>
            </w:rPr>
            <w:t>(Kersten et al., 2017)</w:t>
          </w:r>
          <w:r w:rsidRPr="009E1FEE">
            <w:rPr>
              <w:lang w:val="en-US"/>
            </w:rPr>
            <w:t>.</w:t>
          </w:r>
        </w:p>
        <w:p w14:paraId="50514730" w14:textId="3DA4F13B" w:rsidR="009E1FEE" w:rsidRPr="009E1FEE" w:rsidRDefault="003210FA" w:rsidP="00084D69">
          <w:pPr>
            <w:pStyle w:val="Heading3"/>
            <w:rPr>
              <w:lang w:val="en-US"/>
            </w:rPr>
          </w:pPr>
          <w:bookmarkStart w:id="21" w:name="_Toc218972909"/>
          <w:r>
            <w:rPr>
              <w:lang w:val="en-US"/>
            </w:rPr>
            <w:t>2</w:t>
          </w:r>
          <w:r w:rsidR="009E1FEE" w:rsidRPr="009E1FEE">
            <w:rPr>
              <w:lang w:val="en-US"/>
            </w:rPr>
            <w:t>.2 NPV of O</w:t>
          </w:r>
          <w:r w:rsidR="009E1FEE">
            <w:rPr>
              <w:lang w:val="en-US"/>
            </w:rPr>
            <w:t>ptions A, B, and C Calculations</w:t>
          </w:r>
          <w:bookmarkEnd w:id="21"/>
        </w:p>
        <w:p w14:paraId="7514F546" w14:textId="5B0FB517" w:rsidR="009E1FEE" w:rsidRDefault="009E1FEE" w:rsidP="00084D69">
          <w:pPr>
            <w:rPr>
              <w:lang w:val="en-US"/>
            </w:rPr>
          </w:pPr>
          <w:r w:rsidRPr="009E1FEE">
            <w:rPr>
              <w:lang w:val="en-US"/>
            </w:rPr>
            <w:t>Computation of NPVs of Options A, B, and C is done by discounting after-tax cash flows containing tax shields at a 6 percent discount rate, which is then subtracted from the initial investment. All the calculations in detail are made in the appended tables, and a summary is provided in the NPV Results Table.</w:t>
          </w:r>
        </w:p>
        <w:p w14:paraId="77D58013" w14:textId="04B8BDD9" w:rsidR="00182C60" w:rsidRPr="00182C60" w:rsidRDefault="00182C60" w:rsidP="00182C60">
          <w:pPr>
            <w:pStyle w:val="Caption"/>
            <w:keepNext/>
            <w:jc w:val="center"/>
            <w:rPr>
              <w:i/>
              <w:color w:val="000000" w:themeColor="text1"/>
            </w:rPr>
          </w:pPr>
          <w:bookmarkStart w:id="22" w:name="_Toc218972928"/>
          <w:r w:rsidRPr="00182C60">
            <w:rPr>
              <w:i/>
              <w:color w:val="000000" w:themeColor="text1"/>
            </w:rPr>
            <w:t xml:space="preserve">Table </w:t>
          </w:r>
          <w:r w:rsidRPr="00182C60">
            <w:rPr>
              <w:i/>
              <w:color w:val="000000" w:themeColor="text1"/>
            </w:rPr>
            <w:fldChar w:fldCharType="begin"/>
          </w:r>
          <w:r w:rsidRPr="00182C60">
            <w:rPr>
              <w:i/>
              <w:color w:val="000000" w:themeColor="text1"/>
            </w:rPr>
            <w:instrText xml:space="preserve"> SEQ Table \* ARABIC </w:instrText>
          </w:r>
          <w:r w:rsidRPr="00182C60">
            <w:rPr>
              <w:i/>
              <w:color w:val="000000" w:themeColor="text1"/>
            </w:rPr>
            <w:fldChar w:fldCharType="separate"/>
          </w:r>
          <w:r w:rsidR="00A760D2">
            <w:rPr>
              <w:i/>
              <w:noProof/>
              <w:color w:val="000000" w:themeColor="text1"/>
            </w:rPr>
            <w:t>7</w:t>
          </w:r>
          <w:r w:rsidRPr="00182C60">
            <w:rPr>
              <w:i/>
              <w:color w:val="000000" w:themeColor="text1"/>
            </w:rPr>
            <w:fldChar w:fldCharType="end"/>
          </w:r>
          <w:r w:rsidRPr="00182C60">
            <w:rPr>
              <w:i/>
              <w:color w:val="000000" w:themeColor="text1"/>
            </w:rPr>
            <w:t xml:space="preserve">: </w:t>
          </w:r>
          <w:r w:rsidRPr="00182C60">
            <w:rPr>
              <w:i/>
              <w:color w:val="000000" w:themeColor="text1"/>
              <w:lang w:val="en-US"/>
            </w:rPr>
            <w:t>NPV of Options A, B, and C Calculations (Author)</w:t>
          </w:r>
          <w:bookmarkEnd w:id="22"/>
        </w:p>
        <w:p w14:paraId="2688426C" w14:textId="2FA549F7" w:rsidR="00182C60" w:rsidRPr="009E1FEE" w:rsidRDefault="00182C60" w:rsidP="00182C60">
          <w:pPr>
            <w:jc w:val="center"/>
            <w:rPr>
              <w:lang w:val="en-US"/>
            </w:rPr>
          </w:pPr>
          <w:r w:rsidRPr="00182C60">
            <w:rPr>
              <w:noProof/>
              <w:lang w:val="en-US"/>
            </w:rPr>
            <w:drawing>
              <wp:inline distT="0" distB="0" distL="0" distR="0" wp14:anchorId="696E3EA0" wp14:editId="73D97F48">
                <wp:extent cx="6015478" cy="40005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18085" cy="4002234"/>
                        </a:xfrm>
                        <a:prstGeom prst="rect">
                          <a:avLst/>
                        </a:prstGeom>
                        <a:noFill/>
                        <a:ln>
                          <a:noFill/>
                        </a:ln>
                      </pic:spPr>
                    </pic:pic>
                  </a:graphicData>
                </a:graphic>
              </wp:inline>
            </w:drawing>
          </w:r>
        </w:p>
        <w:p w14:paraId="1DA5803A" w14:textId="284D80E9" w:rsidR="009E1FEE" w:rsidRPr="009E1FEE" w:rsidRDefault="009E1FEE" w:rsidP="00084D69">
          <w:pPr>
            <w:rPr>
              <w:lang w:val="en-US"/>
            </w:rPr>
          </w:pPr>
          <w:r w:rsidRPr="009E1FEE">
            <w:rPr>
              <w:lang w:val="en-US"/>
            </w:rPr>
            <w:lastRenderedPageBreak/>
            <w:t>In the first alternative, there is a total present value of £1243.2k that entails an NPV of 643.2k. Its cash flows increase consistently in the four years of analysis, but the amount of inflows to its values remains rather small due to its comparably limited scale. Option B gives a present value of the greater amount of £1792.3k and an NPV of 792.3k, which is the strongest amongst all three options. This is a result of the rapid increase in cash flows in Years 3 and 4, representing scalability and increased growth potential, which is rewarded in the framework of the discounted cash flow analysis (</w:t>
          </w:r>
          <w:r w:rsidR="00114EDD" w:rsidRPr="00114EDD">
            <w:rPr>
              <w:lang w:val="en-US"/>
            </w:rPr>
            <w:t>Berk et al., 2019)</w:t>
          </w:r>
          <w:r w:rsidRPr="009E1FEE">
            <w:rPr>
              <w:lang w:val="en-US"/>
            </w:rPr>
            <w:t>. Although on cash inflows, Option C provides the greatest absolute present value of cash inflows (£2342.5 1000), its NPV is less than that of Option B at 742.5 1000 as a result of a considera</w:t>
          </w:r>
          <w:r>
            <w:rPr>
              <w:lang w:val="en-US"/>
            </w:rPr>
            <w:t>ble initial investment of 1.6m.</w:t>
          </w:r>
        </w:p>
        <w:p w14:paraId="632184A4" w14:textId="17C502EA" w:rsidR="00482346" w:rsidRPr="00482346" w:rsidRDefault="009E1FEE" w:rsidP="00084D69">
          <w:pPr>
            <w:rPr>
              <w:lang w:val="en-US"/>
            </w:rPr>
          </w:pPr>
          <w:r w:rsidRPr="009E1FEE">
            <w:rPr>
              <w:lang w:val="en-US"/>
            </w:rPr>
            <w:t>This is one of the most interesting comparisons of NPV: it takes into account not just the size of an inflow but also when it comes in (both delivered and received).</w:t>
          </w:r>
        </w:p>
        <w:p w14:paraId="189AAD6B" w14:textId="77777777" w:rsidR="00182C60" w:rsidRDefault="00182C60">
          <w:pPr>
            <w:spacing w:line="259" w:lineRule="auto"/>
            <w:jc w:val="left"/>
            <w:rPr>
              <w:rFonts w:eastAsiaTheme="majorEastAsia" w:cstheme="majorBidi"/>
              <w:b/>
              <w:bCs/>
              <w:i/>
              <w:sz w:val="26"/>
              <w:lang w:val="en-US"/>
            </w:rPr>
          </w:pPr>
          <w:r>
            <w:rPr>
              <w:lang w:val="en-US"/>
            </w:rPr>
            <w:br w:type="page"/>
          </w:r>
        </w:p>
        <w:p w14:paraId="17EA8649" w14:textId="02F50F93" w:rsidR="00482346" w:rsidRDefault="003210FA" w:rsidP="00084D69">
          <w:pPr>
            <w:pStyle w:val="Heading3"/>
            <w:rPr>
              <w:lang w:val="en-US"/>
            </w:rPr>
          </w:pPr>
          <w:bookmarkStart w:id="23" w:name="_Toc218972910"/>
          <w:r>
            <w:rPr>
              <w:lang w:val="en-US"/>
            </w:rPr>
            <w:lastRenderedPageBreak/>
            <w:t>2</w:t>
          </w:r>
          <w:r w:rsidR="00482346" w:rsidRPr="00482346">
            <w:rPr>
              <w:lang w:val="en-US"/>
            </w:rPr>
            <w:t>.3 NPV Ranking and Recommendation</w:t>
          </w:r>
          <w:bookmarkEnd w:id="23"/>
          <w:r w:rsidR="00482346" w:rsidRPr="00482346">
            <w:rPr>
              <w:lang w:val="en-US"/>
            </w:rPr>
            <w:t xml:space="preserve"> </w:t>
          </w:r>
        </w:p>
        <w:p w14:paraId="16C79FE9" w14:textId="2A04EFE3" w:rsidR="00182C60" w:rsidRPr="00182C60" w:rsidRDefault="00182C60" w:rsidP="00182C60">
          <w:pPr>
            <w:pStyle w:val="Caption"/>
            <w:keepNext/>
            <w:jc w:val="center"/>
            <w:rPr>
              <w:i/>
              <w:color w:val="000000" w:themeColor="text1"/>
            </w:rPr>
          </w:pPr>
          <w:bookmarkStart w:id="24" w:name="_Toc218972929"/>
          <w:r w:rsidRPr="00182C60">
            <w:rPr>
              <w:i/>
              <w:color w:val="000000" w:themeColor="text1"/>
            </w:rPr>
            <w:t xml:space="preserve">Table </w:t>
          </w:r>
          <w:r w:rsidRPr="00182C60">
            <w:rPr>
              <w:i/>
              <w:color w:val="000000" w:themeColor="text1"/>
            </w:rPr>
            <w:fldChar w:fldCharType="begin"/>
          </w:r>
          <w:r w:rsidRPr="00182C60">
            <w:rPr>
              <w:i/>
              <w:color w:val="000000" w:themeColor="text1"/>
            </w:rPr>
            <w:instrText xml:space="preserve"> SEQ Table \* ARABIC </w:instrText>
          </w:r>
          <w:r w:rsidRPr="00182C60">
            <w:rPr>
              <w:i/>
              <w:color w:val="000000" w:themeColor="text1"/>
            </w:rPr>
            <w:fldChar w:fldCharType="separate"/>
          </w:r>
          <w:r w:rsidR="00A760D2">
            <w:rPr>
              <w:i/>
              <w:noProof/>
              <w:color w:val="000000" w:themeColor="text1"/>
            </w:rPr>
            <w:t>8</w:t>
          </w:r>
          <w:r w:rsidRPr="00182C60">
            <w:rPr>
              <w:i/>
              <w:color w:val="000000" w:themeColor="text1"/>
            </w:rPr>
            <w:fldChar w:fldCharType="end"/>
          </w:r>
          <w:r w:rsidRPr="00182C60">
            <w:rPr>
              <w:i/>
              <w:color w:val="000000" w:themeColor="text1"/>
            </w:rPr>
            <w:t>: Summary of NPV Results</w:t>
          </w:r>
          <w:r>
            <w:rPr>
              <w:i/>
              <w:color w:val="000000" w:themeColor="text1"/>
            </w:rPr>
            <w:t xml:space="preserve"> (Author)</w:t>
          </w:r>
          <w:bookmarkEnd w:id="24"/>
        </w:p>
        <w:tbl>
          <w:tblPr>
            <w:tblStyle w:val="TableGrid"/>
            <w:tblW w:w="0" w:type="auto"/>
            <w:jc w:val="center"/>
            <w:tblLook w:val="04A0" w:firstRow="1" w:lastRow="0" w:firstColumn="1" w:lastColumn="0" w:noHBand="0" w:noVBand="1"/>
          </w:tblPr>
          <w:tblGrid>
            <w:gridCol w:w="2080"/>
            <w:gridCol w:w="1720"/>
            <w:gridCol w:w="1280"/>
            <w:gridCol w:w="1540"/>
          </w:tblGrid>
          <w:tr w:rsidR="00182C60" w:rsidRPr="00182C60" w14:paraId="4A7950C7" w14:textId="77777777" w:rsidTr="00182C60">
            <w:trPr>
              <w:trHeight w:val="570"/>
              <w:jc w:val="center"/>
            </w:trPr>
            <w:tc>
              <w:tcPr>
                <w:tcW w:w="2080" w:type="dxa"/>
                <w:hideMark/>
              </w:tcPr>
              <w:p w14:paraId="238D9E22" w14:textId="77777777" w:rsidR="00182C60" w:rsidRPr="00182C60" w:rsidRDefault="00182C60" w:rsidP="00182C60">
                <w:pPr>
                  <w:rPr>
                    <w:b/>
                    <w:bCs/>
                  </w:rPr>
                </w:pPr>
                <w:r w:rsidRPr="00182C60">
                  <w:rPr>
                    <w:b/>
                    <w:bCs/>
                  </w:rPr>
                  <w:t>Option</w:t>
                </w:r>
              </w:p>
            </w:tc>
            <w:tc>
              <w:tcPr>
                <w:tcW w:w="1720" w:type="dxa"/>
                <w:hideMark/>
              </w:tcPr>
              <w:p w14:paraId="0AF84DEE" w14:textId="77777777" w:rsidR="00182C60" w:rsidRPr="00182C60" w:rsidRDefault="00182C60" w:rsidP="00182C60">
                <w:pPr>
                  <w:rPr>
                    <w:b/>
                    <w:bCs/>
                  </w:rPr>
                </w:pPr>
                <w:r w:rsidRPr="00182C60">
                  <w:rPr>
                    <w:b/>
                    <w:bCs/>
                  </w:rPr>
                  <w:t>Initial Cost</w:t>
                </w:r>
              </w:p>
            </w:tc>
            <w:tc>
              <w:tcPr>
                <w:tcW w:w="1280" w:type="dxa"/>
                <w:hideMark/>
              </w:tcPr>
              <w:p w14:paraId="72D25330" w14:textId="77777777" w:rsidR="00182C60" w:rsidRPr="00182C60" w:rsidRDefault="00182C60" w:rsidP="00182C60">
                <w:pPr>
                  <w:rPr>
                    <w:b/>
                    <w:bCs/>
                  </w:rPr>
                </w:pPr>
                <w:r w:rsidRPr="00182C60">
                  <w:rPr>
                    <w:b/>
                    <w:bCs/>
                  </w:rPr>
                  <w:t>NPV (£’000)</w:t>
                </w:r>
              </w:p>
            </w:tc>
            <w:tc>
              <w:tcPr>
                <w:tcW w:w="1540" w:type="dxa"/>
                <w:hideMark/>
              </w:tcPr>
              <w:p w14:paraId="09CE4D54" w14:textId="77777777" w:rsidR="00182C60" w:rsidRPr="00182C60" w:rsidRDefault="00182C60" w:rsidP="00182C60">
                <w:pPr>
                  <w:rPr>
                    <w:b/>
                    <w:bCs/>
                  </w:rPr>
                </w:pPr>
                <w:r w:rsidRPr="00182C60">
                  <w:rPr>
                    <w:b/>
                    <w:bCs/>
                  </w:rPr>
                  <w:t>Ranking</w:t>
                </w:r>
              </w:p>
            </w:tc>
          </w:tr>
          <w:tr w:rsidR="00182C60" w:rsidRPr="00182C60" w14:paraId="6CF598F0" w14:textId="77777777" w:rsidTr="00182C60">
            <w:trPr>
              <w:trHeight w:val="300"/>
              <w:jc w:val="center"/>
            </w:trPr>
            <w:tc>
              <w:tcPr>
                <w:tcW w:w="2080" w:type="dxa"/>
                <w:hideMark/>
              </w:tcPr>
              <w:p w14:paraId="2B1CC427" w14:textId="77777777" w:rsidR="00182C60" w:rsidRPr="00182C60" w:rsidRDefault="00182C60">
                <w:r w:rsidRPr="00182C60">
                  <w:t>A</w:t>
                </w:r>
              </w:p>
            </w:tc>
            <w:tc>
              <w:tcPr>
                <w:tcW w:w="1720" w:type="dxa"/>
                <w:hideMark/>
              </w:tcPr>
              <w:p w14:paraId="099DC830" w14:textId="77777777" w:rsidR="00182C60" w:rsidRPr="00182C60" w:rsidRDefault="00182C60" w:rsidP="00182C60">
                <w:r w:rsidRPr="00182C60">
                  <w:t>600</w:t>
                </w:r>
              </w:p>
            </w:tc>
            <w:tc>
              <w:tcPr>
                <w:tcW w:w="1280" w:type="dxa"/>
                <w:hideMark/>
              </w:tcPr>
              <w:p w14:paraId="05159FE0" w14:textId="77777777" w:rsidR="00182C60" w:rsidRPr="00182C60" w:rsidRDefault="00182C60" w:rsidP="00182C60">
                <w:r w:rsidRPr="00182C60">
                  <w:t>643.2</w:t>
                </w:r>
              </w:p>
            </w:tc>
            <w:tc>
              <w:tcPr>
                <w:tcW w:w="1540" w:type="dxa"/>
                <w:hideMark/>
              </w:tcPr>
              <w:p w14:paraId="29A2FDF6" w14:textId="77777777" w:rsidR="00182C60" w:rsidRPr="00182C60" w:rsidRDefault="00182C60">
                <w:r w:rsidRPr="00182C60">
                  <w:t>3rd</w:t>
                </w:r>
              </w:p>
            </w:tc>
          </w:tr>
          <w:tr w:rsidR="00182C60" w:rsidRPr="00182C60" w14:paraId="0BFB3F5B" w14:textId="77777777" w:rsidTr="00182C60">
            <w:trPr>
              <w:trHeight w:val="300"/>
              <w:jc w:val="center"/>
            </w:trPr>
            <w:tc>
              <w:tcPr>
                <w:tcW w:w="2080" w:type="dxa"/>
                <w:hideMark/>
              </w:tcPr>
              <w:p w14:paraId="24F90F79" w14:textId="77777777" w:rsidR="00182C60" w:rsidRPr="00182C60" w:rsidRDefault="00182C60">
                <w:r w:rsidRPr="00182C60">
                  <w:t>B</w:t>
                </w:r>
              </w:p>
            </w:tc>
            <w:tc>
              <w:tcPr>
                <w:tcW w:w="1720" w:type="dxa"/>
                <w:hideMark/>
              </w:tcPr>
              <w:p w14:paraId="01D3582C" w14:textId="77777777" w:rsidR="00182C60" w:rsidRPr="00182C60" w:rsidRDefault="00182C60" w:rsidP="00182C60">
                <w:r w:rsidRPr="00182C60">
                  <w:t>1,000</w:t>
                </w:r>
              </w:p>
            </w:tc>
            <w:tc>
              <w:tcPr>
                <w:tcW w:w="1280" w:type="dxa"/>
                <w:hideMark/>
              </w:tcPr>
              <w:p w14:paraId="23EA40D7" w14:textId="77777777" w:rsidR="00182C60" w:rsidRPr="00182C60" w:rsidRDefault="00182C60" w:rsidP="00182C60">
                <w:pPr>
                  <w:rPr>
                    <w:b/>
                    <w:bCs/>
                  </w:rPr>
                </w:pPr>
                <w:r w:rsidRPr="00182C60">
                  <w:rPr>
                    <w:b/>
                    <w:bCs/>
                  </w:rPr>
                  <w:t>792.3</w:t>
                </w:r>
              </w:p>
            </w:tc>
            <w:tc>
              <w:tcPr>
                <w:tcW w:w="1540" w:type="dxa"/>
                <w:hideMark/>
              </w:tcPr>
              <w:p w14:paraId="6CC63C11" w14:textId="77777777" w:rsidR="00182C60" w:rsidRPr="00182C60" w:rsidRDefault="00182C60">
                <w:pPr>
                  <w:rPr>
                    <w:b/>
                    <w:bCs/>
                  </w:rPr>
                </w:pPr>
                <w:r w:rsidRPr="00182C60">
                  <w:rPr>
                    <w:b/>
                    <w:bCs/>
                  </w:rPr>
                  <w:t>1st</w:t>
                </w:r>
              </w:p>
            </w:tc>
          </w:tr>
          <w:tr w:rsidR="00182C60" w:rsidRPr="00182C60" w14:paraId="4E178F93" w14:textId="77777777" w:rsidTr="00182C60">
            <w:trPr>
              <w:trHeight w:val="315"/>
              <w:jc w:val="center"/>
            </w:trPr>
            <w:tc>
              <w:tcPr>
                <w:tcW w:w="2080" w:type="dxa"/>
                <w:hideMark/>
              </w:tcPr>
              <w:p w14:paraId="40BA3E2E" w14:textId="77777777" w:rsidR="00182C60" w:rsidRPr="00182C60" w:rsidRDefault="00182C60">
                <w:r w:rsidRPr="00182C60">
                  <w:t>C</w:t>
                </w:r>
              </w:p>
            </w:tc>
            <w:tc>
              <w:tcPr>
                <w:tcW w:w="1720" w:type="dxa"/>
                <w:hideMark/>
              </w:tcPr>
              <w:p w14:paraId="43F0466C" w14:textId="77777777" w:rsidR="00182C60" w:rsidRPr="00182C60" w:rsidRDefault="00182C60" w:rsidP="00182C60">
                <w:r w:rsidRPr="00182C60">
                  <w:t>1,600</w:t>
                </w:r>
              </w:p>
            </w:tc>
            <w:tc>
              <w:tcPr>
                <w:tcW w:w="1280" w:type="dxa"/>
                <w:hideMark/>
              </w:tcPr>
              <w:p w14:paraId="73CA83A9" w14:textId="77777777" w:rsidR="00182C60" w:rsidRPr="00182C60" w:rsidRDefault="00182C60" w:rsidP="00182C60">
                <w:r w:rsidRPr="00182C60">
                  <w:t>742.6</w:t>
                </w:r>
              </w:p>
            </w:tc>
            <w:tc>
              <w:tcPr>
                <w:tcW w:w="1540" w:type="dxa"/>
                <w:hideMark/>
              </w:tcPr>
              <w:p w14:paraId="3B29CFD9" w14:textId="77777777" w:rsidR="00182C60" w:rsidRPr="00182C60" w:rsidRDefault="00182C60">
                <w:r w:rsidRPr="00182C60">
                  <w:t>2nd</w:t>
                </w:r>
              </w:p>
            </w:tc>
          </w:tr>
        </w:tbl>
        <w:p w14:paraId="7F61E8B1" w14:textId="77777777" w:rsidR="00182C60" w:rsidRPr="00182C60" w:rsidRDefault="00182C60" w:rsidP="00182C60">
          <w:pPr>
            <w:rPr>
              <w:lang w:val="en-US"/>
            </w:rPr>
          </w:pPr>
        </w:p>
        <w:p w14:paraId="78FC6AE7" w14:textId="3CBBB26E" w:rsidR="0050152B" w:rsidRPr="0050152B" w:rsidRDefault="0050152B" w:rsidP="00084D69">
          <w:pPr>
            <w:rPr>
              <w:rFonts w:eastAsia="Times New Roman" w:cs="Times New Roman"/>
              <w:szCs w:val="24"/>
              <w:lang w:val="en-US"/>
            </w:rPr>
          </w:pPr>
          <w:r w:rsidRPr="0050152B">
            <w:rPr>
              <w:rFonts w:eastAsia="Times New Roman" w:cs="Times New Roman"/>
              <w:szCs w:val="24"/>
              <w:lang w:val="en-US"/>
            </w:rPr>
            <w:t>According to the NPV results, the projects will be sorted as follows: Option B (first), Option C (second), and Option A (third). Option B makes more financial sense, as it will provide the best positive NPV, thus maximizing shareholder wealth. The corporate finance theory explains that a mutually exclusive project should be chosen, which has the highest NPV, provided there has been a strategic and operational f</w:t>
          </w:r>
          <w:r>
            <w:rPr>
              <w:rFonts w:eastAsia="Times New Roman" w:cs="Times New Roman"/>
              <w:szCs w:val="24"/>
              <w:lang w:val="en-US"/>
            </w:rPr>
            <w:t xml:space="preserve">easibility </w:t>
          </w:r>
          <w:r w:rsidR="00114EDD" w:rsidRPr="00114EDD">
            <w:rPr>
              <w:rFonts w:eastAsia="Times New Roman" w:cs="Times New Roman"/>
              <w:szCs w:val="24"/>
              <w:lang w:val="en-US"/>
            </w:rPr>
            <w:t>(Ross et al., 2016)</w:t>
          </w:r>
          <w:r>
            <w:rPr>
              <w:rFonts w:eastAsia="Times New Roman" w:cs="Times New Roman"/>
              <w:szCs w:val="24"/>
              <w:lang w:val="en-US"/>
            </w:rPr>
            <w:t>.</w:t>
          </w:r>
        </w:p>
        <w:p w14:paraId="069E163C" w14:textId="379E8330" w:rsidR="0050152B" w:rsidRPr="0050152B" w:rsidRDefault="003210FA" w:rsidP="00084D69">
          <w:pPr>
            <w:pStyle w:val="Heading2"/>
            <w:rPr>
              <w:lang w:val="en-US"/>
            </w:rPr>
          </w:pPr>
          <w:bookmarkStart w:id="25" w:name="_Toc218972911"/>
          <w:r>
            <w:rPr>
              <w:lang w:val="en-US"/>
            </w:rPr>
            <w:t>3</w:t>
          </w:r>
          <w:r w:rsidR="0050152B" w:rsidRPr="0050152B">
            <w:rPr>
              <w:lang w:val="en-US"/>
            </w:rPr>
            <w:t>.</w:t>
          </w:r>
          <w:r w:rsidR="00084D69">
            <w:rPr>
              <w:lang w:val="en-US"/>
            </w:rPr>
            <w:t>0</w:t>
          </w:r>
          <w:r w:rsidR="0050152B" w:rsidRPr="0050152B">
            <w:rPr>
              <w:lang w:val="en-US"/>
            </w:rPr>
            <w:t xml:space="preserve"> Internal Rate of Return (IRR)</w:t>
          </w:r>
          <w:bookmarkEnd w:id="25"/>
        </w:p>
        <w:p w14:paraId="7B87EE83" w14:textId="42D69EF4" w:rsidR="0050152B" w:rsidRDefault="0050152B" w:rsidP="00084D69">
          <w:pPr>
            <w:rPr>
              <w:rFonts w:eastAsia="Times New Roman" w:cs="Times New Roman"/>
              <w:szCs w:val="24"/>
              <w:lang w:val="en-US"/>
            </w:rPr>
          </w:pPr>
          <w:r w:rsidRPr="0050152B">
            <w:rPr>
              <w:rFonts w:eastAsia="Times New Roman" w:cs="Times New Roman"/>
              <w:szCs w:val="24"/>
              <w:lang w:val="en-US"/>
            </w:rPr>
            <w:t xml:space="preserve">The implicit rate of return earned by an investment is estimated by calculating the Internal Rate of Return (IRR, in short) of an investment by determining the discount rate at which the Net Present Value of the project is zero. It is broadly used in practice since it highlights project performance as a single percentage that can easily be understood by managers and is also easy to compare with the cost of capital of the firm </w:t>
          </w:r>
          <w:r w:rsidR="00114EDD" w:rsidRPr="00114EDD">
            <w:rPr>
              <w:rFonts w:eastAsia="Times New Roman" w:cs="Times New Roman"/>
              <w:szCs w:val="24"/>
              <w:lang w:val="en-US"/>
            </w:rPr>
            <w:t>(Saunders et al., 2024)</w:t>
          </w:r>
          <w:r w:rsidRPr="0050152B">
            <w:rPr>
              <w:rFonts w:eastAsia="Times New Roman" w:cs="Times New Roman"/>
              <w:szCs w:val="24"/>
              <w:lang w:val="en-US"/>
            </w:rPr>
            <w:t xml:space="preserve">. The use of IRR, however, should be taken with care and considered with NPV, especially where the projects vary in </w:t>
          </w:r>
          <w:r>
            <w:rPr>
              <w:rFonts w:eastAsia="Times New Roman" w:cs="Times New Roman"/>
              <w:szCs w:val="24"/>
              <w:lang w:val="en-US"/>
            </w:rPr>
            <w:t>size or cash-flow distribution.</w:t>
          </w:r>
        </w:p>
        <w:p w14:paraId="6C90F79E" w14:textId="73C16CEE" w:rsidR="00182C60" w:rsidRPr="00182C60" w:rsidRDefault="00182C60" w:rsidP="00182C60">
          <w:pPr>
            <w:pStyle w:val="Caption"/>
            <w:keepNext/>
            <w:jc w:val="center"/>
            <w:rPr>
              <w:i/>
              <w:color w:val="000000" w:themeColor="text1"/>
            </w:rPr>
          </w:pPr>
          <w:bookmarkStart w:id="26" w:name="_Toc218972930"/>
          <w:r w:rsidRPr="00182C60">
            <w:rPr>
              <w:i/>
              <w:color w:val="000000" w:themeColor="text1"/>
            </w:rPr>
            <w:lastRenderedPageBreak/>
            <w:t xml:space="preserve">Table </w:t>
          </w:r>
          <w:r w:rsidRPr="00182C60">
            <w:rPr>
              <w:i/>
              <w:color w:val="000000" w:themeColor="text1"/>
            </w:rPr>
            <w:fldChar w:fldCharType="begin"/>
          </w:r>
          <w:r w:rsidRPr="00182C60">
            <w:rPr>
              <w:i/>
              <w:color w:val="000000" w:themeColor="text1"/>
            </w:rPr>
            <w:instrText xml:space="preserve"> SEQ Table \* ARABIC </w:instrText>
          </w:r>
          <w:r w:rsidRPr="00182C60">
            <w:rPr>
              <w:i/>
              <w:color w:val="000000" w:themeColor="text1"/>
            </w:rPr>
            <w:fldChar w:fldCharType="separate"/>
          </w:r>
          <w:r w:rsidR="00A760D2">
            <w:rPr>
              <w:i/>
              <w:noProof/>
              <w:color w:val="000000" w:themeColor="text1"/>
            </w:rPr>
            <w:t>9</w:t>
          </w:r>
          <w:r w:rsidRPr="00182C60">
            <w:rPr>
              <w:i/>
              <w:color w:val="000000" w:themeColor="text1"/>
            </w:rPr>
            <w:fldChar w:fldCharType="end"/>
          </w:r>
          <w:r w:rsidRPr="00182C60">
            <w:rPr>
              <w:i/>
              <w:color w:val="000000" w:themeColor="text1"/>
            </w:rPr>
            <w:t xml:space="preserve">: </w:t>
          </w:r>
          <w:r w:rsidRPr="00182C60">
            <w:rPr>
              <w:i/>
              <w:color w:val="000000" w:themeColor="text1"/>
              <w:lang w:val="en-US"/>
            </w:rPr>
            <w:t>Internal Rate of Return (IRR) (Author)</w:t>
          </w:r>
          <w:bookmarkEnd w:id="26"/>
        </w:p>
        <w:p w14:paraId="1A73AC10" w14:textId="43445BBF" w:rsidR="00182C60" w:rsidRDefault="00182C60" w:rsidP="00084D69">
          <w:pPr>
            <w:rPr>
              <w:rFonts w:eastAsia="Times New Roman" w:cs="Times New Roman"/>
              <w:szCs w:val="24"/>
              <w:lang w:val="en-US"/>
            </w:rPr>
          </w:pPr>
          <w:r w:rsidRPr="00182C60">
            <w:rPr>
              <w:noProof/>
              <w:lang w:val="en-US"/>
            </w:rPr>
            <w:drawing>
              <wp:inline distT="0" distB="0" distL="0" distR="0" wp14:anchorId="79632793" wp14:editId="30DF5459">
                <wp:extent cx="5731510" cy="3589781"/>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589781"/>
                        </a:xfrm>
                        <a:prstGeom prst="rect">
                          <a:avLst/>
                        </a:prstGeom>
                        <a:noFill/>
                        <a:ln>
                          <a:noFill/>
                        </a:ln>
                      </pic:spPr>
                    </pic:pic>
                  </a:graphicData>
                </a:graphic>
              </wp:inline>
            </w:drawing>
          </w:r>
        </w:p>
        <w:p w14:paraId="0B3E7960" w14:textId="7C46D3AE" w:rsidR="00182C60" w:rsidRPr="00A760D2" w:rsidRDefault="00182C60" w:rsidP="00084D69">
          <w:pPr>
            <w:rPr>
              <w:rFonts w:eastAsia="Times New Roman" w:cs="Times New Roman"/>
              <w:b/>
              <w:szCs w:val="24"/>
              <w:lang w:val="en-US"/>
            </w:rPr>
          </w:pPr>
          <w:r w:rsidRPr="00A760D2">
            <w:rPr>
              <w:rFonts w:eastAsia="Times New Roman" w:cs="Times New Roman"/>
              <w:b/>
              <w:szCs w:val="24"/>
              <w:lang w:val="en-US"/>
            </w:rPr>
            <w:t xml:space="preserve">IRR = 30 + </w:t>
          </w:r>
          <m:oMath>
            <m:f>
              <m:fPr>
                <m:ctrlPr>
                  <w:rPr>
                    <w:rFonts w:ascii="Cambria Math" w:eastAsia="Times New Roman" w:hAnsi="Cambria Math" w:cs="Times New Roman"/>
                    <w:b/>
                    <w:i/>
                    <w:szCs w:val="24"/>
                    <w:lang w:val="en-US"/>
                  </w:rPr>
                </m:ctrlPr>
              </m:fPr>
              <m:num>
                <m:r>
                  <m:rPr>
                    <m:sty m:val="bi"/>
                  </m:rPr>
                  <w:rPr>
                    <w:rFonts w:ascii="Cambria Math" w:eastAsia="Times New Roman" w:hAnsi="Cambria Math" w:cs="Times New Roman"/>
                    <w:szCs w:val="24"/>
                    <w:lang w:val="en-US"/>
                  </w:rPr>
                  <m:t>41.90</m:t>
                </m:r>
              </m:num>
              <m:den>
                <m:r>
                  <m:rPr>
                    <m:sty m:val="bi"/>
                  </m:rPr>
                  <w:rPr>
                    <w:rFonts w:ascii="Cambria Math" w:eastAsia="Times New Roman" w:hAnsi="Cambria Math" w:cs="Times New Roman"/>
                    <w:szCs w:val="24"/>
                    <w:lang w:val="en-US"/>
                  </w:rPr>
                  <m:t>41.90+51.99</m:t>
                </m:r>
              </m:den>
            </m:f>
          </m:oMath>
          <w:r w:rsidRPr="00A760D2">
            <w:rPr>
              <w:rFonts w:eastAsia="Times New Roman" w:cs="Times New Roman"/>
              <w:b/>
              <w:szCs w:val="24"/>
              <w:lang w:val="en-US"/>
            </w:rPr>
            <w:t xml:space="preserve"> x (35-30)</w:t>
          </w:r>
        </w:p>
        <w:p w14:paraId="3006A107" w14:textId="7F67AC48" w:rsidR="00182C60" w:rsidRPr="00A760D2" w:rsidRDefault="00182C60" w:rsidP="00084D69">
          <w:pPr>
            <w:rPr>
              <w:rFonts w:eastAsia="Times New Roman" w:cs="Times New Roman"/>
              <w:b/>
              <w:szCs w:val="24"/>
              <w:lang w:val="en-US"/>
            </w:rPr>
          </w:pPr>
          <w:r w:rsidRPr="00A760D2">
            <w:rPr>
              <w:rFonts w:eastAsia="Times New Roman" w:cs="Times New Roman"/>
              <w:b/>
              <w:szCs w:val="24"/>
              <w:lang w:val="en-US"/>
            </w:rPr>
            <w:t>= 30 + 0.45 x 5</w:t>
          </w:r>
        </w:p>
        <w:p w14:paraId="0C61FE28" w14:textId="11364E5F" w:rsidR="00182C60" w:rsidRPr="00A760D2" w:rsidRDefault="00182C60" w:rsidP="00084D69">
          <w:pPr>
            <w:rPr>
              <w:rFonts w:eastAsia="Times New Roman" w:cs="Times New Roman"/>
              <w:b/>
              <w:szCs w:val="24"/>
              <w:lang w:val="en-US"/>
            </w:rPr>
          </w:pPr>
          <w:r w:rsidRPr="00A760D2">
            <w:rPr>
              <w:rFonts w:eastAsia="Times New Roman" w:cs="Times New Roman"/>
              <w:b/>
              <w:szCs w:val="24"/>
              <w:lang w:val="en-US"/>
            </w:rPr>
            <w:t>=</w:t>
          </w:r>
          <w:r w:rsidR="00A760D2" w:rsidRPr="00A760D2">
            <w:rPr>
              <w:rFonts w:eastAsia="Times New Roman" w:cs="Times New Roman"/>
              <w:b/>
              <w:szCs w:val="24"/>
              <w:lang w:val="en-US"/>
            </w:rPr>
            <w:t xml:space="preserve"> 32.2%</w:t>
          </w:r>
        </w:p>
        <w:p w14:paraId="3A1C0452" w14:textId="6C2685B2" w:rsidR="0050152B" w:rsidRPr="0050152B" w:rsidRDefault="0050152B" w:rsidP="00084D69">
          <w:pPr>
            <w:rPr>
              <w:rFonts w:eastAsia="Times New Roman" w:cs="Times New Roman"/>
              <w:szCs w:val="24"/>
              <w:lang w:val="en-US"/>
            </w:rPr>
          </w:pPr>
          <w:r w:rsidRPr="0050152B">
            <w:rPr>
              <w:rFonts w:eastAsia="Times New Roman" w:cs="Times New Roman"/>
              <w:szCs w:val="24"/>
              <w:lang w:val="en-US"/>
            </w:rPr>
            <w:t xml:space="preserve">In this evaluation, the IRR of the preferred project (Option B) is calculated through linear interpolation between two discount rates, which result in positively and negatively discounted NPV, respectively. This is an acceptable estimation of the actual IRR, which does not involve complicated iterative procedures and is widely used in practical financial analysis </w:t>
          </w:r>
          <w:r w:rsidR="00114EDD" w:rsidRPr="00114EDD">
            <w:rPr>
              <w:rFonts w:eastAsia="Times New Roman" w:cs="Times New Roman"/>
              <w:szCs w:val="24"/>
              <w:lang w:val="en-US"/>
            </w:rPr>
            <w:t>(Palepu et al., 2022)</w:t>
          </w:r>
          <w:r>
            <w:rPr>
              <w:rFonts w:eastAsia="Times New Roman" w:cs="Times New Roman"/>
              <w:szCs w:val="24"/>
              <w:lang w:val="en-US"/>
            </w:rPr>
            <w:t>.</w:t>
          </w:r>
        </w:p>
        <w:p w14:paraId="73A329DF" w14:textId="4509428F" w:rsidR="00A608E4" w:rsidRPr="00A608E4" w:rsidRDefault="0050152B" w:rsidP="00084D69">
          <w:pPr>
            <w:rPr>
              <w:rFonts w:eastAsia="Times New Roman" w:cs="Times New Roman"/>
              <w:szCs w:val="24"/>
              <w:lang w:val="en-US"/>
            </w:rPr>
          </w:pPr>
          <w:r w:rsidRPr="0050152B">
            <w:rPr>
              <w:rFonts w:eastAsia="Times New Roman" w:cs="Times New Roman"/>
              <w:szCs w:val="24"/>
              <w:lang w:val="en-US"/>
            </w:rPr>
            <w:t xml:space="preserve">The estimated IRR of about 32.2 percent is considerably greater than the estimated cost of capital of 6 percent, implying that the returns obtained through the project are much greater than this assumed cost of capital, and hence the project creates economic value. Notably, this conclusion is also consistent with the NPV decision because Option B is also the tool that returns the highest positive NPV. This uniformity makes the investment recommendation stronger and proves the suitability of the adoption of Option B both in theory and in practice </w:t>
          </w:r>
          <w:r w:rsidR="00114EDD" w:rsidRPr="00114EDD">
            <w:rPr>
              <w:rFonts w:eastAsia="Times New Roman" w:cs="Times New Roman"/>
              <w:szCs w:val="24"/>
              <w:lang w:val="en-US"/>
            </w:rPr>
            <w:t xml:space="preserve">(Khan </w:t>
          </w:r>
          <w:r w:rsidR="00114EDD">
            <w:rPr>
              <w:rFonts w:eastAsia="Times New Roman" w:cs="Times New Roman"/>
              <w:szCs w:val="24"/>
              <w:lang w:val="en-US"/>
            </w:rPr>
            <w:t>and</w:t>
          </w:r>
          <w:r w:rsidR="00114EDD" w:rsidRPr="00114EDD">
            <w:rPr>
              <w:rFonts w:eastAsia="Times New Roman" w:cs="Times New Roman"/>
              <w:szCs w:val="24"/>
              <w:lang w:val="en-US"/>
            </w:rPr>
            <w:t xml:space="preserve"> Jain, 2014)</w:t>
          </w:r>
          <w:r w:rsidRPr="0050152B">
            <w:rPr>
              <w:rFonts w:eastAsia="Times New Roman" w:cs="Times New Roman"/>
              <w:szCs w:val="24"/>
              <w:lang w:val="en-US"/>
            </w:rPr>
            <w:t>.</w:t>
          </w:r>
        </w:p>
        <w:p w14:paraId="691FB6CE" w14:textId="0370D402" w:rsidR="00A608E4" w:rsidRPr="00A608E4" w:rsidRDefault="003210FA" w:rsidP="00084D69">
          <w:pPr>
            <w:pStyle w:val="Heading2"/>
            <w:rPr>
              <w:lang w:val="en-US"/>
            </w:rPr>
          </w:pPr>
          <w:bookmarkStart w:id="27" w:name="_Toc218972912"/>
          <w:r>
            <w:rPr>
              <w:lang w:val="en-US"/>
            </w:rPr>
            <w:lastRenderedPageBreak/>
            <w:t>4</w:t>
          </w:r>
          <w:r w:rsidR="00A608E4" w:rsidRPr="00A608E4">
            <w:rPr>
              <w:lang w:val="en-US"/>
            </w:rPr>
            <w:t>.</w:t>
          </w:r>
          <w:r w:rsidR="00084D69">
            <w:rPr>
              <w:lang w:val="en-US"/>
            </w:rPr>
            <w:t>0</w:t>
          </w:r>
          <w:r w:rsidR="00A608E4" w:rsidRPr="00A608E4">
            <w:rPr>
              <w:lang w:val="en-US"/>
            </w:rPr>
            <w:t xml:space="preserve"> Interpretation for Management</w:t>
          </w:r>
          <w:bookmarkEnd w:id="27"/>
          <w:r w:rsidR="00A608E4" w:rsidRPr="00A608E4">
            <w:rPr>
              <w:lang w:val="en-US"/>
            </w:rPr>
            <w:t xml:space="preserve"> </w:t>
          </w:r>
        </w:p>
        <w:p w14:paraId="00B4DC4C" w14:textId="79DE5AD1" w:rsidR="00A608E4" w:rsidRPr="00A608E4" w:rsidRDefault="003210FA" w:rsidP="00182C60">
          <w:pPr>
            <w:pStyle w:val="Heading3"/>
            <w:rPr>
              <w:lang w:val="en-US"/>
            </w:rPr>
          </w:pPr>
          <w:bookmarkStart w:id="28" w:name="_Toc218972913"/>
          <w:r>
            <w:rPr>
              <w:lang w:val="en-US"/>
            </w:rPr>
            <w:t>4</w:t>
          </w:r>
          <w:r w:rsidR="00A608E4" w:rsidRPr="00A608E4">
            <w:rPr>
              <w:lang w:val="en-US"/>
            </w:rPr>
            <w:t>.1 Why NPV Is the Preferred Appraisal Method</w:t>
          </w:r>
          <w:bookmarkEnd w:id="28"/>
          <w:r w:rsidR="00A608E4" w:rsidRPr="00A608E4">
            <w:rPr>
              <w:lang w:val="en-US"/>
            </w:rPr>
            <w:t xml:space="preserve"> </w:t>
          </w:r>
        </w:p>
        <w:p w14:paraId="1F063041" w14:textId="557DF02D" w:rsidR="00084D69" w:rsidRPr="00084D69" w:rsidRDefault="00084D69" w:rsidP="00084D69">
          <w:pPr>
            <w:rPr>
              <w:lang w:val="en-US"/>
            </w:rPr>
          </w:pPr>
          <w:r w:rsidRPr="00084D69">
            <w:rPr>
              <w:lang w:val="en-US"/>
            </w:rPr>
            <w:t xml:space="preserve">The common understanding of Net Present Value is that it can be viewed as the most theoretically sound method of investment appraisals since it directly quantifies the amount of incremental wealth generated for the shareholders that is not derived by neglecting the time value of money and the opportunity cost of capital of the firm </w:t>
          </w:r>
          <w:r w:rsidR="00114EDD" w:rsidRPr="00114EDD">
            <w:rPr>
              <w:lang w:val="en-US"/>
            </w:rPr>
            <w:t>(Horngren et al., 2013)</w:t>
          </w:r>
          <w:r w:rsidRPr="00084D69">
            <w:rPr>
              <w:lang w:val="en-US"/>
            </w:rPr>
            <w:t xml:space="preserve">. Instead of the percentage-based measures of value, NPV measures value in monetary absolute terms and thus allows a definite prioritization of mutually exclusive projects. This feature is especially relevant to Westward Plc, where the investment alternatives vary significantly in terms of magnitude and profiles of cash flow. The Internal Rate of Return (IRR) may be intuitively attractive, but it does result in deceptive rankings when projects have a different initial investment or when they are subject to reinvestment at the IRR at all, which is typically unrealistic </w:t>
          </w:r>
          <w:r w:rsidR="00114EDD" w:rsidRPr="00114EDD">
            <w:rPr>
              <w:lang w:val="en-US"/>
            </w:rPr>
            <w:t xml:space="preserve">(Shim </w:t>
          </w:r>
          <w:r w:rsidR="00114EDD">
            <w:rPr>
              <w:lang w:val="en-US"/>
            </w:rPr>
            <w:t>and</w:t>
          </w:r>
          <w:r w:rsidR="00114EDD" w:rsidRPr="00114EDD">
            <w:rPr>
              <w:lang w:val="en-US"/>
            </w:rPr>
            <w:t xml:space="preserve"> Siegel, 2012)</w:t>
          </w:r>
          <w:r w:rsidRPr="00084D69">
            <w:rPr>
              <w:lang w:val="en-US"/>
            </w:rPr>
            <w:t>. Conversely, NPV is reinvested at a cost of capital, thus having a more realistic look at the market and wealth maximization (long term). Therefore, NPV offers the best basis for strategic capital allocation decisions.</w:t>
          </w:r>
        </w:p>
        <w:p w14:paraId="4B75E0F0" w14:textId="3FD502EA" w:rsidR="00084D69" w:rsidRPr="00084D69" w:rsidRDefault="003210FA" w:rsidP="00182C60">
          <w:pPr>
            <w:pStyle w:val="Heading3"/>
            <w:rPr>
              <w:lang w:val="en-US"/>
            </w:rPr>
          </w:pPr>
          <w:bookmarkStart w:id="29" w:name="_Toc218972914"/>
          <w:r>
            <w:rPr>
              <w:lang w:val="en-US"/>
            </w:rPr>
            <w:t>4</w:t>
          </w:r>
          <w:r w:rsidR="00084D69" w:rsidRPr="00084D69">
            <w:rPr>
              <w:lang w:val="en-US"/>
            </w:rPr>
            <w:t>.2 Continued Use of Non-Discounting Methods</w:t>
          </w:r>
          <w:bookmarkEnd w:id="29"/>
        </w:p>
        <w:p w14:paraId="0443414A" w14:textId="027ABAA2" w:rsidR="00084D69" w:rsidRPr="00084D69" w:rsidRDefault="00084D69" w:rsidP="00084D69">
          <w:pPr>
            <w:rPr>
              <w:lang w:val="en-US"/>
            </w:rPr>
          </w:pPr>
          <w:r w:rsidRPr="00084D69">
            <w:rPr>
              <w:lang w:val="en-US"/>
            </w:rPr>
            <w:t xml:space="preserve">Irrespective of the weaknesses underlying this theory, non-discounting systems like the payback period and the Accounting Rate of Return (ARR) have still found favor among managerial decision makers. The payback framework is praised due to its simplicity, as well as its focus on liquidity and risk exposure, especially in unpredictable environments where timely cash recovery is extremely important </w:t>
          </w:r>
          <w:r w:rsidR="00114EDD" w:rsidRPr="00114EDD">
            <w:rPr>
              <w:lang w:val="en-US"/>
            </w:rPr>
            <w:t xml:space="preserve">(Gitman </w:t>
          </w:r>
          <w:r w:rsidR="00114EDD">
            <w:rPr>
              <w:lang w:val="en-US"/>
            </w:rPr>
            <w:t>and</w:t>
          </w:r>
          <w:r w:rsidR="00114EDD" w:rsidRPr="00114EDD">
            <w:rPr>
              <w:lang w:val="en-US"/>
            </w:rPr>
            <w:t xml:space="preserve"> Zutter, 2018)</w:t>
          </w:r>
          <w:r w:rsidRPr="00084D69">
            <w:rPr>
              <w:lang w:val="en-US"/>
            </w:rPr>
            <w:t xml:space="preserve">. ARR is often widely used since it works well with accounting profit measures that are being used in performance measurement. Nevertheless, neither of the two methods takes into consideration the time value of money: the payback method does not consider cash flows past the cutoff date, and ARR uses accounting data and not cash-generating data </w:t>
          </w:r>
          <w:r w:rsidR="00114EDD" w:rsidRPr="00114EDD">
            <w:rPr>
              <w:lang w:val="en-US"/>
            </w:rPr>
            <w:t>(IFRS, 2025)</w:t>
          </w:r>
          <w:r w:rsidRPr="00084D69">
            <w:rPr>
              <w:lang w:val="en-US"/>
            </w:rPr>
            <w:t>. This means that these strategies should be used as an addition and not the main factor when making decisions.</w:t>
          </w:r>
        </w:p>
        <w:p w14:paraId="232C6F27" w14:textId="66CD25EC" w:rsidR="00084D69" w:rsidRPr="00084D69" w:rsidRDefault="003210FA" w:rsidP="00182C60">
          <w:pPr>
            <w:pStyle w:val="Heading3"/>
            <w:rPr>
              <w:lang w:val="en-US"/>
            </w:rPr>
          </w:pPr>
          <w:bookmarkStart w:id="30" w:name="_Toc218972915"/>
          <w:r>
            <w:rPr>
              <w:lang w:val="en-US"/>
            </w:rPr>
            <w:t>4</w:t>
          </w:r>
          <w:r w:rsidR="00084D69" w:rsidRPr="00084D69">
            <w:rPr>
              <w:lang w:val="en-US"/>
            </w:rPr>
            <w:t>.3 Other Factors Affecting the Investment Decision</w:t>
          </w:r>
          <w:bookmarkEnd w:id="30"/>
        </w:p>
        <w:p w14:paraId="7AB0F8A4" w14:textId="6B184EFD" w:rsidR="00084D69" w:rsidRPr="00084D69" w:rsidRDefault="00084D69" w:rsidP="00084D69">
          <w:pPr>
            <w:rPr>
              <w:lang w:val="en-US"/>
            </w:rPr>
          </w:pPr>
          <w:r w:rsidRPr="00084D69">
            <w:rPr>
              <w:lang w:val="en-US"/>
            </w:rPr>
            <w:t xml:space="preserve">In addition to the quantitative appraisal, the Board needs to take qualitative factors into consideration before investing. Strategic fit is very relevant, especially whether the project is supportive of the long-term growth and positioning of Westward Plc or not. Sustainability of the projected cash flows will depend on the market-demand conditions, including the consumer preferences and the level of competition. The operational capability should also be evaluated </w:t>
          </w:r>
          <w:r w:rsidRPr="00084D69">
            <w:rPr>
              <w:lang w:val="en-US"/>
            </w:rPr>
            <w:lastRenderedPageBreak/>
            <w:t xml:space="preserve">since there is a high likelihood that operational risk can destroy the expected returns in case of a lack of resources or expertise. Lastly, sensitivity or scenario analysis should be considered a way to analyze risk and uncertainty, which includes demand volatility, cost inflation, and technological change, as an additional measure to the financial measures </w:t>
          </w:r>
          <w:r w:rsidR="00114EDD" w:rsidRPr="00114EDD">
            <w:rPr>
              <w:lang w:val="en-US"/>
            </w:rPr>
            <w:t>(Ross et al., 2016)</w:t>
          </w:r>
          <w:r w:rsidRPr="00084D69">
            <w:rPr>
              <w:lang w:val="en-US"/>
            </w:rPr>
            <w:t>.</w:t>
          </w:r>
        </w:p>
        <w:p w14:paraId="03F2CA43" w14:textId="3ECC2ACA" w:rsidR="00AA0736" w:rsidRPr="00AA0736" w:rsidRDefault="003210FA" w:rsidP="00182C60">
          <w:pPr>
            <w:pStyle w:val="Heading2"/>
            <w:rPr>
              <w:lang w:val="en-US"/>
            </w:rPr>
          </w:pPr>
          <w:bookmarkStart w:id="31" w:name="_Toc218972916"/>
          <w:r>
            <w:rPr>
              <w:lang w:val="en-US"/>
            </w:rPr>
            <w:t>5</w:t>
          </w:r>
          <w:r w:rsidR="00AA0736" w:rsidRPr="00AA0736">
            <w:rPr>
              <w:lang w:val="en-US"/>
            </w:rPr>
            <w:t>.</w:t>
          </w:r>
          <w:r w:rsidR="00182C60">
            <w:rPr>
              <w:lang w:val="en-US"/>
            </w:rPr>
            <w:t>0</w:t>
          </w:r>
          <w:r w:rsidR="00AA0736" w:rsidRPr="00AA0736">
            <w:rPr>
              <w:lang w:val="en-US"/>
            </w:rPr>
            <w:t xml:space="preserve"> Capital Rationing Analysis</w:t>
          </w:r>
          <w:bookmarkEnd w:id="31"/>
          <w:r w:rsidR="00AA0736" w:rsidRPr="00AA0736">
            <w:rPr>
              <w:lang w:val="en-US"/>
            </w:rPr>
            <w:t xml:space="preserve"> </w:t>
          </w:r>
        </w:p>
        <w:p w14:paraId="14461EEB" w14:textId="7DE2D25D" w:rsidR="00AA0736" w:rsidRDefault="003210FA" w:rsidP="00182C60">
          <w:pPr>
            <w:pStyle w:val="Heading3"/>
            <w:rPr>
              <w:lang w:val="en-US"/>
            </w:rPr>
          </w:pPr>
          <w:bookmarkStart w:id="32" w:name="_Toc218972917"/>
          <w:r>
            <w:rPr>
              <w:lang w:val="en-US"/>
            </w:rPr>
            <w:t>5</w:t>
          </w:r>
          <w:r w:rsidR="00AA0736" w:rsidRPr="00AA0736">
            <w:rPr>
              <w:lang w:val="en-US"/>
            </w:rPr>
            <w:t>.1 Profitability Index and Ranking</w:t>
          </w:r>
          <w:bookmarkEnd w:id="32"/>
          <w:r w:rsidR="00AA0736" w:rsidRPr="00AA0736">
            <w:rPr>
              <w:lang w:val="en-US"/>
            </w:rPr>
            <w:t xml:space="preserve"> </w:t>
          </w:r>
        </w:p>
        <w:p w14:paraId="6016ECF7" w14:textId="31CCA96B" w:rsidR="00A760D2" w:rsidRPr="00A760D2" w:rsidRDefault="00A760D2" w:rsidP="00A760D2">
          <w:pPr>
            <w:pStyle w:val="Caption"/>
            <w:keepNext/>
            <w:jc w:val="center"/>
            <w:rPr>
              <w:i/>
              <w:color w:val="000000" w:themeColor="text1"/>
            </w:rPr>
          </w:pPr>
          <w:bookmarkStart w:id="33" w:name="_Toc218972931"/>
          <w:r w:rsidRPr="00A760D2">
            <w:rPr>
              <w:i/>
              <w:color w:val="000000" w:themeColor="text1"/>
            </w:rPr>
            <w:t xml:space="preserve">Table </w:t>
          </w:r>
          <w:r w:rsidRPr="00A760D2">
            <w:rPr>
              <w:i/>
              <w:color w:val="000000" w:themeColor="text1"/>
            </w:rPr>
            <w:fldChar w:fldCharType="begin"/>
          </w:r>
          <w:r w:rsidRPr="00A760D2">
            <w:rPr>
              <w:i/>
              <w:color w:val="000000" w:themeColor="text1"/>
            </w:rPr>
            <w:instrText xml:space="preserve"> SEQ Table \* ARABIC </w:instrText>
          </w:r>
          <w:r w:rsidRPr="00A760D2">
            <w:rPr>
              <w:i/>
              <w:color w:val="000000" w:themeColor="text1"/>
            </w:rPr>
            <w:fldChar w:fldCharType="separate"/>
          </w:r>
          <w:r w:rsidRPr="00A760D2">
            <w:rPr>
              <w:i/>
              <w:noProof/>
              <w:color w:val="000000" w:themeColor="text1"/>
            </w:rPr>
            <w:t>10</w:t>
          </w:r>
          <w:r w:rsidRPr="00A760D2">
            <w:rPr>
              <w:i/>
              <w:color w:val="000000" w:themeColor="text1"/>
            </w:rPr>
            <w:fldChar w:fldCharType="end"/>
          </w:r>
          <w:r w:rsidRPr="00A760D2">
            <w:rPr>
              <w:i/>
              <w:color w:val="000000" w:themeColor="text1"/>
            </w:rPr>
            <w:t>: Profitability Index (Author)</w:t>
          </w:r>
          <w:bookmarkEnd w:id="33"/>
        </w:p>
        <w:tbl>
          <w:tblPr>
            <w:tblStyle w:val="TableGrid"/>
            <w:tblW w:w="0" w:type="auto"/>
            <w:jc w:val="center"/>
            <w:tblLook w:val="04A0" w:firstRow="1" w:lastRow="0" w:firstColumn="1" w:lastColumn="0" w:noHBand="0" w:noVBand="1"/>
          </w:tblPr>
          <w:tblGrid>
            <w:gridCol w:w="2466"/>
            <w:gridCol w:w="2226"/>
            <w:gridCol w:w="2192"/>
            <w:gridCol w:w="2132"/>
          </w:tblGrid>
          <w:tr w:rsidR="00A760D2" w:rsidRPr="00A760D2" w14:paraId="1B496BB2" w14:textId="77777777" w:rsidTr="00A760D2">
            <w:trPr>
              <w:trHeight w:val="300"/>
              <w:jc w:val="center"/>
            </w:trPr>
            <w:tc>
              <w:tcPr>
                <w:tcW w:w="2530" w:type="dxa"/>
                <w:hideMark/>
              </w:tcPr>
              <w:p w14:paraId="3966A7FB" w14:textId="77777777" w:rsidR="00A760D2" w:rsidRPr="00A760D2" w:rsidRDefault="00A760D2" w:rsidP="00A760D2">
                <w:pPr>
                  <w:rPr>
                    <w:b/>
                    <w:bCs/>
                  </w:rPr>
                </w:pPr>
                <w:r w:rsidRPr="00A760D2">
                  <w:rPr>
                    <w:b/>
                    <w:bCs/>
                  </w:rPr>
                  <w:t>Option</w:t>
                </w:r>
              </w:p>
            </w:tc>
            <w:tc>
              <w:tcPr>
                <w:tcW w:w="2274" w:type="dxa"/>
                <w:hideMark/>
              </w:tcPr>
              <w:p w14:paraId="32472A1E" w14:textId="77777777" w:rsidR="00A760D2" w:rsidRPr="00A760D2" w:rsidRDefault="00A760D2" w:rsidP="00A760D2">
                <w:pPr>
                  <w:rPr>
                    <w:b/>
                    <w:bCs/>
                  </w:rPr>
                </w:pPr>
                <w:r w:rsidRPr="00A760D2">
                  <w:rPr>
                    <w:b/>
                    <w:bCs/>
                  </w:rPr>
                  <w:t>PV of Inflows (£’000)</w:t>
                </w:r>
              </w:p>
            </w:tc>
            <w:tc>
              <w:tcPr>
                <w:tcW w:w="2244" w:type="dxa"/>
                <w:hideMark/>
              </w:tcPr>
              <w:p w14:paraId="6F2783E2" w14:textId="77777777" w:rsidR="00A760D2" w:rsidRPr="00A760D2" w:rsidRDefault="00A760D2" w:rsidP="00A760D2">
                <w:pPr>
                  <w:rPr>
                    <w:b/>
                    <w:bCs/>
                  </w:rPr>
                </w:pPr>
                <w:r w:rsidRPr="00A760D2">
                  <w:rPr>
                    <w:b/>
                    <w:bCs/>
                  </w:rPr>
                  <w:t>Initial Cost (£’000)</w:t>
                </w:r>
              </w:p>
            </w:tc>
            <w:tc>
              <w:tcPr>
                <w:tcW w:w="2194" w:type="dxa"/>
                <w:hideMark/>
              </w:tcPr>
              <w:p w14:paraId="59FB5DC6" w14:textId="77777777" w:rsidR="00A760D2" w:rsidRPr="00A760D2" w:rsidRDefault="00A760D2" w:rsidP="00A760D2">
                <w:pPr>
                  <w:rPr>
                    <w:b/>
                    <w:bCs/>
                  </w:rPr>
                </w:pPr>
                <w:r w:rsidRPr="00A760D2">
                  <w:rPr>
                    <w:b/>
                    <w:bCs/>
                  </w:rPr>
                  <w:t>PI</w:t>
                </w:r>
              </w:p>
            </w:tc>
          </w:tr>
          <w:tr w:rsidR="00A760D2" w:rsidRPr="00A760D2" w14:paraId="2F296F45" w14:textId="77777777" w:rsidTr="00A760D2">
            <w:trPr>
              <w:trHeight w:val="300"/>
              <w:jc w:val="center"/>
            </w:trPr>
            <w:tc>
              <w:tcPr>
                <w:tcW w:w="2530" w:type="dxa"/>
                <w:hideMark/>
              </w:tcPr>
              <w:p w14:paraId="6AB53B51" w14:textId="77777777" w:rsidR="00A760D2" w:rsidRPr="00A760D2" w:rsidRDefault="00A760D2">
                <w:r w:rsidRPr="00A760D2">
                  <w:t>A</w:t>
                </w:r>
              </w:p>
            </w:tc>
            <w:tc>
              <w:tcPr>
                <w:tcW w:w="2274" w:type="dxa"/>
                <w:hideMark/>
              </w:tcPr>
              <w:p w14:paraId="45B18058" w14:textId="77777777" w:rsidR="00A760D2" w:rsidRPr="00A760D2" w:rsidRDefault="00A760D2" w:rsidP="00A760D2">
                <w:r w:rsidRPr="00A760D2">
                  <w:t>1,243.20</w:t>
                </w:r>
              </w:p>
            </w:tc>
            <w:tc>
              <w:tcPr>
                <w:tcW w:w="2244" w:type="dxa"/>
                <w:hideMark/>
              </w:tcPr>
              <w:p w14:paraId="45959BB7" w14:textId="77777777" w:rsidR="00A760D2" w:rsidRPr="00A760D2" w:rsidRDefault="00A760D2" w:rsidP="00A760D2">
                <w:r w:rsidRPr="00A760D2">
                  <w:t>600</w:t>
                </w:r>
              </w:p>
            </w:tc>
            <w:tc>
              <w:tcPr>
                <w:tcW w:w="2194" w:type="dxa"/>
                <w:hideMark/>
              </w:tcPr>
              <w:p w14:paraId="17839CF7" w14:textId="77777777" w:rsidR="00A760D2" w:rsidRPr="00A760D2" w:rsidRDefault="00A760D2" w:rsidP="00A760D2">
                <w:pPr>
                  <w:rPr>
                    <w:b/>
                    <w:bCs/>
                  </w:rPr>
                </w:pPr>
                <w:r w:rsidRPr="00A760D2">
                  <w:rPr>
                    <w:b/>
                    <w:bCs/>
                  </w:rPr>
                  <w:t>2.07</w:t>
                </w:r>
              </w:p>
            </w:tc>
          </w:tr>
          <w:tr w:rsidR="00A760D2" w:rsidRPr="00A760D2" w14:paraId="56DDCD02" w14:textId="77777777" w:rsidTr="00A760D2">
            <w:trPr>
              <w:trHeight w:val="300"/>
              <w:jc w:val="center"/>
            </w:trPr>
            <w:tc>
              <w:tcPr>
                <w:tcW w:w="2530" w:type="dxa"/>
                <w:hideMark/>
              </w:tcPr>
              <w:p w14:paraId="639E851A" w14:textId="77777777" w:rsidR="00A760D2" w:rsidRPr="00A760D2" w:rsidRDefault="00A760D2">
                <w:r w:rsidRPr="00A760D2">
                  <w:t>B</w:t>
                </w:r>
              </w:p>
            </w:tc>
            <w:tc>
              <w:tcPr>
                <w:tcW w:w="2274" w:type="dxa"/>
                <w:hideMark/>
              </w:tcPr>
              <w:p w14:paraId="53652AE2" w14:textId="77777777" w:rsidR="00A760D2" w:rsidRPr="00A760D2" w:rsidRDefault="00A760D2" w:rsidP="00A760D2">
                <w:r w:rsidRPr="00A760D2">
                  <w:t>1,792.25</w:t>
                </w:r>
              </w:p>
            </w:tc>
            <w:tc>
              <w:tcPr>
                <w:tcW w:w="2244" w:type="dxa"/>
                <w:hideMark/>
              </w:tcPr>
              <w:p w14:paraId="6B2B0447" w14:textId="77777777" w:rsidR="00A760D2" w:rsidRPr="00A760D2" w:rsidRDefault="00A760D2" w:rsidP="00A760D2">
                <w:r w:rsidRPr="00A760D2">
                  <w:t>1,000</w:t>
                </w:r>
              </w:p>
            </w:tc>
            <w:tc>
              <w:tcPr>
                <w:tcW w:w="2194" w:type="dxa"/>
                <w:hideMark/>
              </w:tcPr>
              <w:p w14:paraId="6C501260" w14:textId="77777777" w:rsidR="00A760D2" w:rsidRPr="00A760D2" w:rsidRDefault="00A760D2" w:rsidP="00A760D2">
                <w:pPr>
                  <w:rPr>
                    <w:b/>
                    <w:bCs/>
                  </w:rPr>
                </w:pPr>
                <w:r w:rsidRPr="00A760D2">
                  <w:rPr>
                    <w:b/>
                    <w:bCs/>
                  </w:rPr>
                  <w:t>1.79</w:t>
                </w:r>
              </w:p>
            </w:tc>
          </w:tr>
          <w:tr w:rsidR="00A760D2" w:rsidRPr="00A760D2" w14:paraId="762C1BEE" w14:textId="77777777" w:rsidTr="00A760D2">
            <w:trPr>
              <w:trHeight w:val="315"/>
              <w:jc w:val="center"/>
            </w:trPr>
            <w:tc>
              <w:tcPr>
                <w:tcW w:w="2530" w:type="dxa"/>
                <w:hideMark/>
              </w:tcPr>
              <w:p w14:paraId="160EA15E" w14:textId="77777777" w:rsidR="00A760D2" w:rsidRPr="00A760D2" w:rsidRDefault="00A760D2">
                <w:r w:rsidRPr="00A760D2">
                  <w:t>C</w:t>
                </w:r>
              </w:p>
            </w:tc>
            <w:tc>
              <w:tcPr>
                <w:tcW w:w="2274" w:type="dxa"/>
                <w:hideMark/>
              </w:tcPr>
              <w:p w14:paraId="4A514C3E" w14:textId="77777777" w:rsidR="00A760D2" w:rsidRPr="00A760D2" w:rsidRDefault="00A760D2" w:rsidP="00A760D2">
                <w:r w:rsidRPr="00A760D2">
                  <w:t>2,342.51</w:t>
                </w:r>
              </w:p>
            </w:tc>
            <w:tc>
              <w:tcPr>
                <w:tcW w:w="2244" w:type="dxa"/>
                <w:hideMark/>
              </w:tcPr>
              <w:p w14:paraId="2BE6D019" w14:textId="77777777" w:rsidR="00A760D2" w:rsidRPr="00A760D2" w:rsidRDefault="00A760D2" w:rsidP="00A760D2">
                <w:r w:rsidRPr="00A760D2">
                  <w:t>1,600</w:t>
                </w:r>
              </w:p>
            </w:tc>
            <w:tc>
              <w:tcPr>
                <w:tcW w:w="2194" w:type="dxa"/>
                <w:hideMark/>
              </w:tcPr>
              <w:p w14:paraId="50CA264C" w14:textId="77777777" w:rsidR="00A760D2" w:rsidRPr="00A760D2" w:rsidRDefault="00A760D2" w:rsidP="00A760D2">
                <w:pPr>
                  <w:rPr>
                    <w:b/>
                    <w:bCs/>
                  </w:rPr>
                </w:pPr>
                <w:r w:rsidRPr="00A760D2">
                  <w:rPr>
                    <w:b/>
                    <w:bCs/>
                  </w:rPr>
                  <w:t>1.46</w:t>
                </w:r>
              </w:p>
            </w:tc>
          </w:tr>
        </w:tbl>
        <w:p w14:paraId="05763FE7" w14:textId="77777777" w:rsidR="00A760D2" w:rsidRPr="00A760D2" w:rsidRDefault="00A760D2" w:rsidP="00A760D2">
          <w:pPr>
            <w:rPr>
              <w:lang w:val="en-US"/>
            </w:rPr>
          </w:pPr>
        </w:p>
        <w:p w14:paraId="375F164E" w14:textId="47A00C35" w:rsidR="00084D69" w:rsidRDefault="00084D69" w:rsidP="00084D69">
          <w:r>
            <w:t xml:space="preserve">The Profitability Index (PI) is the best appraisal measure in capital rationing conditions, as it </w:t>
          </w:r>
          <w:proofErr w:type="spellStart"/>
          <w:r>
            <w:t>analyzes</w:t>
          </w:r>
          <w:proofErr w:type="spellEnd"/>
          <w:r>
            <w:t xml:space="preserve"> the level of efficiency of each project in utilizing limited capital in terms of value created per pound invested </w:t>
          </w:r>
          <w:r w:rsidR="00114EDD" w:rsidRPr="00114EDD">
            <w:t>(Watson et al., 2023)</w:t>
          </w:r>
          <w:r>
            <w:t xml:space="preserve">. In this case, on the basis of the discounted present values calculated earlier, the PI of Option 1 is the </w:t>
          </w:r>
          <w:r w:rsidR="00A760D2">
            <w:t>greatest that</w:t>
          </w:r>
          <w:r>
            <w:t xml:space="preserve"> is, 2.07, then its counterpart, Option 2, 1.79, and lastly, the PI of Option 3 is the lowest, 1.46. This ranking explains that the highest return will be achieved by investing in Option A, as the return will pay off even when one is operating with a limited amount of funds. Significantly, this ranking is not the same as the NPV ranking, which emphasizes the fact that the highest value creation projects are not necessarily the most effective utilization of scarce capital, which underlines the applicability of PI in the ra</w:t>
          </w:r>
          <w:r w:rsidR="00182C60">
            <w:t xml:space="preserve">tioning context </w:t>
          </w:r>
          <w:r w:rsidR="00114EDD" w:rsidRPr="00114EDD">
            <w:t xml:space="preserve">(Theodore Farris </w:t>
          </w:r>
          <w:r w:rsidR="00114EDD">
            <w:t>and</w:t>
          </w:r>
          <w:r w:rsidR="00114EDD" w:rsidRPr="00114EDD">
            <w:t xml:space="preserve"> Hutchison, 2002)</w:t>
          </w:r>
          <w:r w:rsidR="00182C60">
            <w:t>.</w:t>
          </w:r>
        </w:p>
        <w:p w14:paraId="62719814" w14:textId="77777777" w:rsidR="00A760D2" w:rsidRDefault="00A760D2">
          <w:pPr>
            <w:spacing w:line="259" w:lineRule="auto"/>
            <w:jc w:val="left"/>
            <w:rPr>
              <w:rFonts w:eastAsiaTheme="majorEastAsia" w:cstheme="majorBidi"/>
              <w:b/>
              <w:bCs/>
              <w:i/>
              <w:sz w:val="26"/>
            </w:rPr>
          </w:pPr>
          <w:r>
            <w:br w:type="page"/>
          </w:r>
        </w:p>
        <w:p w14:paraId="55E78C5F" w14:textId="25465BEF" w:rsidR="00084D69" w:rsidRDefault="003210FA" w:rsidP="00182C60">
          <w:pPr>
            <w:pStyle w:val="Heading3"/>
          </w:pPr>
          <w:bookmarkStart w:id="34" w:name="_Toc218972918"/>
          <w:r>
            <w:lastRenderedPageBreak/>
            <w:t>5</w:t>
          </w:r>
          <w:r w:rsidR="00084D69">
            <w:t>.2 Optimal Investment Policy</w:t>
          </w:r>
          <w:bookmarkEnd w:id="34"/>
        </w:p>
        <w:p w14:paraId="5221DB15" w14:textId="77777777" w:rsidR="00084D69" w:rsidRDefault="00084D69" w:rsidP="00084D69">
          <w:r>
            <w:t>Having a total amount of no more than 2.5 million, the Westward Plc is supposed to invest as per PI ranking. The full undertaking of Option A (£600k) and B (£1,000k) is done using 1.6m, and the amount remaining is 900k. Since projects can be separated, one should allocate the remainder of the funds to Option C.</w:t>
          </w:r>
        </w:p>
        <w:p w14:paraId="7B6B73AB" w14:textId="73900CE7" w:rsidR="00A760D2" w:rsidRDefault="00AA0736" w:rsidP="00084D69">
          <w:pPr>
            <w:rPr>
              <w:rFonts w:eastAsia="Times New Roman" w:cs="Times New Roman"/>
              <w:szCs w:val="24"/>
              <w:lang w:val="en-US"/>
            </w:rPr>
          </w:pPr>
          <w:r w:rsidRPr="00AA0736">
            <w:rPr>
              <w:rFonts w:eastAsia="Times New Roman" w:cs="Times New Roman"/>
              <w:szCs w:val="24"/>
              <w:lang w:val="en-US"/>
            </w:rPr>
            <w:t>Fraction of C</w:t>
          </w:r>
          <w:r w:rsidR="00A760D2">
            <w:rPr>
              <w:rFonts w:eastAsia="Times New Roman" w:cs="Times New Roman"/>
              <w:szCs w:val="24"/>
              <w:lang w:val="en-US"/>
            </w:rPr>
            <w:t xml:space="preserve"> </w:t>
          </w:r>
          <w:r w:rsidRPr="00AA0736">
            <w:rPr>
              <w:rFonts w:eastAsia="Times New Roman" w:cs="Times New Roman"/>
              <w:szCs w:val="24"/>
              <w:lang w:val="en-US"/>
            </w:rPr>
            <w:t>=</w:t>
          </w:r>
          <w:r w:rsidR="00A760D2">
            <w:rPr>
              <w:rFonts w:eastAsia="Times New Roman" w:cs="Times New Roman"/>
              <w:szCs w:val="24"/>
              <w:lang w:val="en-US"/>
            </w:rPr>
            <w:t xml:space="preserve"> </w:t>
          </w:r>
          <m:oMath>
            <m:f>
              <m:fPr>
                <m:ctrlPr>
                  <w:rPr>
                    <w:rFonts w:ascii="Cambria Math" w:eastAsia="Times New Roman" w:hAnsi="Cambria Math" w:cs="Times New Roman"/>
                    <w:i/>
                    <w:szCs w:val="24"/>
                    <w:lang w:val="en-US"/>
                  </w:rPr>
                </m:ctrlPr>
              </m:fPr>
              <m:num>
                <m:r>
                  <w:rPr>
                    <w:rFonts w:ascii="Cambria Math" w:eastAsia="Times New Roman" w:hAnsi="Cambria Math" w:cs="Times New Roman"/>
                    <w:szCs w:val="24"/>
                    <w:lang w:val="en-US"/>
                  </w:rPr>
                  <m:t>900</m:t>
                </m:r>
              </m:num>
              <m:den>
                <m:r>
                  <w:rPr>
                    <w:rFonts w:ascii="Cambria Math" w:eastAsia="Times New Roman" w:hAnsi="Cambria Math" w:cs="Times New Roman"/>
                    <w:szCs w:val="24"/>
                    <w:lang w:val="en-US"/>
                  </w:rPr>
                  <m:t>1600</m:t>
                </m:r>
              </m:den>
            </m:f>
          </m:oMath>
        </w:p>
        <w:p w14:paraId="3AC13CF0" w14:textId="77777777" w:rsidR="00A760D2" w:rsidRDefault="00AA0736" w:rsidP="00A760D2">
          <w:pPr>
            <w:ind w:left="1440"/>
            <w:rPr>
              <w:rFonts w:eastAsia="Times New Roman" w:cs="Times New Roman"/>
              <w:szCs w:val="24"/>
              <w:lang w:val="en-US"/>
            </w:rPr>
          </w:pPr>
          <w:r w:rsidRPr="00AA0736">
            <w:rPr>
              <w:rFonts w:eastAsia="Times New Roman" w:cs="Times New Roman"/>
              <w:szCs w:val="24"/>
              <w:lang w:val="en-US"/>
            </w:rPr>
            <w:t xml:space="preserve">​=56.25% </w:t>
          </w:r>
        </w:p>
        <w:p w14:paraId="7126008B" w14:textId="77777777" w:rsidR="00A760D2" w:rsidRDefault="00AA0736" w:rsidP="00084D69">
          <w:pPr>
            <w:rPr>
              <w:rFonts w:eastAsia="Times New Roman" w:cs="Times New Roman"/>
              <w:szCs w:val="24"/>
              <w:lang w:val="en-US"/>
            </w:rPr>
          </w:pPr>
          <w:r w:rsidRPr="00AA0736">
            <w:rPr>
              <w:rFonts w:eastAsia="Times New Roman" w:cs="Times New Roman"/>
              <w:szCs w:val="24"/>
              <w:lang w:val="en-US"/>
            </w:rPr>
            <w:t>NPV from C portion=0.5625×742.51</w:t>
          </w:r>
        </w:p>
        <w:p w14:paraId="77A5FA67" w14:textId="59EFBF31" w:rsidR="00AA0736" w:rsidRPr="00AA0736" w:rsidRDefault="00AA0736" w:rsidP="00A760D2">
          <w:pPr>
            <w:ind w:left="2160"/>
            <w:rPr>
              <w:rFonts w:eastAsia="Times New Roman" w:cs="Times New Roman"/>
              <w:szCs w:val="24"/>
              <w:lang w:val="en-US"/>
            </w:rPr>
          </w:pPr>
          <w:r w:rsidRPr="00AA0736">
            <w:rPr>
              <w:rFonts w:eastAsia="Times New Roman" w:cs="Times New Roman"/>
              <w:szCs w:val="24"/>
              <w:lang w:val="en-US"/>
            </w:rPr>
            <w:t xml:space="preserve">=417.66 </w:t>
          </w:r>
        </w:p>
        <w:p w14:paraId="2EC56462" w14:textId="77777777" w:rsidR="00A760D2" w:rsidRDefault="00AA0736" w:rsidP="00084D69">
          <w:pPr>
            <w:rPr>
              <w:rFonts w:eastAsia="Times New Roman" w:cs="Times New Roman"/>
              <w:szCs w:val="24"/>
              <w:lang w:val="en-US"/>
            </w:rPr>
          </w:pPr>
          <w:r w:rsidRPr="00AA0736">
            <w:rPr>
              <w:rFonts w:eastAsia="Times New Roman" w:cs="Times New Roman"/>
              <w:bCs/>
              <w:szCs w:val="24"/>
              <w:lang w:val="en-US"/>
            </w:rPr>
            <w:t>Total NPV under capital rationing:</w:t>
          </w:r>
          <w:r w:rsidR="00A760D2">
            <w:rPr>
              <w:rFonts w:eastAsia="Times New Roman" w:cs="Times New Roman"/>
              <w:szCs w:val="24"/>
              <w:lang w:val="en-US"/>
            </w:rPr>
            <w:t xml:space="preserve"> </w:t>
          </w:r>
          <w:r w:rsidRPr="00AA0736">
            <w:rPr>
              <w:rFonts w:eastAsia="Times New Roman" w:cs="Times New Roman"/>
              <w:szCs w:val="24"/>
              <w:lang w:val="en-US"/>
            </w:rPr>
            <w:t>643.20+792.25+417.66</w:t>
          </w:r>
        </w:p>
        <w:p w14:paraId="2F01350F" w14:textId="1BF4757A" w:rsidR="00AA0736" w:rsidRPr="00AA0736" w:rsidRDefault="00AA0736" w:rsidP="00A760D2">
          <w:pPr>
            <w:ind w:left="3600"/>
            <w:rPr>
              <w:rFonts w:eastAsia="Times New Roman" w:cs="Times New Roman"/>
              <w:szCs w:val="24"/>
              <w:lang w:val="en-US"/>
            </w:rPr>
          </w:pPr>
          <w:r w:rsidRPr="00AA0736">
            <w:rPr>
              <w:rFonts w:eastAsia="Times New Roman" w:cs="Times New Roman"/>
              <w:szCs w:val="24"/>
              <w:lang w:val="en-US"/>
            </w:rPr>
            <w:t xml:space="preserve">=£1,853.11k </w:t>
          </w:r>
        </w:p>
        <w:p w14:paraId="36F51355" w14:textId="61B3469C" w:rsidR="00084D69" w:rsidRPr="00084D69" w:rsidRDefault="00084D69" w:rsidP="00084D69">
          <w:pPr>
            <w:rPr>
              <w:rFonts w:eastAsia="Times New Roman" w:cs="Times New Roman"/>
              <w:szCs w:val="24"/>
              <w:lang w:val="en-US"/>
            </w:rPr>
          </w:pPr>
          <w:r w:rsidRPr="00084D69">
            <w:rPr>
              <w:rFonts w:eastAsia="Times New Roman" w:cs="Times New Roman"/>
              <w:szCs w:val="24"/>
              <w:lang w:val="en-US"/>
            </w:rPr>
            <w:t xml:space="preserve">The allocation maximizes the total NPV within the capital constraint and proves that profitability index (PI), instead of net present value (NPV), is the right decision assumption when the funds of </w:t>
          </w:r>
          <w:r w:rsidR="00114EDD">
            <w:rPr>
              <w:rFonts w:eastAsia="Times New Roman" w:cs="Times New Roman"/>
              <w:szCs w:val="24"/>
              <w:lang w:val="en-US"/>
            </w:rPr>
            <w:t>investment projects are limited.</w:t>
          </w:r>
        </w:p>
        <w:p w14:paraId="00E8DC01" w14:textId="12D28A3B" w:rsidR="00084D69" w:rsidRPr="00084D69" w:rsidRDefault="003210FA" w:rsidP="00182C60">
          <w:pPr>
            <w:pStyle w:val="Heading2"/>
            <w:rPr>
              <w:lang w:val="en-US"/>
            </w:rPr>
          </w:pPr>
          <w:bookmarkStart w:id="35" w:name="_Toc218972919"/>
          <w:r>
            <w:rPr>
              <w:lang w:val="en-US"/>
            </w:rPr>
            <w:t>6</w:t>
          </w:r>
          <w:r w:rsidR="00084D69" w:rsidRPr="00084D69">
            <w:rPr>
              <w:lang w:val="en-US"/>
            </w:rPr>
            <w:t>.</w:t>
          </w:r>
          <w:r w:rsidR="00182C60">
            <w:rPr>
              <w:lang w:val="en-US"/>
            </w:rPr>
            <w:t>0</w:t>
          </w:r>
          <w:r w:rsidR="00084D69" w:rsidRPr="00084D69">
            <w:rPr>
              <w:lang w:val="en-US"/>
            </w:rPr>
            <w:t xml:space="preserve"> </w:t>
          </w:r>
          <w:r w:rsidR="00084D69">
            <w:rPr>
              <w:lang w:val="en-US"/>
            </w:rPr>
            <w:t>Funding the Invest</w:t>
          </w:r>
          <w:r w:rsidR="00182C60">
            <w:rPr>
              <w:lang w:val="en-US"/>
            </w:rPr>
            <w:t>ment Program</w:t>
          </w:r>
          <w:bookmarkEnd w:id="35"/>
        </w:p>
        <w:p w14:paraId="1C71193B" w14:textId="5BDBEB5E" w:rsidR="00084D69" w:rsidRPr="00084D69" w:rsidRDefault="00084D69" w:rsidP="00084D69">
          <w:pPr>
            <w:rPr>
              <w:rFonts w:eastAsia="Times New Roman" w:cs="Times New Roman"/>
              <w:szCs w:val="24"/>
              <w:lang w:val="en-US"/>
            </w:rPr>
          </w:pPr>
          <w:r w:rsidRPr="00084D69">
            <w:rPr>
              <w:rFonts w:eastAsia="Times New Roman" w:cs="Times New Roman"/>
              <w:szCs w:val="24"/>
              <w:lang w:val="en-US"/>
            </w:rPr>
            <w:t xml:space="preserve">Westward Plc can also finance the proposed investment by the combined efforts of retained earnings, debt, and, where needed, equity, and hence preserve the flexibility but regulate the cost of capital. The best source is often retained earnings, which do not require the issuance cost and incur no financial obligations, but it can be overutilized to a point that raises liquidity pressure and might not be realistic in case the cash is needed to supply the working capital and dividends </w:t>
          </w:r>
          <w:r w:rsidR="00114EDD" w:rsidRPr="00114EDD">
            <w:rPr>
              <w:rFonts w:eastAsia="Times New Roman" w:cs="Times New Roman"/>
              <w:szCs w:val="24"/>
              <w:lang w:val="en-US"/>
            </w:rPr>
            <w:t>(</w:t>
          </w:r>
          <w:proofErr w:type="spellStart"/>
          <w:r w:rsidR="00114EDD" w:rsidRPr="00114EDD">
            <w:rPr>
              <w:rFonts w:eastAsia="Times New Roman" w:cs="Times New Roman"/>
              <w:szCs w:val="24"/>
              <w:lang w:val="en-US"/>
            </w:rPr>
            <w:t>Atrill</w:t>
          </w:r>
          <w:proofErr w:type="spellEnd"/>
          <w:r w:rsidR="00114EDD" w:rsidRPr="00114EDD">
            <w:rPr>
              <w:rFonts w:eastAsia="Times New Roman" w:cs="Times New Roman"/>
              <w:szCs w:val="24"/>
              <w:lang w:val="en-US"/>
            </w:rPr>
            <w:t xml:space="preserve"> </w:t>
          </w:r>
          <w:r w:rsidR="00114EDD">
            <w:rPr>
              <w:rFonts w:eastAsia="Times New Roman" w:cs="Times New Roman"/>
              <w:szCs w:val="24"/>
              <w:lang w:val="en-US"/>
            </w:rPr>
            <w:t>and</w:t>
          </w:r>
          <w:r w:rsidR="00114EDD" w:rsidRPr="00114EDD">
            <w:rPr>
              <w:rFonts w:eastAsia="Times New Roman" w:cs="Times New Roman"/>
              <w:szCs w:val="24"/>
              <w:lang w:val="en-US"/>
            </w:rPr>
            <w:t xml:space="preserve"> </w:t>
          </w:r>
          <w:proofErr w:type="spellStart"/>
          <w:r w:rsidR="00114EDD" w:rsidRPr="00114EDD">
            <w:rPr>
              <w:rFonts w:eastAsia="Times New Roman" w:cs="Times New Roman"/>
              <w:szCs w:val="24"/>
              <w:lang w:val="en-US"/>
            </w:rPr>
            <w:t>McLaney</w:t>
          </w:r>
          <w:proofErr w:type="spellEnd"/>
          <w:r w:rsidR="00114EDD" w:rsidRPr="00114EDD">
            <w:rPr>
              <w:rFonts w:eastAsia="Times New Roman" w:cs="Times New Roman"/>
              <w:szCs w:val="24"/>
              <w:lang w:val="en-US"/>
            </w:rPr>
            <w:t>, 2025)</w:t>
          </w:r>
          <w:r w:rsidRPr="00084D69">
            <w:rPr>
              <w:rFonts w:eastAsia="Times New Roman" w:cs="Times New Roman"/>
              <w:szCs w:val="24"/>
              <w:lang w:val="en-US"/>
            </w:rPr>
            <w:t xml:space="preserve">. Financing through debt is typically less expensive than financing through equity since the tax on the interest can be deductible, and it can increase returns in cases where cash flows are predictable, whereas increased gearing increases the financial risk and refinancing risk, especially when market conditions worsen </w:t>
          </w:r>
          <w:r w:rsidR="00114EDD" w:rsidRPr="00114EDD">
            <w:rPr>
              <w:rFonts w:eastAsia="Times New Roman" w:cs="Times New Roman"/>
              <w:szCs w:val="24"/>
              <w:lang w:val="en-US"/>
            </w:rPr>
            <w:t xml:space="preserve">(Theodore Farris </w:t>
          </w:r>
          <w:r w:rsidR="00114EDD">
            <w:rPr>
              <w:rFonts w:eastAsia="Times New Roman" w:cs="Times New Roman"/>
              <w:szCs w:val="24"/>
              <w:lang w:val="en-US"/>
            </w:rPr>
            <w:t>and</w:t>
          </w:r>
          <w:r w:rsidR="00114EDD" w:rsidRPr="00114EDD">
            <w:rPr>
              <w:rFonts w:eastAsia="Times New Roman" w:cs="Times New Roman"/>
              <w:szCs w:val="24"/>
              <w:lang w:val="en-US"/>
            </w:rPr>
            <w:t xml:space="preserve"> Hutchison, 2002)</w:t>
          </w:r>
          <w:r w:rsidRPr="00084D69">
            <w:rPr>
              <w:rFonts w:eastAsia="Times New Roman" w:cs="Times New Roman"/>
              <w:szCs w:val="24"/>
              <w:lang w:val="en-US"/>
            </w:rPr>
            <w:t xml:space="preserve">. </w:t>
          </w:r>
        </w:p>
        <w:p w14:paraId="1FBEFB44" w14:textId="54BD072D" w:rsidR="00084D69" w:rsidRPr="00084D69" w:rsidRDefault="00084D69" w:rsidP="00084D69">
          <w:pPr>
            <w:rPr>
              <w:rFonts w:eastAsia="Times New Roman" w:cs="Times New Roman"/>
              <w:szCs w:val="24"/>
              <w:lang w:val="en-US"/>
            </w:rPr>
          </w:pPr>
          <w:r w:rsidRPr="00A760D2">
            <w:rPr>
              <w:rFonts w:eastAsia="Times New Roman" w:cs="Times New Roman"/>
              <w:b/>
              <w:i/>
              <w:szCs w:val="24"/>
              <w:lang w:val="en-US"/>
            </w:rPr>
            <w:t>Recommendations:</w:t>
          </w:r>
          <w:r w:rsidRPr="00084D69">
            <w:rPr>
              <w:rFonts w:eastAsia="Times New Roman" w:cs="Times New Roman"/>
              <w:szCs w:val="24"/>
              <w:lang w:val="en-US"/>
            </w:rPr>
            <w:t xml:space="preserve"> Populate the project by making use of retained earnings and complement it with moderate long-term debt in line with the cash-flow profile of the project, and only employ equity when the covenant risk or const</w:t>
          </w:r>
          <w:r>
            <w:rPr>
              <w:rFonts w:eastAsia="Times New Roman" w:cs="Times New Roman"/>
              <w:szCs w:val="24"/>
              <w:lang w:val="en-US"/>
            </w:rPr>
            <w:t>raints of leverage get binding.</w:t>
          </w:r>
        </w:p>
        <w:p w14:paraId="0B0E2B69" w14:textId="1FDF9CC4" w:rsidR="00084D69" w:rsidRPr="00084D69" w:rsidRDefault="00084D69" w:rsidP="003210FA">
          <w:pPr>
            <w:pStyle w:val="Heading1"/>
            <w:rPr>
              <w:lang w:val="en-US"/>
            </w:rPr>
          </w:pPr>
          <w:bookmarkStart w:id="36" w:name="_Toc218972920"/>
          <w:r>
            <w:rPr>
              <w:lang w:val="en-US"/>
            </w:rPr>
            <w:lastRenderedPageBreak/>
            <w:t>Conclusion</w:t>
          </w:r>
          <w:bookmarkEnd w:id="36"/>
        </w:p>
        <w:p w14:paraId="0A42E0B1" w14:textId="77777777" w:rsidR="003210FA" w:rsidRDefault="003210FA" w:rsidP="003210FA">
          <w:pPr>
            <w:rPr>
              <w:lang w:val="en-US"/>
            </w:rPr>
          </w:pPr>
          <w:r w:rsidRPr="003210FA">
            <w:rPr>
              <w:lang w:val="en-US"/>
            </w:rPr>
            <w:t>This report has critically assessed the financial performance of the Reckitt Benckiser Group plc (Reckitt) and has evaluated the strategic investment options of Westward Plc. The financial ratios of Reckitt represent an ambivalent result with excellent gross margins and capital efficiency, and, simultaneously, show weakness in operating and net profitability, liquidity, and gearing. The recommendations emphasize the importance of high cost containment, better management of liquidity in the short term, and a rational attitude towards leverage with the overall aim of increasing long-term profitability and fin</w:t>
          </w:r>
          <w:r>
            <w:rPr>
              <w:lang w:val="en-US"/>
            </w:rPr>
            <w:t>ancial sustainability.</w:t>
          </w:r>
        </w:p>
        <w:p w14:paraId="40820695" w14:textId="77777777" w:rsidR="003210FA" w:rsidRDefault="003210FA" w:rsidP="003210FA">
          <w:pPr>
            <w:rPr>
              <w:lang w:val="en-US"/>
            </w:rPr>
          </w:pPr>
          <w:r w:rsidRPr="003210FA">
            <w:rPr>
              <w:lang w:val="en-US"/>
            </w:rPr>
            <w:t>In the case of Westward Plc, three strategic expansion options have been considered using Net Present Value (NPV), Internal Rate of Return (IRR), and Profitability Index (PI) measures. The NPV analysis found the development of the online retail channel (Option B) to be the most appealing and the most lucrative in terms of returns on investment. Further, capital rationing was taken into account, which justified a recommendation to focus on Options A and B and selectively invest in Option C. The investment program financing plan must be based on retained corporate earnings and quantifiable debt, and thus, it will maintain flexibility in operations and</w:t>
          </w:r>
          <w:r>
            <w:rPr>
              <w:lang w:val="en-US"/>
            </w:rPr>
            <w:t xml:space="preserve"> moderate the cost of capital.</w:t>
          </w:r>
        </w:p>
        <w:p w14:paraId="2F79B1F4" w14:textId="57434AE2" w:rsidR="003210FA" w:rsidRPr="003210FA" w:rsidRDefault="003210FA" w:rsidP="003210FA">
          <w:pPr>
            <w:rPr>
              <w:lang w:val="en-US"/>
            </w:rPr>
          </w:pPr>
          <w:r w:rsidRPr="003210FA">
            <w:rPr>
              <w:lang w:val="en-US"/>
            </w:rPr>
            <w:t>Reckitt needs to simplify its business and optimize its capital structure so that the company may be better positioned to grow its businesses. Westward Plc needs to implement its Option B with the help of the strategic allocation of capital in order to increase shareholder value and long-term profitability.</w:t>
          </w:r>
        </w:p>
        <w:p w14:paraId="6FCFDD80" w14:textId="77777777" w:rsidR="00A760D2" w:rsidRDefault="00A760D2" w:rsidP="003210FA">
          <w:r>
            <w:br w:type="page"/>
          </w:r>
        </w:p>
        <w:p w14:paraId="1F4145EA" w14:textId="1AE27DBA" w:rsidR="006F1E69" w:rsidRDefault="00A760D2" w:rsidP="00A760D2">
          <w:pPr>
            <w:pStyle w:val="Heading1"/>
          </w:pPr>
          <w:bookmarkStart w:id="37" w:name="_Toc218972921"/>
          <w:r>
            <w:lastRenderedPageBreak/>
            <w:t>References</w:t>
          </w:r>
        </w:p>
      </w:sdtContent>
    </w:sdt>
    <w:bookmarkEnd w:id="37" w:displacedByCustomXml="prev"/>
    <w:p w14:paraId="0CB15BC2" w14:textId="77777777" w:rsidR="00A67016" w:rsidRPr="006F1E69" w:rsidRDefault="00A67016" w:rsidP="00A67016">
      <w:pPr>
        <w:ind w:left="720" w:hanging="720"/>
        <w:rPr>
          <w:lang w:val="en-US"/>
        </w:rPr>
      </w:pPr>
      <w:proofErr w:type="spellStart"/>
      <w:r w:rsidRPr="006F1E69">
        <w:rPr>
          <w:lang w:val="en-US"/>
        </w:rPr>
        <w:t>Atrill</w:t>
      </w:r>
      <w:proofErr w:type="spellEnd"/>
      <w:r w:rsidRPr="006F1E69">
        <w:rPr>
          <w:lang w:val="en-US"/>
        </w:rPr>
        <w:t xml:space="preserve">, P. and McLaney, E.J. (2025) </w:t>
      </w:r>
      <w:r w:rsidRPr="006F1E69">
        <w:rPr>
          <w:i/>
          <w:iCs/>
          <w:lang w:val="en-US"/>
        </w:rPr>
        <w:t>Accounting and finance for non-specialists</w:t>
      </w:r>
      <w:r w:rsidRPr="006F1E69">
        <w:rPr>
          <w:lang w:val="en-US"/>
        </w:rPr>
        <w:t xml:space="preserve">. Harlow, United Kingdom: Pearson Education Limited. </w:t>
      </w:r>
    </w:p>
    <w:p w14:paraId="0B19CED0" w14:textId="77777777" w:rsidR="00A67016" w:rsidRPr="006F1E69" w:rsidRDefault="00A67016" w:rsidP="00A67016">
      <w:pPr>
        <w:ind w:left="720" w:hanging="720"/>
        <w:rPr>
          <w:lang w:val="en-US"/>
        </w:rPr>
      </w:pPr>
      <w:r w:rsidRPr="006F1E69">
        <w:rPr>
          <w:lang w:val="en-US"/>
        </w:rPr>
        <w:t xml:space="preserve">Berk, J.B. </w:t>
      </w:r>
      <w:r w:rsidRPr="006F1E69">
        <w:rPr>
          <w:i/>
          <w:iCs/>
          <w:lang w:val="en-US"/>
        </w:rPr>
        <w:t>et al.</w:t>
      </w:r>
      <w:r w:rsidRPr="006F1E69">
        <w:rPr>
          <w:lang w:val="en-US"/>
        </w:rPr>
        <w:t xml:space="preserve"> (2019) </w:t>
      </w:r>
      <w:r w:rsidRPr="006F1E69">
        <w:rPr>
          <w:i/>
          <w:iCs/>
          <w:lang w:val="en-US"/>
        </w:rPr>
        <w:t>Fundamentals of Corporate Finance</w:t>
      </w:r>
      <w:r w:rsidRPr="006F1E69">
        <w:rPr>
          <w:lang w:val="en-US"/>
        </w:rPr>
        <w:t xml:space="preserve">. Melbourne VIC: Pearson Australia. </w:t>
      </w:r>
    </w:p>
    <w:p w14:paraId="781FB0EA" w14:textId="77777777" w:rsidR="00A67016" w:rsidRPr="006F1E69" w:rsidRDefault="00A67016" w:rsidP="00A67016">
      <w:pPr>
        <w:ind w:left="720" w:hanging="720"/>
        <w:rPr>
          <w:lang w:val="en-US"/>
        </w:rPr>
      </w:pPr>
      <w:r w:rsidRPr="006F1E69">
        <w:rPr>
          <w:lang w:val="en-US"/>
        </w:rPr>
        <w:t xml:space="preserve">Bhimani, A. (2022) </w:t>
      </w:r>
      <w:r w:rsidRPr="006F1E69">
        <w:rPr>
          <w:i/>
          <w:iCs/>
          <w:lang w:val="en-US"/>
        </w:rPr>
        <w:t>Financial Management for Technology Start Ups: A handbook for growth</w:t>
      </w:r>
      <w:r w:rsidRPr="006F1E69">
        <w:rPr>
          <w:lang w:val="en-US"/>
        </w:rPr>
        <w:t xml:space="preserve">. London: </w:t>
      </w:r>
      <w:proofErr w:type="spellStart"/>
      <w:r w:rsidRPr="006F1E69">
        <w:rPr>
          <w:lang w:val="en-US"/>
        </w:rPr>
        <w:t>KoganPage</w:t>
      </w:r>
      <w:proofErr w:type="spellEnd"/>
      <w:r w:rsidRPr="006F1E69">
        <w:rPr>
          <w:lang w:val="en-US"/>
        </w:rPr>
        <w:t xml:space="preserve">. </w:t>
      </w:r>
    </w:p>
    <w:p w14:paraId="72D2F96A" w14:textId="77777777" w:rsidR="00A67016" w:rsidRPr="006F1E69" w:rsidRDefault="00A67016" w:rsidP="00A67016">
      <w:pPr>
        <w:ind w:left="720" w:hanging="720"/>
        <w:rPr>
          <w:lang w:val="en-US"/>
        </w:rPr>
      </w:pPr>
      <w:r>
        <w:rPr>
          <w:lang w:val="en-US"/>
        </w:rPr>
        <w:t xml:space="preserve">Drury, C. and </w:t>
      </w:r>
      <w:proofErr w:type="spellStart"/>
      <w:r>
        <w:rPr>
          <w:lang w:val="en-US"/>
        </w:rPr>
        <w:t>Tayles</w:t>
      </w:r>
      <w:proofErr w:type="spellEnd"/>
      <w:r>
        <w:rPr>
          <w:lang w:val="en-US"/>
        </w:rPr>
        <w:t>, M. (2024</w:t>
      </w:r>
      <w:r w:rsidRPr="006F1E69">
        <w:rPr>
          <w:lang w:val="en-US"/>
        </w:rPr>
        <w:t xml:space="preserve">) </w:t>
      </w:r>
      <w:r w:rsidRPr="006F1E69">
        <w:rPr>
          <w:i/>
          <w:iCs/>
          <w:lang w:val="en-US"/>
        </w:rPr>
        <w:t>Management and cost accounting</w:t>
      </w:r>
      <w:r w:rsidRPr="006F1E69">
        <w:rPr>
          <w:lang w:val="en-US"/>
        </w:rPr>
        <w:t xml:space="preserve">. Australia: Cengage. </w:t>
      </w:r>
    </w:p>
    <w:p w14:paraId="22B753D1" w14:textId="77777777" w:rsidR="00A67016" w:rsidRPr="006F1E69" w:rsidRDefault="00A67016" w:rsidP="00A67016">
      <w:pPr>
        <w:ind w:left="720" w:hanging="720"/>
        <w:rPr>
          <w:lang w:val="en-US"/>
        </w:rPr>
      </w:pPr>
      <w:r w:rsidRPr="006F1E69">
        <w:rPr>
          <w:lang w:val="en-US"/>
        </w:rPr>
        <w:t xml:space="preserve">Gitman, L.J. and Zutter, C.J. (2018) </w:t>
      </w:r>
      <w:r w:rsidRPr="006F1E69">
        <w:rPr>
          <w:i/>
          <w:iCs/>
          <w:lang w:val="en-US"/>
        </w:rPr>
        <w:t>Principles of Managerial Finance</w:t>
      </w:r>
      <w:r w:rsidRPr="006F1E69">
        <w:rPr>
          <w:lang w:val="en-US"/>
        </w:rPr>
        <w:t xml:space="preserve">. Singapore: Pearson Education South Asia Pte Ltd. </w:t>
      </w:r>
    </w:p>
    <w:p w14:paraId="6E173996" w14:textId="77777777" w:rsidR="00A67016" w:rsidRPr="006F1E69" w:rsidRDefault="00A67016" w:rsidP="00A67016">
      <w:pPr>
        <w:ind w:left="720" w:hanging="720"/>
        <w:rPr>
          <w:lang w:val="en-US"/>
        </w:rPr>
      </w:pPr>
      <w:r w:rsidRPr="006F1E69">
        <w:rPr>
          <w:lang w:val="en-US"/>
        </w:rPr>
        <w:t xml:space="preserve">Horngren, C.T., Braun, K.W. and Tietz, W.M. (2013) </w:t>
      </w:r>
      <w:r w:rsidRPr="006F1E69">
        <w:rPr>
          <w:i/>
          <w:iCs/>
          <w:lang w:val="en-US"/>
        </w:rPr>
        <w:t>Cost accounting: A managerial emphasis</w:t>
      </w:r>
      <w:r w:rsidRPr="006F1E69">
        <w:rPr>
          <w:lang w:val="en-US"/>
        </w:rPr>
        <w:t xml:space="preserve">. Boston, MA: Pearson Learning Solutions. </w:t>
      </w:r>
    </w:p>
    <w:p w14:paraId="0C092655" w14:textId="77777777" w:rsidR="00A67016" w:rsidRPr="006F1E69" w:rsidRDefault="00A67016" w:rsidP="00A67016">
      <w:pPr>
        <w:ind w:left="720" w:hanging="720"/>
        <w:rPr>
          <w:lang w:val="en-US"/>
        </w:rPr>
      </w:pPr>
      <w:r w:rsidRPr="006F1E69">
        <w:rPr>
          <w:lang w:val="en-US"/>
        </w:rPr>
        <w:t xml:space="preserve">IFRS (2025) </w:t>
      </w:r>
      <w:r w:rsidRPr="006F1E69">
        <w:rPr>
          <w:i/>
          <w:iCs/>
          <w:lang w:val="en-US"/>
        </w:rPr>
        <w:t>Conceptual Framework for Financial Reporting</w:t>
      </w:r>
      <w:r w:rsidRPr="006F1E69">
        <w:rPr>
          <w:lang w:val="en-US"/>
        </w:rPr>
        <w:t xml:space="preserve">, </w:t>
      </w:r>
      <w:r w:rsidRPr="006F1E69">
        <w:rPr>
          <w:i/>
          <w:iCs/>
          <w:lang w:val="en-US"/>
        </w:rPr>
        <w:t>IFRS</w:t>
      </w:r>
      <w:r w:rsidRPr="006F1E69">
        <w:rPr>
          <w:lang w:val="en-US"/>
        </w:rPr>
        <w:t xml:space="preserve">. Available at: https://www.ifrs.org/issued-standards/list-of-standards/conceptual-framework/ (Accessed: 31 December 2025). </w:t>
      </w:r>
    </w:p>
    <w:p w14:paraId="561041A7" w14:textId="77777777" w:rsidR="00A67016" w:rsidRPr="006F1E69" w:rsidRDefault="00A67016" w:rsidP="00A67016">
      <w:pPr>
        <w:ind w:left="720" w:hanging="720"/>
        <w:rPr>
          <w:lang w:val="en-US"/>
        </w:rPr>
      </w:pPr>
      <w:r w:rsidRPr="006F1E69">
        <w:rPr>
          <w:lang w:val="en-US"/>
        </w:rPr>
        <w:t xml:space="preserve">Kersten, R. </w:t>
      </w:r>
      <w:r w:rsidRPr="006F1E69">
        <w:rPr>
          <w:i/>
          <w:iCs/>
          <w:lang w:val="en-US"/>
        </w:rPr>
        <w:t>et al.</w:t>
      </w:r>
      <w:r w:rsidRPr="006F1E69">
        <w:rPr>
          <w:lang w:val="en-US"/>
        </w:rPr>
        <w:t xml:space="preserve"> (2017) ‘Small firms, large impact? A systematic review of the SME Finance Literature’, </w:t>
      </w:r>
      <w:r w:rsidRPr="006F1E69">
        <w:rPr>
          <w:i/>
          <w:iCs/>
          <w:lang w:val="en-US"/>
        </w:rPr>
        <w:t>World Development</w:t>
      </w:r>
      <w:r w:rsidRPr="006F1E69">
        <w:rPr>
          <w:lang w:val="en-US"/>
        </w:rPr>
        <w:t xml:space="preserve">, 97, pp. 330–348. doi:10.1016/j.worlddev.2017.04.012. </w:t>
      </w:r>
    </w:p>
    <w:p w14:paraId="48B3750A" w14:textId="77777777" w:rsidR="00A67016" w:rsidRPr="006F1E69" w:rsidRDefault="00A67016" w:rsidP="00A67016">
      <w:pPr>
        <w:ind w:left="720" w:hanging="720"/>
        <w:rPr>
          <w:lang w:val="en-US"/>
        </w:rPr>
      </w:pPr>
      <w:r w:rsidRPr="006F1E69">
        <w:rPr>
          <w:lang w:val="en-US"/>
        </w:rPr>
        <w:t xml:space="preserve">Khan, M.Y. and Jain, P.K. (2014) </w:t>
      </w:r>
      <w:r w:rsidRPr="006F1E69">
        <w:rPr>
          <w:i/>
          <w:iCs/>
          <w:lang w:val="en-US"/>
        </w:rPr>
        <w:t>Financial management: Text, problems and cases</w:t>
      </w:r>
      <w:r w:rsidRPr="006F1E69">
        <w:rPr>
          <w:lang w:val="en-US"/>
        </w:rPr>
        <w:t xml:space="preserve">. New Delhi: McGraw Hill Education. </w:t>
      </w:r>
    </w:p>
    <w:p w14:paraId="279DE484" w14:textId="77777777" w:rsidR="00A67016" w:rsidRPr="006F1E69" w:rsidRDefault="00A67016" w:rsidP="00A67016">
      <w:pPr>
        <w:ind w:left="720" w:hanging="720"/>
        <w:rPr>
          <w:lang w:val="en-US"/>
        </w:rPr>
      </w:pPr>
      <w:r w:rsidRPr="006F1E69">
        <w:rPr>
          <w:lang w:val="en-US"/>
        </w:rPr>
        <w:t xml:space="preserve">London Stock Exchange (2025) </w:t>
      </w:r>
      <w:r w:rsidRPr="006F1E69">
        <w:rPr>
          <w:i/>
          <w:iCs/>
          <w:lang w:val="en-US"/>
        </w:rPr>
        <w:t>FTSE 100 market overview</w:t>
      </w:r>
      <w:r w:rsidRPr="006F1E69">
        <w:rPr>
          <w:lang w:val="en-US"/>
        </w:rPr>
        <w:t xml:space="preserve">, </w:t>
      </w:r>
      <w:r w:rsidRPr="006F1E69">
        <w:rPr>
          <w:i/>
          <w:iCs/>
          <w:lang w:val="en-US"/>
        </w:rPr>
        <w:t>London Stock Exchange</w:t>
      </w:r>
      <w:r w:rsidRPr="006F1E69">
        <w:rPr>
          <w:lang w:val="en-US"/>
        </w:rPr>
        <w:t xml:space="preserve">. Available at: https://www.lse.co.uk/share-prices/indices/ftse-100/ (Accessed: 04 January 2026). </w:t>
      </w:r>
    </w:p>
    <w:p w14:paraId="6F54544C" w14:textId="77777777" w:rsidR="00A67016" w:rsidRPr="006F1E69" w:rsidRDefault="00A67016" w:rsidP="00A67016">
      <w:pPr>
        <w:ind w:left="720" w:hanging="720"/>
        <w:rPr>
          <w:lang w:val="en-US"/>
        </w:rPr>
      </w:pPr>
      <w:r w:rsidRPr="006F1E69">
        <w:rPr>
          <w:lang w:val="en-US"/>
        </w:rPr>
        <w:t xml:space="preserve">Palepu, K.G., Healy, P.M. and Peek, E. (2022) </w:t>
      </w:r>
      <w:r w:rsidRPr="006F1E69">
        <w:rPr>
          <w:i/>
          <w:iCs/>
          <w:lang w:val="en-US"/>
        </w:rPr>
        <w:t>Business Analysis and valuation: IFRS edition</w:t>
      </w:r>
      <w:r w:rsidRPr="006F1E69">
        <w:rPr>
          <w:lang w:val="en-US"/>
        </w:rPr>
        <w:t xml:space="preserve">. Andover: Cengage Learning. </w:t>
      </w:r>
    </w:p>
    <w:p w14:paraId="1132D83B" w14:textId="77777777" w:rsidR="00A67016" w:rsidRPr="006F1E69" w:rsidRDefault="00A67016" w:rsidP="00A67016">
      <w:pPr>
        <w:ind w:left="720" w:hanging="720"/>
        <w:rPr>
          <w:lang w:val="en-US"/>
        </w:rPr>
      </w:pPr>
      <w:r w:rsidRPr="006F1E69">
        <w:rPr>
          <w:lang w:val="en-US"/>
        </w:rPr>
        <w:t xml:space="preserve">Penman, S.H. (2010) </w:t>
      </w:r>
      <w:r w:rsidRPr="006F1E69">
        <w:rPr>
          <w:i/>
          <w:iCs/>
          <w:lang w:val="en-US"/>
        </w:rPr>
        <w:t>Corporate finance II: Financial statement analysis and securities valuation</w:t>
      </w:r>
      <w:r w:rsidRPr="006F1E69">
        <w:rPr>
          <w:lang w:val="en-US"/>
        </w:rPr>
        <w:t xml:space="preserve">. U.S.A.: McGraw Hill Create. </w:t>
      </w:r>
    </w:p>
    <w:p w14:paraId="669E0335" w14:textId="77777777" w:rsidR="00A67016" w:rsidRPr="006F1E69" w:rsidRDefault="00A67016" w:rsidP="00A67016">
      <w:pPr>
        <w:ind w:left="720" w:hanging="720"/>
        <w:rPr>
          <w:lang w:val="en-US"/>
        </w:rPr>
      </w:pPr>
      <w:r w:rsidRPr="006F1E69">
        <w:rPr>
          <w:lang w:val="en-US"/>
        </w:rPr>
        <w:lastRenderedPageBreak/>
        <w:t xml:space="preserve">Reckitt Benckiser Group plc (2025) </w:t>
      </w:r>
      <w:r w:rsidRPr="006F1E69">
        <w:rPr>
          <w:i/>
          <w:iCs/>
          <w:lang w:val="en-US"/>
        </w:rPr>
        <w:t>Reckitt Benckiser releases 2024 Financial Report, sets AGM date by Investing.com</w:t>
      </w:r>
      <w:r w:rsidRPr="006F1E69">
        <w:rPr>
          <w:lang w:val="en-US"/>
        </w:rPr>
        <w:t xml:space="preserve">, </w:t>
      </w:r>
      <w:r w:rsidRPr="006F1E69">
        <w:rPr>
          <w:i/>
          <w:iCs/>
          <w:lang w:val="en-US"/>
        </w:rPr>
        <w:t>Reckitt Benckiser Group plc</w:t>
      </w:r>
      <w:r w:rsidRPr="006F1E69">
        <w:rPr>
          <w:lang w:val="en-US"/>
        </w:rPr>
        <w:t xml:space="preserve">. Available at: https://www.investing.com/news/company-news/reckitt-benckiser-releases-2024-financial-report-sets-agm-date-93CH-3948601 (Accessed: 04 January 2026). </w:t>
      </w:r>
    </w:p>
    <w:p w14:paraId="56EDF5CC" w14:textId="77777777" w:rsidR="00A67016" w:rsidRPr="006F1E69" w:rsidRDefault="00A67016" w:rsidP="00A67016">
      <w:pPr>
        <w:ind w:left="720" w:hanging="720"/>
        <w:rPr>
          <w:lang w:val="en-US"/>
        </w:rPr>
      </w:pPr>
      <w:r w:rsidRPr="006F1E69">
        <w:rPr>
          <w:lang w:val="en-US"/>
        </w:rPr>
        <w:t xml:space="preserve">Ross, S.A. </w:t>
      </w:r>
      <w:r w:rsidRPr="006F1E69">
        <w:rPr>
          <w:i/>
          <w:iCs/>
          <w:lang w:val="en-US"/>
        </w:rPr>
        <w:t>et al.</w:t>
      </w:r>
      <w:r w:rsidRPr="006F1E69">
        <w:rPr>
          <w:lang w:val="en-US"/>
        </w:rPr>
        <w:t xml:space="preserve"> (2016) </w:t>
      </w:r>
      <w:r w:rsidRPr="006F1E69">
        <w:rPr>
          <w:i/>
          <w:iCs/>
          <w:lang w:val="en-US"/>
        </w:rPr>
        <w:t>Fundamentals of Financial Management</w:t>
      </w:r>
      <w:r w:rsidRPr="006F1E69">
        <w:rPr>
          <w:lang w:val="en-US"/>
        </w:rPr>
        <w:t xml:space="preserve">. Canada: McGraw-Hill Education Create. </w:t>
      </w:r>
    </w:p>
    <w:p w14:paraId="01FB8262" w14:textId="77777777" w:rsidR="00A67016" w:rsidRPr="006F1E69" w:rsidRDefault="00A67016" w:rsidP="00A67016">
      <w:pPr>
        <w:ind w:left="720" w:hanging="720"/>
        <w:rPr>
          <w:lang w:val="en-US"/>
        </w:rPr>
      </w:pPr>
      <w:r w:rsidRPr="006F1E69">
        <w:rPr>
          <w:lang w:val="en-US"/>
        </w:rPr>
        <w:t xml:space="preserve">Saunders, A., Cornett, M.M. and Erhemjamts, O. (2024) </w:t>
      </w:r>
      <w:r w:rsidRPr="006F1E69">
        <w:rPr>
          <w:i/>
          <w:iCs/>
          <w:lang w:val="en-US"/>
        </w:rPr>
        <w:t>Financial Institutions Management: A risk management approach</w:t>
      </w:r>
      <w:r w:rsidRPr="006F1E69">
        <w:rPr>
          <w:lang w:val="en-US"/>
        </w:rPr>
        <w:t xml:space="preserve">. New York, NY: McGraw Hill LLC. </w:t>
      </w:r>
    </w:p>
    <w:p w14:paraId="28C592F7" w14:textId="77777777" w:rsidR="00A67016" w:rsidRPr="006F1E69" w:rsidRDefault="00A67016" w:rsidP="00A67016">
      <w:pPr>
        <w:ind w:left="720" w:hanging="720"/>
        <w:rPr>
          <w:lang w:val="en-US"/>
        </w:rPr>
      </w:pPr>
      <w:r w:rsidRPr="006F1E69">
        <w:rPr>
          <w:lang w:val="en-US"/>
        </w:rPr>
        <w:t xml:space="preserve">Shim, J.K. and Siegel, J.G. (2012) </w:t>
      </w:r>
      <w:r w:rsidRPr="006F1E69">
        <w:rPr>
          <w:i/>
          <w:iCs/>
          <w:lang w:val="en-US"/>
        </w:rPr>
        <w:t>Financial accounting</w:t>
      </w:r>
      <w:r w:rsidRPr="006F1E69">
        <w:rPr>
          <w:lang w:val="en-US"/>
        </w:rPr>
        <w:t xml:space="preserve">. New York: McGraw-Hill. </w:t>
      </w:r>
    </w:p>
    <w:p w14:paraId="3EA3CB66" w14:textId="77777777" w:rsidR="00A67016" w:rsidRPr="006F1E69" w:rsidRDefault="00A67016" w:rsidP="00A67016">
      <w:pPr>
        <w:ind w:left="720" w:hanging="720"/>
        <w:rPr>
          <w:lang w:val="en-US"/>
        </w:rPr>
      </w:pPr>
      <w:r w:rsidRPr="006F1E69">
        <w:rPr>
          <w:lang w:val="en-US"/>
        </w:rPr>
        <w:t xml:space="preserve">Theodore Farris, M. and Hutchison, P.D. (2002) ‘Cash‐to‐Cash: The New Supply Chain Management Metric’, </w:t>
      </w:r>
      <w:r w:rsidRPr="006F1E69">
        <w:rPr>
          <w:i/>
          <w:iCs/>
          <w:lang w:val="en-US"/>
        </w:rPr>
        <w:t>International Journal of Physical Distribution &amp;amp; Logistics Management</w:t>
      </w:r>
      <w:r w:rsidRPr="006F1E69">
        <w:rPr>
          <w:lang w:val="en-US"/>
        </w:rPr>
        <w:t xml:space="preserve">, 32(4), pp. 288–298. doi:10.1108/09600030210430651. </w:t>
      </w:r>
    </w:p>
    <w:p w14:paraId="2CBEE558" w14:textId="77777777" w:rsidR="00A67016" w:rsidRPr="006F1E69" w:rsidRDefault="00A67016" w:rsidP="00A67016">
      <w:pPr>
        <w:ind w:left="720" w:hanging="720"/>
        <w:rPr>
          <w:lang w:val="en-US"/>
        </w:rPr>
      </w:pPr>
      <w:r w:rsidRPr="006F1E69">
        <w:rPr>
          <w:lang w:val="en-US"/>
        </w:rPr>
        <w:t xml:space="preserve">Watson, D., Head, A. and Chan, D. (2023) </w:t>
      </w:r>
      <w:r w:rsidRPr="006F1E69">
        <w:rPr>
          <w:i/>
          <w:iCs/>
          <w:lang w:val="en-US"/>
        </w:rPr>
        <w:t>Corporate finance: Principles and practice</w:t>
      </w:r>
      <w:r w:rsidRPr="006F1E69">
        <w:rPr>
          <w:lang w:val="en-US"/>
        </w:rPr>
        <w:t xml:space="preserve">. Harlow, England: Pearson. </w:t>
      </w:r>
    </w:p>
    <w:p w14:paraId="7DFE1106" w14:textId="77777777" w:rsidR="00CF0E48" w:rsidRPr="006F1E69" w:rsidRDefault="00CF0E48" w:rsidP="006F1E69"/>
    <w:sectPr w:rsidR="00CF0E48" w:rsidRPr="006F1E69" w:rsidSect="00A760D2">
      <w:footerReference w:type="firs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BA80E7" w14:textId="77777777" w:rsidR="00986EC2" w:rsidRDefault="00986EC2" w:rsidP="00F33B24">
      <w:pPr>
        <w:spacing w:after="0" w:line="240" w:lineRule="auto"/>
      </w:pPr>
      <w:r>
        <w:separator/>
      </w:r>
    </w:p>
  </w:endnote>
  <w:endnote w:type="continuationSeparator" w:id="0">
    <w:p w14:paraId="639E8C86" w14:textId="77777777" w:rsidR="00986EC2" w:rsidRDefault="00986EC2"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0568247"/>
      <w:docPartObj>
        <w:docPartGallery w:val="Page Numbers (Bottom of Page)"/>
        <w:docPartUnique/>
      </w:docPartObj>
    </w:sdtPr>
    <w:sdtEndPr>
      <w:rPr>
        <w:noProof/>
      </w:rPr>
    </w:sdtEndPr>
    <w:sdtContent>
      <w:p w14:paraId="4C366E65" w14:textId="57FBC206" w:rsidR="00A760D2" w:rsidRDefault="00A760D2">
        <w:pPr>
          <w:pStyle w:val="Footer"/>
          <w:jc w:val="center"/>
        </w:pPr>
        <w:r>
          <w:fldChar w:fldCharType="begin"/>
        </w:r>
        <w:r>
          <w:instrText xml:space="preserve"> PAGE   \* MERGEFORMAT </w:instrText>
        </w:r>
        <w:r>
          <w:fldChar w:fldCharType="separate"/>
        </w:r>
        <w:r w:rsidR="000C4C48">
          <w:rPr>
            <w:noProof/>
          </w:rPr>
          <w:t>4</w:t>
        </w:r>
        <w:r>
          <w:rPr>
            <w:noProof/>
          </w:rPr>
          <w:fldChar w:fldCharType="end"/>
        </w:r>
      </w:p>
    </w:sdtContent>
  </w:sdt>
  <w:p w14:paraId="767ED3F4" w14:textId="77777777" w:rsidR="00A760D2" w:rsidRDefault="00A760D2">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211087"/>
      <w:docPartObj>
        <w:docPartGallery w:val="Page Numbers (Bottom of Page)"/>
        <w:docPartUnique/>
      </w:docPartObj>
    </w:sdtPr>
    <w:sdtEndPr>
      <w:rPr>
        <w:noProof/>
      </w:rPr>
    </w:sdtEndPr>
    <w:sdtContent>
      <w:p w14:paraId="664B333C" w14:textId="2EC73192" w:rsidR="00114EDD" w:rsidRDefault="00114EDD">
        <w:pPr>
          <w:pStyle w:val="Footer"/>
          <w:jc w:val="right"/>
        </w:pPr>
        <w:r>
          <w:fldChar w:fldCharType="begin"/>
        </w:r>
        <w:r>
          <w:instrText xml:space="preserve"> PAGE   \* MERGEFORMAT </w:instrText>
        </w:r>
        <w:r>
          <w:fldChar w:fldCharType="separate"/>
        </w:r>
        <w:r w:rsidR="000C4C48">
          <w:rPr>
            <w:noProof/>
          </w:rPr>
          <w:t>i</w:t>
        </w:r>
        <w:r>
          <w:rPr>
            <w:noProof/>
          </w:rPr>
          <w:fldChar w:fldCharType="end"/>
        </w:r>
      </w:p>
    </w:sdtContent>
  </w:sdt>
  <w:p w14:paraId="759B464D" w14:textId="77777777" w:rsidR="00114EDD" w:rsidRDefault="00114EDD">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7406782"/>
      <w:docPartObj>
        <w:docPartGallery w:val="Page Numbers (Bottom of Page)"/>
        <w:docPartUnique/>
      </w:docPartObj>
    </w:sdtPr>
    <w:sdtEndPr>
      <w:rPr>
        <w:noProof/>
      </w:rPr>
    </w:sdtEndPr>
    <w:sdtContent>
      <w:p w14:paraId="38254BE2" w14:textId="41C6BEB3" w:rsidR="00605300" w:rsidRDefault="00605300">
        <w:pPr>
          <w:pStyle w:val="Footer"/>
          <w:jc w:val="right"/>
        </w:pPr>
        <w:r>
          <w:fldChar w:fldCharType="begin"/>
        </w:r>
        <w:r>
          <w:instrText xml:space="preserve"> PAGE   \* MERGEFORMAT </w:instrText>
        </w:r>
        <w:r>
          <w:fldChar w:fldCharType="separate"/>
        </w:r>
        <w:r w:rsidR="000C4C48">
          <w:rPr>
            <w:noProof/>
          </w:rPr>
          <w:t>1</w:t>
        </w:r>
        <w:r>
          <w:rPr>
            <w:noProof/>
          </w:rPr>
          <w:fldChar w:fldCharType="end"/>
        </w:r>
      </w:p>
    </w:sdtContent>
  </w:sdt>
  <w:p w14:paraId="6D14C356" w14:textId="77777777" w:rsidR="00605300" w:rsidRDefault="0060530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34B19F" w14:textId="77777777" w:rsidR="00986EC2" w:rsidRDefault="00986EC2" w:rsidP="00F33B24">
      <w:pPr>
        <w:spacing w:after="0" w:line="240" w:lineRule="auto"/>
      </w:pPr>
      <w:r>
        <w:separator/>
      </w:r>
    </w:p>
  </w:footnote>
  <w:footnote w:type="continuationSeparator" w:id="0">
    <w:p w14:paraId="11A30468" w14:textId="77777777" w:rsidR="00986EC2" w:rsidRDefault="00986EC2"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207FA9"/>
    <w:multiLevelType w:val="hybridMultilevel"/>
    <w:tmpl w:val="BAAAAAF8"/>
    <w:lvl w:ilvl="0" w:tplc="8548959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7B2B21"/>
    <w:multiLevelType w:val="hybridMultilevel"/>
    <w:tmpl w:val="B34A8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FB34C6"/>
    <w:multiLevelType w:val="hybridMultilevel"/>
    <w:tmpl w:val="39FCC8FA"/>
    <w:lvl w:ilvl="0" w:tplc="8548959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17AF0"/>
    <w:rsid w:val="00056194"/>
    <w:rsid w:val="00084D69"/>
    <w:rsid w:val="00084E65"/>
    <w:rsid w:val="000C4C48"/>
    <w:rsid w:val="00107936"/>
    <w:rsid w:val="00114EDD"/>
    <w:rsid w:val="00115B96"/>
    <w:rsid w:val="00182C60"/>
    <w:rsid w:val="003210FA"/>
    <w:rsid w:val="00324CCD"/>
    <w:rsid w:val="0033454C"/>
    <w:rsid w:val="003B4CF2"/>
    <w:rsid w:val="003C11E7"/>
    <w:rsid w:val="00406291"/>
    <w:rsid w:val="004228C7"/>
    <w:rsid w:val="00480872"/>
    <w:rsid w:val="00482346"/>
    <w:rsid w:val="004A11F6"/>
    <w:rsid w:val="004D519C"/>
    <w:rsid w:val="0050152B"/>
    <w:rsid w:val="00586025"/>
    <w:rsid w:val="005F6EE4"/>
    <w:rsid w:val="00605300"/>
    <w:rsid w:val="00681418"/>
    <w:rsid w:val="006B3D6B"/>
    <w:rsid w:val="006F1E69"/>
    <w:rsid w:val="007D1947"/>
    <w:rsid w:val="00931CAA"/>
    <w:rsid w:val="00986EC2"/>
    <w:rsid w:val="009C2FF5"/>
    <w:rsid w:val="009E1FEE"/>
    <w:rsid w:val="00A11633"/>
    <w:rsid w:val="00A12B58"/>
    <w:rsid w:val="00A608E4"/>
    <w:rsid w:val="00A67016"/>
    <w:rsid w:val="00A67BC3"/>
    <w:rsid w:val="00A760D2"/>
    <w:rsid w:val="00AA0736"/>
    <w:rsid w:val="00AA2A91"/>
    <w:rsid w:val="00AB48F9"/>
    <w:rsid w:val="00AE2401"/>
    <w:rsid w:val="00B3309D"/>
    <w:rsid w:val="00C0288F"/>
    <w:rsid w:val="00C06376"/>
    <w:rsid w:val="00C72DB2"/>
    <w:rsid w:val="00CA09F3"/>
    <w:rsid w:val="00CF0E48"/>
    <w:rsid w:val="00D854A5"/>
    <w:rsid w:val="00D867E6"/>
    <w:rsid w:val="00DE31A3"/>
    <w:rsid w:val="00F33B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FDF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1FE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3309D"/>
    <w:pPr>
      <w:keepNext/>
      <w:keepLines/>
      <w:spacing w:before="360" w:after="120"/>
      <w:jc w:val="center"/>
      <w:outlineLvl w:val="0"/>
    </w:pPr>
    <w:rPr>
      <w:rFonts w:eastAsiaTheme="majorEastAsia" w:cstheme="majorBidi"/>
      <w:b/>
      <w:color w:val="323E4F" w:themeColor="text2" w:themeShade="BF"/>
      <w:sz w:val="32"/>
      <w:szCs w:val="32"/>
    </w:rPr>
  </w:style>
  <w:style w:type="paragraph" w:styleId="Heading2">
    <w:name w:val="heading 2"/>
    <w:basedOn w:val="Normal"/>
    <w:next w:val="Normal"/>
    <w:link w:val="Heading2Char"/>
    <w:uiPriority w:val="9"/>
    <w:unhideWhenUsed/>
    <w:qFormat/>
    <w:rsid w:val="00B3309D"/>
    <w:pPr>
      <w:keepNext/>
      <w:keepLines/>
      <w:spacing w:before="160" w:after="12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E1FEE"/>
    <w:pPr>
      <w:keepNext/>
      <w:keepLines/>
      <w:spacing w:before="200" w:after="0"/>
      <w:outlineLvl w:val="2"/>
    </w:pPr>
    <w:rPr>
      <w:rFonts w:eastAsiaTheme="majorEastAsia" w:cstheme="majorBidi"/>
      <w:b/>
      <w:bCs/>
      <w:i/>
      <w:sz w:val="26"/>
    </w:rPr>
  </w:style>
  <w:style w:type="paragraph" w:styleId="Heading4">
    <w:name w:val="heading 4"/>
    <w:basedOn w:val="Normal"/>
    <w:next w:val="Normal"/>
    <w:link w:val="Heading4Char"/>
    <w:uiPriority w:val="9"/>
    <w:semiHidden/>
    <w:unhideWhenUsed/>
    <w:qFormat/>
    <w:rsid w:val="00A608E4"/>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B3309D"/>
    <w:rPr>
      <w:rFonts w:ascii="Times New Roman" w:eastAsiaTheme="majorEastAsia" w:hAnsi="Times New Roman" w:cstheme="majorBidi"/>
      <w:b/>
      <w:color w:val="323E4F" w:themeColor="text2"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B3309D"/>
    <w:rPr>
      <w:rFonts w:ascii="Times New Roman" w:eastAsiaTheme="majorEastAsia" w:hAnsi="Times New Roman" w:cstheme="majorBidi"/>
      <w:b/>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B330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09D"/>
    <w:rPr>
      <w:rFonts w:ascii="Tahoma" w:hAnsi="Tahoma" w:cs="Tahoma"/>
      <w:sz w:val="16"/>
      <w:szCs w:val="16"/>
    </w:rPr>
  </w:style>
  <w:style w:type="paragraph" w:styleId="NormalWeb">
    <w:name w:val="Normal (Web)"/>
    <w:basedOn w:val="Normal"/>
    <w:uiPriority w:val="99"/>
    <w:unhideWhenUsed/>
    <w:rsid w:val="00B3309D"/>
    <w:pPr>
      <w:spacing w:before="100" w:beforeAutospacing="1" w:after="100" w:afterAutospacing="1" w:line="240" w:lineRule="auto"/>
    </w:pPr>
    <w:rPr>
      <w:rFonts w:eastAsia="Times New Roman" w:cs="Times New Roman"/>
      <w:szCs w:val="24"/>
      <w:lang w:val="en-US"/>
    </w:rPr>
  </w:style>
  <w:style w:type="character" w:customStyle="1" w:styleId="Heading3Char">
    <w:name w:val="Heading 3 Char"/>
    <w:basedOn w:val="DefaultParagraphFont"/>
    <w:link w:val="Heading3"/>
    <w:uiPriority w:val="9"/>
    <w:rsid w:val="009E1FEE"/>
    <w:rPr>
      <w:rFonts w:ascii="Times New Roman" w:eastAsiaTheme="majorEastAsia" w:hAnsi="Times New Roman" w:cstheme="majorBidi"/>
      <w:b/>
      <w:bCs/>
      <w:i/>
      <w:sz w:val="26"/>
    </w:rPr>
  </w:style>
  <w:style w:type="table" w:styleId="TableGrid">
    <w:name w:val="Table Grid"/>
    <w:basedOn w:val="TableNormal"/>
    <w:uiPriority w:val="39"/>
    <w:rsid w:val="00B330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3309D"/>
    <w:pPr>
      <w:spacing w:after="200" w:line="240" w:lineRule="auto"/>
    </w:pPr>
    <w:rPr>
      <w:b/>
      <w:bCs/>
      <w:color w:val="5B9BD5" w:themeColor="accent1"/>
      <w:sz w:val="18"/>
      <w:szCs w:val="18"/>
    </w:rPr>
  </w:style>
  <w:style w:type="character" w:styleId="Strong">
    <w:name w:val="Strong"/>
    <w:basedOn w:val="DefaultParagraphFont"/>
    <w:uiPriority w:val="22"/>
    <w:qFormat/>
    <w:rsid w:val="003B4CF2"/>
    <w:rPr>
      <w:b/>
      <w:bCs/>
    </w:rPr>
  </w:style>
  <w:style w:type="character" w:customStyle="1" w:styleId="Heading4Char">
    <w:name w:val="Heading 4 Char"/>
    <w:basedOn w:val="DefaultParagraphFont"/>
    <w:link w:val="Heading4"/>
    <w:uiPriority w:val="9"/>
    <w:semiHidden/>
    <w:rsid w:val="00A608E4"/>
    <w:rPr>
      <w:rFonts w:asciiTheme="majorHAnsi" w:eastAsiaTheme="majorEastAsia" w:hAnsiTheme="majorHAnsi" w:cstheme="majorBidi"/>
      <w:b/>
      <w:bCs/>
      <w:i/>
      <w:iCs/>
      <w:color w:val="5B9BD5" w:themeColor="accent1"/>
    </w:rPr>
  </w:style>
  <w:style w:type="paragraph" w:styleId="ListParagraph">
    <w:name w:val="List Paragraph"/>
    <w:basedOn w:val="Normal"/>
    <w:uiPriority w:val="34"/>
    <w:qFormat/>
    <w:rsid w:val="009E1FEE"/>
    <w:pPr>
      <w:ind w:left="720"/>
      <w:contextualSpacing/>
    </w:pPr>
  </w:style>
  <w:style w:type="character" w:styleId="PlaceholderText">
    <w:name w:val="Placeholder Text"/>
    <w:basedOn w:val="DefaultParagraphFont"/>
    <w:uiPriority w:val="99"/>
    <w:semiHidden/>
    <w:rsid w:val="00182C60"/>
    <w:rPr>
      <w:color w:val="808080"/>
    </w:rPr>
  </w:style>
  <w:style w:type="paragraph" w:styleId="TOC3">
    <w:name w:val="toc 3"/>
    <w:basedOn w:val="Normal"/>
    <w:next w:val="Normal"/>
    <w:autoRedefine/>
    <w:uiPriority w:val="39"/>
    <w:unhideWhenUsed/>
    <w:rsid w:val="00114EDD"/>
    <w:pPr>
      <w:spacing w:after="100"/>
      <w:ind w:left="480"/>
    </w:pPr>
  </w:style>
  <w:style w:type="paragraph" w:styleId="TableofFigures">
    <w:name w:val="table of figures"/>
    <w:basedOn w:val="Normal"/>
    <w:next w:val="Normal"/>
    <w:uiPriority w:val="99"/>
    <w:unhideWhenUsed/>
    <w:rsid w:val="00114ED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576354">
      <w:bodyDiv w:val="1"/>
      <w:marLeft w:val="0"/>
      <w:marRight w:val="0"/>
      <w:marTop w:val="0"/>
      <w:marBottom w:val="0"/>
      <w:divBdr>
        <w:top w:val="none" w:sz="0" w:space="0" w:color="auto"/>
        <w:left w:val="none" w:sz="0" w:space="0" w:color="auto"/>
        <w:bottom w:val="none" w:sz="0" w:space="0" w:color="auto"/>
        <w:right w:val="none" w:sz="0" w:space="0" w:color="auto"/>
      </w:divBdr>
    </w:div>
    <w:div w:id="85731373">
      <w:bodyDiv w:val="1"/>
      <w:marLeft w:val="0"/>
      <w:marRight w:val="0"/>
      <w:marTop w:val="0"/>
      <w:marBottom w:val="0"/>
      <w:divBdr>
        <w:top w:val="none" w:sz="0" w:space="0" w:color="auto"/>
        <w:left w:val="none" w:sz="0" w:space="0" w:color="auto"/>
        <w:bottom w:val="none" w:sz="0" w:space="0" w:color="auto"/>
        <w:right w:val="none" w:sz="0" w:space="0" w:color="auto"/>
      </w:divBdr>
      <w:divsChild>
        <w:div w:id="879823382">
          <w:marLeft w:val="0"/>
          <w:marRight w:val="0"/>
          <w:marTop w:val="120"/>
          <w:marBottom w:val="120"/>
          <w:divBdr>
            <w:top w:val="none" w:sz="0" w:space="0" w:color="auto"/>
            <w:left w:val="none" w:sz="0" w:space="0" w:color="auto"/>
            <w:bottom w:val="none" w:sz="0" w:space="0" w:color="auto"/>
            <w:right w:val="none" w:sz="0" w:space="0" w:color="auto"/>
          </w:divBdr>
        </w:div>
      </w:divsChild>
    </w:div>
    <w:div w:id="133640702">
      <w:bodyDiv w:val="1"/>
      <w:marLeft w:val="0"/>
      <w:marRight w:val="0"/>
      <w:marTop w:val="0"/>
      <w:marBottom w:val="0"/>
      <w:divBdr>
        <w:top w:val="none" w:sz="0" w:space="0" w:color="auto"/>
        <w:left w:val="none" w:sz="0" w:space="0" w:color="auto"/>
        <w:bottom w:val="none" w:sz="0" w:space="0" w:color="auto"/>
        <w:right w:val="none" w:sz="0" w:space="0" w:color="auto"/>
      </w:divBdr>
      <w:divsChild>
        <w:div w:id="2017268357">
          <w:marLeft w:val="0"/>
          <w:marRight w:val="0"/>
          <w:marTop w:val="120"/>
          <w:marBottom w:val="120"/>
          <w:divBdr>
            <w:top w:val="none" w:sz="0" w:space="0" w:color="auto"/>
            <w:left w:val="none" w:sz="0" w:space="0" w:color="auto"/>
            <w:bottom w:val="none" w:sz="0" w:space="0" w:color="auto"/>
            <w:right w:val="none" w:sz="0" w:space="0" w:color="auto"/>
          </w:divBdr>
        </w:div>
      </w:divsChild>
    </w:div>
    <w:div w:id="149252665">
      <w:bodyDiv w:val="1"/>
      <w:marLeft w:val="0"/>
      <w:marRight w:val="0"/>
      <w:marTop w:val="0"/>
      <w:marBottom w:val="0"/>
      <w:divBdr>
        <w:top w:val="none" w:sz="0" w:space="0" w:color="auto"/>
        <w:left w:val="none" w:sz="0" w:space="0" w:color="auto"/>
        <w:bottom w:val="none" w:sz="0" w:space="0" w:color="auto"/>
        <w:right w:val="none" w:sz="0" w:space="0" w:color="auto"/>
      </w:divBdr>
    </w:div>
    <w:div w:id="217591818">
      <w:bodyDiv w:val="1"/>
      <w:marLeft w:val="0"/>
      <w:marRight w:val="0"/>
      <w:marTop w:val="0"/>
      <w:marBottom w:val="0"/>
      <w:divBdr>
        <w:top w:val="none" w:sz="0" w:space="0" w:color="auto"/>
        <w:left w:val="none" w:sz="0" w:space="0" w:color="auto"/>
        <w:bottom w:val="none" w:sz="0" w:space="0" w:color="auto"/>
        <w:right w:val="none" w:sz="0" w:space="0" w:color="auto"/>
      </w:divBdr>
      <w:divsChild>
        <w:div w:id="1846628060">
          <w:marLeft w:val="0"/>
          <w:marRight w:val="0"/>
          <w:marTop w:val="120"/>
          <w:marBottom w:val="120"/>
          <w:divBdr>
            <w:top w:val="none" w:sz="0" w:space="0" w:color="auto"/>
            <w:left w:val="none" w:sz="0" w:space="0" w:color="auto"/>
            <w:bottom w:val="none" w:sz="0" w:space="0" w:color="auto"/>
            <w:right w:val="none" w:sz="0" w:space="0" w:color="auto"/>
          </w:divBdr>
        </w:div>
        <w:div w:id="1908687991">
          <w:marLeft w:val="0"/>
          <w:marRight w:val="0"/>
          <w:marTop w:val="120"/>
          <w:marBottom w:val="120"/>
          <w:divBdr>
            <w:top w:val="none" w:sz="0" w:space="0" w:color="auto"/>
            <w:left w:val="none" w:sz="0" w:space="0" w:color="auto"/>
            <w:bottom w:val="none" w:sz="0" w:space="0" w:color="auto"/>
            <w:right w:val="none" w:sz="0" w:space="0" w:color="auto"/>
          </w:divBdr>
        </w:div>
        <w:div w:id="379283152">
          <w:marLeft w:val="0"/>
          <w:marRight w:val="0"/>
          <w:marTop w:val="120"/>
          <w:marBottom w:val="120"/>
          <w:divBdr>
            <w:top w:val="none" w:sz="0" w:space="0" w:color="auto"/>
            <w:left w:val="none" w:sz="0" w:space="0" w:color="auto"/>
            <w:bottom w:val="none" w:sz="0" w:space="0" w:color="auto"/>
            <w:right w:val="none" w:sz="0" w:space="0" w:color="auto"/>
          </w:divBdr>
        </w:div>
        <w:div w:id="1385567280">
          <w:marLeft w:val="0"/>
          <w:marRight w:val="0"/>
          <w:marTop w:val="120"/>
          <w:marBottom w:val="120"/>
          <w:divBdr>
            <w:top w:val="none" w:sz="0" w:space="0" w:color="auto"/>
            <w:left w:val="none" w:sz="0" w:space="0" w:color="auto"/>
            <w:bottom w:val="none" w:sz="0" w:space="0" w:color="auto"/>
            <w:right w:val="none" w:sz="0" w:space="0" w:color="auto"/>
          </w:divBdr>
        </w:div>
        <w:div w:id="1964535192">
          <w:marLeft w:val="0"/>
          <w:marRight w:val="0"/>
          <w:marTop w:val="120"/>
          <w:marBottom w:val="120"/>
          <w:divBdr>
            <w:top w:val="none" w:sz="0" w:space="0" w:color="auto"/>
            <w:left w:val="none" w:sz="0" w:space="0" w:color="auto"/>
            <w:bottom w:val="none" w:sz="0" w:space="0" w:color="auto"/>
            <w:right w:val="none" w:sz="0" w:space="0" w:color="auto"/>
          </w:divBdr>
        </w:div>
      </w:divsChild>
    </w:div>
    <w:div w:id="220488543">
      <w:bodyDiv w:val="1"/>
      <w:marLeft w:val="0"/>
      <w:marRight w:val="0"/>
      <w:marTop w:val="0"/>
      <w:marBottom w:val="0"/>
      <w:divBdr>
        <w:top w:val="none" w:sz="0" w:space="0" w:color="auto"/>
        <w:left w:val="none" w:sz="0" w:space="0" w:color="auto"/>
        <w:bottom w:val="none" w:sz="0" w:space="0" w:color="auto"/>
        <w:right w:val="none" w:sz="0" w:space="0" w:color="auto"/>
      </w:divBdr>
    </w:div>
    <w:div w:id="229389957">
      <w:bodyDiv w:val="1"/>
      <w:marLeft w:val="0"/>
      <w:marRight w:val="0"/>
      <w:marTop w:val="0"/>
      <w:marBottom w:val="0"/>
      <w:divBdr>
        <w:top w:val="none" w:sz="0" w:space="0" w:color="auto"/>
        <w:left w:val="none" w:sz="0" w:space="0" w:color="auto"/>
        <w:bottom w:val="none" w:sz="0" w:space="0" w:color="auto"/>
        <w:right w:val="none" w:sz="0" w:space="0" w:color="auto"/>
      </w:divBdr>
      <w:divsChild>
        <w:div w:id="1168643056">
          <w:marLeft w:val="0"/>
          <w:marRight w:val="0"/>
          <w:marTop w:val="0"/>
          <w:marBottom w:val="0"/>
          <w:divBdr>
            <w:top w:val="none" w:sz="0" w:space="0" w:color="auto"/>
            <w:left w:val="none" w:sz="0" w:space="0" w:color="auto"/>
            <w:bottom w:val="none" w:sz="0" w:space="0" w:color="auto"/>
            <w:right w:val="none" w:sz="0" w:space="0" w:color="auto"/>
          </w:divBdr>
        </w:div>
      </w:divsChild>
    </w:div>
    <w:div w:id="246380865">
      <w:bodyDiv w:val="1"/>
      <w:marLeft w:val="0"/>
      <w:marRight w:val="0"/>
      <w:marTop w:val="0"/>
      <w:marBottom w:val="0"/>
      <w:divBdr>
        <w:top w:val="none" w:sz="0" w:space="0" w:color="auto"/>
        <w:left w:val="none" w:sz="0" w:space="0" w:color="auto"/>
        <w:bottom w:val="none" w:sz="0" w:space="0" w:color="auto"/>
        <w:right w:val="none" w:sz="0" w:space="0" w:color="auto"/>
      </w:divBdr>
      <w:divsChild>
        <w:div w:id="859245178">
          <w:marLeft w:val="0"/>
          <w:marRight w:val="0"/>
          <w:marTop w:val="0"/>
          <w:marBottom w:val="0"/>
          <w:divBdr>
            <w:top w:val="none" w:sz="0" w:space="0" w:color="auto"/>
            <w:left w:val="none" w:sz="0" w:space="0" w:color="auto"/>
            <w:bottom w:val="none" w:sz="0" w:space="0" w:color="auto"/>
            <w:right w:val="none" w:sz="0" w:space="0" w:color="auto"/>
          </w:divBdr>
        </w:div>
      </w:divsChild>
    </w:div>
    <w:div w:id="255944983">
      <w:bodyDiv w:val="1"/>
      <w:marLeft w:val="0"/>
      <w:marRight w:val="0"/>
      <w:marTop w:val="0"/>
      <w:marBottom w:val="0"/>
      <w:divBdr>
        <w:top w:val="none" w:sz="0" w:space="0" w:color="auto"/>
        <w:left w:val="none" w:sz="0" w:space="0" w:color="auto"/>
        <w:bottom w:val="none" w:sz="0" w:space="0" w:color="auto"/>
        <w:right w:val="none" w:sz="0" w:space="0" w:color="auto"/>
      </w:divBdr>
      <w:divsChild>
        <w:div w:id="1160539764">
          <w:marLeft w:val="0"/>
          <w:marRight w:val="0"/>
          <w:marTop w:val="120"/>
          <w:marBottom w:val="120"/>
          <w:divBdr>
            <w:top w:val="none" w:sz="0" w:space="0" w:color="auto"/>
            <w:left w:val="none" w:sz="0" w:space="0" w:color="auto"/>
            <w:bottom w:val="none" w:sz="0" w:space="0" w:color="auto"/>
            <w:right w:val="none" w:sz="0" w:space="0" w:color="auto"/>
          </w:divBdr>
        </w:div>
      </w:divsChild>
    </w:div>
    <w:div w:id="281814836">
      <w:bodyDiv w:val="1"/>
      <w:marLeft w:val="0"/>
      <w:marRight w:val="0"/>
      <w:marTop w:val="0"/>
      <w:marBottom w:val="0"/>
      <w:divBdr>
        <w:top w:val="none" w:sz="0" w:space="0" w:color="auto"/>
        <w:left w:val="none" w:sz="0" w:space="0" w:color="auto"/>
        <w:bottom w:val="none" w:sz="0" w:space="0" w:color="auto"/>
        <w:right w:val="none" w:sz="0" w:space="0" w:color="auto"/>
      </w:divBdr>
      <w:divsChild>
        <w:div w:id="322658929">
          <w:marLeft w:val="0"/>
          <w:marRight w:val="0"/>
          <w:marTop w:val="0"/>
          <w:marBottom w:val="0"/>
          <w:divBdr>
            <w:top w:val="none" w:sz="0" w:space="0" w:color="auto"/>
            <w:left w:val="none" w:sz="0" w:space="0" w:color="auto"/>
            <w:bottom w:val="none" w:sz="0" w:space="0" w:color="auto"/>
            <w:right w:val="none" w:sz="0" w:space="0" w:color="auto"/>
          </w:divBdr>
        </w:div>
      </w:divsChild>
    </w:div>
    <w:div w:id="439566694">
      <w:bodyDiv w:val="1"/>
      <w:marLeft w:val="0"/>
      <w:marRight w:val="0"/>
      <w:marTop w:val="0"/>
      <w:marBottom w:val="0"/>
      <w:divBdr>
        <w:top w:val="none" w:sz="0" w:space="0" w:color="auto"/>
        <w:left w:val="none" w:sz="0" w:space="0" w:color="auto"/>
        <w:bottom w:val="none" w:sz="0" w:space="0" w:color="auto"/>
        <w:right w:val="none" w:sz="0" w:space="0" w:color="auto"/>
      </w:divBdr>
      <w:divsChild>
        <w:div w:id="982201989">
          <w:marLeft w:val="0"/>
          <w:marRight w:val="0"/>
          <w:marTop w:val="0"/>
          <w:marBottom w:val="0"/>
          <w:divBdr>
            <w:top w:val="none" w:sz="0" w:space="0" w:color="auto"/>
            <w:left w:val="none" w:sz="0" w:space="0" w:color="auto"/>
            <w:bottom w:val="none" w:sz="0" w:space="0" w:color="auto"/>
            <w:right w:val="none" w:sz="0" w:space="0" w:color="auto"/>
          </w:divBdr>
        </w:div>
      </w:divsChild>
    </w:div>
    <w:div w:id="515970667">
      <w:bodyDiv w:val="1"/>
      <w:marLeft w:val="0"/>
      <w:marRight w:val="0"/>
      <w:marTop w:val="0"/>
      <w:marBottom w:val="0"/>
      <w:divBdr>
        <w:top w:val="none" w:sz="0" w:space="0" w:color="auto"/>
        <w:left w:val="none" w:sz="0" w:space="0" w:color="auto"/>
        <w:bottom w:val="none" w:sz="0" w:space="0" w:color="auto"/>
        <w:right w:val="none" w:sz="0" w:space="0" w:color="auto"/>
      </w:divBdr>
    </w:div>
    <w:div w:id="520555224">
      <w:bodyDiv w:val="1"/>
      <w:marLeft w:val="0"/>
      <w:marRight w:val="0"/>
      <w:marTop w:val="0"/>
      <w:marBottom w:val="0"/>
      <w:divBdr>
        <w:top w:val="none" w:sz="0" w:space="0" w:color="auto"/>
        <w:left w:val="none" w:sz="0" w:space="0" w:color="auto"/>
        <w:bottom w:val="none" w:sz="0" w:space="0" w:color="auto"/>
        <w:right w:val="none" w:sz="0" w:space="0" w:color="auto"/>
      </w:divBdr>
      <w:divsChild>
        <w:div w:id="571231298">
          <w:marLeft w:val="0"/>
          <w:marRight w:val="0"/>
          <w:marTop w:val="0"/>
          <w:marBottom w:val="0"/>
          <w:divBdr>
            <w:top w:val="none" w:sz="0" w:space="0" w:color="auto"/>
            <w:left w:val="none" w:sz="0" w:space="0" w:color="auto"/>
            <w:bottom w:val="none" w:sz="0" w:space="0" w:color="auto"/>
            <w:right w:val="none" w:sz="0" w:space="0" w:color="auto"/>
          </w:divBdr>
        </w:div>
      </w:divsChild>
    </w:div>
    <w:div w:id="535578471">
      <w:bodyDiv w:val="1"/>
      <w:marLeft w:val="0"/>
      <w:marRight w:val="0"/>
      <w:marTop w:val="0"/>
      <w:marBottom w:val="0"/>
      <w:divBdr>
        <w:top w:val="none" w:sz="0" w:space="0" w:color="auto"/>
        <w:left w:val="none" w:sz="0" w:space="0" w:color="auto"/>
        <w:bottom w:val="none" w:sz="0" w:space="0" w:color="auto"/>
        <w:right w:val="none" w:sz="0" w:space="0" w:color="auto"/>
      </w:divBdr>
      <w:divsChild>
        <w:div w:id="1082530552">
          <w:marLeft w:val="0"/>
          <w:marRight w:val="0"/>
          <w:marTop w:val="120"/>
          <w:marBottom w:val="120"/>
          <w:divBdr>
            <w:top w:val="none" w:sz="0" w:space="0" w:color="auto"/>
            <w:left w:val="none" w:sz="0" w:space="0" w:color="auto"/>
            <w:bottom w:val="none" w:sz="0" w:space="0" w:color="auto"/>
            <w:right w:val="none" w:sz="0" w:space="0" w:color="auto"/>
          </w:divBdr>
        </w:div>
      </w:divsChild>
    </w:div>
    <w:div w:id="610626183">
      <w:bodyDiv w:val="1"/>
      <w:marLeft w:val="0"/>
      <w:marRight w:val="0"/>
      <w:marTop w:val="0"/>
      <w:marBottom w:val="0"/>
      <w:divBdr>
        <w:top w:val="none" w:sz="0" w:space="0" w:color="auto"/>
        <w:left w:val="none" w:sz="0" w:space="0" w:color="auto"/>
        <w:bottom w:val="none" w:sz="0" w:space="0" w:color="auto"/>
        <w:right w:val="none" w:sz="0" w:space="0" w:color="auto"/>
      </w:divBdr>
      <w:divsChild>
        <w:div w:id="1297417773">
          <w:marLeft w:val="0"/>
          <w:marRight w:val="0"/>
          <w:marTop w:val="0"/>
          <w:marBottom w:val="0"/>
          <w:divBdr>
            <w:top w:val="none" w:sz="0" w:space="0" w:color="auto"/>
            <w:left w:val="none" w:sz="0" w:space="0" w:color="auto"/>
            <w:bottom w:val="none" w:sz="0" w:space="0" w:color="auto"/>
            <w:right w:val="none" w:sz="0" w:space="0" w:color="auto"/>
          </w:divBdr>
        </w:div>
      </w:divsChild>
    </w:div>
    <w:div w:id="641422233">
      <w:bodyDiv w:val="1"/>
      <w:marLeft w:val="0"/>
      <w:marRight w:val="0"/>
      <w:marTop w:val="0"/>
      <w:marBottom w:val="0"/>
      <w:divBdr>
        <w:top w:val="none" w:sz="0" w:space="0" w:color="auto"/>
        <w:left w:val="none" w:sz="0" w:space="0" w:color="auto"/>
        <w:bottom w:val="none" w:sz="0" w:space="0" w:color="auto"/>
        <w:right w:val="none" w:sz="0" w:space="0" w:color="auto"/>
      </w:divBdr>
      <w:divsChild>
        <w:div w:id="1863279113">
          <w:marLeft w:val="0"/>
          <w:marRight w:val="0"/>
          <w:marTop w:val="120"/>
          <w:marBottom w:val="120"/>
          <w:divBdr>
            <w:top w:val="none" w:sz="0" w:space="0" w:color="auto"/>
            <w:left w:val="none" w:sz="0" w:space="0" w:color="auto"/>
            <w:bottom w:val="none" w:sz="0" w:space="0" w:color="auto"/>
            <w:right w:val="none" w:sz="0" w:space="0" w:color="auto"/>
          </w:divBdr>
        </w:div>
        <w:div w:id="412513159">
          <w:marLeft w:val="0"/>
          <w:marRight w:val="0"/>
          <w:marTop w:val="120"/>
          <w:marBottom w:val="120"/>
          <w:divBdr>
            <w:top w:val="none" w:sz="0" w:space="0" w:color="auto"/>
            <w:left w:val="none" w:sz="0" w:space="0" w:color="auto"/>
            <w:bottom w:val="none" w:sz="0" w:space="0" w:color="auto"/>
            <w:right w:val="none" w:sz="0" w:space="0" w:color="auto"/>
          </w:divBdr>
        </w:div>
      </w:divsChild>
    </w:div>
    <w:div w:id="646671903">
      <w:bodyDiv w:val="1"/>
      <w:marLeft w:val="0"/>
      <w:marRight w:val="0"/>
      <w:marTop w:val="0"/>
      <w:marBottom w:val="0"/>
      <w:divBdr>
        <w:top w:val="none" w:sz="0" w:space="0" w:color="auto"/>
        <w:left w:val="none" w:sz="0" w:space="0" w:color="auto"/>
        <w:bottom w:val="none" w:sz="0" w:space="0" w:color="auto"/>
        <w:right w:val="none" w:sz="0" w:space="0" w:color="auto"/>
      </w:divBdr>
      <w:divsChild>
        <w:div w:id="166947218">
          <w:marLeft w:val="0"/>
          <w:marRight w:val="0"/>
          <w:marTop w:val="120"/>
          <w:marBottom w:val="120"/>
          <w:divBdr>
            <w:top w:val="none" w:sz="0" w:space="0" w:color="auto"/>
            <w:left w:val="none" w:sz="0" w:space="0" w:color="auto"/>
            <w:bottom w:val="none" w:sz="0" w:space="0" w:color="auto"/>
            <w:right w:val="none" w:sz="0" w:space="0" w:color="auto"/>
          </w:divBdr>
        </w:div>
        <w:div w:id="1078283507">
          <w:marLeft w:val="0"/>
          <w:marRight w:val="0"/>
          <w:marTop w:val="120"/>
          <w:marBottom w:val="120"/>
          <w:divBdr>
            <w:top w:val="none" w:sz="0" w:space="0" w:color="auto"/>
            <w:left w:val="none" w:sz="0" w:space="0" w:color="auto"/>
            <w:bottom w:val="none" w:sz="0" w:space="0" w:color="auto"/>
            <w:right w:val="none" w:sz="0" w:space="0" w:color="auto"/>
          </w:divBdr>
        </w:div>
      </w:divsChild>
    </w:div>
    <w:div w:id="695883220">
      <w:bodyDiv w:val="1"/>
      <w:marLeft w:val="0"/>
      <w:marRight w:val="0"/>
      <w:marTop w:val="0"/>
      <w:marBottom w:val="0"/>
      <w:divBdr>
        <w:top w:val="none" w:sz="0" w:space="0" w:color="auto"/>
        <w:left w:val="none" w:sz="0" w:space="0" w:color="auto"/>
        <w:bottom w:val="none" w:sz="0" w:space="0" w:color="auto"/>
        <w:right w:val="none" w:sz="0" w:space="0" w:color="auto"/>
      </w:divBdr>
      <w:divsChild>
        <w:div w:id="664629087">
          <w:marLeft w:val="0"/>
          <w:marRight w:val="0"/>
          <w:marTop w:val="120"/>
          <w:marBottom w:val="120"/>
          <w:divBdr>
            <w:top w:val="none" w:sz="0" w:space="0" w:color="auto"/>
            <w:left w:val="none" w:sz="0" w:space="0" w:color="auto"/>
            <w:bottom w:val="none" w:sz="0" w:space="0" w:color="auto"/>
            <w:right w:val="none" w:sz="0" w:space="0" w:color="auto"/>
          </w:divBdr>
        </w:div>
      </w:divsChild>
    </w:div>
    <w:div w:id="737020142">
      <w:bodyDiv w:val="1"/>
      <w:marLeft w:val="0"/>
      <w:marRight w:val="0"/>
      <w:marTop w:val="0"/>
      <w:marBottom w:val="0"/>
      <w:divBdr>
        <w:top w:val="none" w:sz="0" w:space="0" w:color="auto"/>
        <w:left w:val="none" w:sz="0" w:space="0" w:color="auto"/>
        <w:bottom w:val="none" w:sz="0" w:space="0" w:color="auto"/>
        <w:right w:val="none" w:sz="0" w:space="0" w:color="auto"/>
      </w:divBdr>
      <w:divsChild>
        <w:div w:id="113448993">
          <w:marLeft w:val="0"/>
          <w:marRight w:val="0"/>
          <w:marTop w:val="0"/>
          <w:marBottom w:val="0"/>
          <w:divBdr>
            <w:top w:val="none" w:sz="0" w:space="0" w:color="auto"/>
            <w:left w:val="none" w:sz="0" w:space="0" w:color="auto"/>
            <w:bottom w:val="none" w:sz="0" w:space="0" w:color="auto"/>
            <w:right w:val="none" w:sz="0" w:space="0" w:color="auto"/>
          </w:divBdr>
        </w:div>
      </w:divsChild>
    </w:div>
    <w:div w:id="762140680">
      <w:bodyDiv w:val="1"/>
      <w:marLeft w:val="0"/>
      <w:marRight w:val="0"/>
      <w:marTop w:val="0"/>
      <w:marBottom w:val="0"/>
      <w:divBdr>
        <w:top w:val="none" w:sz="0" w:space="0" w:color="auto"/>
        <w:left w:val="none" w:sz="0" w:space="0" w:color="auto"/>
        <w:bottom w:val="none" w:sz="0" w:space="0" w:color="auto"/>
        <w:right w:val="none" w:sz="0" w:space="0" w:color="auto"/>
      </w:divBdr>
    </w:div>
    <w:div w:id="1036394243">
      <w:bodyDiv w:val="1"/>
      <w:marLeft w:val="0"/>
      <w:marRight w:val="0"/>
      <w:marTop w:val="0"/>
      <w:marBottom w:val="0"/>
      <w:divBdr>
        <w:top w:val="none" w:sz="0" w:space="0" w:color="auto"/>
        <w:left w:val="none" w:sz="0" w:space="0" w:color="auto"/>
        <w:bottom w:val="none" w:sz="0" w:space="0" w:color="auto"/>
        <w:right w:val="none" w:sz="0" w:space="0" w:color="auto"/>
      </w:divBdr>
      <w:divsChild>
        <w:div w:id="53041993">
          <w:marLeft w:val="0"/>
          <w:marRight w:val="0"/>
          <w:marTop w:val="0"/>
          <w:marBottom w:val="0"/>
          <w:divBdr>
            <w:top w:val="none" w:sz="0" w:space="0" w:color="auto"/>
            <w:left w:val="none" w:sz="0" w:space="0" w:color="auto"/>
            <w:bottom w:val="none" w:sz="0" w:space="0" w:color="auto"/>
            <w:right w:val="none" w:sz="0" w:space="0" w:color="auto"/>
          </w:divBdr>
        </w:div>
      </w:divsChild>
    </w:div>
    <w:div w:id="1085036829">
      <w:bodyDiv w:val="1"/>
      <w:marLeft w:val="0"/>
      <w:marRight w:val="0"/>
      <w:marTop w:val="0"/>
      <w:marBottom w:val="0"/>
      <w:divBdr>
        <w:top w:val="none" w:sz="0" w:space="0" w:color="auto"/>
        <w:left w:val="none" w:sz="0" w:space="0" w:color="auto"/>
        <w:bottom w:val="none" w:sz="0" w:space="0" w:color="auto"/>
        <w:right w:val="none" w:sz="0" w:space="0" w:color="auto"/>
      </w:divBdr>
      <w:divsChild>
        <w:div w:id="1473131582">
          <w:marLeft w:val="0"/>
          <w:marRight w:val="0"/>
          <w:marTop w:val="120"/>
          <w:marBottom w:val="120"/>
          <w:divBdr>
            <w:top w:val="none" w:sz="0" w:space="0" w:color="auto"/>
            <w:left w:val="none" w:sz="0" w:space="0" w:color="auto"/>
            <w:bottom w:val="none" w:sz="0" w:space="0" w:color="auto"/>
            <w:right w:val="none" w:sz="0" w:space="0" w:color="auto"/>
          </w:divBdr>
        </w:div>
      </w:divsChild>
    </w:div>
    <w:div w:id="1238518676">
      <w:bodyDiv w:val="1"/>
      <w:marLeft w:val="0"/>
      <w:marRight w:val="0"/>
      <w:marTop w:val="0"/>
      <w:marBottom w:val="0"/>
      <w:divBdr>
        <w:top w:val="none" w:sz="0" w:space="0" w:color="auto"/>
        <w:left w:val="none" w:sz="0" w:space="0" w:color="auto"/>
        <w:bottom w:val="none" w:sz="0" w:space="0" w:color="auto"/>
        <w:right w:val="none" w:sz="0" w:space="0" w:color="auto"/>
      </w:divBdr>
    </w:div>
    <w:div w:id="1247418658">
      <w:bodyDiv w:val="1"/>
      <w:marLeft w:val="0"/>
      <w:marRight w:val="0"/>
      <w:marTop w:val="0"/>
      <w:marBottom w:val="0"/>
      <w:divBdr>
        <w:top w:val="none" w:sz="0" w:space="0" w:color="auto"/>
        <w:left w:val="none" w:sz="0" w:space="0" w:color="auto"/>
        <w:bottom w:val="none" w:sz="0" w:space="0" w:color="auto"/>
        <w:right w:val="none" w:sz="0" w:space="0" w:color="auto"/>
      </w:divBdr>
      <w:divsChild>
        <w:div w:id="256254300">
          <w:marLeft w:val="0"/>
          <w:marRight w:val="0"/>
          <w:marTop w:val="120"/>
          <w:marBottom w:val="120"/>
          <w:divBdr>
            <w:top w:val="none" w:sz="0" w:space="0" w:color="auto"/>
            <w:left w:val="none" w:sz="0" w:space="0" w:color="auto"/>
            <w:bottom w:val="none" w:sz="0" w:space="0" w:color="auto"/>
            <w:right w:val="none" w:sz="0" w:space="0" w:color="auto"/>
          </w:divBdr>
        </w:div>
      </w:divsChild>
    </w:div>
    <w:div w:id="1269895990">
      <w:bodyDiv w:val="1"/>
      <w:marLeft w:val="0"/>
      <w:marRight w:val="0"/>
      <w:marTop w:val="0"/>
      <w:marBottom w:val="0"/>
      <w:divBdr>
        <w:top w:val="none" w:sz="0" w:space="0" w:color="auto"/>
        <w:left w:val="none" w:sz="0" w:space="0" w:color="auto"/>
        <w:bottom w:val="none" w:sz="0" w:space="0" w:color="auto"/>
        <w:right w:val="none" w:sz="0" w:space="0" w:color="auto"/>
      </w:divBdr>
      <w:divsChild>
        <w:div w:id="218522060">
          <w:marLeft w:val="0"/>
          <w:marRight w:val="0"/>
          <w:marTop w:val="0"/>
          <w:marBottom w:val="0"/>
          <w:divBdr>
            <w:top w:val="none" w:sz="0" w:space="0" w:color="auto"/>
            <w:left w:val="none" w:sz="0" w:space="0" w:color="auto"/>
            <w:bottom w:val="none" w:sz="0" w:space="0" w:color="auto"/>
            <w:right w:val="none" w:sz="0" w:space="0" w:color="auto"/>
          </w:divBdr>
        </w:div>
      </w:divsChild>
    </w:div>
    <w:div w:id="1323775013">
      <w:bodyDiv w:val="1"/>
      <w:marLeft w:val="0"/>
      <w:marRight w:val="0"/>
      <w:marTop w:val="0"/>
      <w:marBottom w:val="0"/>
      <w:divBdr>
        <w:top w:val="none" w:sz="0" w:space="0" w:color="auto"/>
        <w:left w:val="none" w:sz="0" w:space="0" w:color="auto"/>
        <w:bottom w:val="none" w:sz="0" w:space="0" w:color="auto"/>
        <w:right w:val="none" w:sz="0" w:space="0" w:color="auto"/>
      </w:divBdr>
    </w:div>
    <w:div w:id="1435441073">
      <w:bodyDiv w:val="1"/>
      <w:marLeft w:val="0"/>
      <w:marRight w:val="0"/>
      <w:marTop w:val="0"/>
      <w:marBottom w:val="0"/>
      <w:divBdr>
        <w:top w:val="none" w:sz="0" w:space="0" w:color="auto"/>
        <w:left w:val="none" w:sz="0" w:space="0" w:color="auto"/>
        <w:bottom w:val="none" w:sz="0" w:space="0" w:color="auto"/>
        <w:right w:val="none" w:sz="0" w:space="0" w:color="auto"/>
      </w:divBdr>
      <w:divsChild>
        <w:div w:id="1005209287">
          <w:marLeft w:val="0"/>
          <w:marRight w:val="0"/>
          <w:marTop w:val="0"/>
          <w:marBottom w:val="0"/>
          <w:divBdr>
            <w:top w:val="none" w:sz="0" w:space="0" w:color="auto"/>
            <w:left w:val="none" w:sz="0" w:space="0" w:color="auto"/>
            <w:bottom w:val="none" w:sz="0" w:space="0" w:color="auto"/>
            <w:right w:val="none" w:sz="0" w:space="0" w:color="auto"/>
          </w:divBdr>
        </w:div>
      </w:divsChild>
    </w:div>
    <w:div w:id="1456604886">
      <w:bodyDiv w:val="1"/>
      <w:marLeft w:val="0"/>
      <w:marRight w:val="0"/>
      <w:marTop w:val="0"/>
      <w:marBottom w:val="0"/>
      <w:divBdr>
        <w:top w:val="none" w:sz="0" w:space="0" w:color="auto"/>
        <w:left w:val="none" w:sz="0" w:space="0" w:color="auto"/>
        <w:bottom w:val="none" w:sz="0" w:space="0" w:color="auto"/>
        <w:right w:val="none" w:sz="0" w:space="0" w:color="auto"/>
      </w:divBdr>
    </w:div>
    <w:div w:id="1587835582">
      <w:bodyDiv w:val="1"/>
      <w:marLeft w:val="0"/>
      <w:marRight w:val="0"/>
      <w:marTop w:val="0"/>
      <w:marBottom w:val="0"/>
      <w:divBdr>
        <w:top w:val="none" w:sz="0" w:space="0" w:color="auto"/>
        <w:left w:val="none" w:sz="0" w:space="0" w:color="auto"/>
        <w:bottom w:val="none" w:sz="0" w:space="0" w:color="auto"/>
        <w:right w:val="none" w:sz="0" w:space="0" w:color="auto"/>
      </w:divBdr>
    </w:div>
    <w:div w:id="1606963549">
      <w:bodyDiv w:val="1"/>
      <w:marLeft w:val="0"/>
      <w:marRight w:val="0"/>
      <w:marTop w:val="0"/>
      <w:marBottom w:val="0"/>
      <w:divBdr>
        <w:top w:val="none" w:sz="0" w:space="0" w:color="auto"/>
        <w:left w:val="none" w:sz="0" w:space="0" w:color="auto"/>
        <w:bottom w:val="none" w:sz="0" w:space="0" w:color="auto"/>
        <w:right w:val="none" w:sz="0" w:space="0" w:color="auto"/>
      </w:divBdr>
      <w:divsChild>
        <w:div w:id="1369797366">
          <w:marLeft w:val="0"/>
          <w:marRight w:val="0"/>
          <w:marTop w:val="0"/>
          <w:marBottom w:val="0"/>
          <w:divBdr>
            <w:top w:val="none" w:sz="0" w:space="0" w:color="auto"/>
            <w:left w:val="none" w:sz="0" w:space="0" w:color="auto"/>
            <w:bottom w:val="none" w:sz="0" w:space="0" w:color="auto"/>
            <w:right w:val="none" w:sz="0" w:space="0" w:color="auto"/>
          </w:divBdr>
          <w:divsChild>
            <w:div w:id="15985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127807">
      <w:bodyDiv w:val="1"/>
      <w:marLeft w:val="0"/>
      <w:marRight w:val="0"/>
      <w:marTop w:val="0"/>
      <w:marBottom w:val="0"/>
      <w:divBdr>
        <w:top w:val="none" w:sz="0" w:space="0" w:color="auto"/>
        <w:left w:val="none" w:sz="0" w:space="0" w:color="auto"/>
        <w:bottom w:val="none" w:sz="0" w:space="0" w:color="auto"/>
        <w:right w:val="none" w:sz="0" w:space="0" w:color="auto"/>
      </w:divBdr>
      <w:divsChild>
        <w:div w:id="1497574305">
          <w:marLeft w:val="0"/>
          <w:marRight w:val="0"/>
          <w:marTop w:val="120"/>
          <w:marBottom w:val="120"/>
          <w:divBdr>
            <w:top w:val="none" w:sz="0" w:space="0" w:color="auto"/>
            <w:left w:val="none" w:sz="0" w:space="0" w:color="auto"/>
            <w:bottom w:val="none" w:sz="0" w:space="0" w:color="auto"/>
            <w:right w:val="none" w:sz="0" w:space="0" w:color="auto"/>
          </w:divBdr>
        </w:div>
      </w:divsChild>
    </w:div>
    <w:div w:id="1721706486">
      <w:bodyDiv w:val="1"/>
      <w:marLeft w:val="0"/>
      <w:marRight w:val="0"/>
      <w:marTop w:val="0"/>
      <w:marBottom w:val="0"/>
      <w:divBdr>
        <w:top w:val="none" w:sz="0" w:space="0" w:color="auto"/>
        <w:left w:val="none" w:sz="0" w:space="0" w:color="auto"/>
        <w:bottom w:val="none" w:sz="0" w:space="0" w:color="auto"/>
        <w:right w:val="none" w:sz="0" w:space="0" w:color="auto"/>
      </w:divBdr>
    </w:div>
    <w:div w:id="1793556231">
      <w:bodyDiv w:val="1"/>
      <w:marLeft w:val="0"/>
      <w:marRight w:val="0"/>
      <w:marTop w:val="0"/>
      <w:marBottom w:val="0"/>
      <w:divBdr>
        <w:top w:val="none" w:sz="0" w:space="0" w:color="auto"/>
        <w:left w:val="none" w:sz="0" w:space="0" w:color="auto"/>
        <w:bottom w:val="none" w:sz="0" w:space="0" w:color="auto"/>
        <w:right w:val="none" w:sz="0" w:space="0" w:color="auto"/>
      </w:divBdr>
      <w:divsChild>
        <w:div w:id="81534073">
          <w:marLeft w:val="0"/>
          <w:marRight w:val="0"/>
          <w:marTop w:val="120"/>
          <w:marBottom w:val="120"/>
          <w:divBdr>
            <w:top w:val="none" w:sz="0" w:space="0" w:color="auto"/>
            <w:left w:val="none" w:sz="0" w:space="0" w:color="auto"/>
            <w:bottom w:val="none" w:sz="0" w:space="0" w:color="auto"/>
            <w:right w:val="none" w:sz="0" w:space="0" w:color="auto"/>
          </w:divBdr>
        </w:div>
      </w:divsChild>
    </w:div>
    <w:div w:id="1811750630">
      <w:marLeft w:val="0"/>
      <w:marRight w:val="0"/>
      <w:marTop w:val="0"/>
      <w:marBottom w:val="0"/>
      <w:divBdr>
        <w:top w:val="none" w:sz="0" w:space="0" w:color="auto"/>
        <w:left w:val="none" w:sz="0" w:space="0" w:color="auto"/>
        <w:bottom w:val="none" w:sz="0" w:space="0" w:color="auto"/>
        <w:right w:val="none" w:sz="0" w:space="0" w:color="auto"/>
      </w:divBdr>
    </w:div>
    <w:div w:id="1826118027">
      <w:bodyDiv w:val="1"/>
      <w:marLeft w:val="0"/>
      <w:marRight w:val="0"/>
      <w:marTop w:val="0"/>
      <w:marBottom w:val="0"/>
      <w:divBdr>
        <w:top w:val="none" w:sz="0" w:space="0" w:color="auto"/>
        <w:left w:val="none" w:sz="0" w:space="0" w:color="auto"/>
        <w:bottom w:val="none" w:sz="0" w:space="0" w:color="auto"/>
        <w:right w:val="none" w:sz="0" w:space="0" w:color="auto"/>
      </w:divBdr>
      <w:divsChild>
        <w:div w:id="1705672131">
          <w:marLeft w:val="0"/>
          <w:marRight w:val="0"/>
          <w:marTop w:val="0"/>
          <w:marBottom w:val="0"/>
          <w:divBdr>
            <w:top w:val="none" w:sz="0" w:space="0" w:color="auto"/>
            <w:left w:val="none" w:sz="0" w:space="0" w:color="auto"/>
            <w:bottom w:val="none" w:sz="0" w:space="0" w:color="auto"/>
            <w:right w:val="none" w:sz="0" w:space="0" w:color="auto"/>
          </w:divBdr>
        </w:div>
      </w:divsChild>
    </w:div>
    <w:div w:id="1895005426">
      <w:bodyDiv w:val="1"/>
      <w:marLeft w:val="0"/>
      <w:marRight w:val="0"/>
      <w:marTop w:val="0"/>
      <w:marBottom w:val="0"/>
      <w:divBdr>
        <w:top w:val="none" w:sz="0" w:space="0" w:color="auto"/>
        <w:left w:val="none" w:sz="0" w:space="0" w:color="auto"/>
        <w:bottom w:val="none" w:sz="0" w:space="0" w:color="auto"/>
        <w:right w:val="none" w:sz="0" w:space="0" w:color="auto"/>
      </w:divBdr>
    </w:div>
    <w:div w:id="1900557196">
      <w:bodyDiv w:val="1"/>
      <w:marLeft w:val="0"/>
      <w:marRight w:val="0"/>
      <w:marTop w:val="0"/>
      <w:marBottom w:val="0"/>
      <w:divBdr>
        <w:top w:val="none" w:sz="0" w:space="0" w:color="auto"/>
        <w:left w:val="none" w:sz="0" w:space="0" w:color="auto"/>
        <w:bottom w:val="none" w:sz="0" w:space="0" w:color="auto"/>
        <w:right w:val="none" w:sz="0" w:space="0" w:color="auto"/>
      </w:divBdr>
    </w:div>
    <w:div w:id="1996492199">
      <w:bodyDiv w:val="1"/>
      <w:marLeft w:val="0"/>
      <w:marRight w:val="0"/>
      <w:marTop w:val="0"/>
      <w:marBottom w:val="0"/>
      <w:divBdr>
        <w:top w:val="none" w:sz="0" w:space="0" w:color="auto"/>
        <w:left w:val="none" w:sz="0" w:space="0" w:color="auto"/>
        <w:bottom w:val="none" w:sz="0" w:space="0" w:color="auto"/>
        <w:right w:val="none" w:sz="0" w:space="0" w:color="auto"/>
      </w:divBdr>
    </w:div>
    <w:div w:id="2095975070">
      <w:bodyDiv w:val="1"/>
      <w:marLeft w:val="0"/>
      <w:marRight w:val="0"/>
      <w:marTop w:val="0"/>
      <w:marBottom w:val="0"/>
      <w:divBdr>
        <w:top w:val="none" w:sz="0" w:space="0" w:color="auto"/>
        <w:left w:val="none" w:sz="0" w:space="0" w:color="auto"/>
        <w:bottom w:val="none" w:sz="0" w:space="0" w:color="auto"/>
        <w:right w:val="none" w:sz="0" w:space="0" w:color="auto"/>
      </w:divBdr>
      <w:divsChild>
        <w:div w:id="14619195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87C284-7CC8-498C-A169-C4DC9890D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6091</Words>
  <Characters>34721</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2026-01-10T14:57:00Z</dcterms:created>
  <dcterms:modified xsi:type="dcterms:W3CDTF">2026-01-10T15:27:00Z</dcterms:modified>
</cp:coreProperties>
</file>