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386BE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78440EF9" w14:textId="77777777" w:rsidR="0044470D" w:rsidRDefault="0044470D" w:rsidP="0044470D">
      <w:pPr>
        <w:pStyle w:val="Heading3"/>
        <w:shd w:val="clear" w:color="auto" w:fill="FFFFFF"/>
        <w:spacing w:before="0" w:beforeAutospacing="0"/>
        <w:rPr>
          <w:rFonts w:cs="Arial"/>
          <w:sz w:val="28"/>
          <w:szCs w:val="28"/>
          <w:lang w:val="nl-NL"/>
        </w:rPr>
      </w:pPr>
    </w:p>
    <w:p w14:paraId="10578710" w14:textId="77777777" w:rsidR="0044470D" w:rsidRDefault="0044470D" w:rsidP="0044470D">
      <w:pPr>
        <w:pStyle w:val="Heading3"/>
        <w:shd w:val="clear" w:color="auto" w:fill="FFFFFF"/>
        <w:spacing w:before="0" w:beforeAutospacing="0"/>
        <w:rPr>
          <w:rFonts w:cs="Arial"/>
          <w:sz w:val="28"/>
          <w:szCs w:val="28"/>
          <w:lang w:val="nl-NL"/>
        </w:rPr>
      </w:pPr>
    </w:p>
    <w:p w14:paraId="740CFE57" w14:textId="65FF5B1E" w:rsidR="0044470D" w:rsidRPr="0044470D" w:rsidRDefault="00CD33A8" w:rsidP="0044470D">
      <w:pPr>
        <w:pStyle w:val="Heading3"/>
        <w:shd w:val="clear" w:color="auto" w:fill="FFFFFF"/>
        <w:spacing w:before="0" w:beforeAutospacing="0"/>
        <w:rPr>
          <w:rFonts w:ascii="Segoe UI" w:hAnsi="Segoe UI" w:cs="Segoe UI"/>
          <w:color w:val="1D2125"/>
          <w:sz w:val="27"/>
        </w:rPr>
      </w:pPr>
      <w:r w:rsidRPr="00CD33A8">
        <w:rPr>
          <w:rFonts w:cs="Arial"/>
          <w:sz w:val="28"/>
          <w:szCs w:val="28"/>
          <w:lang w:val="nl-NL"/>
        </w:rPr>
        <w:t>Module name:</w:t>
      </w:r>
      <w:r w:rsidR="0044470D" w:rsidRPr="0044470D">
        <w:rPr>
          <w:rFonts w:ascii="Segoe UI" w:hAnsi="Segoe UI" w:cs="Segoe UI"/>
          <w:color w:val="1D2125"/>
          <w:sz w:val="27"/>
        </w:rPr>
        <w:t xml:space="preserve"> Changemakers: Building your Personal Brand for Sustainable Employment</w:t>
      </w:r>
    </w:p>
    <w:p w14:paraId="3D95BAC2" w14:textId="3186379B" w:rsidR="0044470D" w:rsidRPr="004A3209" w:rsidRDefault="00CD33A8" w:rsidP="0044470D">
      <w:pPr>
        <w:rPr>
          <w:b/>
          <w:bCs/>
          <w:sz w:val="28"/>
          <w:szCs w:val="28"/>
        </w:rPr>
      </w:pPr>
      <w:r w:rsidRPr="00CD33A8">
        <w:rPr>
          <w:rFonts w:ascii="Arial" w:hAnsi="Arial" w:cs="Arial"/>
          <w:sz w:val="28"/>
          <w:szCs w:val="28"/>
          <w:lang w:val="nl-NL"/>
        </w:rPr>
        <w:t xml:space="preserve"> </w:t>
      </w:r>
    </w:p>
    <w:p w14:paraId="537571AF" w14:textId="0496A249"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44470D" w:rsidRPr="004A3209">
        <w:rPr>
          <w:b/>
          <w:bCs/>
          <w:sz w:val="28"/>
          <w:szCs w:val="28"/>
        </w:rPr>
        <w:t xml:space="preserve"> BMHP5015</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6CAA03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44470D">
        <w:rPr>
          <w:rFonts w:ascii="Arial" w:hAnsi="Arial" w:cs="Arial"/>
          <w:sz w:val="28"/>
          <w:szCs w:val="28"/>
          <w:lang w:val="nl-NL"/>
        </w:rPr>
        <w:t>Bouadoua sylvie Kouao</w:t>
      </w:r>
    </w:p>
    <w:p w14:paraId="39AA4413" w14:textId="6B76B24A"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4470D">
        <w:rPr>
          <w:rFonts w:ascii="Arial" w:hAnsi="Arial" w:cs="Arial"/>
          <w:sz w:val="28"/>
          <w:szCs w:val="28"/>
          <w:lang w:val="nl-NL"/>
        </w:rPr>
        <w:t xml:space="preserve"> 2417904</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7FC1C48"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4470D">
        <w:rPr>
          <w:rFonts w:ascii="Arial" w:hAnsi="Arial" w:cs="Arial"/>
          <w:sz w:val="28"/>
          <w:szCs w:val="28"/>
        </w:rPr>
        <w:t xml:space="preserve"> </w:t>
      </w:r>
      <w:r w:rsidR="0044470D" w:rsidRPr="0044470D">
        <w:rPr>
          <w:rFonts w:ascii="Source Sans Pro" w:hAnsi="Source Sans Pro"/>
          <w:color w:val="242130"/>
          <w:sz w:val="28"/>
          <w:szCs w:val="28"/>
          <w:shd w:val="clear" w:color="auto" w:fill="FFFFFF"/>
        </w:rPr>
        <w:t>Brian Mashumba</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50F74517" w:rsidR="00B87E75" w:rsidRPr="0044470D" w:rsidRDefault="00B87E75" w:rsidP="0044470D">
      <w:pPr>
        <w:spacing w:line="360" w:lineRule="auto"/>
        <w:rPr>
          <w:rFonts w:asciiTheme="minorBidi" w:hAnsiTheme="minorBidi"/>
          <w:sz w:val="22"/>
        </w:rPr>
      </w:pPr>
      <w:r w:rsidRPr="00CD33A8">
        <w:rPr>
          <w:rFonts w:asciiTheme="minorBidi" w:hAnsiTheme="minorBidi"/>
          <w:sz w:val="22"/>
        </w:rPr>
        <w:br w:type="page"/>
      </w:r>
    </w:p>
    <w:p w14:paraId="13E00080" w14:textId="137FF22A" w:rsidR="00B87E75" w:rsidRPr="00CD33A8" w:rsidRDefault="00B87E75" w:rsidP="00CD33A8">
      <w:pPr>
        <w:spacing w:line="360" w:lineRule="auto"/>
        <w:rPr>
          <w:rFonts w:asciiTheme="minorBidi" w:hAnsiTheme="minorBidi"/>
          <w:sz w:val="22"/>
        </w:rPr>
      </w:pPr>
    </w:p>
    <w:p w14:paraId="7BB0A50D" w14:textId="779A4A9B" w:rsidR="0044470D" w:rsidRPr="0044470D" w:rsidRDefault="0044470D" w:rsidP="0044470D">
      <w:pPr>
        <w:spacing w:line="360" w:lineRule="auto"/>
        <w:rPr>
          <w:rFonts w:asciiTheme="minorBidi" w:hAnsiTheme="minorBidi"/>
          <w:sz w:val="22"/>
        </w:rPr>
      </w:pPr>
      <w:r w:rsidRPr="00EB4DEF">
        <w:rPr>
          <w:rFonts w:eastAsia="Times New Roman" w:cs="Times New Roman"/>
          <w:b/>
          <w:bCs/>
          <w:sz w:val="36"/>
          <w:szCs w:val="36"/>
          <w:lang w:eastAsia="en-GB"/>
        </w:rPr>
        <w:t>Introduction</w:t>
      </w:r>
    </w:p>
    <w:p w14:paraId="42B8D47E"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 xml:space="preserve">This portfolio provides a critical reflection on my learning throughout Units 1–4 of the BMHP5015 module, </w:t>
      </w:r>
      <w:r w:rsidRPr="00EB4DEF">
        <w:rPr>
          <w:rFonts w:eastAsia="Times New Roman" w:cs="Times New Roman"/>
          <w:i/>
          <w:iCs/>
          <w:lang w:eastAsia="en-GB"/>
        </w:rPr>
        <w:t>Changemakers: Building Your Personal Brand for Sustainable Employment</w:t>
      </w:r>
      <w:r w:rsidRPr="00EB4DEF">
        <w:rPr>
          <w:rFonts w:eastAsia="Times New Roman" w:cs="Times New Roman"/>
          <w:lang w:eastAsia="en-GB"/>
        </w:rPr>
        <w:t>. The module aimed to strengthen the knowledge, skills, and behaviours required for long</w:t>
      </w:r>
      <w:r w:rsidRPr="00EB4DEF">
        <w:rPr>
          <w:rFonts w:eastAsia="Times New Roman" w:cs="Times New Roman"/>
          <w:lang w:eastAsia="en-GB"/>
        </w:rPr>
        <w:noBreakHyphen/>
        <w:t>term employability by encouraging reflection on personal identity, professional values, global awareness, career development, and wellbeing. Through lectures, online activities, reflective exercises, and independent reading, I developed a deeper understanding of how these areas contribute to becoming an effective and resilient health and social care professional.</w:t>
      </w:r>
    </w:p>
    <w:p w14:paraId="47BCB306"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Reflection is “widely recognised as an essential aspect of professional development” because it enables individuals to evaluate experiences, identify strengths and weaknesses, and improve their practice. In health and social care, reflective practice supports person</w:t>
      </w:r>
      <w:r w:rsidRPr="00EB4DEF">
        <w:rPr>
          <w:rFonts w:eastAsia="Times New Roman" w:cs="Times New Roman"/>
          <w:lang w:eastAsia="en-GB"/>
        </w:rPr>
        <w:noBreakHyphen/>
        <w:t>centred care, accountability, and lifelong learning. Throughout this module, I gained a greater appreciation of how self</w:t>
      </w:r>
      <w:r w:rsidRPr="00EB4DEF">
        <w:rPr>
          <w:rFonts w:eastAsia="Times New Roman" w:cs="Times New Roman"/>
          <w:lang w:eastAsia="en-GB"/>
        </w:rPr>
        <w:noBreakHyphen/>
        <w:t>awareness, communication, adaptability, and resilience influence both personal success and the quality of care provided to service users.</w:t>
      </w:r>
    </w:p>
    <w:p w14:paraId="2D2CD16F"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As someone working within the health and social care sector, I was able to relate many concepts to my professional experiences. Each unit built upon the previous one, helping me understand sustainable employment and the importance of continuous development. This portfolio is organised into four reflective tasks: Unit 1 explores personal branding; Unit 2 examines globalisation and cultural competence; Unit 3 focuses on opportunity recognition and career development; and Unit 4 considers wellbeing and resilience. Together, these reflections demonstrate how the module has enhanced my readiness to contribute positively to health and social care while supporting my future career ambitions.</w:t>
      </w:r>
    </w:p>
    <w:p w14:paraId="2B6B6A83" w14:textId="77777777" w:rsidR="0044470D" w:rsidRPr="00EB4DEF" w:rsidRDefault="0044470D" w:rsidP="0044470D">
      <w:pPr>
        <w:spacing w:before="100" w:beforeAutospacing="1" w:after="100" w:afterAutospacing="1" w:line="240" w:lineRule="auto"/>
        <w:outlineLvl w:val="1"/>
        <w:rPr>
          <w:rFonts w:eastAsia="Times New Roman" w:cs="Times New Roman"/>
          <w:b/>
          <w:bCs/>
          <w:sz w:val="36"/>
          <w:szCs w:val="36"/>
          <w:lang w:eastAsia="en-GB"/>
        </w:rPr>
      </w:pPr>
      <w:r w:rsidRPr="00EB4DEF">
        <w:rPr>
          <w:rFonts w:eastAsia="Times New Roman" w:cs="Times New Roman"/>
          <w:b/>
          <w:bCs/>
          <w:sz w:val="36"/>
          <w:szCs w:val="36"/>
          <w:lang w:eastAsia="en-GB"/>
        </w:rPr>
        <w:t>Task 1 – Reflection on Unit 1: Brand You</w:t>
      </w:r>
    </w:p>
    <w:p w14:paraId="52E1FF9A"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Unit 1 introduced personal branding and encouraged me to think critically about how I present myself professionally. Before this unit, I believed personal branding referred mainly to producing a strong CV or performing well in interviews. I now understand that personal branding is much broader and involves consistently demonstrating my values, skills, behaviours, and professional identity. Peters (1997) argues that every individual represents a personal brand through their actions and reputation, which encouraged me to become more intentional in how I communicate with colleagues, service users, and employers.</w:t>
      </w:r>
    </w:p>
    <w:p w14:paraId="431792E2"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A key concept explored was self</w:t>
      </w:r>
      <w:r w:rsidRPr="00EB4DEF">
        <w:rPr>
          <w:rFonts w:eastAsia="Times New Roman" w:cs="Times New Roman"/>
          <w:lang w:eastAsia="en-GB"/>
        </w:rPr>
        <w:noBreakHyphen/>
        <w:t>awareness. Goleman (1998) states that self</w:t>
      </w:r>
      <w:r w:rsidRPr="00EB4DEF">
        <w:rPr>
          <w:rFonts w:eastAsia="Times New Roman" w:cs="Times New Roman"/>
          <w:lang w:eastAsia="en-GB"/>
        </w:rPr>
        <w:noBreakHyphen/>
        <w:t>awareness forms the foundation of emotional intelligence because it enables individuals to recognise their emotions, strengths, and limitations. Through reflective activities, I identified empathy, patience, reliability, resilience, and effective communication as some of my greatest strengths. These qualities are essential in health and social care because they support trusting relationships with service users and families.</w:t>
      </w:r>
    </w:p>
    <w:p w14:paraId="4D918F48" w14:textId="77777777" w:rsidR="00BC63E2"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 xml:space="preserve">The activities also helped me recognise areas for development. Although I communicate confidently with service users, I sometimes hesitate when contributing ideas during </w:t>
      </w:r>
    </w:p>
    <w:p w14:paraId="14729DC2" w14:textId="16959E20" w:rsidR="0076195F" w:rsidRDefault="00BC63E2" w:rsidP="0076195F">
      <w:r>
        <w:rPr>
          <w:rFonts w:eastAsia="Times New Roman" w:cs="Times New Roman"/>
          <w:lang w:eastAsia="en-GB"/>
        </w:rPr>
        <w:lastRenderedPageBreak/>
        <w:t xml:space="preserve">     </w:t>
      </w:r>
    </w:p>
    <w:p w14:paraId="7A6ABD11" w14:textId="5785547B"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multidisciplinary meetings. Understanding this limitation has motivated me to become more confident in sharing my professional opinions. Rather than viewing weaknesses negatively, I now see them as opportunities for growth, reflecting Skills for Care’s (2022) emphasis on continuous evaluation and improvement.</w:t>
      </w:r>
    </w:p>
    <w:p w14:paraId="6BE434A0"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Value</w:t>
      </w:r>
      <w:r w:rsidRPr="00EB4DEF">
        <w:rPr>
          <w:rFonts w:eastAsia="Times New Roman" w:cs="Times New Roman"/>
          <w:lang w:eastAsia="en-GB"/>
        </w:rPr>
        <w:noBreakHyphen/>
        <w:t>based personal branding was another important topic. Health and social care organisations increasingly recruit individuals whose personal values align with organisational values such as dignity, compassion, respect, equality, and integrity. Reflecting on my own values helped me understand why I enjoy working with vulnerable individuals and why person</w:t>
      </w:r>
      <w:r w:rsidRPr="00EB4DEF">
        <w:rPr>
          <w:rFonts w:eastAsia="Times New Roman" w:cs="Times New Roman"/>
          <w:lang w:eastAsia="en-GB"/>
        </w:rPr>
        <w:noBreakHyphen/>
        <w:t>centred care is central to my professional identity. My commitment to treating every individual with dignity and respect shapes my daily decisions and professional relationships.</w:t>
      </w:r>
    </w:p>
    <w:p w14:paraId="2CC3DD48"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Developing a unique selling point (USP) encouraged me to consider what distinguishes me from other candidates. My experience supporting individuals from diverse backgrounds has strengthened my communication skills and cultural awareness. Working in domiciliary care has taught me adaptability, as every service user has unique needs and expectations. I believe my ability to remain calm under pressure, communicate respectfully, and build trusting relationships enables me to provide compassionate, person</w:t>
      </w:r>
      <w:r w:rsidRPr="00EB4DEF">
        <w:rPr>
          <w:rFonts w:eastAsia="Times New Roman" w:cs="Times New Roman"/>
          <w:lang w:eastAsia="en-GB"/>
        </w:rPr>
        <w:noBreakHyphen/>
        <w:t>centred care. Montoya and Vandehey (2009) emphasise that authenticity is essential when developing a strong personal brand, as employers value genuine strengths.</w:t>
      </w:r>
    </w:p>
    <w:p w14:paraId="710CD012"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This unit also highlighted that professional branding extends beyond the workplace. Employers increasingly consider an individual’s online presence when making recruitment decisions. Maintaining professionalism on social media, presenting accurate information on networking platforms, and demonstrating commitment to learning all contribute to a positive reputation.</w:t>
      </w:r>
    </w:p>
    <w:p w14:paraId="1397363B" w14:textId="77777777" w:rsidR="0044470D"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Overall, Unit 1 strengthened my understanding of personal branding and professional identity. It encouraged honest self</w:t>
      </w:r>
      <w:r w:rsidRPr="00EB4DEF">
        <w:rPr>
          <w:rFonts w:eastAsia="Times New Roman" w:cs="Times New Roman"/>
          <w:lang w:eastAsia="en-GB"/>
        </w:rPr>
        <w:noBreakHyphen/>
        <w:t>evaluation, recognition of improvement areas, and appreciation of lifelong learning. The knowledge gained has increased my confidence and prepared me to present myself professionally when applying for future leadership opportunities. I now recognise personal branding as a continuous process of reflection and development.</w:t>
      </w:r>
    </w:p>
    <w:p w14:paraId="6DCCB7BF" w14:textId="77777777" w:rsidR="00806953" w:rsidRDefault="00806953" w:rsidP="0044470D">
      <w:pPr>
        <w:spacing w:before="100" w:beforeAutospacing="1" w:after="100" w:afterAutospacing="1" w:line="240" w:lineRule="auto"/>
        <w:rPr>
          <w:rFonts w:eastAsia="Times New Roman" w:cs="Times New Roman"/>
          <w:lang w:eastAsia="en-GB"/>
        </w:rPr>
      </w:pPr>
    </w:p>
    <w:p w14:paraId="03FB9AEC" w14:textId="41FEA4CE" w:rsidR="00806953" w:rsidRDefault="000B5B33" w:rsidP="0044470D">
      <w:pPr>
        <w:spacing w:before="100" w:beforeAutospacing="1" w:after="100" w:afterAutospacing="1" w:line="240" w:lineRule="auto"/>
        <w:rPr>
          <w:rFonts w:eastAsia="Times New Roman" w:cs="Times New Roman"/>
          <w:lang w:eastAsia="en-GB"/>
        </w:rPr>
      </w:pPr>
      <w:r w:rsidRPr="00F94C4D">
        <w:rPr>
          <w:noProof/>
        </w:rPr>
        <w:lastRenderedPageBreak/>
        <w:drawing>
          <wp:inline distT="0" distB="0" distL="0" distR="0" wp14:anchorId="01A2AB9A" wp14:editId="589DD63C">
            <wp:extent cx="2667000" cy="2184400"/>
            <wp:effectExtent l="0" t="0" r="0" b="6350"/>
            <wp:docPr id="808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385" name=""/>
                    <pic:cNvPicPr/>
                  </pic:nvPicPr>
                  <pic:blipFill>
                    <a:blip r:embed="rId8"/>
                    <a:stretch>
                      <a:fillRect/>
                    </a:stretch>
                  </pic:blipFill>
                  <pic:spPr>
                    <a:xfrm>
                      <a:off x="0" y="0"/>
                      <a:ext cx="2667000" cy="2184400"/>
                    </a:xfrm>
                    <a:prstGeom prst="rect">
                      <a:avLst/>
                    </a:prstGeom>
                  </pic:spPr>
                </pic:pic>
              </a:graphicData>
            </a:graphic>
          </wp:inline>
        </w:drawing>
      </w:r>
      <w:r w:rsidR="006C1FC0" w:rsidRPr="00937459">
        <w:rPr>
          <w:noProof/>
        </w:rPr>
        <w:drawing>
          <wp:inline distT="0" distB="0" distL="0" distR="0" wp14:anchorId="610558A9" wp14:editId="3CC18850">
            <wp:extent cx="2368550" cy="2165350"/>
            <wp:effectExtent l="0" t="0" r="0" b="6350"/>
            <wp:docPr id="338075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96216" name=""/>
                    <pic:cNvPicPr/>
                  </pic:nvPicPr>
                  <pic:blipFill>
                    <a:blip r:embed="rId9"/>
                    <a:stretch>
                      <a:fillRect/>
                    </a:stretch>
                  </pic:blipFill>
                  <pic:spPr>
                    <a:xfrm>
                      <a:off x="0" y="0"/>
                      <a:ext cx="2368550" cy="2165350"/>
                    </a:xfrm>
                    <a:prstGeom prst="rect">
                      <a:avLst/>
                    </a:prstGeom>
                  </pic:spPr>
                </pic:pic>
              </a:graphicData>
            </a:graphic>
          </wp:inline>
        </w:drawing>
      </w:r>
    </w:p>
    <w:p w14:paraId="2B083A4B" w14:textId="77777777" w:rsidR="0044470D" w:rsidRPr="00EB4DEF" w:rsidRDefault="0044470D" w:rsidP="0044470D">
      <w:pPr>
        <w:spacing w:before="100" w:beforeAutospacing="1" w:after="100" w:afterAutospacing="1" w:line="240" w:lineRule="auto"/>
        <w:outlineLvl w:val="1"/>
        <w:rPr>
          <w:rFonts w:eastAsia="Times New Roman" w:cs="Times New Roman"/>
          <w:b/>
          <w:bCs/>
          <w:sz w:val="36"/>
          <w:szCs w:val="36"/>
          <w:lang w:eastAsia="en-GB"/>
        </w:rPr>
      </w:pPr>
      <w:r w:rsidRPr="00EB4DEF">
        <w:rPr>
          <w:rFonts w:eastAsia="Times New Roman" w:cs="Times New Roman"/>
          <w:b/>
          <w:bCs/>
          <w:sz w:val="36"/>
          <w:szCs w:val="36"/>
          <w:lang w:eastAsia="en-GB"/>
        </w:rPr>
        <w:t>Task 2 – Reflection on Unit 2: It’s a Small World</w:t>
      </w:r>
    </w:p>
    <w:p w14:paraId="75B1264F"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Unit 2 focused on globalisation and its impact on health and social care practice. Although I understood that people from different cultures accessed healthcare services, I had not fully appreciated how global events, migration, technology, and international policies shape everyday care. This unit broadened my understanding of cultural diversity, equality, and the importance of developing a global perspective.</w:t>
      </w:r>
    </w:p>
    <w:p w14:paraId="2817A773"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Giddens (1990) describes globalisation as the increasing interconnectedness of societies through economic, political, cultural, and technological developments. In health and social care, globalisation has resulted in diverse communities and workforces. I regularly support individuals from different ethnic, cultural, and religious backgrounds, and this unit helped me understand that effective care requires awareness of cultural values, beliefs, and communication styles.</w:t>
      </w:r>
    </w:p>
    <w:p w14:paraId="2E7FBF45"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Reflecting on my practice, I recognised that individuals have different expectations regarding health, family involvement, personal care, and decision</w:t>
      </w:r>
      <w:r w:rsidRPr="00EB4DEF">
        <w:rPr>
          <w:rFonts w:eastAsia="Times New Roman" w:cs="Times New Roman"/>
          <w:lang w:eastAsia="en-GB"/>
        </w:rPr>
        <w:noBreakHyphen/>
        <w:t>making. Some service users prefer family participation in care decisions, while others value independence. Understanding these differences enables professionals to deliver person</w:t>
      </w:r>
      <w:r w:rsidRPr="00EB4DEF">
        <w:rPr>
          <w:rFonts w:eastAsia="Times New Roman" w:cs="Times New Roman"/>
          <w:lang w:eastAsia="en-GB"/>
        </w:rPr>
        <w:noBreakHyphen/>
        <w:t>centred care that respects preferences and promotes dignity. This reinforced the importance of treating each service user as an individual rather than making assumptions based on culture.</w:t>
      </w:r>
    </w:p>
    <w:p w14:paraId="75D98165"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Cultural competence was another significant topic. Betancourt et al. (2003) explain that cultural competence enables professionals to provide equitable care and reduce health inequalities. Through the learning activities, I reflected on my communication skills and recognised that effective communication involves active listening, empathy, respect, and adapting my approach to each person’s needs. I also learned that cultural competence requires continuous learning and openness to different perspectives.</w:t>
      </w:r>
    </w:p>
    <w:p w14:paraId="3445FCE6"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This unit increased my awareness of international collaboration. Organisations such as the World Health Organisation promote shared learning, research, and public health strategies across countries. Although I work locally, I now understand that many improvements in health and social care are influenced by international research and global partnerships. Remaining informed about international developments will support my professional practice.</w:t>
      </w:r>
    </w:p>
    <w:p w14:paraId="7C03CB1C" w14:textId="1F866D69" w:rsidR="0044470D" w:rsidRDefault="0044470D" w:rsidP="0044470D">
      <w:pPr>
        <w:spacing w:before="100" w:beforeAutospacing="1" w:after="100" w:afterAutospacing="1" w:line="240" w:lineRule="auto"/>
        <w:rPr>
          <w:noProof/>
        </w:rPr>
      </w:pPr>
      <w:r w:rsidRPr="00EB4DEF">
        <w:rPr>
          <w:rFonts w:eastAsia="Times New Roman" w:cs="Times New Roman"/>
          <w:lang w:eastAsia="en-GB"/>
        </w:rPr>
        <w:lastRenderedPageBreak/>
        <w:t>Overall, Unit 2 strengthened my understanding of cultural competence, diversity, and global awareness. It reinforced the importance of respecting differences, communicating effectively, and providing inclusive, person</w:t>
      </w:r>
      <w:r w:rsidRPr="00EB4DEF">
        <w:rPr>
          <w:rFonts w:eastAsia="Times New Roman" w:cs="Times New Roman"/>
          <w:lang w:eastAsia="en-GB"/>
        </w:rPr>
        <w:noBreakHyphen/>
        <w:t>centred care. These skills will enable me to work confidently within diverse healthcare environments and contribute positively to improving outcomes for service users.</w:t>
      </w:r>
      <w:r w:rsidR="00D20114" w:rsidRPr="00D20114">
        <w:rPr>
          <w:noProof/>
        </w:rPr>
        <w:t xml:space="preserve"> </w:t>
      </w:r>
    </w:p>
    <w:p w14:paraId="0963FEEA" w14:textId="77777777" w:rsidR="00D20114" w:rsidRDefault="00D20114" w:rsidP="0044470D">
      <w:pPr>
        <w:spacing w:before="100" w:beforeAutospacing="1" w:after="100" w:afterAutospacing="1" w:line="240" w:lineRule="auto"/>
        <w:rPr>
          <w:noProof/>
        </w:rPr>
      </w:pPr>
    </w:p>
    <w:p w14:paraId="57BD56DC" w14:textId="7AC40415" w:rsidR="00435415" w:rsidRDefault="00435415" w:rsidP="00435415">
      <w:r w:rsidRPr="00CC02F7">
        <w:rPr>
          <w:noProof/>
        </w:rPr>
        <w:drawing>
          <wp:inline distT="0" distB="0" distL="0" distR="0" wp14:anchorId="1E7717F4" wp14:editId="2807EEB9">
            <wp:extent cx="2216150" cy="1847850"/>
            <wp:effectExtent l="0" t="0" r="0" b="0"/>
            <wp:docPr id="32769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98441" name=""/>
                    <pic:cNvPicPr/>
                  </pic:nvPicPr>
                  <pic:blipFill>
                    <a:blip r:embed="rId10"/>
                    <a:stretch>
                      <a:fillRect/>
                    </a:stretch>
                  </pic:blipFill>
                  <pic:spPr>
                    <a:xfrm>
                      <a:off x="0" y="0"/>
                      <a:ext cx="2216150" cy="1847850"/>
                    </a:xfrm>
                    <a:prstGeom prst="rect">
                      <a:avLst/>
                    </a:prstGeom>
                  </pic:spPr>
                </pic:pic>
              </a:graphicData>
            </a:graphic>
          </wp:inline>
        </w:drawing>
      </w:r>
      <w:r w:rsidR="006C1FC0" w:rsidRPr="00F647A4">
        <w:rPr>
          <w:noProof/>
        </w:rPr>
        <w:drawing>
          <wp:inline distT="0" distB="0" distL="0" distR="0" wp14:anchorId="4CDD85AD" wp14:editId="695E14FD">
            <wp:extent cx="2870200" cy="1822450"/>
            <wp:effectExtent l="0" t="0" r="6350" b="6350"/>
            <wp:docPr id="1146691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91335" name=""/>
                    <pic:cNvPicPr/>
                  </pic:nvPicPr>
                  <pic:blipFill>
                    <a:blip r:embed="rId11"/>
                    <a:stretch>
                      <a:fillRect/>
                    </a:stretch>
                  </pic:blipFill>
                  <pic:spPr>
                    <a:xfrm>
                      <a:off x="0" y="0"/>
                      <a:ext cx="2870200" cy="1822450"/>
                    </a:xfrm>
                    <a:prstGeom prst="rect">
                      <a:avLst/>
                    </a:prstGeom>
                  </pic:spPr>
                </pic:pic>
              </a:graphicData>
            </a:graphic>
          </wp:inline>
        </w:drawing>
      </w:r>
    </w:p>
    <w:p w14:paraId="0ADB8CD3" w14:textId="15BA12FC" w:rsidR="00D20114" w:rsidRDefault="00D20114" w:rsidP="00D20114">
      <w:pPr>
        <w:spacing w:before="100" w:beforeAutospacing="1" w:after="100" w:afterAutospacing="1" w:line="240" w:lineRule="auto"/>
        <w:rPr>
          <w:noProof/>
        </w:rPr>
      </w:pPr>
    </w:p>
    <w:p w14:paraId="3893DCEB" w14:textId="2AF818C8" w:rsidR="0044470D" w:rsidRPr="00D20114" w:rsidRDefault="0044470D" w:rsidP="00D20114">
      <w:pPr>
        <w:spacing w:before="100" w:beforeAutospacing="1" w:after="100" w:afterAutospacing="1" w:line="240" w:lineRule="auto"/>
        <w:rPr>
          <w:noProof/>
        </w:rPr>
      </w:pPr>
      <w:r w:rsidRPr="00EB4DEF">
        <w:rPr>
          <w:rFonts w:eastAsia="Times New Roman" w:cs="Times New Roman"/>
          <w:b/>
          <w:bCs/>
          <w:sz w:val="36"/>
          <w:szCs w:val="36"/>
          <w:lang w:eastAsia="en-GB"/>
        </w:rPr>
        <w:t>Task 3 – Reflection on Unit 3: Opportunity Knocks</w:t>
      </w:r>
    </w:p>
    <w:p w14:paraId="1B8F0501"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Unit 3 encouraged me to think differently about career development by recognising that opportunities often arise through preparation, curiosity, and proactive behaviour. Previously, I believed career progression depended mainly on experience and qualifications. I now understand that mindset, relationships, and openness to new experiences are equally important.</w:t>
      </w:r>
    </w:p>
    <w:p w14:paraId="58BFC4D7"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One of the most interesting concepts was the serendipity mindset. Busch (2020) describes serendipity as the ability to create positive opportunities from unexpected situations. This changed my perspective because I realised that many valuable learning experiences occur unexpectedly. Throughout my work, unexpected situations have challenged me to develop new skills, improve decision</w:t>
      </w:r>
      <w:r w:rsidRPr="00EB4DEF">
        <w:rPr>
          <w:rFonts w:eastAsia="Times New Roman" w:cs="Times New Roman"/>
          <w:lang w:eastAsia="en-GB"/>
        </w:rPr>
        <w:noBreakHyphen/>
        <w:t>making, and strengthen confidence. I now view challenges as opportunities for growth.</w:t>
      </w:r>
    </w:p>
    <w:p w14:paraId="4FEF3EE7"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 xml:space="preserve">Opportunity recognition was another key topic. </w:t>
      </w:r>
      <w:proofErr w:type="spellStart"/>
      <w:r w:rsidRPr="00EB4DEF">
        <w:rPr>
          <w:rFonts w:eastAsia="Times New Roman" w:cs="Times New Roman"/>
          <w:lang w:eastAsia="en-GB"/>
        </w:rPr>
        <w:t>Ardichvili</w:t>
      </w:r>
      <w:proofErr w:type="spellEnd"/>
      <w:r w:rsidRPr="00EB4DEF">
        <w:rPr>
          <w:rFonts w:eastAsia="Times New Roman" w:cs="Times New Roman"/>
          <w:lang w:eastAsia="en-GB"/>
        </w:rPr>
        <w:t xml:space="preserve"> et al. (2003) explain that recognising opportunities depends on experience, creativity, knowledge, and networks. The module activities encouraged me to assess my strengths, interests, and career aspirations. I identified leadership, communication, and organisation as strengths that could support progression into management roles. This reflection increased my confidence and motivated me to continue developing these skills.</w:t>
      </w:r>
    </w:p>
    <w:p w14:paraId="284CF2BF" w14:textId="77777777" w:rsidR="0044470D"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 xml:space="preserve">Networking was also explored. I previously viewed networking simply as meeting new people, but I now understand that professional networking involves building meaningful relationships that encourage learning and collaboration. In health and social care, </w:t>
      </w:r>
    </w:p>
    <w:p w14:paraId="1CEF3645"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lastRenderedPageBreak/>
        <w:t>multidisciplinary working depends on strong relationships between nurses, carers, social workers, therapists, and managers. Developing these relationships improves communication, supports teamwork, and benefits service users.</w:t>
      </w:r>
    </w:p>
    <w:p w14:paraId="2001B296"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The unit also emphasised the importance of a growth mindset. Dweck (2006) argues that individuals who believe abilities can be developed through effort are more likely to overcome challenges and achieve success. Reflecting on this encouraged me to embrace feedback positively and view mistakes as learning opportunities.</w:t>
      </w:r>
    </w:p>
    <w:p w14:paraId="7C2CDCD6"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Completing the self</w:t>
      </w:r>
      <w:r w:rsidRPr="00EB4DEF">
        <w:rPr>
          <w:rFonts w:eastAsia="Times New Roman" w:cs="Times New Roman"/>
          <w:lang w:eastAsia="en-GB"/>
        </w:rPr>
        <w:noBreakHyphen/>
        <w:t>assessment exercises helped me establish realistic career goals. I identified areas for development, including leadership training, digital skills, and continuing professional development. Strengthening these competencies will improve my confidence and prepare me for greater responsibilities.</w:t>
      </w:r>
    </w:p>
    <w:p w14:paraId="6020EE5C" w14:textId="578CADB7" w:rsidR="0044470D"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Overall, Unit 3 improved my understanding of employability and career development. It taught me that opportunities often result from preparation, resilience, and a positive attitude. I now feel better prepared to identify career opportunities, build networks, and continue developing the skills required for sustainable employment.</w:t>
      </w:r>
    </w:p>
    <w:p w14:paraId="6A65198F" w14:textId="4AF11C9F" w:rsidR="0044470D" w:rsidRDefault="00CD6CAC" w:rsidP="0044470D">
      <w:pPr>
        <w:spacing w:before="100" w:beforeAutospacing="1" w:after="100" w:afterAutospacing="1" w:line="240" w:lineRule="auto"/>
        <w:rPr>
          <w:rFonts w:eastAsia="Times New Roman" w:cs="Times New Roman"/>
          <w:lang w:eastAsia="en-GB"/>
        </w:rPr>
      </w:pPr>
      <w:r w:rsidRPr="00937459">
        <w:rPr>
          <w:noProof/>
        </w:rPr>
        <w:drawing>
          <wp:anchor distT="0" distB="0" distL="114300" distR="114300" simplePos="0" relativeHeight="251658240" behindDoc="0" locked="0" layoutInCell="1" allowOverlap="1" wp14:anchorId="0C265C5A" wp14:editId="67972786">
            <wp:simplePos x="0" y="0"/>
            <wp:positionH relativeFrom="margin">
              <wp:align>left</wp:align>
            </wp:positionH>
            <wp:positionV relativeFrom="paragraph">
              <wp:posOffset>2540</wp:posOffset>
            </wp:positionV>
            <wp:extent cx="2641600" cy="2026920"/>
            <wp:effectExtent l="0" t="0" r="6350" b="0"/>
            <wp:wrapSquare wrapText="bothSides"/>
            <wp:docPr id="306467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6785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1600" cy="2026920"/>
                    </a:xfrm>
                    <a:prstGeom prst="rect">
                      <a:avLst/>
                    </a:prstGeom>
                  </pic:spPr>
                </pic:pic>
              </a:graphicData>
            </a:graphic>
            <wp14:sizeRelH relativeFrom="margin">
              <wp14:pctWidth>0</wp14:pctWidth>
            </wp14:sizeRelH>
          </wp:anchor>
        </w:drawing>
      </w:r>
      <w:r w:rsidR="0044470D" w:rsidRPr="00643212">
        <w:rPr>
          <w:noProof/>
        </w:rPr>
        <w:drawing>
          <wp:inline distT="0" distB="0" distL="0" distR="0" wp14:anchorId="285A1AC6" wp14:editId="012617A0">
            <wp:extent cx="2774950" cy="1727200"/>
            <wp:effectExtent l="0" t="0" r="6350" b="6350"/>
            <wp:docPr id="2119478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78159" name=""/>
                    <pic:cNvPicPr/>
                  </pic:nvPicPr>
                  <pic:blipFill>
                    <a:blip r:embed="rId13"/>
                    <a:stretch>
                      <a:fillRect/>
                    </a:stretch>
                  </pic:blipFill>
                  <pic:spPr>
                    <a:xfrm>
                      <a:off x="0" y="0"/>
                      <a:ext cx="2774950" cy="1727200"/>
                    </a:xfrm>
                    <a:prstGeom prst="rect">
                      <a:avLst/>
                    </a:prstGeom>
                  </pic:spPr>
                </pic:pic>
              </a:graphicData>
            </a:graphic>
          </wp:inline>
        </w:drawing>
      </w:r>
    </w:p>
    <w:p w14:paraId="57199A58" w14:textId="77777777" w:rsidR="00CD6CAC" w:rsidRDefault="00CD6CAC" w:rsidP="0044470D">
      <w:pPr>
        <w:spacing w:before="100" w:beforeAutospacing="1" w:after="100" w:afterAutospacing="1" w:line="240" w:lineRule="auto"/>
        <w:outlineLvl w:val="1"/>
        <w:rPr>
          <w:rFonts w:eastAsia="Times New Roman" w:cs="Times New Roman"/>
          <w:b/>
          <w:bCs/>
          <w:sz w:val="36"/>
          <w:szCs w:val="36"/>
          <w:lang w:eastAsia="en-GB"/>
        </w:rPr>
      </w:pPr>
    </w:p>
    <w:p w14:paraId="4392707F" w14:textId="5E6801CA" w:rsidR="0044470D" w:rsidRPr="00EB4DEF" w:rsidRDefault="0044470D" w:rsidP="0044470D">
      <w:pPr>
        <w:spacing w:before="100" w:beforeAutospacing="1" w:after="100" w:afterAutospacing="1" w:line="240" w:lineRule="auto"/>
        <w:outlineLvl w:val="1"/>
        <w:rPr>
          <w:rFonts w:eastAsia="Times New Roman" w:cs="Times New Roman"/>
          <w:b/>
          <w:bCs/>
          <w:sz w:val="36"/>
          <w:szCs w:val="36"/>
          <w:lang w:eastAsia="en-GB"/>
        </w:rPr>
      </w:pPr>
      <w:r w:rsidRPr="00EB4DEF">
        <w:rPr>
          <w:rFonts w:eastAsia="Times New Roman" w:cs="Times New Roman"/>
          <w:b/>
          <w:bCs/>
          <w:sz w:val="36"/>
          <w:szCs w:val="36"/>
          <w:lang w:eastAsia="en-GB"/>
        </w:rPr>
        <w:t>Task 4 – Reflection on Unit 4: The Pursuit of Happiness</w:t>
      </w:r>
    </w:p>
    <w:p w14:paraId="63F2810A"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Unit 4 focused on wellbeing, happiness, and resilience, highlighting their importance in sustainable employment. Although I understood wellbeing was important, I had not fully considered how it influences professional performance, job satisfaction, and quality of care. This unit encouraged me to reflect on my wellbeing and identify strategies for maintaining a healthy work–life balance.</w:t>
      </w:r>
    </w:p>
    <w:p w14:paraId="694D52B8"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Positive psychology was a key concept. Seligman (2011) explains that wellbeing involves positive emotions, engagement, relationships, accomplishment, and purpose, represented in the PERMA model. Reflecting on this helped me recognise that professional success depends not only on qualifications but also on emotional wellbeing and meaning. Supporting vulnerable individuals gives me a strong sense of purpose and motivates my development.</w:t>
      </w:r>
    </w:p>
    <w:p w14:paraId="566B40DF"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 xml:space="preserve">Work–life balance was another important topic. Health and social care professionals often work long hours and manage emotionally challenging situations. Maslach and Leiter (2016) argue that excessive workload and emotional exhaustion contribute to burnout. Reflecting on </w:t>
      </w:r>
      <w:r w:rsidRPr="00EB4DEF">
        <w:rPr>
          <w:rFonts w:eastAsia="Times New Roman" w:cs="Times New Roman"/>
          <w:lang w:eastAsia="en-GB"/>
        </w:rPr>
        <w:lastRenderedPageBreak/>
        <w:t>my experiences, I recognised the importance of boundaries, breaks, support from colleagues, and activities outside work that promote relaxation. Maintaining my wellbeing allows me to remain focused, compassionate, and effective.</w:t>
      </w:r>
    </w:p>
    <w:p w14:paraId="6BA497A8"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The unit also explored intrinsic and extrinsic motivation. Although financial security is important, my greatest motivation comes from making a positive difference in people’s lives. Knowing that my support can improve a service user’s independence or confidence provides a strong sense of achievement.</w:t>
      </w:r>
    </w:p>
    <w:p w14:paraId="245AF069"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I also recognised that employee wellbeing benefits organisations. Healthcare organisations that promote wellbeing experience improved retention, job satisfaction, reduced sickness absence, and higher quality care. Maintaining my wellbeing is therefore both a personal responsibility and a contribution to safe, compassionate care.</w:t>
      </w:r>
    </w:p>
    <w:p w14:paraId="4FC5A0AB" w14:textId="77777777" w:rsidR="0044470D"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Overall, Unit 4 strengthened my understanding of wellbeing, resilience, motivation, and professional success. It encouraged me to prioritise self</w:t>
      </w:r>
      <w:r w:rsidRPr="00EB4DEF">
        <w:rPr>
          <w:rFonts w:eastAsia="Times New Roman" w:cs="Times New Roman"/>
          <w:lang w:eastAsia="en-GB"/>
        </w:rPr>
        <w:noBreakHyphen/>
        <w:t>care while remaining committed to learning and compassionate practice.</w:t>
      </w:r>
    </w:p>
    <w:p w14:paraId="7FF9F7AF" w14:textId="2E7DA9BD" w:rsidR="004A567E" w:rsidRDefault="0044470D" w:rsidP="002B1F06">
      <w:pPr>
        <w:spacing w:before="100" w:beforeAutospacing="1" w:after="100" w:afterAutospacing="1" w:line="240" w:lineRule="auto"/>
        <w:rPr>
          <w:rFonts w:eastAsia="Times New Roman" w:cs="Times New Roman"/>
          <w:lang w:eastAsia="en-GB"/>
        </w:rPr>
      </w:pPr>
      <w:r w:rsidRPr="009E3A59">
        <w:rPr>
          <w:noProof/>
        </w:rPr>
        <w:drawing>
          <wp:inline distT="0" distB="0" distL="0" distR="0" wp14:anchorId="5E20CDBA" wp14:editId="65DF66DB">
            <wp:extent cx="3003550" cy="2108200"/>
            <wp:effectExtent l="0" t="0" r="6350" b="6350"/>
            <wp:docPr id="149958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83467" name=""/>
                    <pic:cNvPicPr/>
                  </pic:nvPicPr>
                  <pic:blipFill>
                    <a:blip r:embed="rId14"/>
                    <a:stretch>
                      <a:fillRect/>
                    </a:stretch>
                  </pic:blipFill>
                  <pic:spPr>
                    <a:xfrm>
                      <a:off x="0" y="0"/>
                      <a:ext cx="3003550" cy="2108200"/>
                    </a:xfrm>
                    <a:prstGeom prst="rect">
                      <a:avLst/>
                    </a:prstGeom>
                  </pic:spPr>
                </pic:pic>
              </a:graphicData>
            </a:graphic>
          </wp:inline>
        </w:drawing>
      </w:r>
      <w:r w:rsidR="0058677A" w:rsidRPr="008E0696">
        <w:rPr>
          <w:noProof/>
        </w:rPr>
        <w:drawing>
          <wp:inline distT="0" distB="0" distL="0" distR="0" wp14:anchorId="25E57807" wp14:editId="6F3A5924">
            <wp:extent cx="3117850" cy="2012950"/>
            <wp:effectExtent l="0" t="0" r="6350" b="6350"/>
            <wp:docPr id="980185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85949" name=""/>
                    <pic:cNvPicPr/>
                  </pic:nvPicPr>
                  <pic:blipFill>
                    <a:blip r:embed="rId15"/>
                    <a:stretch>
                      <a:fillRect/>
                    </a:stretch>
                  </pic:blipFill>
                  <pic:spPr>
                    <a:xfrm>
                      <a:off x="0" y="0"/>
                      <a:ext cx="3117850" cy="2012950"/>
                    </a:xfrm>
                    <a:prstGeom prst="rect">
                      <a:avLst/>
                    </a:prstGeom>
                  </pic:spPr>
                </pic:pic>
              </a:graphicData>
            </a:graphic>
          </wp:inline>
        </w:drawing>
      </w:r>
    </w:p>
    <w:p w14:paraId="19520E30" w14:textId="73F10281" w:rsidR="0044470D" w:rsidRPr="002B1F06" w:rsidRDefault="0044470D" w:rsidP="002B1F06">
      <w:pPr>
        <w:spacing w:before="100" w:beforeAutospacing="1" w:after="100" w:afterAutospacing="1" w:line="240" w:lineRule="auto"/>
        <w:rPr>
          <w:rFonts w:eastAsia="Times New Roman" w:cs="Times New Roman"/>
          <w:lang w:eastAsia="en-GB"/>
        </w:rPr>
      </w:pPr>
      <w:r w:rsidRPr="00EB4DEF">
        <w:rPr>
          <w:rFonts w:eastAsia="Times New Roman" w:cs="Times New Roman"/>
          <w:b/>
          <w:bCs/>
          <w:sz w:val="36"/>
          <w:szCs w:val="36"/>
          <w:lang w:eastAsia="en-GB"/>
        </w:rPr>
        <w:t>Conclusion</w:t>
      </w:r>
    </w:p>
    <w:p w14:paraId="7BF6F49E"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This portfolio has critically reflected on my learning throughout the BMHP5015 module and demonstrated how each unit contributed to my development.</w:t>
      </w:r>
    </w:p>
    <w:p w14:paraId="4C133F8B"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Unit 1 strengthened my understanding of personal branding, self</w:t>
      </w:r>
      <w:r w:rsidRPr="00EB4DEF">
        <w:rPr>
          <w:rFonts w:eastAsia="Times New Roman" w:cs="Times New Roman"/>
          <w:lang w:eastAsia="en-GB"/>
        </w:rPr>
        <w:noBreakHyphen/>
        <w:t xml:space="preserve">awareness, and professional identity. Unit 2 broadened my awareness of globalisation, cultural competence, and inclusive </w:t>
      </w:r>
      <w:r w:rsidRPr="00EB4DEF">
        <w:rPr>
          <w:rFonts w:eastAsia="Times New Roman" w:cs="Times New Roman"/>
          <w:lang w:eastAsia="en-GB"/>
        </w:rPr>
        <w:lastRenderedPageBreak/>
        <w:t>practice. Unit 3 encouraged me to recognise opportunities through a growth mindset and proactive behaviour. Unit 4 reinforced the importance of wellbeing, resilience, and work–life balance.</w:t>
      </w:r>
    </w:p>
    <w:p w14:paraId="197991F0" w14:textId="77777777" w:rsidR="0044470D" w:rsidRPr="00EB4DEF" w:rsidRDefault="0044470D" w:rsidP="0044470D">
      <w:pPr>
        <w:spacing w:before="100" w:beforeAutospacing="1" w:after="100" w:afterAutospacing="1" w:line="240" w:lineRule="auto"/>
        <w:rPr>
          <w:rFonts w:eastAsia="Times New Roman" w:cs="Times New Roman"/>
          <w:lang w:eastAsia="en-GB"/>
        </w:rPr>
      </w:pPr>
      <w:r w:rsidRPr="00EB4DEF">
        <w:rPr>
          <w:rFonts w:eastAsia="Times New Roman" w:cs="Times New Roman"/>
          <w:lang w:eastAsia="en-GB"/>
        </w:rPr>
        <w:t>Overall, the module has enhanced my confidence, employability, and readiness for future leadership opportunities. The knowledge and reflective abilities developed will continue to guide my practice and support my commitment to lifelong learning and compassionate care.</w:t>
      </w:r>
    </w:p>
    <w:p w14:paraId="3B5CC3E7" w14:textId="77777777" w:rsidR="0044470D" w:rsidRPr="00984EB2" w:rsidRDefault="0044470D" w:rsidP="0044470D">
      <w:pPr>
        <w:spacing w:before="100" w:beforeAutospacing="1" w:after="100" w:afterAutospacing="1" w:line="240" w:lineRule="auto"/>
        <w:outlineLvl w:val="0"/>
        <w:rPr>
          <w:rFonts w:eastAsia="Times New Roman" w:cs="Times New Roman"/>
          <w:b/>
          <w:bCs/>
          <w:kern w:val="36"/>
          <w:sz w:val="32"/>
          <w:szCs w:val="32"/>
          <w:lang w:eastAsia="en-GB"/>
        </w:rPr>
      </w:pPr>
      <w:r w:rsidRPr="00984EB2">
        <w:rPr>
          <w:rFonts w:eastAsia="Times New Roman" w:cs="Times New Roman"/>
          <w:b/>
          <w:bCs/>
          <w:kern w:val="36"/>
          <w:sz w:val="32"/>
          <w:szCs w:val="32"/>
          <w:lang w:eastAsia="en-GB"/>
        </w:rPr>
        <w:t>References</w:t>
      </w:r>
    </w:p>
    <w:p w14:paraId="70D44ADC" w14:textId="77777777" w:rsidR="0044470D" w:rsidRPr="000A21E0" w:rsidRDefault="0044470D" w:rsidP="0044470D">
      <w:pPr>
        <w:spacing w:before="100" w:beforeAutospacing="1" w:after="100" w:afterAutospacing="1" w:line="240" w:lineRule="auto"/>
        <w:rPr>
          <w:rFonts w:eastAsia="Times New Roman" w:cs="Times New Roman"/>
          <w:lang w:eastAsia="en-GB"/>
        </w:rPr>
      </w:pPr>
      <w:proofErr w:type="spellStart"/>
      <w:r w:rsidRPr="000A21E0">
        <w:rPr>
          <w:rFonts w:eastAsia="Times New Roman" w:cs="Times New Roman"/>
          <w:lang w:eastAsia="en-GB"/>
        </w:rPr>
        <w:t>Ardichvili</w:t>
      </w:r>
      <w:proofErr w:type="spellEnd"/>
      <w:r w:rsidRPr="000A21E0">
        <w:rPr>
          <w:rFonts w:eastAsia="Times New Roman" w:cs="Times New Roman"/>
          <w:lang w:eastAsia="en-GB"/>
        </w:rPr>
        <w:t xml:space="preserve">, A., Cardozo, R. and Ray, S. (2003) 'A theory of entrepreneurial opportunity identification and development', </w:t>
      </w:r>
      <w:r w:rsidRPr="000A21E0">
        <w:rPr>
          <w:rFonts w:eastAsia="Times New Roman" w:cs="Times New Roman"/>
          <w:i/>
          <w:iCs/>
          <w:lang w:eastAsia="en-GB"/>
        </w:rPr>
        <w:t>Journal of Business Venturing</w:t>
      </w:r>
      <w:r w:rsidRPr="000A21E0">
        <w:rPr>
          <w:rFonts w:eastAsia="Times New Roman" w:cs="Times New Roman"/>
          <w:lang w:eastAsia="en-GB"/>
        </w:rPr>
        <w:t>, 18(1), pp. 105–123.</w:t>
      </w:r>
    </w:p>
    <w:p w14:paraId="1B48C0E0"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Betancourt, J.R., Green, A.R., Carrillo, J.E. and Park, E.R. (2003) 'Cultural competence and health care disparities: Key perspectives and trends', </w:t>
      </w:r>
      <w:r w:rsidRPr="000A21E0">
        <w:rPr>
          <w:rFonts w:eastAsia="Times New Roman" w:cs="Times New Roman"/>
          <w:i/>
          <w:iCs/>
          <w:lang w:eastAsia="en-GB"/>
        </w:rPr>
        <w:t>Health Affairs</w:t>
      </w:r>
      <w:r w:rsidRPr="000A21E0">
        <w:rPr>
          <w:rFonts w:eastAsia="Times New Roman" w:cs="Times New Roman"/>
          <w:lang w:eastAsia="en-GB"/>
        </w:rPr>
        <w:t>, 24(2), pp. 499–505.</w:t>
      </w:r>
    </w:p>
    <w:p w14:paraId="511C1B07"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Busch, C. (2020) </w:t>
      </w:r>
      <w:r w:rsidRPr="000A21E0">
        <w:rPr>
          <w:rFonts w:eastAsia="Times New Roman" w:cs="Times New Roman"/>
          <w:i/>
          <w:iCs/>
          <w:lang w:eastAsia="en-GB"/>
        </w:rPr>
        <w:t>The Serendipity Mindset: The Art and Science of Creating Good Luck</w:t>
      </w:r>
      <w:r w:rsidRPr="000A21E0">
        <w:rPr>
          <w:rFonts w:eastAsia="Times New Roman" w:cs="Times New Roman"/>
          <w:lang w:eastAsia="en-GB"/>
        </w:rPr>
        <w:t>. London: Penguin.</w:t>
      </w:r>
    </w:p>
    <w:p w14:paraId="3E45CA96"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Dweck, C.S. (2006) </w:t>
      </w:r>
      <w:r w:rsidRPr="000A21E0">
        <w:rPr>
          <w:rFonts w:eastAsia="Times New Roman" w:cs="Times New Roman"/>
          <w:i/>
          <w:iCs/>
          <w:lang w:eastAsia="en-GB"/>
        </w:rPr>
        <w:t>Mindset: The New Psychology of Success</w:t>
      </w:r>
      <w:r w:rsidRPr="000A21E0">
        <w:rPr>
          <w:rFonts w:eastAsia="Times New Roman" w:cs="Times New Roman"/>
          <w:lang w:eastAsia="en-GB"/>
        </w:rPr>
        <w:t>. New York: Random House.</w:t>
      </w:r>
    </w:p>
    <w:p w14:paraId="1679BDAD"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Giddens, A. (1990) </w:t>
      </w:r>
      <w:r w:rsidRPr="000A21E0">
        <w:rPr>
          <w:rFonts w:eastAsia="Times New Roman" w:cs="Times New Roman"/>
          <w:i/>
          <w:iCs/>
          <w:lang w:eastAsia="en-GB"/>
        </w:rPr>
        <w:t>The Consequences of Modernity</w:t>
      </w:r>
      <w:r w:rsidRPr="000A21E0">
        <w:rPr>
          <w:rFonts w:eastAsia="Times New Roman" w:cs="Times New Roman"/>
          <w:lang w:eastAsia="en-GB"/>
        </w:rPr>
        <w:t>. Cambridge: Polity Press.</w:t>
      </w:r>
    </w:p>
    <w:p w14:paraId="576E5FE0"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Goleman, D. (1998) </w:t>
      </w:r>
      <w:r w:rsidRPr="000A21E0">
        <w:rPr>
          <w:rFonts w:eastAsia="Times New Roman" w:cs="Times New Roman"/>
          <w:i/>
          <w:iCs/>
          <w:lang w:eastAsia="en-GB"/>
        </w:rPr>
        <w:t>Working with Emotional Intelligence</w:t>
      </w:r>
      <w:r w:rsidRPr="000A21E0">
        <w:rPr>
          <w:rFonts w:eastAsia="Times New Roman" w:cs="Times New Roman"/>
          <w:lang w:eastAsia="en-GB"/>
        </w:rPr>
        <w:t>. New York: Bantam Books.</w:t>
      </w:r>
    </w:p>
    <w:p w14:paraId="4060FFE6"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Maslach, C. and Leiter, M.P. (2016) 'Understanding the burnout experience: Recent research and its implications for psychiatry', </w:t>
      </w:r>
      <w:r w:rsidRPr="000A21E0">
        <w:rPr>
          <w:rFonts w:eastAsia="Times New Roman" w:cs="Times New Roman"/>
          <w:i/>
          <w:iCs/>
          <w:lang w:eastAsia="en-GB"/>
        </w:rPr>
        <w:t>World Psychiatry</w:t>
      </w:r>
      <w:r w:rsidRPr="000A21E0">
        <w:rPr>
          <w:rFonts w:eastAsia="Times New Roman" w:cs="Times New Roman"/>
          <w:lang w:eastAsia="en-GB"/>
        </w:rPr>
        <w:t>, 15(2), pp. 103–111.</w:t>
      </w:r>
    </w:p>
    <w:p w14:paraId="6445E721"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Montoya, P. and Vandehey, T. (2009) </w:t>
      </w:r>
      <w:r w:rsidRPr="000A21E0">
        <w:rPr>
          <w:rFonts w:eastAsia="Times New Roman" w:cs="Times New Roman"/>
          <w:i/>
          <w:iCs/>
          <w:lang w:eastAsia="en-GB"/>
        </w:rPr>
        <w:t>The Brand Called You: Make Your Business Stand Out in a Crowded Marketplace</w:t>
      </w:r>
      <w:r w:rsidRPr="000A21E0">
        <w:rPr>
          <w:rFonts w:eastAsia="Times New Roman" w:cs="Times New Roman"/>
          <w:lang w:eastAsia="en-GB"/>
        </w:rPr>
        <w:t>. New York: McGraw-Hill.</w:t>
      </w:r>
    </w:p>
    <w:p w14:paraId="68C0CF40"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Peters, T. (1997) 'The Brand Called You', </w:t>
      </w:r>
      <w:r w:rsidRPr="000A21E0">
        <w:rPr>
          <w:rFonts w:eastAsia="Times New Roman" w:cs="Times New Roman"/>
          <w:i/>
          <w:iCs/>
          <w:lang w:eastAsia="en-GB"/>
        </w:rPr>
        <w:t>Fast Company</w:t>
      </w:r>
      <w:r w:rsidRPr="000A21E0">
        <w:rPr>
          <w:rFonts w:eastAsia="Times New Roman" w:cs="Times New Roman"/>
          <w:lang w:eastAsia="en-GB"/>
        </w:rPr>
        <w:t>, 10, pp. 83–90.</w:t>
      </w:r>
    </w:p>
    <w:p w14:paraId="47DBCA87"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Seligman, M.E.P. (2011) </w:t>
      </w:r>
      <w:r w:rsidRPr="000A21E0">
        <w:rPr>
          <w:rFonts w:eastAsia="Times New Roman" w:cs="Times New Roman"/>
          <w:i/>
          <w:iCs/>
          <w:lang w:eastAsia="en-GB"/>
        </w:rPr>
        <w:t>Flourish: A Visionary New Understanding of Happiness and Well-being</w:t>
      </w:r>
      <w:r w:rsidRPr="000A21E0">
        <w:rPr>
          <w:rFonts w:eastAsia="Times New Roman" w:cs="Times New Roman"/>
          <w:lang w:eastAsia="en-GB"/>
        </w:rPr>
        <w:t>. New York: Free Press.</w:t>
      </w:r>
    </w:p>
    <w:p w14:paraId="55F575AF" w14:textId="77777777" w:rsidR="0044470D" w:rsidRPr="000A21E0" w:rsidRDefault="0044470D" w:rsidP="0044470D">
      <w:pPr>
        <w:spacing w:before="100" w:beforeAutospacing="1" w:after="100" w:afterAutospacing="1" w:line="240" w:lineRule="auto"/>
        <w:rPr>
          <w:rFonts w:eastAsia="Times New Roman" w:cs="Times New Roman"/>
          <w:lang w:eastAsia="en-GB"/>
        </w:rPr>
      </w:pPr>
      <w:r w:rsidRPr="000A21E0">
        <w:rPr>
          <w:rFonts w:eastAsia="Times New Roman" w:cs="Times New Roman"/>
          <w:lang w:eastAsia="en-GB"/>
        </w:rPr>
        <w:t xml:space="preserve">Skills for Care (2022) </w:t>
      </w:r>
      <w:r w:rsidRPr="000A21E0">
        <w:rPr>
          <w:rFonts w:eastAsia="Times New Roman" w:cs="Times New Roman"/>
          <w:i/>
          <w:iCs/>
          <w:lang w:eastAsia="en-GB"/>
        </w:rPr>
        <w:t>Person-centred approaches</w:t>
      </w:r>
      <w:r w:rsidRPr="000A21E0">
        <w:rPr>
          <w:rFonts w:eastAsia="Times New Roman" w:cs="Times New Roman"/>
          <w:lang w:eastAsia="en-GB"/>
        </w:rPr>
        <w:t xml:space="preserve">. Leeds: Skills for Care. Available at: </w:t>
      </w:r>
      <w:hyperlink r:id="rId16" w:history="1">
        <w:r w:rsidRPr="000A21E0">
          <w:rPr>
            <w:rFonts w:eastAsia="Times New Roman" w:cs="Times New Roman"/>
            <w:color w:val="0000FF"/>
            <w:u w:val="single"/>
            <w:lang w:eastAsia="en-GB"/>
          </w:rPr>
          <w:t>https://www.skillsforcare.org.uk</w:t>
        </w:r>
      </w:hyperlink>
      <w:r w:rsidRPr="000A21E0">
        <w:rPr>
          <w:rFonts w:eastAsia="Times New Roman" w:cs="Times New Roman"/>
          <w:lang w:eastAsia="en-GB"/>
        </w:rPr>
        <w:t xml:space="preserve"> (Accessed: 22 July 2026).</w:t>
      </w:r>
    </w:p>
    <w:p w14:paraId="44B08FD8" w14:textId="77777777" w:rsidR="0044470D" w:rsidRDefault="0044470D" w:rsidP="0044470D"/>
    <w:p w14:paraId="448B2012" w14:textId="77777777" w:rsidR="0044470D" w:rsidRDefault="0044470D" w:rsidP="0044470D"/>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3C6DB" w14:textId="77777777" w:rsidR="00342AC8" w:rsidRDefault="00342AC8" w:rsidP="003E4ECF">
      <w:pPr>
        <w:spacing w:after="0" w:line="240" w:lineRule="auto"/>
      </w:pPr>
      <w:r>
        <w:separator/>
      </w:r>
    </w:p>
  </w:endnote>
  <w:endnote w:type="continuationSeparator" w:id="0">
    <w:p w14:paraId="7FC7D303" w14:textId="77777777" w:rsidR="00342AC8" w:rsidRDefault="00342AC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C672B" w14:textId="77777777" w:rsidR="00342AC8" w:rsidRDefault="00342AC8" w:rsidP="003E4ECF">
      <w:pPr>
        <w:spacing w:after="0" w:line="240" w:lineRule="auto"/>
      </w:pPr>
      <w:r>
        <w:separator/>
      </w:r>
    </w:p>
  </w:footnote>
  <w:footnote w:type="continuationSeparator" w:id="0">
    <w:p w14:paraId="048B914D" w14:textId="77777777" w:rsidR="00342AC8" w:rsidRDefault="00342AC8"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B5B33"/>
    <w:rsid w:val="000E7006"/>
    <w:rsid w:val="001D7C03"/>
    <w:rsid w:val="00216C85"/>
    <w:rsid w:val="0026393A"/>
    <w:rsid w:val="00273EDD"/>
    <w:rsid w:val="002B1F06"/>
    <w:rsid w:val="002C1776"/>
    <w:rsid w:val="002C3965"/>
    <w:rsid w:val="00321871"/>
    <w:rsid w:val="00321C4C"/>
    <w:rsid w:val="00342AC8"/>
    <w:rsid w:val="00361B98"/>
    <w:rsid w:val="003834B3"/>
    <w:rsid w:val="00386BEA"/>
    <w:rsid w:val="00392BBC"/>
    <w:rsid w:val="003E4ECF"/>
    <w:rsid w:val="00435415"/>
    <w:rsid w:val="0044470D"/>
    <w:rsid w:val="004A567E"/>
    <w:rsid w:val="004A736E"/>
    <w:rsid w:val="00582823"/>
    <w:rsid w:val="0058677A"/>
    <w:rsid w:val="005A040C"/>
    <w:rsid w:val="00617C0B"/>
    <w:rsid w:val="00637EEB"/>
    <w:rsid w:val="0068021C"/>
    <w:rsid w:val="006833C5"/>
    <w:rsid w:val="006925AA"/>
    <w:rsid w:val="006A7556"/>
    <w:rsid w:val="006C1FC0"/>
    <w:rsid w:val="006D5028"/>
    <w:rsid w:val="00725177"/>
    <w:rsid w:val="0076195F"/>
    <w:rsid w:val="00785F5D"/>
    <w:rsid w:val="00803566"/>
    <w:rsid w:val="00806953"/>
    <w:rsid w:val="00814A9E"/>
    <w:rsid w:val="0090040D"/>
    <w:rsid w:val="009177F4"/>
    <w:rsid w:val="009328C8"/>
    <w:rsid w:val="009D052C"/>
    <w:rsid w:val="009D1D1E"/>
    <w:rsid w:val="00A035FD"/>
    <w:rsid w:val="00A82D51"/>
    <w:rsid w:val="00B8304B"/>
    <w:rsid w:val="00B87E75"/>
    <w:rsid w:val="00BC63E2"/>
    <w:rsid w:val="00CC0F3E"/>
    <w:rsid w:val="00CD33A8"/>
    <w:rsid w:val="00CD6CAC"/>
    <w:rsid w:val="00D20114"/>
    <w:rsid w:val="00E20F3D"/>
    <w:rsid w:val="00E569FD"/>
    <w:rsid w:val="00E620E7"/>
    <w:rsid w:val="00F66E1B"/>
    <w:rsid w:val="00FB7B14"/>
    <w:rsid w:val="00FD37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skillsforcare.org.u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sylvie kouao</cp:lastModifiedBy>
  <cp:revision>2</cp:revision>
  <dcterms:created xsi:type="dcterms:W3CDTF">2026-07-24T22:59:00Z</dcterms:created>
  <dcterms:modified xsi:type="dcterms:W3CDTF">2026-07-24T22:59:00Z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d6933d16-cf85-44c0-8d17-3953b65113af</vt:lpwstr>
  </property>
</Properties>
</file>