
<file path=[Content_Types].xml><?xml version="1.0" encoding="utf-8"?>
<Types xmlns="http://schemas.openxmlformats.org/package/2006/content-types">
  <Default Extension="jpe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rsidR="00B14C50" w:rsidRDefault="00B14C50" w:rsidP="00B14C50">
      <w:pPr>
        <w:shd w:val="clear" w:color="auto" w:fill="FFFFFF"/>
        <w:spacing w:after="300" w:line="240" w:lineRule="auto"/>
        <w:outlineLvl w:val="0"/>
        <w:rPr>
          <w:rFonts w:ascii="Arial" w:eastAsia="Times New Roman" w:hAnsi="Arial" w:cs="Arial"/>
          <w:color w:val="000000"/>
          <w:kern w:val="36"/>
          <w:sz w:val="54"/>
          <w:szCs w:val="54"/>
          <w:lang w:eastAsia="en-GB"/>
        </w:rPr>
      </w:pPr>
      <w:r>
        <w:fldChar w:fldCharType="begin"/>
      </w:r>
      <w:r>
        <w:instrText xml:space="preserve"> HYPERLINK "https://www.peoplemanagement.co.uk/experts/legal/what-the-law-says-on-european-works-councils" </w:instrText>
      </w:r>
      <w:r>
        <w:fldChar w:fldCharType="separate"/>
      </w:r>
      <w:r>
        <w:rPr>
          <w:rStyle w:val="Hyperlink"/>
        </w:rPr>
        <w:t>https://www.peoplemanagement.co.uk/experts/legal/what-the-law-says-on-european-works-councils</w:t>
      </w:r>
      <w:r>
        <w:fldChar w:fldCharType="end"/>
      </w:r>
    </w:p>
    <w:p w:rsidR="00B14C50" w:rsidRPr="00B14C50" w:rsidRDefault="00B14C50" w:rsidP="00B14C50">
      <w:pPr>
        <w:shd w:val="clear" w:color="auto" w:fill="FFFFFF"/>
        <w:spacing w:after="300" w:line="240" w:lineRule="auto"/>
        <w:outlineLvl w:val="0"/>
        <w:rPr>
          <w:rFonts w:ascii="Arial" w:eastAsia="Times New Roman" w:hAnsi="Arial" w:cs="Arial"/>
          <w:color w:val="000000"/>
          <w:kern w:val="36"/>
          <w:sz w:val="54"/>
          <w:szCs w:val="54"/>
          <w:lang w:eastAsia="en-GB"/>
        </w:rPr>
      </w:pPr>
      <w:bookmarkStart w:id="0" w:name="_GoBack"/>
      <w:bookmarkEnd w:id="0"/>
      <w:r w:rsidRPr="00B14C50">
        <w:rPr>
          <w:rFonts w:ascii="Arial" w:eastAsia="Times New Roman" w:hAnsi="Arial" w:cs="Arial"/>
          <w:color w:val="000000"/>
          <w:kern w:val="36"/>
          <w:sz w:val="54"/>
          <w:szCs w:val="54"/>
          <w:lang w:eastAsia="en-GB"/>
        </w:rPr>
        <w:t>Trade Unions &amp; Works Councils</w:t>
      </w:r>
    </w:p>
    <w:p w:rsidR="00B14C50" w:rsidRPr="00B14C50" w:rsidRDefault="00B14C50" w:rsidP="00B14C50">
      <w:pPr>
        <w:shd w:val="clear" w:color="auto" w:fill="FFFFFF"/>
        <w:spacing w:after="450" w:line="240" w:lineRule="auto"/>
        <w:outlineLvl w:val="1"/>
        <w:rPr>
          <w:rFonts w:ascii="Arial" w:eastAsia="Times New Roman" w:hAnsi="Arial" w:cs="Arial"/>
          <w:color w:val="E00000"/>
          <w:sz w:val="36"/>
          <w:szCs w:val="36"/>
          <w:lang w:eastAsia="en-GB"/>
        </w:rPr>
      </w:pPr>
      <w:r w:rsidRPr="00B14C50">
        <w:rPr>
          <w:rFonts w:ascii="Arial" w:eastAsia="Times New Roman" w:hAnsi="Arial" w:cs="Arial"/>
          <w:color w:val="E00000"/>
          <w:sz w:val="36"/>
          <w:szCs w:val="36"/>
          <w:lang w:eastAsia="en-GB"/>
        </w:rPr>
        <w:t>Our specialist Trade Union and Collective group advises employers on all aspects of their industrial relations, specialising in advising on managing their relationships with trade unions, European Work Councils and other collective issues. Our team is made up of lawyers recognised as leaders in the field and is headed by a former trade union official.</w:t>
      </w:r>
    </w:p>
    <w:p w:rsidR="00B14C50" w:rsidRPr="00B14C50" w:rsidRDefault="00B14C50" w:rsidP="00B14C50">
      <w:pPr>
        <w:shd w:val="clear" w:color="auto" w:fill="FFFFFF"/>
        <w:spacing w:after="300" w:line="240" w:lineRule="auto"/>
        <w:rPr>
          <w:rFonts w:ascii="Arial" w:eastAsia="Times New Roman" w:hAnsi="Arial" w:cs="Arial"/>
          <w:color w:val="626262"/>
          <w:sz w:val="21"/>
          <w:szCs w:val="21"/>
          <w:lang w:eastAsia="en-GB"/>
        </w:rPr>
      </w:pPr>
      <w:r w:rsidRPr="00B14C50">
        <w:rPr>
          <w:rFonts w:ascii="Arial" w:eastAsia="Times New Roman" w:hAnsi="Arial" w:cs="Arial"/>
          <w:color w:val="626262"/>
          <w:sz w:val="21"/>
          <w:szCs w:val="21"/>
          <w:lang w:eastAsia="en-GB"/>
        </w:rPr>
        <w:t xml:space="preserve">We work with employers in many different sectors but one thing that we always do for them is make sure our advice is tailored to their needs, </w:t>
      </w:r>
      <w:proofErr w:type="gramStart"/>
      <w:r w:rsidRPr="00B14C50">
        <w:rPr>
          <w:rFonts w:ascii="Arial" w:eastAsia="Times New Roman" w:hAnsi="Arial" w:cs="Arial"/>
          <w:color w:val="626262"/>
          <w:sz w:val="21"/>
          <w:szCs w:val="21"/>
          <w:lang w:eastAsia="en-GB"/>
        </w:rPr>
        <w:t>taking into account</w:t>
      </w:r>
      <w:proofErr w:type="gramEnd"/>
      <w:r w:rsidRPr="00B14C50">
        <w:rPr>
          <w:rFonts w:ascii="Arial" w:eastAsia="Times New Roman" w:hAnsi="Arial" w:cs="Arial"/>
          <w:color w:val="626262"/>
          <w:sz w:val="21"/>
          <w:szCs w:val="21"/>
          <w:lang w:eastAsia="en-GB"/>
        </w:rPr>
        <w:t xml:space="preserve"> not only the type of workforce they have but also the relationship they have with their union or any European works council they have. Advising in this area is not just a question of applying black letter law, it’s about having the experience of dealing with such issues before and recognising what works and what doesn’t.</w:t>
      </w:r>
    </w:p>
    <w:p w:rsidR="00B14C50" w:rsidRPr="00B14C50" w:rsidRDefault="00B14C50" w:rsidP="00B14C50">
      <w:pPr>
        <w:shd w:val="clear" w:color="auto" w:fill="FFFFFF"/>
        <w:spacing w:after="300" w:line="240" w:lineRule="auto"/>
        <w:rPr>
          <w:rFonts w:ascii="Arial" w:eastAsia="Times New Roman" w:hAnsi="Arial" w:cs="Arial"/>
          <w:color w:val="626262"/>
          <w:sz w:val="21"/>
          <w:szCs w:val="21"/>
          <w:lang w:eastAsia="en-GB"/>
        </w:rPr>
      </w:pPr>
      <w:r w:rsidRPr="00B14C50">
        <w:rPr>
          <w:rFonts w:ascii="Arial" w:eastAsia="Times New Roman" w:hAnsi="Arial" w:cs="Arial"/>
          <w:color w:val="626262"/>
          <w:sz w:val="21"/>
          <w:szCs w:val="21"/>
          <w:lang w:eastAsia="en-GB"/>
        </w:rPr>
        <w:t>Issues we advise employers on include:</w:t>
      </w:r>
    </w:p>
    <w:p w:rsidR="00B14C50" w:rsidRPr="00B14C50" w:rsidRDefault="00B14C50" w:rsidP="00B14C50">
      <w:pPr>
        <w:numPr>
          <w:ilvl w:val="0"/>
          <w:numId w:val="1"/>
        </w:numPr>
        <w:shd w:val="clear" w:color="auto" w:fill="FFFFFF"/>
        <w:spacing w:before="100" w:beforeAutospacing="1" w:after="150" w:line="240" w:lineRule="auto"/>
        <w:ind w:left="0"/>
        <w:rPr>
          <w:rFonts w:ascii="Arial" w:eastAsia="Times New Roman" w:hAnsi="Arial" w:cs="Arial"/>
          <w:color w:val="626262"/>
          <w:sz w:val="21"/>
          <w:szCs w:val="21"/>
          <w:lang w:eastAsia="en-GB"/>
        </w:rPr>
      </w:pPr>
      <w:r w:rsidRPr="00B14C50">
        <w:rPr>
          <w:rFonts w:ascii="Arial" w:eastAsia="Times New Roman" w:hAnsi="Arial" w:cs="Arial"/>
          <w:color w:val="626262"/>
          <w:sz w:val="21"/>
          <w:szCs w:val="21"/>
          <w:lang w:eastAsia="en-GB"/>
        </w:rPr>
        <w:t>industrial relations strategy</w:t>
      </w:r>
    </w:p>
    <w:p w:rsidR="00B14C50" w:rsidRPr="00B14C50" w:rsidRDefault="00B14C50" w:rsidP="00B14C50">
      <w:pPr>
        <w:numPr>
          <w:ilvl w:val="0"/>
          <w:numId w:val="1"/>
        </w:numPr>
        <w:shd w:val="clear" w:color="auto" w:fill="FFFFFF"/>
        <w:spacing w:before="100" w:beforeAutospacing="1" w:after="150" w:line="240" w:lineRule="auto"/>
        <w:ind w:left="0"/>
        <w:rPr>
          <w:rFonts w:ascii="Arial" w:eastAsia="Times New Roman" w:hAnsi="Arial" w:cs="Arial"/>
          <w:color w:val="626262"/>
          <w:sz w:val="21"/>
          <w:szCs w:val="21"/>
          <w:lang w:eastAsia="en-GB"/>
        </w:rPr>
      </w:pPr>
      <w:r w:rsidRPr="00B14C50">
        <w:rPr>
          <w:rFonts w:ascii="Arial" w:eastAsia="Times New Roman" w:hAnsi="Arial" w:cs="Arial"/>
          <w:color w:val="626262"/>
          <w:sz w:val="21"/>
          <w:szCs w:val="21"/>
          <w:lang w:eastAsia="en-GB"/>
        </w:rPr>
        <w:t>dealing with union recognition requests</w:t>
      </w:r>
    </w:p>
    <w:p w:rsidR="00B14C50" w:rsidRPr="00B14C50" w:rsidRDefault="00B14C50" w:rsidP="00B14C50">
      <w:pPr>
        <w:numPr>
          <w:ilvl w:val="0"/>
          <w:numId w:val="1"/>
        </w:numPr>
        <w:shd w:val="clear" w:color="auto" w:fill="FFFFFF"/>
        <w:spacing w:before="100" w:beforeAutospacing="1" w:after="150" w:line="240" w:lineRule="auto"/>
        <w:ind w:left="0"/>
        <w:rPr>
          <w:rFonts w:ascii="Arial" w:eastAsia="Times New Roman" w:hAnsi="Arial" w:cs="Arial"/>
          <w:color w:val="626262"/>
          <w:sz w:val="21"/>
          <w:szCs w:val="21"/>
          <w:lang w:eastAsia="en-GB"/>
        </w:rPr>
      </w:pPr>
      <w:r w:rsidRPr="00B14C50">
        <w:rPr>
          <w:rFonts w:ascii="Arial" w:eastAsia="Times New Roman" w:hAnsi="Arial" w:cs="Arial"/>
          <w:color w:val="626262"/>
          <w:sz w:val="21"/>
          <w:szCs w:val="21"/>
          <w:lang w:eastAsia="en-GB"/>
        </w:rPr>
        <w:t>avoiding and dealing with industrial action including picketing</w:t>
      </w:r>
    </w:p>
    <w:p w:rsidR="00B14C50" w:rsidRPr="00B14C50" w:rsidRDefault="00B14C50" w:rsidP="00B14C50">
      <w:pPr>
        <w:numPr>
          <w:ilvl w:val="0"/>
          <w:numId w:val="1"/>
        </w:numPr>
        <w:shd w:val="clear" w:color="auto" w:fill="FFFFFF"/>
        <w:spacing w:before="100" w:beforeAutospacing="1" w:after="150" w:line="240" w:lineRule="auto"/>
        <w:ind w:left="0"/>
        <w:rPr>
          <w:rFonts w:ascii="Arial" w:eastAsia="Times New Roman" w:hAnsi="Arial" w:cs="Arial"/>
          <w:color w:val="626262"/>
          <w:sz w:val="21"/>
          <w:szCs w:val="21"/>
          <w:lang w:eastAsia="en-GB"/>
        </w:rPr>
      </w:pPr>
      <w:r w:rsidRPr="00B14C50">
        <w:rPr>
          <w:rFonts w:ascii="Arial" w:eastAsia="Times New Roman" w:hAnsi="Arial" w:cs="Arial"/>
          <w:color w:val="626262"/>
          <w:sz w:val="21"/>
          <w:szCs w:val="21"/>
          <w:lang w:eastAsia="en-GB"/>
        </w:rPr>
        <w:t>dealing with other leverage tactics increasingly being used by unions</w:t>
      </w:r>
    </w:p>
    <w:p w:rsidR="00B14C50" w:rsidRPr="00B14C50" w:rsidRDefault="00B14C50" w:rsidP="00B14C50">
      <w:pPr>
        <w:numPr>
          <w:ilvl w:val="0"/>
          <w:numId w:val="1"/>
        </w:numPr>
        <w:shd w:val="clear" w:color="auto" w:fill="FFFFFF"/>
        <w:spacing w:before="100" w:beforeAutospacing="1" w:after="150" w:line="240" w:lineRule="auto"/>
        <w:ind w:left="0"/>
        <w:rPr>
          <w:rFonts w:ascii="Arial" w:eastAsia="Times New Roman" w:hAnsi="Arial" w:cs="Arial"/>
          <w:color w:val="626262"/>
          <w:sz w:val="21"/>
          <w:szCs w:val="21"/>
          <w:lang w:eastAsia="en-GB"/>
        </w:rPr>
      </w:pPr>
      <w:r w:rsidRPr="00B14C50">
        <w:rPr>
          <w:rFonts w:ascii="Arial" w:eastAsia="Times New Roman" w:hAnsi="Arial" w:cs="Arial"/>
          <w:color w:val="626262"/>
          <w:sz w:val="21"/>
          <w:szCs w:val="21"/>
          <w:lang w:eastAsia="en-GB"/>
        </w:rPr>
        <w:t>demonstrations, sit ins and protests; the ability to withhold pay and benefits</w:t>
      </w:r>
    </w:p>
    <w:p w:rsidR="00B14C50" w:rsidRPr="00B14C50" w:rsidRDefault="00B14C50" w:rsidP="00B14C50">
      <w:pPr>
        <w:numPr>
          <w:ilvl w:val="0"/>
          <w:numId w:val="1"/>
        </w:numPr>
        <w:shd w:val="clear" w:color="auto" w:fill="FFFFFF"/>
        <w:spacing w:before="100" w:beforeAutospacing="1" w:after="150" w:line="240" w:lineRule="auto"/>
        <w:ind w:left="0"/>
        <w:rPr>
          <w:rFonts w:ascii="Arial" w:eastAsia="Times New Roman" w:hAnsi="Arial" w:cs="Arial"/>
          <w:color w:val="626262"/>
          <w:sz w:val="21"/>
          <w:szCs w:val="21"/>
          <w:lang w:eastAsia="en-GB"/>
        </w:rPr>
      </w:pPr>
      <w:r w:rsidRPr="00B14C50">
        <w:rPr>
          <w:rFonts w:ascii="Arial" w:eastAsia="Times New Roman" w:hAnsi="Arial" w:cs="Arial"/>
          <w:color w:val="626262"/>
          <w:sz w:val="21"/>
          <w:szCs w:val="21"/>
          <w:lang w:eastAsia="en-GB"/>
        </w:rPr>
        <w:t>applications for injunctions</w:t>
      </w:r>
    </w:p>
    <w:p w:rsidR="00B14C50" w:rsidRPr="00B14C50" w:rsidRDefault="00B14C50" w:rsidP="00B14C50">
      <w:pPr>
        <w:numPr>
          <w:ilvl w:val="0"/>
          <w:numId w:val="1"/>
        </w:numPr>
        <w:shd w:val="clear" w:color="auto" w:fill="FFFFFF"/>
        <w:spacing w:before="100" w:beforeAutospacing="1" w:after="150" w:line="240" w:lineRule="auto"/>
        <w:ind w:left="0"/>
        <w:rPr>
          <w:rFonts w:ascii="Arial" w:eastAsia="Times New Roman" w:hAnsi="Arial" w:cs="Arial"/>
          <w:color w:val="626262"/>
          <w:sz w:val="21"/>
          <w:szCs w:val="21"/>
          <w:lang w:eastAsia="en-GB"/>
        </w:rPr>
      </w:pPr>
      <w:r w:rsidRPr="00B14C50">
        <w:rPr>
          <w:rFonts w:ascii="Arial" w:eastAsia="Times New Roman" w:hAnsi="Arial" w:cs="Arial"/>
          <w:color w:val="626262"/>
          <w:sz w:val="21"/>
          <w:szCs w:val="21"/>
          <w:lang w:eastAsia="en-GB"/>
        </w:rPr>
        <w:t>defending claims by trade union representatives of detrimental treatment and dismissal on the grounds of their status and involvement with the union</w:t>
      </w:r>
    </w:p>
    <w:p w:rsidR="00B14C50" w:rsidRPr="00B14C50" w:rsidRDefault="00B14C50" w:rsidP="00B14C50">
      <w:pPr>
        <w:numPr>
          <w:ilvl w:val="0"/>
          <w:numId w:val="1"/>
        </w:numPr>
        <w:shd w:val="clear" w:color="auto" w:fill="FFFFFF"/>
        <w:spacing w:before="100" w:beforeAutospacing="1" w:after="150" w:line="240" w:lineRule="auto"/>
        <w:ind w:left="0"/>
        <w:rPr>
          <w:rFonts w:ascii="Arial" w:eastAsia="Times New Roman" w:hAnsi="Arial" w:cs="Arial"/>
          <w:color w:val="626262"/>
          <w:sz w:val="21"/>
          <w:szCs w:val="21"/>
          <w:lang w:eastAsia="en-GB"/>
        </w:rPr>
      </w:pPr>
      <w:r w:rsidRPr="00B14C50">
        <w:rPr>
          <w:rFonts w:ascii="Arial" w:eastAsia="Times New Roman" w:hAnsi="Arial" w:cs="Arial"/>
          <w:color w:val="626262"/>
          <w:sz w:val="21"/>
          <w:szCs w:val="21"/>
          <w:lang w:eastAsia="en-GB"/>
        </w:rPr>
        <w:t>dealing with unwanted union requests for confidential information; drafting and amending collective agreements</w:t>
      </w:r>
    </w:p>
    <w:p w:rsidR="00B14C50" w:rsidRPr="00B14C50" w:rsidRDefault="00B14C50" w:rsidP="00B14C50">
      <w:pPr>
        <w:numPr>
          <w:ilvl w:val="0"/>
          <w:numId w:val="1"/>
        </w:numPr>
        <w:shd w:val="clear" w:color="auto" w:fill="FFFFFF"/>
        <w:spacing w:before="100" w:beforeAutospacing="1" w:after="150" w:line="240" w:lineRule="auto"/>
        <w:ind w:left="0"/>
        <w:rPr>
          <w:rFonts w:ascii="Arial" w:eastAsia="Times New Roman" w:hAnsi="Arial" w:cs="Arial"/>
          <w:color w:val="626262"/>
          <w:sz w:val="21"/>
          <w:szCs w:val="21"/>
          <w:lang w:eastAsia="en-GB"/>
        </w:rPr>
      </w:pPr>
      <w:r w:rsidRPr="00B14C50">
        <w:rPr>
          <w:rFonts w:ascii="Arial" w:eastAsia="Times New Roman" w:hAnsi="Arial" w:cs="Arial"/>
          <w:color w:val="626262"/>
          <w:sz w:val="21"/>
          <w:szCs w:val="21"/>
          <w:lang w:eastAsia="en-GB"/>
        </w:rPr>
        <w:t>defending claims of inducing employees to withdraw from having their terms determined by collective bargaining</w:t>
      </w:r>
    </w:p>
    <w:p w:rsidR="00B14C50" w:rsidRPr="00B14C50" w:rsidRDefault="00B14C50" w:rsidP="00B14C50">
      <w:pPr>
        <w:numPr>
          <w:ilvl w:val="0"/>
          <w:numId w:val="1"/>
        </w:numPr>
        <w:shd w:val="clear" w:color="auto" w:fill="FFFFFF"/>
        <w:spacing w:before="100" w:beforeAutospacing="1" w:after="150" w:line="240" w:lineRule="auto"/>
        <w:ind w:left="0"/>
        <w:rPr>
          <w:rFonts w:ascii="Arial" w:eastAsia="Times New Roman" w:hAnsi="Arial" w:cs="Arial"/>
          <w:color w:val="626262"/>
          <w:sz w:val="21"/>
          <w:szCs w:val="21"/>
          <w:lang w:eastAsia="en-GB"/>
        </w:rPr>
      </w:pPr>
      <w:r w:rsidRPr="00B14C50">
        <w:rPr>
          <w:rFonts w:ascii="Arial" w:eastAsia="Times New Roman" w:hAnsi="Arial" w:cs="Arial"/>
          <w:color w:val="626262"/>
          <w:sz w:val="21"/>
          <w:szCs w:val="21"/>
          <w:lang w:eastAsia="en-GB"/>
        </w:rPr>
        <w:t>establishing European and National Works Councils (including working with members of our international alliance in relation to the same when necessary) and</w:t>
      </w:r>
    </w:p>
    <w:p w:rsidR="00B14C50" w:rsidRPr="00B14C50" w:rsidRDefault="00B14C50" w:rsidP="00B14C50">
      <w:pPr>
        <w:numPr>
          <w:ilvl w:val="0"/>
          <w:numId w:val="1"/>
        </w:numPr>
        <w:shd w:val="clear" w:color="auto" w:fill="FFFFFF"/>
        <w:spacing w:before="100" w:beforeAutospacing="1" w:after="150" w:line="240" w:lineRule="auto"/>
        <w:ind w:left="0"/>
        <w:rPr>
          <w:rFonts w:ascii="Arial" w:eastAsia="Times New Roman" w:hAnsi="Arial" w:cs="Arial"/>
          <w:color w:val="626262"/>
          <w:sz w:val="21"/>
          <w:szCs w:val="21"/>
          <w:lang w:eastAsia="en-GB"/>
        </w:rPr>
      </w:pPr>
      <w:r w:rsidRPr="00B14C50">
        <w:rPr>
          <w:rFonts w:ascii="Arial" w:eastAsia="Times New Roman" w:hAnsi="Arial" w:cs="Arial"/>
          <w:color w:val="626262"/>
          <w:sz w:val="21"/>
          <w:szCs w:val="21"/>
          <w:lang w:eastAsia="en-GB"/>
        </w:rPr>
        <w:t>the management of all stages of the process to establish a European Works Council</w:t>
      </w:r>
    </w:p>
    <w:p w:rsidR="00B14C50" w:rsidRPr="00B14C50" w:rsidRDefault="00B14C50" w:rsidP="00B14C50">
      <w:pPr>
        <w:numPr>
          <w:ilvl w:val="0"/>
          <w:numId w:val="1"/>
        </w:numPr>
        <w:shd w:val="clear" w:color="auto" w:fill="FFFFFF"/>
        <w:spacing w:before="100" w:beforeAutospacing="1" w:after="150" w:line="240" w:lineRule="auto"/>
        <w:ind w:left="0"/>
        <w:rPr>
          <w:rFonts w:ascii="Arial" w:eastAsia="Times New Roman" w:hAnsi="Arial" w:cs="Arial"/>
          <w:color w:val="626262"/>
          <w:sz w:val="21"/>
          <w:szCs w:val="21"/>
          <w:lang w:eastAsia="en-GB"/>
        </w:rPr>
      </w:pPr>
      <w:r w:rsidRPr="00B14C50">
        <w:rPr>
          <w:rFonts w:ascii="Arial" w:eastAsia="Times New Roman" w:hAnsi="Arial" w:cs="Arial"/>
          <w:color w:val="626262"/>
          <w:sz w:val="21"/>
          <w:szCs w:val="21"/>
          <w:lang w:eastAsia="en-GB"/>
        </w:rPr>
        <w:t>ongoing compliance with and the renegotiation of existing European Works Council agreements</w:t>
      </w:r>
    </w:p>
    <w:p w:rsidR="00B14C50" w:rsidRPr="00B14C50" w:rsidRDefault="00B14C50" w:rsidP="00B14C50">
      <w:pPr>
        <w:numPr>
          <w:ilvl w:val="0"/>
          <w:numId w:val="1"/>
        </w:numPr>
        <w:shd w:val="clear" w:color="auto" w:fill="FFFFFF"/>
        <w:spacing w:before="100" w:beforeAutospacing="1" w:after="150" w:line="240" w:lineRule="auto"/>
        <w:ind w:left="0"/>
        <w:rPr>
          <w:rFonts w:ascii="Arial" w:eastAsia="Times New Roman" w:hAnsi="Arial" w:cs="Arial"/>
          <w:color w:val="626262"/>
          <w:sz w:val="21"/>
          <w:szCs w:val="21"/>
          <w:lang w:eastAsia="en-GB"/>
        </w:rPr>
      </w:pPr>
      <w:r w:rsidRPr="00B14C50">
        <w:rPr>
          <w:rFonts w:ascii="Arial" w:eastAsia="Times New Roman" w:hAnsi="Arial" w:cs="Arial"/>
          <w:color w:val="626262"/>
          <w:sz w:val="21"/>
          <w:szCs w:val="21"/>
          <w:lang w:eastAsia="en-GB"/>
        </w:rPr>
        <w:t>strategic planning for the future impact of Brexit on European Works Councils</w:t>
      </w:r>
    </w:p>
    <w:p w:rsidR="00FC1558" w:rsidRDefault="00FC1558"/>
    <w:p w:rsidR="00B14C50" w:rsidRDefault="00B14C50"/>
    <w:p w:rsidR="00B14C50" w:rsidRPr="00B14C50" w:rsidRDefault="00B14C50" w:rsidP="00B14C50">
      <w:pPr>
        <w:shd w:val="clear" w:color="auto" w:fill="FFFFFF"/>
        <w:spacing w:before="100" w:beforeAutospacing="1" w:after="100" w:afterAutospacing="1" w:line="240" w:lineRule="auto"/>
        <w:outlineLvl w:val="0"/>
        <w:rPr>
          <w:rFonts w:ascii="Helvetica" w:eastAsia="Times New Roman" w:hAnsi="Helvetica" w:cs="Helvetica"/>
          <w:b/>
          <w:bCs/>
          <w:color w:val="000000"/>
          <w:kern w:val="36"/>
          <w:sz w:val="48"/>
          <w:szCs w:val="48"/>
          <w:lang w:eastAsia="en-GB"/>
        </w:rPr>
      </w:pPr>
      <w:r w:rsidRPr="00B14C50">
        <w:rPr>
          <w:rFonts w:ascii="Helvetica" w:eastAsia="Times New Roman" w:hAnsi="Helvetica" w:cs="Helvetica"/>
          <w:b/>
          <w:bCs/>
          <w:color w:val="000000"/>
          <w:kern w:val="36"/>
          <w:sz w:val="48"/>
          <w:szCs w:val="48"/>
          <w:lang w:eastAsia="en-GB"/>
        </w:rPr>
        <w:t>What the law says on European Works Councils</w:t>
      </w:r>
    </w:p>
    <w:p w:rsidR="00B14C50" w:rsidRPr="00B14C50" w:rsidRDefault="00B14C50" w:rsidP="00B14C50">
      <w:pPr>
        <w:shd w:val="clear" w:color="auto" w:fill="FFFFFF"/>
        <w:spacing w:after="0" w:line="240" w:lineRule="auto"/>
        <w:rPr>
          <w:rFonts w:ascii="Helvetica" w:eastAsia="Times New Roman" w:hAnsi="Helvetica" w:cs="Helvetica"/>
          <w:b/>
          <w:bCs/>
          <w:color w:val="000000"/>
          <w:sz w:val="23"/>
          <w:szCs w:val="23"/>
          <w:lang w:eastAsia="en-GB"/>
        </w:rPr>
      </w:pPr>
      <w:r w:rsidRPr="00B14C50">
        <w:rPr>
          <w:rFonts w:ascii="Helvetica" w:eastAsia="Times New Roman" w:hAnsi="Helvetica" w:cs="Helvetica"/>
          <w:b/>
          <w:bCs/>
          <w:color w:val="000000"/>
          <w:sz w:val="23"/>
          <w:szCs w:val="23"/>
          <w:lang w:eastAsia="en-GB"/>
        </w:rPr>
        <w:t>19 Sep 2019 By David Hopper</w:t>
      </w:r>
    </w:p>
    <w:p w:rsidR="00B14C50" w:rsidRPr="00B14C50" w:rsidRDefault="00B14C50" w:rsidP="00B14C50">
      <w:pPr>
        <w:shd w:val="clear" w:color="auto" w:fill="FFFFFF"/>
        <w:spacing w:before="100" w:beforeAutospacing="1" w:after="100" w:afterAutospacing="1" w:line="240" w:lineRule="auto"/>
        <w:rPr>
          <w:rFonts w:ascii="Helvetica" w:eastAsia="Times New Roman" w:hAnsi="Helvetica" w:cs="Helvetica"/>
          <w:color w:val="000000"/>
          <w:sz w:val="23"/>
          <w:szCs w:val="23"/>
          <w:lang w:eastAsia="en-GB"/>
        </w:rPr>
      </w:pPr>
      <w:r w:rsidRPr="00B14C50">
        <w:rPr>
          <w:rFonts w:ascii="Helvetica" w:eastAsia="Times New Roman" w:hAnsi="Helvetica" w:cs="Helvetica"/>
          <w:color w:val="000000"/>
          <w:sz w:val="23"/>
          <w:szCs w:val="23"/>
          <w:lang w:eastAsia="en-GB"/>
        </w:rPr>
        <w:t>A new ruling sheds light on relocating employee representation in the wake of Brexit. David Hopper reports and offers advice to employers</w:t>
      </w:r>
    </w:p>
    <w:p w:rsidR="00B14C50" w:rsidRPr="00B14C50" w:rsidRDefault="00B14C50" w:rsidP="00B14C50">
      <w:pPr>
        <w:shd w:val="clear" w:color="auto" w:fill="FFFFFF"/>
        <w:spacing w:after="0" w:line="240" w:lineRule="auto"/>
        <w:rPr>
          <w:rFonts w:ascii="Helvetica" w:eastAsia="Times New Roman" w:hAnsi="Helvetica" w:cs="Helvetica"/>
          <w:color w:val="000000"/>
          <w:sz w:val="23"/>
          <w:szCs w:val="23"/>
          <w:lang w:eastAsia="en-GB"/>
        </w:rPr>
      </w:pPr>
      <w:r w:rsidRPr="00B14C50">
        <w:rPr>
          <w:rFonts w:ascii="Helvetica" w:eastAsia="Times New Roman" w:hAnsi="Helvetica" w:cs="Helvetica"/>
          <w:noProof/>
          <w:color w:val="000000"/>
          <w:sz w:val="23"/>
          <w:szCs w:val="23"/>
          <w:lang w:eastAsia="en-GB"/>
        </w:rPr>
        <w:drawing>
          <wp:inline distT="0" distB="0" distL="0" distR="0" wp14:anchorId="4FAB4CE9" wp14:editId="401F132B">
            <wp:extent cx="9144000" cy="5146040"/>
            <wp:effectExtent l="0" t="0" r="0" b="0"/>
            <wp:docPr id="3" name="Picture 3" descr="https://www.peoplemanagement.co.uk/Images/world-map_tcm27-37873_w1228_n.jp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 descr="https://www.peoplemanagement.co.uk/Images/world-map_tcm27-37873_w1228_n.jpg"/>
                    <pic:cNvPicPr>
                      <a:picLocks noChangeAspect="1" noChangeArrowheads="1"/>
                    </pic:cNvPicPr>
                  </pic:nvPicPr>
                  <pic:blipFill>
                    <a:blip r:embed="rId5">
                      <a:extLst>
                        <a:ext uri="{28A0092B-C50C-407E-A947-70E740481C1C}">
                          <a14:useLocalDpi xmlns:a14="http://schemas.microsoft.com/office/drawing/2010/main" val="0"/>
                        </a:ext>
                      </a:extLst>
                    </a:blip>
                    <a:srcRect/>
                    <a:stretch>
                      <a:fillRect/>
                    </a:stretch>
                  </pic:blipFill>
                  <pic:spPr bwMode="auto">
                    <a:xfrm>
                      <a:off x="0" y="0"/>
                      <a:ext cx="9144000" cy="5146040"/>
                    </a:xfrm>
                    <a:prstGeom prst="rect">
                      <a:avLst/>
                    </a:prstGeom>
                    <a:noFill/>
                    <a:ln>
                      <a:noFill/>
                    </a:ln>
                  </pic:spPr>
                </pic:pic>
              </a:graphicData>
            </a:graphic>
          </wp:inline>
        </w:drawing>
      </w:r>
    </w:p>
    <w:p w:rsidR="00B14C50" w:rsidRPr="00B14C50" w:rsidRDefault="00B14C50" w:rsidP="00B14C50">
      <w:pPr>
        <w:shd w:val="clear" w:color="auto" w:fill="FFFFFF"/>
        <w:spacing w:after="100" w:afterAutospacing="1" w:line="240" w:lineRule="auto"/>
        <w:rPr>
          <w:rFonts w:ascii="Helvetica" w:eastAsia="Times New Roman" w:hAnsi="Helvetica" w:cs="Helvetica"/>
          <w:color w:val="000000"/>
          <w:sz w:val="23"/>
          <w:szCs w:val="23"/>
          <w:lang w:eastAsia="en-GB"/>
        </w:rPr>
      </w:pPr>
      <w:r w:rsidRPr="00B14C50">
        <w:rPr>
          <w:rFonts w:ascii="Helvetica" w:eastAsia="Times New Roman" w:hAnsi="Helvetica" w:cs="Helvetica"/>
          <w:color w:val="000000"/>
          <w:sz w:val="23"/>
          <w:szCs w:val="23"/>
          <w:lang w:eastAsia="en-GB"/>
        </w:rPr>
        <w:t>Employers headquartered outside the EU can relocate their European Works Council (EWC) arrangements from the UK because of Brexit, the Central Arbitration Committee (CAC) has ruled. This will be welcome news, as the greatest impact of a ‘no deal’ Brexit in an employment context will be on EWCs.</w:t>
      </w:r>
    </w:p>
    <w:p w:rsidR="00B14C50" w:rsidRPr="00B14C50" w:rsidRDefault="00B14C50" w:rsidP="00B14C50">
      <w:pPr>
        <w:shd w:val="clear" w:color="auto" w:fill="FFFFFF"/>
        <w:spacing w:before="100" w:beforeAutospacing="1" w:after="100" w:afterAutospacing="1" w:line="240" w:lineRule="auto"/>
        <w:outlineLvl w:val="1"/>
        <w:rPr>
          <w:rFonts w:ascii="Helvetica" w:eastAsia="Times New Roman" w:hAnsi="Helvetica" w:cs="Helvetica"/>
          <w:b/>
          <w:bCs/>
          <w:color w:val="000000"/>
          <w:sz w:val="36"/>
          <w:szCs w:val="36"/>
          <w:lang w:eastAsia="en-GB"/>
        </w:rPr>
      </w:pPr>
      <w:r w:rsidRPr="00B14C50">
        <w:rPr>
          <w:rFonts w:ascii="Helvetica" w:eastAsia="Times New Roman" w:hAnsi="Helvetica" w:cs="Helvetica"/>
          <w:b/>
          <w:bCs/>
          <w:color w:val="000000"/>
          <w:sz w:val="36"/>
          <w:szCs w:val="36"/>
          <w:lang w:eastAsia="en-GB"/>
        </w:rPr>
        <w:t>The background</w:t>
      </w:r>
    </w:p>
    <w:p w:rsidR="00B14C50" w:rsidRPr="00B14C50" w:rsidRDefault="00B14C50" w:rsidP="00B14C50">
      <w:pPr>
        <w:shd w:val="clear" w:color="auto" w:fill="FFFFFF"/>
        <w:spacing w:before="100" w:beforeAutospacing="1" w:after="100" w:afterAutospacing="1" w:line="240" w:lineRule="auto"/>
        <w:rPr>
          <w:rFonts w:ascii="Helvetica" w:eastAsia="Times New Roman" w:hAnsi="Helvetica" w:cs="Helvetica"/>
          <w:color w:val="000000"/>
          <w:sz w:val="23"/>
          <w:szCs w:val="23"/>
          <w:lang w:eastAsia="en-GB"/>
        </w:rPr>
      </w:pPr>
      <w:r w:rsidRPr="00B14C50">
        <w:rPr>
          <w:rFonts w:ascii="Helvetica" w:eastAsia="Times New Roman" w:hAnsi="Helvetica" w:cs="Helvetica"/>
          <w:color w:val="000000"/>
          <w:sz w:val="23"/>
          <w:szCs w:val="23"/>
          <w:lang w:eastAsia="en-GB"/>
        </w:rPr>
        <w:lastRenderedPageBreak/>
        <w:t>HPE is an American company. It started establishing an EWC in 2015. It appointed a UK subsidiary as its representative agent responsible for this process. This means that UK law would have governed any future EWC agreement.</w:t>
      </w:r>
    </w:p>
    <w:p w:rsidR="00B14C50" w:rsidRPr="00B14C50" w:rsidRDefault="00B14C50" w:rsidP="00B14C50">
      <w:pPr>
        <w:shd w:val="clear" w:color="auto" w:fill="FFFFFF"/>
        <w:spacing w:before="100" w:beforeAutospacing="1" w:after="100" w:afterAutospacing="1" w:line="240" w:lineRule="auto"/>
        <w:rPr>
          <w:rFonts w:ascii="Helvetica" w:eastAsia="Times New Roman" w:hAnsi="Helvetica" w:cs="Helvetica"/>
          <w:color w:val="000000"/>
          <w:sz w:val="23"/>
          <w:szCs w:val="23"/>
          <w:lang w:eastAsia="en-GB"/>
        </w:rPr>
      </w:pPr>
      <w:r w:rsidRPr="00B14C50">
        <w:rPr>
          <w:rFonts w:ascii="Helvetica" w:eastAsia="Times New Roman" w:hAnsi="Helvetica" w:cs="Helvetica"/>
          <w:color w:val="000000"/>
          <w:sz w:val="23"/>
          <w:szCs w:val="23"/>
          <w:lang w:eastAsia="en-GB"/>
        </w:rPr>
        <w:t>When the UK voted for Brexit in 2016, this threatened HPE’s negotiation of a long-lasting EWC agreement under UK law, so it terminated its UK subsidiary’s appointment and replaced it with an Irish subsidiary.</w:t>
      </w:r>
    </w:p>
    <w:p w:rsidR="00B14C50" w:rsidRPr="00B14C50" w:rsidRDefault="00B14C50" w:rsidP="00B14C50">
      <w:pPr>
        <w:shd w:val="clear" w:color="auto" w:fill="FFFFFF"/>
        <w:spacing w:before="100" w:beforeAutospacing="1" w:after="100" w:afterAutospacing="1" w:line="240" w:lineRule="auto"/>
        <w:rPr>
          <w:rFonts w:ascii="Helvetica" w:eastAsia="Times New Roman" w:hAnsi="Helvetica" w:cs="Helvetica"/>
          <w:color w:val="000000"/>
          <w:sz w:val="23"/>
          <w:szCs w:val="23"/>
          <w:lang w:eastAsia="en-GB"/>
        </w:rPr>
      </w:pPr>
      <w:r w:rsidRPr="00B14C50">
        <w:rPr>
          <w:rFonts w:ascii="Helvetica" w:eastAsia="Times New Roman" w:hAnsi="Helvetica" w:cs="Helvetica"/>
          <w:color w:val="000000"/>
          <w:sz w:val="23"/>
          <w:szCs w:val="23"/>
          <w:lang w:eastAsia="en-GB"/>
        </w:rPr>
        <w:t>HPE’s special negotiating body (SNB) of employees’ representatives challenged HPE’s actions. It then requested further training on UK law. HPE rejected its request as such training was unnecessary because Irish law now applied. The SNB complained to the CAC.</w:t>
      </w:r>
    </w:p>
    <w:p w:rsidR="00B14C50" w:rsidRPr="00B14C50" w:rsidRDefault="00B14C50" w:rsidP="00B14C50">
      <w:pPr>
        <w:shd w:val="clear" w:color="auto" w:fill="FFFFFF"/>
        <w:spacing w:before="100" w:beforeAutospacing="1" w:after="100" w:afterAutospacing="1" w:line="240" w:lineRule="auto"/>
        <w:outlineLvl w:val="1"/>
        <w:rPr>
          <w:rFonts w:ascii="Helvetica" w:eastAsia="Times New Roman" w:hAnsi="Helvetica" w:cs="Helvetica"/>
          <w:b/>
          <w:bCs/>
          <w:color w:val="000000"/>
          <w:sz w:val="36"/>
          <w:szCs w:val="36"/>
          <w:lang w:eastAsia="en-GB"/>
        </w:rPr>
      </w:pPr>
      <w:r w:rsidRPr="00B14C50">
        <w:rPr>
          <w:rFonts w:ascii="Helvetica" w:eastAsia="Times New Roman" w:hAnsi="Helvetica" w:cs="Helvetica"/>
          <w:b/>
          <w:bCs/>
          <w:color w:val="000000"/>
          <w:sz w:val="36"/>
          <w:szCs w:val="36"/>
          <w:lang w:eastAsia="en-GB"/>
        </w:rPr>
        <w:t>The CAC decision</w:t>
      </w:r>
    </w:p>
    <w:p w:rsidR="00B14C50" w:rsidRPr="00B14C50" w:rsidRDefault="00B14C50" w:rsidP="00B14C50">
      <w:pPr>
        <w:shd w:val="clear" w:color="auto" w:fill="FFFFFF"/>
        <w:spacing w:before="100" w:beforeAutospacing="1" w:after="100" w:afterAutospacing="1" w:line="240" w:lineRule="auto"/>
        <w:rPr>
          <w:rFonts w:ascii="Helvetica" w:eastAsia="Times New Roman" w:hAnsi="Helvetica" w:cs="Helvetica"/>
          <w:color w:val="000000"/>
          <w:sz w:val="23"/>
          <w:szCs w:val="23"/>
          <w:lang w:eastAsia="en-GB"/>
        </w:rPr>
      </w:pPr>
      <w:r w:rsidRPr="00B14C50">
        <w:rPr>
          <w:rFonts w:ascii="Helvetica" w:eastAsia="Times New Roman" w:hAnsi="Helvetica" w:cs="Helvetica"/>
          <w:color w:val="000000"/>
          <w:sz w:val="23"/>
          <w:szCs w:val="23"/>
          <w:lang w:eastAsia="en-GB"/>
        </w:rPr>
        <w:t>The CAC ruled that HPE had been able to terminate its UK subsidiary’s appointment. It therefore did not have jurisdiction to hear the SNB’s training complaint.</w:t>
      </w:r>
    </w:p>
    <w:p w:rsidR="00B14C50" w:rsidRPr="00B14C50" w:rsidRDefault="00B14C50" w:rsidP="00B14C50">
      <w:pPr>
        <w:shd w:val="clear" w:color="auto" w:fill="FFFFFF"/>
        <w:spacing w:before="100" w:beforeAutospacing="1" w:after="100" w:afterAutospacing="1" w:line="240" w:lineRule="auto"/>
        <w:rPr>
          <w:rFonts w:ascii="Helvetica" w:eastAsia="Times New Roman" w:hAnsi="Helvetica" w:cs="Helvetica"/>
          <w:color w:val="000000"/>
          <w:sz w:val="23"/>
          <w:szCs w:val="23"/>
          <w:lang w:eastAsia="en-GB"/>
        </w:rPr>
      </w:pPr>
      <w:r w:rsidRPr="00B14C50">
        <w:rPr>
          <w:rFonts w:ascii="Helvetica" w:eastAsia="Times New Roman" w:hAnsi="Helvetica" w:cs="Helvetica"/>
          <w:color w:val="000000"/>
          <w:sz w:val="23"/>
          <w:szCs w:val="23"/>
          <w:lang w:eastAsia="en-GB"/>
        </w:rPr>
        <w:t>Employers headquartered outside of the EU do not enjoy an unfettered right to change their representative agent. For example, they cannot do it to frustrate employees’ information and consultation rights. But employers acting in good faith can make this change. HPE had not sought to escape its information and consultation obligations. Instead, it had acted for the rational reason of reducing Brexit uncertainty.</w:t>
      </w:r>
    </w:p>
    <w:p w:rsidR="00B14C50" w:rsidRPr="00B14C50" w:rsidRDefault="00B14C50" w:rsidP="00B14C50">
      <w:pPr>
        <w:shd w:val="clear" w:color="auto" w:fill="FFFFFF"/>
        <w:spacing w:before="100" w:beforeAutospacing="1" w:after="100" w:afterAutospacing="1" w:line="240" w:lineRule="auto"/>
        <w:rPr>
          <w:rFonts w:ascii="Helvetica" w:eastAsia="Times New Roman" w:hAnsi="Helvetica" w:cs="Helvetica"/>
          <w:color w:val="000000"/>
          <w:sz w:val="23"/>
          <w:szCs w:val="23"/>
          <w:lang w:eastAsia="en-GB"/>
        </w:rPr>
      </w:pPr>
      <w:r w:rsidRPr="00B14C50">
        <w:rPr>
          <w:rFonts w:ascii="Helvetica" w:eastAsia="Times New Roman" w:hAnsi="Helvetica" w:cs="Helvetica"/>
          <w:color w:val="000000"/>
          <w:sz w:val="23"/>
          <w:szCs w:val="23"/>
          <w:lang w:eastAsia="en-GB"/>
        </w:rPr>
        <w:t xml:space="preserve">The CAC also considered </w:t>
      </w:r>
      <w:proofErr w:type="gramStart"/>
      <w:r w:rsidRPr="00B14C50">
        <w:rPr>
          <w:rFonts w:ascii="Helvetica" w:eastAsia="Times New Roman" w:hAnsi="Helvetica" w:cs="Helvetica"/>
          <w:color w:val="000000"/>
          <w:sz w:val="23"/>
          <w:szCs w:val="23"/>
          <w:lang w:eastAsia="en-GB"/>
        </w:rPr>
        <w:t>employers’</w:t>
      </w:r>
      <w:proofErr w:type="gramEnd"/>
      <w:r w:rsidRPr="00B14C50">
        <w:rPr>
          <w:rFonts w:ascii="Helvetica" w:eastAsia="Times New Roman" w:hAnsi="Helvetica" w:cs="Helvetica"/>
          <w:color w:val="000000"/>
          <w:sz w:val="23"/>
          <w:szCs w:val="23"/>
          <w:lang w:eastAsia="en-GB"/>
        </w:rPr>
        <w:t xml:space="preserve"> alleged ‘forum shopping’ for more favourable national EWC laws. HPE had not done this, and European Court of Justice case law means that businesses are not prohibited from doing this in any event. This reflects their fundamental right to enjoy freedom of establishment across the EU.</w:t>
      </w:r>
    </w:p>
    <w:p w:rsidR="00B14C50" w:rsidRPr="00B14C50" w:rsidRDefault="00B14C50" w:rsidP="00B14C50">
      <w:pPr>
        <w:shd w:val="clear" w:color="auto" w:fill="FFFFFF"/>
        <w:spacing w:before="100" w:beforeAutospacing="1" w:after="100" w:afterAutospacing="1" w:line="240" w:lineRule="auto"/>
        <w:outlineLvl w:val="1"/>
        <w:rPr>
          <w:rFonts w:ascii="Helvetica" w:eastAsia="Times New Roman" w:hAnsi="Helvetica" w:cs="Helvetica"/>
          <w:b/>
          <w:bCs/>
          <w:color w:val="000000"/>
          <w:sz w:val="36"/>
          <w:szCs w:val="36"/>
          <w:lang w:eastAsia="en-GB"/>
        </w:rPr>
      </w:pPr>
      <w:r w:rsidRPr="00B14C50">
        <w:rPr>
          <w:rFonts w:ascii="Helvetica" w:eastAsia="Times New Roman" w:hAnsi="Helvetica" w:cs="Helvetica"/>
          <w:b/>
          <w:bCs/>
          <w:color w:val="000000"/>
          <w:sz w:val="36"/>
          <w:szCs w:val="36"/>
          <w:lang w:eastAsia="en-GB"/>
        </w:rPr>
        <w:t>Implications for employers</w:t>
      </w:r>
    </w:p>
    <w:p w:rsidR="00B14C50" w:rsidRPr="00B14C50" w:rsidRDefault="00B14C50" w:rsidP="00B14C50">
      <w:pPr>
        <w:shd w:val="clear" w:color="auto" w:fill="FFFFFF"/>
        <w:spacing w:before="100" w:beforeAutospacing="1" w:after="100" w:afterAutospacing="1" w:line="240" w:lineRule="auto"/>
        <w:rPr>
          <w:rFonts w:ascii="Helvetica" w:eastAsia="Times New Roman" w:hAnsi="Helvetica" w:cs="Helvetica"/>
          <w:color w:val="000000"/>
          <w:sz w:val="23"/>
          <w:szCs w:val="23"/>
          <w:lang w:eastAsia="en-GB"/>
        </w:rPr>
      </w:pPr>
      <w:r w:rsidRPr="00B14C50">
        <w:rPr>
          <w:rFonts w:ascii="Helvetica" w:eastAsia="Times New Roman" w:hAnsi="Helvetica" w:cs="Helvetica"/>
          <w:color w:val="000000"/>
          <w:sz w:val="23"/>
          <w:szCs w:val="23"/>
          <w:lang w:eastAsia="en-GB"/>
        </w:rPr>
        <w:t>If there is a no-deal Brexit it is likely that:</w:t>
      </w:r>
    </w:p>
    <w:p w:rsidR="00B14C50" w:rsidRPr="00B14C50" w:rsidRDefault="00B14C50" w:rsidP="00B14C50">
      <w:pPr>
        <w:numPr>
          <w:ilvl w:val="0"/>
          <w:numId w:val="2"/>
        </w:numPr>
        <w:shd w:val="clear" w:color="auto" w:fill="FFFFFF"/>
        <w:spacing w:after="100" w:afterAutospacing="1" w:line="240" w:lineRule="auto"/>
        <w:rPr>
          <w:rFonts w:ascii="Helvetica" w:eastAsia="Times New Roman" w:hAnsi="Helvetica" w:cs="Helvetica"/>
          <w:color w:val="000000"/>
          <w:sz w:val="23"/>
          <w:szCs w:val="23"/>
          <w:lang w:eastAsia="en-GB"/>
        </w:rPr>
      </w:pPr>
      <w:r w:rsidRPr="00B14C50">
        <w:rPr>
          <w:rFonts w:ascii="Helvetica" w:eastAsia="Times New Roman" w:hAnsi="Helvetica" w:cs="Helvetica"/>
          <w:color w:val="000000"/>
          <w:sz w:val="23"/>
          <w:szCs w:val="23"/>
          <w:lang w:eastAsia="en-GB"/>
        </w:rPr>
        <w:t xml:space="preserve">under EU law, most employers will be obliged to implement new EWC arrangements under a remaining member </w:t>
      </w:r>
      <w:proofErr w:type="gramStart"/>
      <w:r w:rsidRPr="00B14C50">
        <w:rPr>
          <w:rFonts w:ascii="Helvetica" w:eastAsia="Times New Roman" w:hAnsi="Helvetica" w:cs="Helvetica"/>
          <w:color w:val="000000"/>
          <w:sz w:val="23"/>
          <w:szCs w:val="23"/>
          <w:lang w:eastAsia="en-GB"/>
        </w:rPr>
        <w:t>state’s laws</w:t>
      </w:r>
      <w:proofErr w:type="gramEnd"/>
      <w:r w:rsidRPr="00B14C50">
        <w:rPr>
          <w:rFonts w:ascii="Helvetica" w:eastAsia="Times New Roman" w:hAnsi="Helvetica" w:cs="Helvetica"/>
          <w:color w:val="000000"/>
          <w:sz w:val="23"/>
          <w:szCs w:val="23"/>
          <w:lang w:eastAsia="en-GB"/>
        </w:rPr>
        <w:t>. This will avoid a no-deal Brexit eroding non-UK employees’ information and consultation rights; and</w:t>
      </w:r>
    </w:p>
    <w:p w:rsidR="00B14C50" w:rsidRPr="00B14C50" w:rsidRDefault="00B14C50" w:rsidP="00B14C50">
      <w:pPr>
        <w:numPr>
          <w:ilvl w:val="0"/>
          <w:numId w:val="2"/>
        </w:numPr>
        <w:shd w:val="clear" w:color="auto" w:fill="FFFFFF"/>
        <w:spacing w:before="100" w:beforeAutospacing="1" w:after="0" w:line="240" w:lineRule="auto"/>
        <w:rPr>
          <w:rFonts w:ascii="Helvetica" w:eastAsia="Times New Roman" w:hAnsi="Helvetica" w:cs="Helvetica"/>
          <w:color w:val="000000"/>
          <w:sz w:val="23"/>
          <w:szCs w:val="23"/>
          <w:lang w:eastAsia="en-GB"/>
        </w:rPr>
      </w:pPr>
      <w:r w:rsidRPr="00B14C50">
        <w:rPr>
          <w:rFonts w:ascii="Helvetica" w:eastAsia="Times New Roman" w:hAnsi="Helvetica" w:cs="Helvetica"/>
          <w:color w:val="000000"/>
          <w:sz w:val="23"/>
          <w:szCs w:val="23"/>
          <w:lang w:eastAsia="en-GB"/>
        </w:rPr>
        <w:t>under UK law, most businesses’ obligations to maintain EWC arrangements will end.</w:t>
      </w:r>
    </w:p>
    <w:p w:rsidR="00B14C50" w:rsidRPr="00B14C50" w:rsidRDefault="00B14C50" w:rsidP="00B14C50">
      <w:pPr>
        <w:shd w:val="clear" w:color="auto" w:fill="FFFFFF"/>
        <w:spacing w:before="100" w:beforeAutospacing="1" w:after="100" w:afterAutospacing="1" w:line="240" w:lineRule="auto"/>
        <w:rPr>
          <w:rFonts w:ascii="Helvetica" w:eastAsia="Times New Roman" w:hAnsi="Helvetica" w:cs="Helvetica"/>
          <w:color w:val="000000"/>
          <w:sz w:val="23"/>
          <w:szCs w:val="23"/>
          <w:lang w:eastAsia="en-GB"/>
        </w:rPr>
      </w:pPr>
      <w:r w:rsidRPr="00B14C50">
        <w:rPr>
          <w:rFonts w:ascii="Helvetica" w:eastAsia="Times New Roman" w:hAnsi="Helvetica" w:cs="Helvetica"/>
          <w:color w:val="000000"/>
          <w:sz w:val="23"/>
          <w:szCs w:val="23"/>
          <w:lang w:eastAsia="en-GB"/>
        </w:rPr>
        <w:t>However, Brexit is unprecedented and legal uncertainty remains despite the CAC’s decision. Employers with UK-law governed EWC arrangements should proactively plan for a no-deal Brexit. Indeed, some risk criminal penalties if they do nothing.</w:t>
      </w:r>
    </w:p>
    <w:p w:rsidR="00B14C50" w:rsidRPr="00B14C50" w:rsidRDefault="00B14C50" w:rsidP="00B14C50">
      <w:pPr>
        <w:shd w:val="clear" w:color="auto" w:fill="FFFFFF"/>
        <w:spacing w:before="100" w:beforeAutospacing="1" w:after="100" w:afterAutospacing="1" w:line="240" w:lineRule="auto"/>
        <w:rPr>
          <w:rFonts w:ascii="Helvetica" w:eastAsia="Times New Roman" w:hAnsi="Helvetica" w:cs="Helvetica"/>
          <w:color w:val="000000"/>
          <w:sz w:val="23"/>
          <w:szCs w:val="23"/>
          <w:lang w:eastAsia="en-GB"/>
        </w:rPr>
      </w:pPr>
      <w:r w:rsidRPr="00B14C50">
        <w:rPr>
          <w:rFonts w:ascii="Helvetica" w:eastAsia="Times New Roman" w:hAnsi="Helvetica" w:cs="Helvetica"/>
          <w:color w:val="000000"/>
          <w:sz w:val="23"/>
          <w:szCs w:val="23"/>
          <w:lang w:eastAsia="en-GB"/>
        </w:rPr>
        <w:t xml:space="preserve">Employers should plan based on their </w:t>
      </w:r>
      <w:proofErr w:type="gramStart"/>
      <w:r w:rsidRPr="00B14C50">
        <w:rPr>
          <w:rFonts w:ascii="Helvetica" w:eastAsia="Times New Roman" w:hAnsi="Helvetica" w:cs="Helvetica"/>
          <w:color w:val="000000"/>
          <w:sz w:val="23"/>
          <w:szCs w:val="23"/>
          <w:lang w:eastAsia="en-GB"/>
        </w:rPr>
        <w:t>particular circumstances</w:t>
      </w:r>
      <w:proofErr w:type="gramEnd"/>
      <w:r w:rsidRPr="00B14C50">
        <w:rPr>
          <w:rFonts w:ascii="Helvetica" w:eastAsia="Times New Roman" w:hAnsi="Helvetica" w:cs="Helvetica"/>
          <w:color w:val="000000"/>
          <w:sz w:val="23"/>
          <w:szCs w:val="23"/>
          <w:lang w:eastAsia="en-GB"/>
        </w:rPr>
        <w:t>. Given the CAC’s decision, in general:</w:t>
      </w:r>
    </w:p>
    <w:p w:rsidR="00B14C50" w:rsidRPr="00B14C50" w:rsidRDefault="00B14C50" w:rsidP="00B14C50">
      <w:pPr>
        <w:numPr>
          <w:ilvl w:val="0"/>
          <w:numId w:val="3"/>
        </w:numPr>
        <w:shd w:val="clear" w:color="auto" w:fill="FFFFFF"/>
        <w:spacing w:after="100" w:afterAutospacing="1" w:line="240" w:lineRule="auto"/>
        <w:rPr>
          <w:rFonts w:ascii="Helvetica" w:eastAsia="Times New Roman" w:hAnsi="Helvetica" w:cs="Helvetica"/>
          <w:color w:val="000000"/>
          <w:sz w:val="23"/>
          <w:szCs w:val="23"/>
          <w:lang w:eastAsia="en-GB"/>
        </w:rPr>
      </w:pPr>
      <w:r w:rsidRPr="00B14C50">
        <w:rPr>
          <w:rFonts w:ascii="Helvetica" w:eastAsia="Times New Roman" w:hAnsi="Helvetica" w:cs="Helvetica"/>
          <w:color w:val="000000"/>
          <w:sz w:val="23"/>
          <w:szCs w:val="23"/>
          <w:lang w:eastAsia="en-GB"/>
        </w:rPr>
        <w:t>companies with old ‘article 13’ EWC agreements should conditionally appoint a representative agent in case a no-deal Brexit affects their general exemption from EU law EWC obligations;</w:t>
      </w:r>
    </w:p>
    <w:p w:rsidR="00B14C50" w:rsidRPr="00B14C50" w:rsidRDefault="00B14C50" w:rsidP="00B14C50">
      <w:pPr>
        <w:numPr>
          <w:ilvl w:val="0"/>
          <w:numId w:val="3"/>
        </w:numPr>
        <w:shd w:val="clear" w:color="auto" w:fill="FFFFFF"/>
        <w:spacing w:before="100" w:beforeAutospacing="1" w:after="100" w:afterAutospacing="1" w:line="240" w:lineRule="auto"/>
        <w:rPr>
          <w:rFonts w:ascii="Helvetica" w:eastAsia="Times New Roman" w:hAnsi="Helvetica" w:cs="Helvetica"/>
          <w:color w:val="000000"/>
          <w:sz w:val="23"/>
          <w:szCs w:val="23"/>
          <w:lang w:eastAsia="en-GB"/>
        </w:rPr>
      </w:pPr>
      <w:r w:rsidRPr="00B14C50">
        <w:rPr>
          <w:rFonts w:ascii="Helvetica" w:eastAsia="Times New Roman" w:hAnsi="Helvetica" w:cs="Helvetica"/>
          <w:color w:val="000000"/>
          <w:sz w:val="23"/>
          <w:szCs w:val="23"/>
          <w:lang w:eastAsia="en-GB"/>
        </w:rPr>
        <w:lastRenderedPageBreak/>
        <w:t>employers headquartered outside the EU that are negotiating their EWC agreement or operate their EWC under the ‘subsidiary requirements’ may unilaterally appoint a new representative agent before or with effect from a no-deal Brexit;</w:t>
      </w:r>
    </w:p>
    <w:p w:rsidR="00B14C50" w:rsidRPr="00B14C50" w:rsidRDefault="00B14C50" w:rsidP="00B14C50">
      <w:pPr>
        <w:numPr>
          <w:ilvl w:val="0"/>
          <w:numId w:val="3"/>
        </w:numPr>
        <w:shd w:val="clear" w:color="auto" w:fill="FFFFFF"/>
        <w:spacing w:before="100" w:beforeAutospacing="1" w:after="100" w:afterAutospacing="1" w:line="240" w:lineRule="auto"/>
        <w:rPr>
          <w:rFonts w:ascii="Helvetica" w:eastAsia="Times New Roman" w:hAnsi="Helvetica" w:cs="Helvetica"/>
          <w:color w:val="000000"/>
          <w:sz w:val="23"/>
          <w:szCs w:val="23"/>
          <w:lang w:eastAsia="en-GB"/>
        </w:rPr>
      </w:pPr>
      <w:r w:rsidRPr="00B14C50">
        <w:rPr>
          <w:rFonts w:ascii="Helvetica" w:eastAsia="Times New Roman" w:hAnsi="Helvetica" w:cs="Helvetica"/>
          <w:color w:val="000000"/>
          <w:sz w:val="23"/>
          <w:szCs w:val="23"/>
          <w:lang w:eastAsia="en-GB"/>
        </w:rPr>
        <w:t>businesses headquartered outside the EU that operate their EWC under a negotiated EWC agreement may immediately appoint a new representative agent with their EWC’s consent or unilaterally designate a new representative agent with effect from a no-deal Brexit; and</w:t>
      </w:r>
    </w:p>
    <w:p w:rsidR="00B14C50" w:rsidRPr="00B14C50" w:rsidRDefault="00B14C50" w:rsidP="00B14C50">
      <w:pPr>
        <w:numPr>
          <w:ilvl w:val="0"/>
          <w:numId w:val="3"/>
        </w:numPr>
        <w:shd w:val="clear" w:color="auto" w:fill="FFFFFF"/>
        <w:spacing w:before="100" w:beforeAutospacing="1" w:after="0" w:line="240" w:lineRule="auto"/>
        <w:rPr>
          <w:rFonts w:ascii="Helvetica" w:eastAsia="Times New Roman" w:hAnsi="Helvetica" w:cs="Helvetica"/>
          <w:color w:val="000000"/>
          <w:sz w:val="23"/>
          <w:szCs w:val="23"/>
          <w:lang w:eastAsia="en-GB"/>
        </w:rPr>
      </w:pPr>
      <w:r w:rsidRPr="00B14C50">
        <w:rPr>
          <w:rFonts w:ascii="Helvetica" w:eastAsia="Times New Roman" w:hAnsi="Helvetica" w:cs="Helvetica"/>
          <w:color w:val="000000"/>
          <w:sz w:val="23"/>
          <w:szCs w:val="23"/>
          <w:lang w:eastAsia="en-GB"/>
        </w:rPr>
        <w:t>employers headquartered in the UK can unilaterally designate a representative agent with effect from a no-deal Brexit.</w:t>
      </w:r>
    </w:p>
    <w:p w:rsidR="00B14C50" w:rsidRPr="00B14C50" w:rsidRDefault="00B14C50" w:rsidP="00B14C50">
      <w:pPr>
        <w:shd w:val="clear" w:color="auto" w:fill="FFFFFF"/>
        <w:spacing w:before="100" w:beforeAutospacing="1" w:after="100" w:afterAutospacing="1" w:line="240" w:lineRule="auto"/>
        <w:rPr>
          <w:rFonts w:ascii="Helvetica" w:eastAsia="Times New Roman" w:hAnsi="Helvetica" w:cs="Helvetica"/>
          <w:color w:val="000000"/>
          <w:sz w:val="23"/>
          <w:szCs w:val="23"/>
          <w:lang w:eastAsia="en-GB"/>
        </w:rPr>
      </w:pPr>
      <w:r w:rsidRPr="00B14C50">
        <w:rPr>
          <w:rFonts w:ascii="Helvetica" w:eastAsia="Times New Roman" w:hAnsi="Helvetica" w:cs="Helvetica"/>
          <w:color w:val="000000"/>
          <w:sz w:val="23"/>
          <w:szCs w:val="23"/>
          <w:lang w:eastAsia="en-GB"/>
        </w:rPr>
        <w:t>Choosing a new representative agent is an important decision. For example, only some member states’ laws impose criminal penalties or allow injunctions if businesses fail to properly inform and consult their EWCs. Most employers are therefore choosing Irish representative agents because of Ireland’s common law, English-speaking and business-friendly EWC environment.</w:t>
      </w:r>
    </w:p>
    <w:p w:rsidR="00B14C50" w:rsidRPr="00B14C50" w:rsidRDefault="00B14C50" w:rsidP="00B14C50">
      <w:pPr>
        <w:shd w:val="clear" w:color="auto" w:fill="FFFFFF"/>
        <w:spacing w:beforeAutospacing="1" w:after="0" w:line="240" w:lineRule="auto"/>
        <w:rPr>
          <w:rFonts w:ascii="Helvetica" w:eastAsia="Times New Roman" w:hAnsi="Helvetica" w:cs="Helvetica"/>
          <w:color w:val="000000"/>
          <w:sz w:val="23"/>
          <w:szCs w:val="23"/>
          <w:lang w:eastAsia="en-GB"/>
        </w:rPr>
      </w:pPr>
      <w:r w:rsidRPr="00B14C50">
        <w:rPr>
          <w:rFonts w:ascii="Helvetica" w:eastAsia="Times New Roman" w:hAnsi="Helvetica" w:cs="Helvetica"/>
          <w:i/>
          <w:iCs/>
          <w:color w:val="000000"/>
          <w:sz w:val="23"/>
          <w:szCs w:val="23"/>
          <w:lang w:eastAsia="en-GB"/>
        </w:rPr>
        <w:t>David Hopper is a senior associate at Lewis Silkin</w:t>
      </w:r>
    </w:p>
    <w:p w:rsidR="00B14C50" w:rsidRDefault="00B14C50"/>
    <w:sectPr w:rsidR="00B14C50">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A00002EF" w:usb1="4000207B" w:usb2="00000000" w:usb3="00000000" w:csb0="0000009F" w:csb1="00000000"/>
  </w:font>
  <w:font w:name="Segoe UI">
    <w:panose1 w:val="020B0502040204020203"/>
    <w:charset w:val="00"/>
    <w:family w:val="swiss"/>
    <w:pitch w:val="variable"/>
    <w:sig w:usb0="E10022FF" w:usb1="C000E47F" w:usb2="00000029" w:usb3="00000000" w:csb0="000001DF" w:csb1="00000000"/>
  </w:font>
  <w:font w:name="Arial">
    <w:panose1 w:val="020B0604020202020204"/>
    <w:charset w:val="00"/>
    <w:family w:val="swiss"/>
    <w:pitch w:val="variable"/>
    <w:sig w:usb0="E0002AFF" w:usb1="C0007843" w:usb2="00000009" w:usb3="00000000" w:csb0="000001FF" w:csb1="00000000"/>
  </w:font>
  <w:font w:name="Helvetica">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09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abstractNum w:abstractNumId="0" w15:restartNumberingAfterBreak="0">
    <w:nsid w:val="01E61408"/>
    <w:multiLevelType w:val="multilevel"/>
    <w:tmpl w:val="5D1EA7C8"/>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 w15:restartNumberingAfterBreak="0">
    <w:nsid w:val="663306D5"/>
    <w:multiLevelType w:val="multilevel"/>
    <w:tmpl w:val="97701560"/>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 w15:restartNumberingAfterBreak="0">
    <w:nsid w:val="69E84A55"/>
    <w:multiLevelType w:val="multilevel"/>
    <w:tmpl w:val="EC586A4A"/>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num w:numId="1">
    <w:abstractNumId w:val="1"/>
  </w:num>
  <w:num w:numId="2">
    <w:abstractNumId w:val="2"/>
  </w:num>
  <w:num w:numId="3">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98"/>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B14C50"/>
    <w:rsid w:val="002B0FF5"/>
    <w:rsid w:val="00B14C50"/>
    <w:rsid w:val="00FC1558"/>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3E155099"/>
  <w15:chartTrackingRefBased/>
  <w15:docId w15:val="{B9629F13-09F7-4FE6-B860-F8EEAEAF5382}"/>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HAnsi" w:hAnsiTheme="minorHAnsi" w:cstheme="minorBidi"/>
        <w:sz w:val="22"/>
        <w:szCs w:val="22"/>
        <w:lang w:val="en-GB" w:eastAsia="en-US" w:bidi="ar-SA"/>
      </w:rPr>
    </w:rPrDefault>
    <w:pPrDefault>
      <w:pPr>
        <w:spacing w:after="200" w:line="276" w:lineRule="auto"/>
      </w:pPr>
    </w:pPrDefault>
  </w:docDefaults>
  <w:latentStyles w:defLockedState="0" w:defUIPriority="99" w:defSemiHidden="0" w:defUnhideWhenUsed="0" w:defQFormat="0" w:count="375">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5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BalloonText">
    <w:name w:val="Balloon Text"/>
    <w:basedOn w:val="Normal"/>
    <w:link w:val="BalloonTextChar"/>
    <w:uiPriority w:val="99"/>
    <w:semiHidden/>
    <w:unhideWhenUsed/>
    <w:rsid w:val="00B14C50"/>
    <w:pPr>
      <w:spacing w:after="0" w:line="240" w:lineRule="auto"/>
    </w:pPr>
    <w:rPr>
      <w:rFonts w:ascii="Segoe UI" w:hAnsi="Segoe UI" w:cs="Segoe UI"/>
      <w:sz w:val="18"/>
      <w:szCs w:val="18"/>
    </w:rPr>
  </w:style>
  <w:style w:type="character" w:customStyle="1" w:styleId="BalloonTextChar">
    <w:name w:val="Balloon Text Char"/>
    <w:basedOn w:val="DefaultParagraphFont"/>
    <w:link w:val="BalloonText"/>
    <w:uiPriority w:val="99"/>
    <w:semiHidden/>
    <w:rsid w:val="00B14C50"/>
    <w:rPr>
      <w:rFonts w:ascii="Segoe UI" w:hAnsi="Segoe UI" w:cs="Segoe UI"/>
      <w:sz w:val="18"/>
      <w:szCs w:val="18"/>
    </w:rPr>
  </w:style>
  <w:style w:type="character" w:styleId="Hyperlink">
    <w:name w:val="Hyperlink"/>
    <w:basedOn w:val="DefaultParagraphFont"/>
    <w:uiPriority w:val="99"/>
    <w:semiHidden/>
    <w:unhideWhenUsed/>
    <w:rsid w:val="00B14C50"/>
    <w:rPr>
      <w:color w:val="0000FF"/>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ivs>
    <w:div w:id="901645828">
      <w:bodyDiv w:val="1"/>
      <w:marLeft w:val="0"/>
      <w:marRight w:val="0"/>
      <w:marTop w:val="0"/>
      <w:marBottom w:val="0"/>
      <w:divBdr>
        <w:top w:val="none" w:sz="0" w:space="0" w:color="auto"/>
        <w:left w:val="none" w:sz="0" w:space="0" w:color="auto"/>
        <w:bottom w:val="none" w:sz="0" w:space="0" w:color="auto"/>
        <w:right w:val="none" w:sz="0" w:space="0" w:color="auto"/>
      </w:divBdr>
      <w:divsChild>
        <w:div w:id="575364054">
          <w:marLeft w:val="0"/>
          <w:marRight w:val="0"/>
          <w:marTop w:val="0"/>
          <w:marBottom w:val="0"/>
          <w:divBdr>
            <w:top w:val="none" w:sz="0" w:space="0" w:color="auto"/>
            <w:left w:val="none" w:sz="0" w:space="0" w:color="auto"/>
            <w:bottom w:val="none" w:sz="0" w:space="0" w:color="auto"/>
            <w:right w:val="none" w:sz="0" w:space="0" w:color="auto"/>
          </w:divBdr>
        </w:div>
      </w:divsChild>
    </w:div>
    <w:div w:id="1137918649">
      <w:bodyDiv w:val="1"/>
      <w:marLeft w:val="0"/>
      <w:marRight w:val="0"/>
      <w:marTop w:val="0"/>
      <w:marBottom w:val="0"/>
      <w:divBdr>
        <w:top w:val="none" w:sz="0" w:space="0" w:color="auto"/>
        <w:left w:val="none" w:sz="0" w:space="0" w:color="auto"/>
        <w:bottom w:val="none" w:sz="0" w:space="0" w:color="auto"/>
        <w:right w:val="none" w:sz="0" w:space="0" w:color="auto"/>
      </w:divBdr>
      <w:divsChild>
        <w:div w:id="860048525">
          <w:marLeft w:val="0"/>
          <w:marRight w:val="0"/>
          <w:marTop w:val="0"/>
          <w:marBottom w:val="0"/>
          <w:divBdr>
            <w:top w:val="none" w:sz="0" w:space="0" w:color="auto"/>
            <w:left w:val="none" w:sz="0" w:space="0" w:color="auto"/>
            <w:bottom w:val="none" w:sz="0" w:space="0" w:color="auto"/>
            <w:right w:val="none" w:sz="0" w:space="0" w:color="auto"/>
          </w:divBdr>
          <w:divsChild>
            <w:div w:id="1489054874">
              <w:marLeft w:val="0"/>
              <w:marRight w:val="0"/>
              <w:marTop w:val="0"/>
              <w:marBottom w:val="0"/>
              <w:divBdr>
                <w:top w:val="none" w:sz="0" w:space="0" w:color="auto"/>
                <w:left w:val="none" w:sz="0" w:space="0" w:color="auto"/>
                <w:bottom w:val="none" w:sz="0" w:space="0" w:color="auto"/>
                <w:right w:val="none" w:sz="0" w:space="0" w:color="auto"/>
              </w:divBdr>
              <w:divsChild>
                <w:div w:id="239101314">
                  <w:marLeft w:val="0"/>
                  <w:marRight w:val="0"/>
                  <w:marTop w:val="0"/>
                  <w:marBottom w:val="0"/>
                  <w:divBdr>
                    <w:top w:val="none" w:sz="0" w:space="0" w:color="auto"/>
                    <w:left w:val="none" w:sz="0" w:space="0" w:color="auto"/>
                    <w:bottom w:val="none" w:sz="0" w:space="0" w:color="auto"/>
                    <w:right w:val="none" w:sz="0" w:space="0" w:color="auto"/>
                  </w:divBdr>
                  <w:divsChild>
                    <w:div w:id="1797523460">
                      <w:marLeft w:val="0"/>
                      <w:marRight w:val="0"/>
                      <w:marTop w:val="0"/>
                      <w:marBottom w:val="0"/>
                      <w:divBdr>
                        <w:top w:val="none" w:sz="0" w:space="0" w:color="auto"/>
                        <w:left w:val="none" w:sz="0" w:space="0" w:color="auto"/>
                        <w:bottom w:val="none" w:sz="0" w:space="0" w:color="auto"/>
                        <w:right w:val="none" w:sz="0" w:space="0" w:color="auto"/>
                      </w:divBdr>
                      <w:divsChild>
                        <w:div w:id="1199973455">
                          <w:marLeft w:val="0"/>
                          <w:marRight w:val="0"/>
                          <w:marTop w:val="0"/>
                          <w:marBottom w:val="0"/>
                          <w:divBdr>
                            <w:top w:val="none" w:sz="0" w:space="0" w:color="auto"/>
                            <w:left w:val="none" w:sz="0" w:space="0" w:color="auto"/>
                            <w:bottom w:val="none" w:sz="0" w:space="0" w:color="auto"/>
                            <w:right w:val="none" w:sz="0" w:space="0" w:color="auto"/>
                          </w:divBdr>
                          <w:divsChild>
                            <w:div w:id="1419014294">
                              <w:marLeft w:val="0"/>
                              <w:marRight w:val="0"/>
                              <w:marTop w:val="0"/>
                              <w:marBottom w:val="0"/>
                              <w:divBdr>
                                <w:top w:val="none" w:sz="0" w:space="0" w:color="auto"/>
                                <w:left w:val="none" w:sz="0" w:space="0" w:color="auto"/>
                                <w:bottom w:val="none" w:sz="0" w:space="0" w:color="auto"/>
                                <w:right w:val="none" w:sz="0" w:space="0" w:color="auto"/>
                              </w:divBdr>
                            </w:div>
                            <w:div w:id="1324620206">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 w:id="364140775">
          <w:marLeft w:val="0"/>
          <w:marRight w:val="0"/>
          <w:marTop w:val="0"/>
          <w:marBottom w:val="0"/>
          <w:divBdr>
            <w:top w:val="none" w:sz="0" w:space="0" w:color="auto"/>
            <w:left w:val="none" w:sz="0" w:space="0" w:color="auto"/>
            <w:bottom w:val="none" w:sz="0" w:space="0" w:color="auto"/>
            <w:right w:val="none" w:sz="0" w:space="0" w:color="auto"/>
          </w:divBdr>
          <w:divsChild>
            <w:div w:id="40178550">
              <w:marLeft w:val="0"/>
              <w:marRight w:val="0"/>
              <w:marTop w:val="0"/>
              <w:marBottom w:val="0"/>
              <w:divBdr>
                <w:top w:val="none" w:sz="0" w:space="0" w:color="auto"/>
                <w:left w:val="none" w:sz="0" w:space="0" w:color="auto"/>
                <w:bottom w:val="none" w:sz="0" w:space="0" w:color="auto"/>
                <w:right w:val="none" w:sz="0" w:space="0" w:color="auto"/>
              </w:divBdr>
              <w:divsChild>
                <w:div w:id="1220946016">
                  <w:marLeft w:val="0"/>
                  <w:marRight w:val="0"/>
                  <w:marTop w:val="0"/>
                  <w:marBottom w:val="0"/>
                  <w:divBdr>
                    <w:top w:val="none" w:sz="0" w:space="0" w:color="auto"/>
                    <w:left w:val="none" w:sz="0" w:space="0" w:color="auto"/>
                    <w:bottom w:val="none" w:sz="0" w:space="0" w:color="auto"/>
                    <w:right w:val="none" w:sz="0" w:space="0" w:color="auto"/>
                  </w:divBdr>
                  <w:divsChild>
                    <w:div w:id="499807369">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
  <w:optimizeForBrowser/>
  <w:allowPNG/>
</w:webSettings>
</file>

<file path=word/_rels/document.xml.rels><?xml version="1.0" encoding="UTF-8" standalone="yes"?>
<Relationships xmlns="http://schemas.openxmlformats.org/package/2006/relationships"><Relationship Id="rId3" Type="http://schemas.openxmlformats.org/officeDocument/2006/relationships/settings" Target="settings.xml"/><Relationship Id="rId7" Type="http://schemas.openxmlformats.org/officeDocument/2006/relationships/theme" Target="theme/theme1.xm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fontTable" Target="fontTable.xml"/><Relationship Id="rId5" Type="http://schemas.openxmlformats.org/officeDocument/2006/relationships/image" Target="media/image1.jpeg"/><Relationship Id="rId4" Type="http://schemas.openxmlformats.org/officeDocument/2006/relationships/webSettings" Target="webSetting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Template>
  <TotalTime>7</TotalTime>
  <Pages>4</Pages>
  <Words>936</Words>
  <Characters>5337</Characters>
  <Application>Microsoft Office Word</Application>
  <DocSecurity>0</DocSecurity>
  <Lines>44</Lines>
  <Paragraphs>12</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6261</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Deborah</dc:creator>
  <cp:keywords/>
  <dc:description/>
  <cp:lastModifiedBy>Deborah</cp:lastModifiedBy>
  <cp:revision>1</cp:revision>
  <dcterms:created xsi:type="dcterms:W3CDTF">2019-12-29T13:56:00Z</dcterms:created>
  <dcterms:modified xsi:type="dcterms:W3CDTF">2019-12-29T14:06:00Z</dcterms:modified>
</cp:coreProperties>
</file>