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16E07" w14:textId="76E5C822" w:rsidR="00AA301D" w:rsidRPr="00AA301D" w:rsidRDefault="00AA301D" w:rsidP="00AA301D">
      <w:pPr>
        <w:spacing w:line="360" w:lineRule="auto"/>
        <w:rPr>
          <w:rFonts w:ascii="Arial" w:hAnsi="Arial" w:cs="Arial"/>
          <w:b/>
          <w:bCs/>
          <w:sz w:val="24"/>
          <w:szCs w:val="24"/>
          <w:u w:val="single"/>
        </w:rPr>
      </w:pPr>
      <w:r w:rsidRPr="00AA301D">
        <w:rPr>
          <w:rFonts w:ascii="Arial" w:hAnsi="Arial" w:cs="Arial"/>
          <w:b/>
          <w:bCs/>
          <w:sz w:val="24"/>
          <w:szCs w:val="24"/>
          <w:u w:val="single"/>
        </w:rPr>
        <w:t>Assess the extent of a response officer’s role in dealing with critical and major incidents.</w:t>
      </w:r>
    </w:p>
    <w:p w14:paraId="6D46BF3C" w14:textId="77777777" w:rsidR="00AA301D" w:rsidRPr="00AA301D" w:rsidRDefault="00AA301D" w:rsidP="00AA301D">
      <w:pPr>
        <w:spacing w:line="360" w:lineRule="auto"/>
        <w:rPr>
          <w:rFonts w:ascii="Arial" w:hAnsi="Arial" w:cs="Arial"/>
          <w:sz w:val="24"/>
          <w:szCs w:val="24"/>
        </w:rPr>
      </w:pPr>
    </w:p>
    <w:p w14:paraId="4E233F95"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As an emergency service, the police have a duty to respond to all calls for assistance. Response officers play a crucial role, as they are the frontline of policing and provide the initial response. They must ensure they provide an appropriate response to every incident to ensure they maintain public confidence in the police (College of Policing, 2019). Throughout this essay I will assess the extent of a response officers’ role in dealing with critical and major incidents. </w:t>
      </w:r>
    </w:p>
    <w:p w14:paraId="394B086D" w14:textId="77777777" w:rsidR="00AA301D" w:rsidRPr="00AA301D" w:rsidRDefault="00AA301D" w:rsidP="00AA301D">
      <w:pPr>
        <w:spacing w:line="360" w:lineRule="auto"/>
        <w:rPr>
          <w:rFonts w:ascii="Arial" w:hAnsi="Arial" w:cs="Arial"/>
          <w:sz w:val="24"/>
          <w:szCs w:val="24"/>
        </w:rPr>
      </w:pPr>
    </w:p>
    <w:p w14:paraId="0E8F1A83"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A Critical Incident (CI) is defined as: “any incident where the effectiveness of the police response is likely to have a significant impact on the confidante, their family and/or community” (College of Policing, 2013). </w:t>
      </w:r>
    </w:p>
    <w:p w14:paraId="22F8D00F" w14:textId="77777777" w:rsidR="00AA301D" w:rsidRPr="00AA301D" w:rsidRDefault="00AA301D" w:rsidP="00AA301D">
      <w:pPr>
        <w:spacing w:line="360" w:lineRule="auto"/>
        <w:rPr>
          <w:rFonts w:ascii="Arial" w:hAnsi="Arial" w:cs="Arial"/>
          <w:sz w:val="24"/>
          <w:szCs w:val="24"/>
        </w:rPr>
      </w:pPr>
    </w:p>
    <w:p w14:paraId="3E529954"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A Major Incident (MI) is defined as: “an event or situation with a range of serious consequences which requires special arrangements to be implemented by one or more emergency responder agency” (JESIP, 2023).</w:t>
      </w:r>
    </w:p>
    <w:p w14:paraId="01D1091B" w14:textId="77777777" w:rsidR="00AA301D" w:rsidRPr="00AA301D" w:rsidRDefault="00AA301D" w:rsidP="00AA301D">
      <w:pPr>
        <w:spacing w:line="360" w:lineRule="auto"/>
        <w:rPr>
          <w:rFonts w:ascii="Arial" w:hAnsi="Arial" w:cs="Arial"/>
          <w:sz w:val="24"/>
          <w:szCs w:val="24"/>
        </w:rPr>
      </w:pPr>
    </w:p>
    <w:p w14:paraId="4B56FF44"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The definitions are broad which allows them to be applicable in a variety of circumstances to ensure incidents that are capable of being CI/MI are not missed. Whilst most incidents develop from high profile and/or large-scale incidents, a wide range of incidents, including smaller/ less serious and internal incidents also have the capacity to develop into CI (College of Policing, 2013). Therefore, it is essential for responding officers to be able to quickly identify a CI/MI. However, response policing encapsulates ambiguity and uncertainty, circumstances of incidents reported are often not what they are (ACPO, 2007) meaning officers must make quick time decisions in high pressure situations. Studies evidence that in emergency circumstances stress increases the likelihood of making the wrong decision (Roycroft &amp; Roach, 2019) which negatively impacts the public perception of police. For a response officer to effectively respond to a CI/MI they must manage their own stress levels and emotional well-being, as successfully doing so allows them to be able to protect, reassure and support communities (Brown et al., 2021). </w:t>
      </w:r>
    </w:p>
    <w:p w14:paraId="638B9EDB" w14:textId="77777777" w:rsidR="00AA301D" w:rsidRPr="00AA301D" w:rsidRDefault="00AA301D" w:rsidP="00AA301D">
      <w:pPr>
        <w:spacing w:line="360" w:lineRule="auto"/>
        <w:rPr>
          <w:rFonts w:ascii="Arial" w:hAnsi="Arial" w:cs="Arial"/>
          <w:sz w:val="24"/>
          <w:szCs w:val="24"/>
        </w:rPr>
      </w:pPr>
    </w:p>
    <w:p w14:paraId="7E5A2F84"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lastRenderedPageBreak/>
        <w:t xml:space="preserve">During MI/CI response officers must not only maintain community safety, but also try to predict how their actions will be perceived. It is essential that they can communicate effectively and build relationships with diverse cultures (Brown et al., 2021), demonstrating an understanding of how incidents can impact individuals differently. This acknowledgement and early recognition allow officers to establish the correct response to apply to the incident preventing a significant loss of confidence in police (College of Policing, 2013). However, it is important to note that even when correctly managed MI/CI can still have a negative impact on the victim, their family and the wider communities trust and confidence in police (Macpherson, 1999).  </w:t>
      </w:r>
    </w:p>
    <w:p w14:paraId="64DDD3BC" w14:textId="77777777" w:rsidR="00AA301D" w:rsidRPr="00AA301D" w:rsidRDefault="00AA301D" w:rsidP="00AA301D">
      <w:pPr>
        <w:spacing w:line="360" w:lineRule="auto"/>
        <w:rPr>
          <w:rFonts w:ascii="Arial" w:hAnsi="Arial" w:cs="Arial"/>
          <w:sz w:val="24"/>
          <w:szCs w:val="24"/>
        </w:rPr>
      </w:pPr>
    </w:p>
    <w:p w14:paraId="2D10CC02"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Research by the NIPA (2011) highlighted that 32% of CI are due to inconsistent application and implementation of police procedures and this is the main contributing factor in the development of CI. Being first on scene at the incident, a response officer must implement a strategy to manage the incident. However, in times of critical incidents there is a lack of communication, coordination, and collaboration throughout different levels of the police force (Bye et al., 2019). Therefore, it is unsurprising that without clear leadership and guidance response officers do not follow protocols. The Mayhill Disturbance Swansea in May 2021 highlighted how this can have catastrophic consequences for both the police and community. The Independent Learning Review (2021) following the CI revealed South Wales Police recognised the severity of the incident too late, did not deploy resources effectively and had no clear command structure or protocols in place, resulting in a breakdown in communication. Residents felt unprotected and let down by police, resulting in the loss of trust and confidence in the police and response officers bear the brunt of the backlash of these failings.</w:t>
      </w:r>
    </w:p>
    <w:p w14:paraId="786F341A" w14:textId="77777777" w:rsidR="00AA301D" w:rsidRPr="00AA301D" w:rsidRDefault="00AA301D" w:rsidP="00AA301D">
      <w:pPr>
        <w:spacing w:line="360" w:lineRule="auto"/>
        <w:rPr>
          <w:rFonts w:ascii="Arial" w:hAnsi="Arial" w:cs="Arial"/>
          <w:sz w:val="24"/>
          <w:szCs w:val="24"/>
        </w:rPr>
      </w:pPr>
    </w:p>
    <w:p w14:paraId="5D2EBF4E"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When responding to MI jointly with other emergency services, response officers are faced with challenges that impact how successfully they respond. The differentiation and lack of familiarity in terms of areas of expertise, working tactics and job specific language between emergency services, coupled with agencies arriving and departing the MI at different times means it is difficult to maintain consistent and effective communication between them (Fodor &amp; </w:t>
      </w:r>
      <w:proofErr w:type="spellStart"/>
      <w:r w:rsidRPr="00AA301D">
        <w:rPr>
          <w:rFonts w:ascii="Arial" w:hAnsi="Arial" w:cs="Arial"/>
          <w:sz w:val="24"/>
          <w:szCs w:val="24"/>
        </w:rPr>
        <w:t>Flestea</w:t>
      </w:r>
      <w:proofErr w:type="spellEnd"/>
      <w:r w:rsidRPr="00AA301D">
        <w:rPr>
          <w:rFonts w:ascii="Arial" w:hAnsi="Arial" w:cs="Arial"/>
          <w:sz w:val="24"/>
          <w:szCs w:val="24"/>
        </w:rPr>
        <w:t xml:space="preserve">, 2016). The Kerslake Report (2018) highlighted that during the 2017 Manchester Arena Terrorist incident </w:t>
      </w:r>
      <w:r w:rsidRPr="00AA301D">
        <w:rPr>
          <w:rFonts w:ascii="Arial" w:hAnsi="Arial" w:cs="Arial"/>
          <w:sz w:val="24"/>
          <w:szCs w:val="24"/>
        </w:rPr>
        <w:lastRenderedPageBreak/>
        <w:t xml:space="preserve">lack of communication between the Police and Fire Service resulted in a 2-hour delay in the deployment of the Fire Service and as a result the skills and expertise were not utilised. In order to address this, The Joint Emergency Services Intraoperatively Programme (JESIP) was introduced by the Home Office (2021) and sets out a collaborative working framework for all emergency services when responding to MI. Response officers play an important role in the application of the </w:t>
      </w:r>
      <w:proofErr w:type="gramStart"/>
      <w:r w:rsidRPr="00AA301D">
        <w:rPr>
          <w:rFonts w:ascii="Arial" w:hAnsi="Arial" w:cs="Arial"/>
          <w:sz w:val="24"/>
          <w:szCs w:val="24"/>
        </w:rPr>
        <w:t>programmes</w:t>
      </w:r>
      <w:proofErr w:type="gramEnd"/>
      <w:r w:rsidRPr="00AA301D">
        <w:rPr>
          <w:rFonts w:ascii="Arial" w:hAnsi="Arial" w:cs="Arial"/>
          <w:sz w:val="24"/>
          <w:szCs w:val="24"/>
        </w:rPr>
        <w:t xml:space="preserve"> principles, co-locate, communicate, and coordinate, jointly understanding risk and shared situational awareness (JESIP, 2022). They are the eyes and ears on the ground providing information to control rooms and senior officers allowing coordination between services. This is facilitated through the M/ETHANE assessment which provides a common structure for incident information to be accurately recorded and shared, resulting in a faster and effective response to MI by all agencies involved (JESIP, 2022). </w:t>
      </w:r>
    </w:p>
    <w:p w14:paraId="656E08E5" w14:textId="77777777" w:rsidR="00AA301D" w:rsidRPr="00AA301D" w:rsidRDefault="00AA301D" w:rsidP="00AA301D">
      <w:pPr>
        <w:spacing w:line="360" w:lineRule="auto"/>
        <w:rPr>
          <w:rFonts w:ascii="Arial" w:hAnsi="Arial" w:cs="Arial"/>
          <w:sz w:val="24"/>
          <w:szCs w:val="24"/>
          <w:highlight w:val="yellow"/>
        </w:rPr>
      </w:pPr>
    </w:p>
    <w:p w14:paraId="4958392B"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To ensure that response officers are can effectively deal with MI/CI and produce outcomes that both improve and increase public relations and confidence in police, research highlights that training new police recruits and serving police officers needs to be focused on scenario-based training (SBT) (Jenkins et al., 2021). SBT replicates the characteristics of MI/CI in a controlled environment. The realistic nature of the scenarios prompt the same psychological and physiological responses that officers would experience in the operational setting (Alison et al.,2013; Anderson et al.,</w:t>
      </w:r>
      <w:proofErr w:type="gramStart"/>
      <w:r w:rsidRPr="00AA301D">
        <w:rPr>
          <w:rFonts w:ascii="Arial" w:hAnsi="Arial" w:cs="Arial"/>
          <w:sz w:val="24"/>
          <w:szCs w:val="24"/>
        </w:rPr>
        <w:t>2016;Klein</w:t>
      </w:r>
      <w:proofErr w:type="gramEnd"/>
      <w:r w:rsidRPr="00AA301D">
        <w:rPr>
          <w:rFonts w:ascii="Arial" w:hAnsi="Arial" w:cs="Arial"/>
          <w:sz w:val="24"/>
          <w:szCs w:val="24"/>
        </w:rPr>
        <w:t xml:space="preserve"> and Woods,1993). Objective feedback, which includes open discussion, helps to reinforce </w:t>
      </w:r>
      <w:proofErr w:type="gramStart"/>
      <w:r w:rsidRPr="00AA301D">
        <w:rPr>
          <w:rFonts w:ascii="Arial" w:hAnsi="Arial" w:cs="Arial"/>
          <w:sz w:val="24"/>
          <w:szCs w:val="24"/>
        </w:rPr>
        <w:t>learning</w:t>
      </w:r>
      <w:proofErr w:type="gramEnd"/>
      <w:r w:rsidRPr="00AA301D">
        <w:rPr>
          <w:rFonts w:ascii="Arial" w:hAnsi="Arial" w:cs="Arial"/>
          <w:sz w:val="24"/>
          <w:szCs w:val="24"/>
        </w:rPr>
        <w:t xml:space="preserve"> and improve future performance by identifying how individual officers may react during incidents due to their personality traits (Huhta et al., 2021). Research highlighting the benefits of training officers using SBT was recognised in the Officer Staff Safety Review (NPCC, 2020) and South Wales Police will be implementing Public and Person Safety Training in January 2024. This will allow response officers to refine decision making skills in a realistic environment (South Wales Police, 2023), developing their </w:t>
      </w:r>
      <w:proofErr w:type="gramStart"/>
      <w:r w:rsidRPr="00AA301D">
        <w:rPr>
          <w:rFonts w:ascii="Arial" w:hAnsi="Arial" w:cs="Arial"/>
          <w:sz w:val="24"/>
          <w:szCs w:val="24"/>
        </w:rPr>
        <w:t>knowledge</w:t>
      </w:r>
      <w:proofErr w:type="gramEnd"/>
      <w:r w:rsidRPr="00AA301D">
        <w:rPr>
          <w:rFonts w:ascii="Arial" w:hAnsi="Arial" w:cs="Arial"/>
          <w:sz w:val="24"/>
          <w:szCs w:val="24"/>
        </w:rPr>
        <w:t xml:space="preserve"> and improving their response to MI/CI. </w:t>
      </w:r>
    </w:p>
    <w:p w14:paraId="589609C0" w14:textId="77777777" w:rsidR="00AA301D" w:rsidRPr="00AA301D" w:rsidRDefault="00AA301D" w:rsidP="00AA301D">
      <w:pPr>
        <w:spacing w:line="360" w:lineRule="auto"/>
        <w:rPr>
          <w:rFonts w:ascii="Arial" w:hAnsi="Arial" w:cs="Arial"/>
          <w:sz w:val="24"/>
          <w:szCs w:val="24"/>
        </w:rPr>
      </w:pPr>
    </w:p>
    <w:p w14:paraId="0F00F082" w14:textId="77777777" w:rsidR="00AA301D" w:rsidRPr="00AA301D" w:rsidRDefault="00AA301D" w:rsidP="00AA301D">
      <w:pPr>
        <w:spacing w:line="360" w:lineRule="auto"/>
        <w:rPr>
          <w:rFonts w:ascii="Arial" w:hAnsi="Arial" w:cs="Arial"/>
          <w:sz w:val="24"/>
          <w:szCs w:val="24"/>
        </w:rPr>
      </w:pPr>
      <w:bookmarkStart w:id="0" w:name="_Hlk153465108"/>
      <w:r w:rsidRPr="00AA301D">
        <w:rPr>
          <w:rFonts w:ascii="Arial" w:hAnsi="Arial" w:cs="Arial"/>
          <w:sz w:val="24"/>
          <w:szCs w:val="24"/>
        </w:rPr>
        <w:t xml:space="preserve">In conclusion, to ensure an effective response to an MI/CI it must be articulated by a unified workforce with each responder being aware of their role and working in cohesion (Brown et al., 2021). With further development of training, both internally </w:t>
      </w:r>
      <w:r w:rsidRPr="00AA301D">
        <w:rPr>
          <w:rFonts w:ascii="Arial" w:hAnsi="Arial" w:cs="Arial"/>
          <w:sz w:val="24"/>
          <w:szCs w:val="24"/>
        </w:rPr>
        <w:lastRenderedPageBreak/>
        <w:t xml:space="preserve">within the police, and collaboratively with other emergency services, this will ensure response officers are equipped to respond to MI/CI effectively and safeguard communities. Therefore, improving the overall public perception of police. </w:t>
      </w:r>
      <w:bookmarkEnd w:id="0"/>
    </w:p>
    <w:p w14:paraId="321751F7" w14:textId="77777777" w:rsidR="00AA301D" w:rsidRPr="00AA301D" w:rsidRDefault="00AA301D" w:rsidP="00AA301D">
      <w:pPr>
        <w:spacing w:line="360" w:lineRule="auto"/>
        <w:rPr>
          <w:rFonts w:ascii="Arial" w:hAnsi="Arial" w:cs="Arial"/>
          <w:sz w:val="24"/>
          <w:szCs w:val="24"/>
        </w:rPr>
      </w:pPr>
    </w:p>
    <w:p w14:paraId="43B0470C" w14:textId="77777777" w:rsidR="00AA301D" w:rsidRPr="00AA301D" w:rsidRDefault="00AA301D" w:rsidP="00AA301D">
      <w:pPr>
        <w:spacing w:line="360" w:lineRule="auto"/>
        <w:rPr>
          <w:rFonts w:ascii="Arial" w:hAnsi="Arial" w:cs="Arial"/>
          <w:b/>
          <w:bCs/>
          <w:sz w:val="24"/>
          <w:szCs w:val="24"/>
          <w:u w:val="single"/>
        </w:rPr>
      </w:pPr>
      <w:r w:rsidRPr="00AA301D">
        <w:rPr>
          <w:rFonts w:ascii="Arial" w:hAnsi="Arial" w:cs="Arial"/>
          <w:b/>
          <w:bCs/>
          <w:sz w:val="24"/>
          <w:szCs w:val="24"/>
          <w:u w:val="single"/>
        </w:rPr>
        <w:t xml:space="preserve">Word Count: 1097 </w:t>
      </w:r>
    </w:p>
    <w:p w14:paraId="2BEEB3C1" w14:textId="77777777" w:rsidR="00AA301D" w:rsidRPr="00AA301D" w:rsidRDefault="00AA301D" w:rsidP="00AA301D">
      <w:pPr>
        <w:spacing w:line="360" w:lineRule="auto"/>
        <w:rPr>
          <w:rFonts w:ascii="Arial" w:hAnsi="Arial" w:cs="Arial"/>
          <w:sz w:val="24"/>
          <w:szCs w:val="24"/>
        </w:rPr>
      </w:pPr>
    </w:p>
    <w:p w14:paraId="64FA638C" w14:textId="77777777" w:rsidR="00AA301D" w:rsidRPr="00AA301D" w:rsidRDefault="00AA301D" w:rsidP="00AA301D">
      <w:pPr>
        <w:spacing w:line="360" w:lineRule="auto"/>
        <w:rPr>
          <w:rFonts w:ascii="Arial" w:hAnsi="Arial" w:cs="Arial"/>
          <w:sz w:val="24"/>
          <w:szCs w:val="24"/>
        </w:rPr>
      </w:pPr>
    </w:p>
    <w:p w14:paraId="01ABA93F" w14:textId="77777777" w:rsidR="00AA301D" w:rsidRPr="00AA301D" w:rsidRDefault="00AA301D" w:rsidP="00AA301D">
      <w:pPr>
        <w:spacing w:line="360" w:lineRule="auto"/>
        <w:rPr>
          <w:rFonts w:ascii="Arial" w:hAnsi="Arial" w:cs="Arial"/>
          <w:sz w:val="24"/>
          <w:szCs w:val="24"/>
        </w:rPr>
      </w:pPr>
    </w:p>
    <w:p w14:paraId="608E697D" w14:textId="77777777" w:rsidR="00AA301D" w:rsidRPr="00AA301D" w:rsidRDefault="00AA301D" w:rsidP="00AA301D">
      <w:pPr>
        <w:spacing w:line="360" w:lineRule="auto"/>
        <w:rPr>
          <w:rFonts w:ascii="Arial" w:hAnsi="Arial" w:cs="Arial"/>
          <w:sz w:val="24"/>
          <w:szCs w:val="24"/>
        </w:rPr>
      </w:pPr>
    </w:p>
    <w:p w14:paraId="73083821" w14:textId="77777777" w:rsidR="00AA301D" w:rsidRPr="00AA301D" w:rsidRDefault="00AA301D" w:rsidP="00AA301D">
      <w:pPr>
        <w:spacing w:line="360" w:lineRule="auto"/>
        <w:rPr>
          <w:rFonts w:ascii="Arial" w:hAnsi="Arial" w:cs="Arial"/>
          <w:sz w:val="24"/>
          <w:szCs w:val="24"/>
        </w:rPr>
      </w:pPr>
    </w:p>
    <w:p w14:paraId="45D8258B" w14:textId="77777777" w:rsidR="00AA301D" w:rsidRPr="00AA301D" w:rsidRDefault="00AA301D" w:rsidP="00AA301D">
      <w:pPr>
        <w:spacing w:line="360" w:lineRule="auto"/>
        <w:rPr>
          <w:rFonts w:ascii="Arial" w:hAnsi="Arial" w:cs="Arial"/>
          <w:sz w:val="24"/>
          <w:szCs w:val="24"/>
        </w:rPr>
      </w:pPr>
    </w:p>
    <w:p w14:paraId="7CED83DD" w14:textId="77777777" w:rsidR="00AA301D" w:rsidRPr="00AA301D" w:rsidRDefault="00AA301D" w:rsidP="00AA301D">
      <w:pPr>
        <w:spacing w:line="360" w:lineRule="auto"/>
        <w:rPr>
          <w:rFonts w:ascii="Arial" w:hAnsi="Arial" w:cs="Arial"/>
          <w:sz w:val="24"/>
          <w:szCs w:val="24"/>
        </w:rPr>
      </w:pPr>
    </w:p>
    <w:p w14:paraId="027897B6" w14:textId="77777777" w:rsidR="00AA301D" w:rsidRPr="00AA301D" w:rsidRDefault="00AA301D" w:rsidP="00AA301D">
      <w:pPr>
        <w:spacing w:line="360" w:lineRule="auto"/>
        <w:rPr>
          <w:rFonts w:ascii="Arial" w:hAnsi="Arial" w:cs="Arial"/>
          <w:sz w:val="24"/>
          <w:szCs w:val="24"/>
        </w:rPr>
      </w:pPr>
    </w:p>
    <w:p w14:paraId="0B1BA220" w14:textId="77777777" w:rsidR="00AA301D" w:rsidRPr="00AA301D" w:rsidRDefault="00AA301D" w:rsidP="00AA301D">
      <w:pPr>
        <w:spacing w:line="360" w:lineRule="auto"/>
        <w:rPr>
          <w:rFonts w:ascii="Arial" w:hAnsi="Arial" w:cs="Arial"/>
          <w:sz w:val="24"/>
          <w:szCs w:val="24"/>
        </w:rPr>
      </w:pPr>
    </w:p>
    <w:p w14:paraId="089774D8" w14:textId="77777777" w:rsidR="00AA301D" w:rsidRPr="00AA301D" w:rsidRDefault="00AA301D" w:rsidP="00AA301D">
      <w:pPr>
        <w:spacing w:line="360" w:lineRule="auto"/>
        <w:rPr>
          <w:rFonts w:ascii="Arial" w:hAnsi="Arial" w:cs="Arial"/>
          <w:sz w:val="24"/>
          <w:szCs w:val="24"/>
        </w:rPr>
      </w:pPr>
    </w:p>
    <w:p w14:paraId="44A4AD9B" w14:textId="77777777" w:rsidR="00AA301D" w:rsidRPr="00AA301D" w:rsidRDefault="00AA301D" w:rsidP="00AA301D">
      <w:pPr>
        <w:spacing w:line="360" w:lineRule="auto"/>
        <w:rPr>
          <w:rFonts w:ascii="Arial" w:hAnsi="Arial" w:cs="Arial"/>
          <w:sz w:val="24"/>
          <w:szCs w:val="24"/>
        </w:rPr>
      </w:pPr>
    </w:p>
    <w:p w14:paraId="5ECB953C" w14:textId="77777777" w:rsidR="00AA301D" w:rsidRPr="00AA301D" w:rsidRDefault="00AA301D" w:rsidP="00AA301D">
      <w:pPr>
        <w:spacing w:line="360" w:lineRule="auto"/>
        <w:rPr>
          <w:rFonts w:ascii="Arial" w:hAnsi="Arial" w:cs="Arial"/>
          <w:sz w:val="24"/>
          <w:szCs w:val="24"/>
        </w:rPr>
      </w:pPr>
    </w:p>
    <w:p w14:paraId="15B4D871" w14:textId="77777777" w:rsidR="00AA301D" w:rsidRPr="00AA301D" w:rsidRDefault="00AA301D" w:rsidP="00AA301D">
      <w:pPr>
        <w:spacing w:line="360" w:lineRule="auto"/>
        <w:rPr>
          <w:rFonts w:ascii="Arial" w:hAnsi="Arial" w:cs="Arial"/>
          <w:sz w:val="24"/>
          <w:szCs w:val="24"/>
        </w:rPr>
      </w:pPr>
    </w:p>
    <w:p w14:paraId="12FEAC5B" w14:textId="77777777" w:rsidR="00AA301D" w:rsidRPr="00AA301D" w:rsidRDefault="00AA301D" w:rsidP="00AA301D">
      <w:pPr>
        <w:spacing w:line="360" w:lineRule="auto"/>
        <w:rPr>
          <w:rFonts w:ascii="Arial" w:hAnsi="Arial" w:cs="Arial"/>
          <w:sz w:val="24"/>
          <w:szCs w:val="24"/>
        </w:rPr>
      </w:pPr>
    </w:p>
    <w:p w14:paraId="1DE0B508" w14:textId="77777777" w:rsidR="00AA301D" w:rsidRPr="00AA301D" w:rsidRDefault="00AA301D" w:rsidP="00AA301D">
      <w:pPr>
        <w:spacing w:line="360" w:lineRule="auto"/>
        <w:rPr>
          <w:rFonts w:ascii="Arial" w:hAnsi="Arial" w:cs="Arial"/>
          <w:sz w:val="24"/>
          <w:szCs w:val="24"/>
        </w:rPr>
      </w:pPr>
    </w:p>
    <w:p w14:paraId="68CAC4B3" w14:textId="77777777" w:rsidR="00AA301D" w:rsidRPr="00AA301D" w:rsidRDefault="00AA301D" w:rsidP="00AA301D">
      <w:pPr>
        <w:spacing w:line="360" w:lineRule="auto"/>
        <w:rPr>
          <w:rFonts w:ascii="Arial" w:hAnsi="Arial" w:cs="Arial"/>
          <w:sz w:val="24"/>
          <w:szCs w:val="24"/>
        </w:rPr>
      </w:pPr>
    </w:p>
    <w:p w14:paraId="12B3EE90" w14:textId="77777777" w:rsidR="00AA301D" w:rsidRPr="00AA301D" w:rsidRDefault="00AA301D" w:rsidP="00AA301D">
      <w:pPr>
        <w:spacing w:line="360" w:lineRule="auto"/>
        <w:rPr>
          <w:rFonts w:ascii="Arial" w:hAnsi="Arial" w:cs="Arial"/>
          <w:sz w:val="24"/>
          <w:szCs w:val="24"/>
        </w:rPr>
      </w:pPr>
    </w:p>
    <w:p w14:paraId="2843DC1B" w14:textId="77777777" w:rsidR="00AA301D" w:rsidRPr="00AA301D" w:rsidRDefault="00AA301D" w:rsidP="00AA301D">
      <w:pPr>
        <w:spacing w:line="360" w:lineRule="auto"/>
        <w:rPr>
          <w:rFonts w:ascii="Arial" w:hAnsi="Arial" w:cs="Arial"/>
          <w:sz w:val="24"/>
          <w:szCs w:val="24"/>
        </w:rPr>
      </w:pPr>
    </w:p>
    <w:p w14:paraId="47F2D8EA" w14:textId="77777777" w:rsidR="00AA301D" w:rsidRPr="00AA301D" w:rsidRDefault="00AA301D" w:rsidP="00AA301D">
      <w:pPr>
        <w:spacing w:line="360" w:lineRule="auto"/>
        <w:rPr>
          <w:rFonts w:ascii="Arial" w:hAnsi="Arial" w:cs="Arial"/>
          <w:sz w:val="24"/>
          <w:szCs w:val="24"/>
        </w:rPr>
      </w:pPr>
    </w:p>
    <w:p w14:paraId="081BA902" w14:textId="77777777" w:rsidR="00AA301D" w:rsidRPr="00AA301D" w:rsidRDefault="00AA301D" w:rsidP="00AA301D">
      <w:pPr>
        <w:spacing w:line="360" w:lineRule="auto"/>
        <w:rPr>
          <w:rFonts w:ascii="Arial" w:hAnsi="Arial" w:cs="Arial"/>
          <w:sz w:val="24"/>
          <w:szCs w:val="24"/>
        </w:rPr>
      </w:pPr>
    </w:p>
    <w:p w14:paraId="3BE5DD99" w14:textId="77777777" w:rsidR="00AA301D" w:rsidRPr="00AA301D" w:rsidRDefault="00AA301D" w:rsidP="00AA301D">
      <w:pPr>
        <w:spacing w:line="360" w:lineRule="auto"/>
        <w:rPr>
          <w:rFonts w:ascii="Arial" w:hAnsi="Arial" w:cs="Arial"/>
          <w:sz w:val="24"/>
          <w:szCs w:val="24"/>
        </w:rPr>
      </w:pPr>
    </w:p>
    <w:p w14:paraId="670FFC78" w14:textId="77777777" w:rsidR="00AA301D" w:rsidRPr="00AA301D" w:rsidRDefault="00AA301D" w:rsidP="00AA301D">
      <w:pPr>
        <w:spacing w:line="360" w:lineRule="auto"/>
        <w:rPr>
          <w:rFonts w:ascii="Arial" w:hAnsi="Arial" w:cs="Arial"/>
          <w:sz w:val="24"/>
          <w:szCs w:val="24"/>
        </w:rPr>
      </w:pPr>
    </w:p>
    <w:p w14:paraId="4B5E6DBF" w14:textId="77777777" w:rsidR="00AA301D" w:rsidRPr="00AA301D" w:rsidRDefault="00AA301D" w:rsidP="00AA301D">
      <w:pPr>
        <w:spacing w:line="360" w:lineRule="auto"/>
        <w:rPr>
          <w:rFonts w:ascii="Arial" w:hAnsi="Arial" w:cs="Arial"/>
          <w:sz w:val="24"/>
          <w:szCs w:val="24"/>
        </w:rPr>
      </w:pPr>
    </w:p>
    <w:p w14:paraId="587C83F2" w14:textId="77777777" w:rsidR="00AA301D" w:rsidRPr="00AA301D" w:rsidRDefault="00AA301D" w:rsidP="00AA301D">
      <w:pPr>
        <w:spacing w:line="360" w:lineRule="auto"/>
        <w:rPr>
          <w:rFonts w:ascii="Arial" w:hAnsi="Arial" w:cs="Arial"/>
          <w:sz w:val="24"/>
          <w:szCs w:val="24"/>
        </w:rPr>
      </w:pPr>
    </w:p>
    <w:p w14:paraId="6DB73FFC" w14:textId="77777777" w:rsidR="00AA301D" w:rsidRPr="00AA301D" w:rsidRDefault="00AA301D" w:rsidP="00AA301D">
      <w:pPr>
        <w:spacing w:line="360" w:lineRule="auto"/>
        <w:rPr>
          <w:rFonts w:ascii="Arial" w:hAnsi="Arial" w:cs="Arial"/>
          <w:sz w:val="24"/>
          <w:szCs w:val="24"/>
        </w:rPr>
      </w:pPr>
    </w:p>
    <w:p w14:paraId="703B7B9B" w14:textId="77777777" w:rsidR="00AA301D" w:rsidRPr="00AA301D" w:rsidRDefault="00AA301D" w:rsidP="00AA301D">
      <w:pPr>
        <w:spacing w:line="360" w:lineRule="auto"/>
        <w:rPr>
          <w:rFonts w:ascii="Arial" w:hAnsi="Arial" w:cs="Arial"/>
          <w:sz w:val="24"/>
          <w:szCs w:val="24"/>
        </w:rPr>
      </w:pPr>
    </w:p>
    <w:p w14:paraId="2565388B" w14:textId="77777777" w:rsidR="00AA301D" w:rsidRPr="00AA301D" w:rsidRDefault="00AA301D" w:rsidP="00AA301D">
      <w:pPr>
        <w:spacing w:line="360" w:lineRule="auto"/>
        <w:rPr>
          <w:rFonts w:ascii="Arial" w:hAnsi="Arial" w:cs="Arial"/>
          <w:sz w:val="24"/>
          <w:szCs w:val="24"/>
        </w:rPr>
      </w:pPr>
    </w:p>
    <w:p w14:paraId="4FC672A1" w14:textId="77777777" w:rsidR="00AA301D" w:rsidRDefault="00AA301D" w:rsidP="00AA301D">
      <w:pPr>
        <w:spacing w:line="360" w:lineRule="auto"/>
        <w:rPr>
          <w:rFonts w:ascii="Arial" w:hAnsi="Arial" w:cs="Arial"/>
          <w:sz w:val="24"/>
          <w:szCs w:val="24"/>
        </w:rPr>
      </w:pPr>
    </w:p>
    <w:p w14:paraId="636C136F" w14:textId="5E99DD2A" w:rsidR="00AA301D" w:rsidRPr="00AA301D" w:rsidRDefault="00AA301D" w:rsidP="00AA301D">
      <w:pPr>
        <w:spacing w:line="360" w:lineRule="auto"/>
        <w:rPr>
          <w:rFonts w:ascii="Arial" w:hAnsi="Arial" w:cs="Arial"/>
          <w:b/>
          <w:bCs/>
          <w:sz w:val="24"/>
          <w:szCs w:val="24"/>
          <w:u w:val="single"/>
        </w:rPr>
      </w:pPr>
      <w:r w:rsidRPr="00AA301D">
        <w:rPr>
          <w:rFonts w:ascii="Arial" w:hAnsi="Arial" w:cs="Arial"/>
          <w:b/>
          <w:bCs/>
          <w:sz w:val="24"/>
          <w:szCs w:val="24"/>
          <w:u w:val="single"/>
        </w:rPr>
        <w:lastRenderedPageBreak/>
        <w:t xml:space="preserve">How effective are cognitive interviews as a means of obtaining initial accounts from victims and witnesses? </w:t>
      </w:r>
    </w:p>
    <w:p w14:paraId="44326663" w14:textId="77777777" w:rsidR="00AA301D" w:rsidRPr="00AA301D" w:rsidRDefault="00AA301D" w:rsidP="00AA301D">
      <w:pPr>
        <w:spacing w:line="360" w:lineRule="auto"/>
        <w:rPr>
          <w:rFonts w:ascii="Arial" w:hAnsi="Arial" w:cs="Arial"/>
          <w:sz w:val="24"/>
          <w:szCs w:val="24"/>
        </w:rPr>
      </w:pPr>
    </w:p>
    <w:p w14:paraId="5C8EAE5E"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Throughout this essay I will evaluate the effectiveness of cognitive interviews as a means of obtaining initial accounts from victims and witnesses. </w:t>
      </w:r>
    </w:p>
    <w:p w14:paraId="68C43426" w14:textId="77777777" w:rsidR="00AA301D" w:rsidRPr="00AA301D" w:rsidRDefault="00AA301D" w:rsidP="00AA301D">
      <w:pPr>
        <w:spacing w:line="360" w:lineRule="auto"/>
        <w:rPr>
          <w:rFonts w:ascii="Arial" w:hAnsi="Arial" w:cs="Arial"/>
          <w:sz w:val="24"/>
          <w:szCs w:val="24"/>
        </w:rPr>
      </w:pPr>
    </w:p>
    <w:p w14:paraId="4A117424"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When conducting a criminal investigation, the police have two main objectives, discovering what has happened and who is responsible. Information provided by victims/witnesses at interview is crucial to this (Kebbell &amp; Milne 1998; Milne &amp; Bull, 2006). Therefore, it is essential that interviews are conducted in a way that maximises the amount of information obtained. Cognitive interviewing (CI) was developed by psychologists, Geiselman and Fisher (1992) and uses memory retrieval and communication techniques designed to increase the amount of information obtained for witnesses. </w:t>
      </w:r>
    </w:p>
    <w:p w14:paraId="1AA156DB" w14:textId="77777777" w:rsidR="00AA301D" w:rsidRPr="00AA301D" w:rsidRDefault="00AA301D" w:rsidP="00AA301D">
      <w:pPr>
        <w:spacing w:line="360" w:lineRule="auto"/>
        <w:rPr>
          <w:rFonts w:ascii="Arial" w:hAnsi="Arial" w:cs="Arial"/>
          <w:sz w:val="24"/>
          <w:szCs w:val="24"/>
        </w:rPr>
      </w:pPr>
    </w:p>
    <w:p w14:paraId="3A8DD7DD"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The principles of CI have been incorporated by the National Investigative Interviewing Strategy (2009) to develop effective interview strategies that help interviewers gain detailed and accurate accounts (Milne et al, 2008). This is further highlighted by the “PEACE” interview model. This was developed by the Association of Chief Police Officers (ACPO) in 1992 and the acronym highlights the phases of the interview process as follows:</w:t>
      </w:r>
    </w:p>
    <w:p w14:paraId="6E9F1DFC"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Planning and Preparation, Engage and Explain, Account, Closure, and Evaluation.</w:t>
      </w:r>
    </w:p>
    <w:p w14:paraId="694E518B"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The PEACE model advocates the use of CI and provides officers with an interview structure that encapsulates the psychology of communication, interpersonal skills, and use of open-ended questions (Hargie &amp; Dickson, 2004) to ensure officers obtain a full and accurate account. </w:t>
      </w:r>
    </w:p>
    <w:p w14:paraId="7C9B2B37" w14:textId="77777777" w:rsidR="00AA301D" w:rsidRPr="00AA301D" w:rsidRDefault="00AA301D" w:rsidP="00AA301D">
      <w:pPr>
        <w:spacing w:line="360" w:lineRule="auto"/>
        <w:rPr>
          <w:rFonts w:ascii="Arial" w:hAnsi="Arial" w:cs="Arial"/>
          <w:sz w:val="24"/>
          <w:szCs w:val="24"/>
        </w:rPr>
      </w:pPr>
    </w:p>
    <w:p w14:paraId="67D5E87F"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Research has shown that stress and anxiety have a negative impact on the interviewees ability to recall events (</w:t>
      </w:r>
      <w:proofErr w:type="spellStart"/>
      <w:r w:rsidRPr="00AA301D">
        <w:rPr>
          <w:rFonts w:ascii="Arial" w:hAnsi="Arial" w:cs="Arial"/>
          <w:sz w:val="24"/>
          <w:szCs w:val="24"/>
        </w:rPr>
        <w:t>Kieckhaefer</w:t>
      </w:r>
      <w:proofErr w:type="spellEnd"/>
      <w:r w:rsidRPr="00AA301D">
        <w:rPr>
          <w:rFonts w:ascii="Arial" w:hAnsi="Arial" w:cs="Arial"/>
          <w:sz w:val="24"/>
          <w:szCs w:val="24"/>
        </w:rPr>
        <w:t xml:space="preserve"> et al., 2014). A victim/witness may feel stressed due to a combination of personal factors, the incident itself can be traumatic and asking a victim to recall the event can cause them stress. In addition to the interview process itself, dealing with the police can also be a be a source of anxiety. The psychology behind CI recognises this and its hypotheses is to create an interview that is witness-centred and non-suggestive (Dodier et al. 2021). </w:t>
      </w:r>
    </w:p>
    <w:p w14:paraId="1445325F"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lastRenderedPageBreak/>
        <w:t>This helps the victim/witness feel at ease and empowers them to control the flow of information, therefore increasing their ability to recall events. However, it is important to note that there is a lack of data regarding the relevance of CI in very high stress or trauma situations (Memon et al, 2010), and studies carried out have not measured the impact directly on victims making it impossible to assess the benefits of CI at different stress levels (Dodier et al. 2021).</w:t>
      </w:r>
    </w:p>
    <w:p w14:paraId="3DAA1F02" w14:textId="77777777" w:rsidR="00AA301D" w:rsidRPr="00AA301D" w:rsidRDefault="00AA301D" w:rsidP="00AA301D">
      <w:pPr>
        <w:spacing w:line="360" w:lineRule="auto"/>
        <w:rPr>
          <w:rFonts w:ascii="Arial" w:hAnsi="Arial" w:cs="Arial"/>
          <w:sz w:val="24"/>
          <w:szCs w:val="24"/>
        </w:rPr>
      </w:pPr>
    </w:p>
    <w:p w14:paraId="427467EB"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CI highlights the importance of rapport building as a means of reducing anxiety and positively influencing eyewitness memory (Risan et al., 2018). Establishing rapport enhances communication between the interviewer and interviewee by building trust to create a safe environment where the witness is willing to share details, stimulating co-operation as each party is aware of the rules and what is expected of them (</w:t>
      </w:r>
      <w:proofErr w:type="spellStart"/>
      <w:r w:rsidRPr="00AA301D">
        <w:rPr>
          <w:rFonts w:ascii="Arial" w:hAnsi="Arial" w:cs="Arial"/>
          <w:sz w:val="24"/>
          <w:szCs w:val="24"/>
        </w:rPr>
        <w:t>Vanderhallen</w:t>
      </w:r>
      <w:proofErr w:type="spellEnd"/>
      <w:r w:rsidRPr="00AA301D">
        <w:rPr>
          <w:rFonts w:ascii="Arial" w:hAnsi="Arial" w:cs="Arial"/>
          <w:sz w:val="24"/>
          <w:szCs w:val="24"/>
        </w:rPr>
        <w:t xml:space="preserve"> et al., 2011). Studies conducted show that rapport increases the amount of information provided by interviewees and positively impacts their personal wellbeing (Holmberg and Madsen, 2014; Madsen and Holmberg 2015). However, research has highlighted that rapport can be impacted by officers’ interpersonal skills, some officers are naturally good at building rapport whereas some require far more effort. Other impact factors such as large workloads and time critical situations may also reduce the amount of time spent building rapport meaning less information is provided by witnesses (Dando et al, 2009). </w:t>
      </w:r>
    </w:p>
    <w:p w14:paraId="06C37432" w14:textId="77777777" w:rsidR="00AA301D" w:rsidRPr="00AA301D" w:rsidRDefault="00AA301D" w:rsidP="00AA301D">
      <w:pPr>
        <w:spacing w:line="360" w:lineRule="auto"/>
        <w:rPr>
          <w:rFonts w:ascii="Arial" w:hAnsi="Arial" w:cs="Arial"/>
          <w:sz w:val="24"/>
          <w:szCs w:val="24"/>
        </w:rPr>
      </w:pPr>
    </w:p>
    <w:p w14:paraId="134D6321"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Another key aspect of CI is allowing the witness to freely recall their account. Research reports that freely recalled information is the most accurate but can lack detail (Lipton, 1977; Milne et al, 1999). During this time the interviewer actively listens and does not interrupt, allowing them to gain an insight into the witness’s mental representations, allowing them to adapt their language and questioning to suit the witness and obtain further detail (Dando et al., 2009). Studies highlight that a free recall account is the most widely used CI competent by officers when conducting interviews. (Dando et al., 2009; Clifford and George, 1996). Following the free narrative, the interviewer asks appropriate questions to facilitate focused memory. This is achieved by instructing the witness to use mental images to guide recall, this will make the details accessible in their minds eye enabling them to be accurately recalled by the witness. (Memon et al., 2010; Fisher &amp; Schreiber, 2007). </w:t>
      </w:r>
    </w:p>
    <w:p w14:paraId="1AE0AEF9" w14:textId="77777777" w:rsidR="00AA301D" w:rsidRPr="00AA301D" w:rsidRDefault="00AA301D" w:rsidP="00AA301D">
      <w:pPr>
        <w:spacing w:line="360" w:lineRule="auto"/>
        <w:rPr>
          <w:rFonts w:ascii="Arial" w:hAnsi="Arial" w:cs="Arial"/>
          <w:sz w:val="24"/>
          <w:szCs w:val="24"/>
        </w:rPr>
      </w:pPr>
    </w:p>
    <w:p w14:paraId="38A552F6"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lastRenderedPageBreak/>
        <w:t>To further aid witness recall, CI promotes context reinstatement, research shows that imitating both environmental and emotional contexts at the time of the event can assist memory retrieval (Eich et al., 1994). Witnesses are encouraged to report everything including details they may think are insignificant or cannot fully remember but it is important that clear instruction is given to the interviewee not to guess, as research shows that witnesses maintain high accuracy if they are told not to fabricate details (</w:t>
      </w:r>
      <w:proofErr w:type="spellStart"/>
      <w:r w:rsidRPr="00AA301D">
        <w:rPr>
          <w:rFonts w:ascii="Arial" w:hAnsi="Arial" w:cs="Arial"/>
          <w:sz w:val="24"/>
          <w:szCs w:val="24"/>
        </w:rPr>
        <w:t>Koriat</w:t>
      </w:r>
      <w:proofErr w:type="spellEnd"/>
      <w:r w:rsidRPr="00AA301D">
        <w:rPr>
          <w:rFonts w:ascii="Arial" w:hAnsi="Arial" w:cs="Arial"/>
          <w:sz w:val="24"/>
          <w:szCs w:val="24"/>
        </w:rPr>
        <w:t xml:space="preserve"> &amp; Goldsmith, 1996). However, there is a risk that witnesses will be scared to say that they are unable to recall a detail and feel pressured to fabricate an answer to appease the interviewer (Dando et al., 2009).  Studies have highlighted that these components of CI interviewing are applied infrequently in practice which can impact the quality of witness accounts (Clarke &amp; Milne,2001; Clifford &amp; George,1996; Memon et al.,1994; Memon et al,1995.).</w:t>
      </w:r>
    </w:p>
    <w:p w14:paraId="396C6C4D" w14:textId="77777777" w:rsidR="00AA301D" w:rsidRPr="00AA301D" w:rsidRDefault="00AA301D" w:rsidP="00AA301D">
      <w:pPr>
        <w:spacing w:line="360" w:lineRule="auto"/>
        <w:rPr>
          <w:rFonts w:ascii="Arial" w:hAnsi="Arial" w:cs="Arial"/>
          <w:sz w:val="24"/>
          <w:szCs w:val="24"/>
        </w:rPr>
      </w:pPr>
    </w:p>
    <w:p w14:paraId="0F83A403"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In conclusion, when used in its entirety, CI is an extremely effective method of interviewing, and it increases both the quality and quantity of information recalled by victims/witnesses. Studies conducted using CI with children, people with mild learning disabilities and the elderly, resulted in them being able to recall up 35% more detail when CI components were applied (Akehurst et al.,2003; Milne et al., 1999; Wright &amp; Holliday, 2007) highlighting its success on memory recall. However, studies show that in practice, officers are using the components sporadically and feel it is a demanding interviewing protocol, using sophisticated techniques (Memon et al., 2010). With improper application the result is poorly conducted interviews and incomplete accounts, hindering criminal investigations (Savage &amp; Milne, 2012). Research is still ongoing into the effectiveness of the developments in police investigative interview training such as PIP levels, and officers understanding and application of CI components. However, as Memon </w:t>
      </w:r>
      <w:proofErr w:type="gramStart"/>
      <w:r w:rsidRPr="00AA301D">
        <w:rPr>
          <w:rFonts w:ascii="Arial" w:hAnsi="Arial" w:cs="Arial"/>
          <w:sz w:val="24"/>
          <w:szCs w:val="24"/>
        </w:rPr>
        <w:t>et al.,(</w:t>
      </w:r>
      <w:proofErr w:type="gramEnd"/>
      <w:r w:rsidRPr="00AA301D">
        <w:rPr>
          <w:rFonts w:ascii="Arial" w:hAnsi="Arial" w:cs="Arial"/>
          <w:sz w:val="24"/>
          <w:szCs w:val="24"/>
        </w:rPr>
        <w:t xml:space="preserve">2010) report, twenty-five years of empirical research has shown CI to be an effective method of interviewing witnesses.  </w:t>
      </w:r>
    </w:p>
    <w:p w14:paraId="4837B8FE" w14:textId="77777777" w:rsidR="00AA301D" w:rsidRPr="00AA301D" w:rsidRDefault="00AA301D" w:rsidP="00AA301D">
      <w:pPr>
        <w:spacing w:line="360" w:lineRule="auto"/>
        <w:rPr>
          <w:rFonts w:ascii="Arial" w:hAnsi="Arial" w:cs="Arial"/>
          <w:sz w:val="24"/>
          <w:szCs w:val="24"/>
        </w:rPr>
      </w:pPr>
    </w:p>
    <w:p w14:paraId="1CC0C111" w14:textId="77777777" w:rsidR="00AA301D" w:rsidRPr="00AA301D" w:rsidRDefault="00AA301D" w:rsidP="00AA301D">
      <w:pPr>
        <w:spacing w:line="360" w:lineRule="auto"/>
        <w:rPr>
          <w:rFonts w:ascii="Arial" w:hAnsi="Arial" w:cs="Arial"/>
          <w:b/>
          <w:bCs/>
          <w:sz w:val="24"/>
          <w:szCs w:val="24"/>
        </w:rPr>
      </w:pPr>
      <w:r w:rsidRPr="00AA301D">
        <w:rPr>
          <w:rFonts w:ascii="Arial" w:hAnsi="Arial" w:cs="Arial"/>
          <w:b/>
          <w:bCs/>
          <w:sz w:val="24"/>
          <w:szCs w:val="24"/>
        </w:rPr>
        <w:t>Word Count: 1030</w:t>
      </w:r>
    </w:p>
    <w:p w14:paraId="0F994E48" w14:textId="77777777" w:rsidR="00AA301D" w:rsidRPr="00AA301D" w:rsidRDefault="00AA301D" w:rsidP="00AA301D">
      <w:pPr>
        <w:spacing w:line="360" w:lineRule="auto"/>
        <w:rPr>
          <w:rFonts w:ascii="Arial" w:hAnsi="Arial" w:cs="Arial"/>
          <w:sz w:val="24"/>
          <w:szCs w:val="24"/>
        </w:rPr>
      </w:pPr>
    </w:p>
    <w:p w14:paraId="1545942D" w14:textId="77777777" w:rsidR="00AA301D" w:rsidRPr="00AA301D" w:rsidRDefault="00AA301D" w:rsidP="00AA301D">
      <w:pPr>
        <w:spacing w:line="360" w:lineRule="auto"/>
        <w:rPr>
          <w:rFonts w:ascii="Arial" w:hAnsi="Arial" w:cs="Arial"/>
          <w:sz w:val="24"/>
          <w:szCs w:val="24"/>
        </w:rPr>
      </w:pPr>
    </w:p>
    <w:p w14:paraId="55A1ECFD" w14:textId="77777777" w:rsidR="00AA301D" w:rsidRDefault="00AA301D" w:rsidP="00AA301D">
      <w:pPr>
        <w:spacing w:line="360" w:lineRule="auto"/>
        <w:rPr>
          <w:rFonts w:ascii="Arial" w:hAnsi="Arial" w:cs="Arial"/>
          <w:sz w:val="24"/>
          <w:szCs w:val="24"/>
        </w:rPr>
      </w:pPr>
    </w:p>
    <w:p w14:paraId="071BE6BA" w14:textId="683BB52A" w:rsidR="00AA301D" w:rsidRPr="00AA301D" w:rsidRDefault="00AA301D" w:rsidP="00AA301D">
      <w:pPr>
        <w:spacing w:line="360" w:lineRule="auto"/>
        <w:rPr>
          <w:rFonts w:ascii="Arial" w:hAnsi="Arial" w:cs="Arial"/>
          <w:b/>
          <w:bCs/>
          <w:sz w:val="24"/>
          <w:szCs w:val="24"/>
          <w:u w:val="single"/>
        </w:rPr>
      </w:pPr>
      <w:r w:rsidRPr="00AA301D">
        <w:rPr>
          <w:rFonts w:ascii="Arial" w:hAnsi="Arial" w:cs="Arial"/>
          <w:b/>
          <w:bCs/>
          <w:sz w:val="24"/>
          <w:szCs w:val="24"/>
          <w:u w:val="single"/>
        </w:rPr>
        <w:lastRenderedPageBreak/>
        <w:t>Examine the various socio-economic and psychological characteristics which can make people vulnerable to exploitation by criminal gangs.</w:t>
      </w:r>
    </w:p>
    <w:p w14:paraId="546F0F5D" w14:textId="77777777" w:rsidR="00AA301D" w:rsidRPr="00AA301D" w:rsidRDefault="00AA301D" w:rsidP="00AA301D">
      <w:pPr>
        <w:spacing w:line="360" w:lineRule="auto"/>
        <w:rPr>
          <w:rFonts w:ascii="Arial" w:hAnsi="Arial" w:cs="Arial"/>
          <w:sz w:val="24"/>
          <w:szCs w:val="24"/>
        </w:rPr>
      </w:pPr>
    </w:p>
    <w:p w14:paraId="43AD398D"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Throughout this essay I will explore the socio-economic and psychological characteristics which make people vulnerable to exploitation by criminal gangs. </w:t>
      </w:r>
    </w:p>
    <w:p w14:paraId="6785BD19" w14:textId="77777777" w:rsidR="00AA301D" w:rsidRPr="00AA301D" w:rsidRDefault="00AA301D" w:rsidP="00AA301D">
      <w:pPr>
        <w:spacing w:line="360" w:lineRule="auto"/>
        <w:rPr>
          <w:rFonts w:ascii="Arial" w:hAnsi="Arial" w:cs="Arial"/>
          <w:sz w:val="24"/>
          <w:szCs w:val="24"/>
        </w:rPr>
      </w:pPr>
    </w:p>
    <w:p w14:paraId="10B450FC"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There are several variable factors that influence why a person may become associated with criminal gangs. Studies by Batchelor (2009) and Thornberry at al., (2013) highlight that the key motivators for men are a desire for a sense of belonging, peer status or thrill-seeking, whereas women are more likely to join due to relationships or friendships. </w:t>
      </w:r>
    </w:p>
    <w:p w14:paraId="70939269" w14:textId="77777777" w:rsidR="00AA301D" w:rsidRPr="00AA301D" w:rsidRDefault="00AA301D" w:rsidP="00AA301D">
      <w:pPr>
        <w:spacing w:line="360" w:lineRule="auto"/>
        <w:rPr>
          <w:rFonts w:ascii="Arial" w:hAnsi="Arial" w:cs="Arial"/>
          <w:sz w:val="24"/>
          <w:szCs w:val="24"/>
        </w:rPr>
      </w:pPr>
    </w:p>
    <w:p w14:paraId="6864AF31"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As the socio-economic and political environment changed in Britian, it resulted in certain areas of the country feeling isolated and disadvantaged, resulting in a growing problem of gang culture in marginalised communities like Glasgow, London, and Manchester. (</w:t>
      </w:r>
      <w:proofErr w:type="spellStart"/>
      <w:r w:rsidRPr="00AA301D">
        <w:rPr>
          <w:rFonts w:ascii="Arial" w:hAnsi="Arial" w:cs="Arial"/>
          <w:sz w:val="24"/>
          <w:szCs w:val="24"/>
        </w:rPr>
        <w:t>Storrod</w:t>
      </w:r>
      <w:proofErr w:type="spellEnd"/>
      <w:r w:rsidRPr="00AA301D">
        <w:rPr>
          <w:rFonts w:ascii="Arial" w:hAnsi="Arial" w:cs="Arial"/>
          <w:sz w:val="24"/>
          <w:szCs w:val="24"/>
        </w:rPr>
        <w:t xml:space="preserve"> and Densley, 2017; McLean et al.,2018). Criminal gangs are aware of this marginalisation and use it enable their exploitation of individuals. This lack of opportunity coupled with poor educational attainment or exclusion from school, makes individuals more susceptible to exploitation. (Robinson et al., 2019, Dando et al., 2022). This is because gang membership provides avenues for success through illicit activity with a higher earning potential, making membership an attractive enterprise. (McLean et al., 2018). Without gang membership, only lower income professions and those not requiring high educational qualifications would be available. Furthermore, Strain Theory highlights that where lower class individuals are unable to achieve monetary success or middle-class status through legitimate means, they turn to delinquency to achieve their goals (Merton (1938) and Agnew (2012) p.33.)  As such, criminal gangs use this desire to their advantage and exploit people by providing the means to achieve money and status. </w:t>
      </w:r>
    </w:p>
    <w:p w14:paraId="79A1DE1D" w14:textId="77777777" w:rsidR="00AA301D" w:rsidRPr="00AA301D" w:rsidRDefault="00AA301D" w:rsidP="00AA301D">
      <w:pPr>
        <w:spacing w:line="360" w:lineRule="auto"/>
        <w:rPr>
          <w:rFonts w:ascii="Arial" w:hAnsi="Arial" w:cs="Arial"/>
          <w:sz w:val="24"/>
          <w:szCs w:val="24"/>
        </w:rPr>
      </w:pPr>
    </w:p>
    <w:p w14:paraId="51D2ED47"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A dysfunctional family environment, where children lack love and support from a parental guardian is also significant risk factor resulting in young people becoming associated with gangs. Without a positive role model, they are more likely to seek the structure and support of a gang, making them more susceptible to exploitation (Sharkey et al., 2011).  Gangs target those who are victims of maltreatment and </w:t>
      </w:r>
      <w:r w:rsidRPr="00AA301D">
        <w:rPr>
          <w:rFonts w:ascii="Arial" w:hAnsi="Arial" w:cs="Arial"/>
          <w:sz w:val="24"/>
          <w:szCs w:val="24"/>
        </w:rPr>
        <w:lastRenderedPageBreak/>
        <w:t xml:space="preserve">neglect as they are easy to entice with affection and reward. Studies have shown that positive parental reinforcement, monitoring, and family support plays an important role in reducing gang affiliation (McDaniel, 2012). Children who have been brought up in the care system are particularly vulnerable as they lack a positive family structure which is nurturing and supportive. Research by the NCA (2017) highlighted 50% of police forces in the UK reported individuals involved in county lines are associated with the care system. </w:t>
      </w:r>
    </w:p>
    <w:p w14:paraId="23E5A89E" w14:textId="77777777" w:rsidR="00AA301D" w:rsidRPr="00AA301D" w:rsidRDefault="00AA301D" w:rsidP="00AA301D">
      <w:pPr>
        <w:spacing w:line="360" w:lineRule="auto"/>
        <w:rPr>
          <w:rFonts w:ascii="Arial" w:hAnsi="Arial" w:cs="Arial"/>
          <w:sz w:val="24"/>
          <w:szCs w:val="24"/>
        </w:rPr>
      </w:pPr>
    </w:p>
    <w:p w14:paraId="3C82777C"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A person’s psychological vulnerability also makes them susceptible to exploitation by criminal gangs. Young people are targeted by criminal gangs as when they develop from childhood to adolescence, this is a time associated with low self-esteem and desire to be accepted by peers. Low self-esteem is one of the primary reasons for youths joining gangs (Van der </w:t>
      </w:r>
      <w:proofErr w:type="spellStart"/>
      <w:r w:rsidRPr="00AA301D">
        <w:rPr>
          <w:rFonts w:ascii="Arial" w:hAnsi="Arial" w:cs="Arial"/>
          <w:sz w:val="24"/>
          <w:szCs w:val="24"/>
        </w:rPr>
        <w:t>Westhizen</w:t>
      </w:r>
      <w:proofErr w:type="spellEnd"/>
      <w:r w:rsidRPr="00AA301D">
        <w:rPr>
          <w:rFonts w:ascii="Arial" w:hAnsi="Arial" w:cs="Arial"/>
          <w:sz w:val="24"/>
          <w:szCs w:val="24"/>
        </w:rPr>
        <w:t xml:space="preserve"> and </w:t>
      </w:r>
      <w:proofErr w:type="spellStart"/>
      <w:r w:rsidRPr="00AA301D">
        <w:rPr>
          <w:rFonts w:ascii="Arial" w:hAnsi="Arial" w:cs="Arial"/>
          <w:sz w:val="24"/>
          <w:szCs w:val="24"/>
        </w:rPr>
        <w:t>Gawulays</w:t>
      </w:r>
      <w:proofErr w:type="spellEnd"/>
      <w:r w:rsidRPr="00AA301D">
        <w:rPr>
          <w:rFonts w:ascii="Arial" w:hAnsi="Arial" w:cs="Arial"/>
          <w:sz w:val="24"/>
          <w:szCs w:val="24"/>
        </w:rPr>
        <w:t xml:space="preserve">, 2021).  Criminal gangs have recognised this desire and offer gang membership as a group in which they feel a sense of belonging. Members form a close bond; the emotional connection makes them less likely to leave the gang (James et al., 2017). </w:t>
      </w:r>
    </w:p>
    <w:p w14:paraId="742EB1D3" w14:textId="77777777" w:rsidR="00AA301D" w:rsidRPr="00AA301D" w:rsidRDefault="00AA301D" w:rsidP="00AA301D">
      <w:pPr>
        <w:spacing w:line="360" w:lineRule="auto"/>
        <w:rPr>
          <w:rFonts w:ascii="Arial" w:hAnsi="Arial" w:cs="Arial"/>
          <w:sz w:val="24"/>
          <w:szCs w:val="24"/>
        </w:rPr>
      </w:pPr>
    </w:p>
    <w:p w14:paraId="3E68ED6E"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Females are targeted and recruited into criminal gangs on the promise of a “relationship”. They are groomed by gang members, often showered with love and affection, expensive gifts and enticed by the excitement and social status that being associated with a criminal gang presents. As a result, they idolise their partner and are manipulated into sexual exploitation and criminal activity (Alessandra and Finlay, 2019). The women are then trapped in the relationship through fear of what will happen if they do not comply and are controlled though coercive and abusive behaviour. </w:t>
      </w:r>
    </w:p>
    <w:p w14:paraId="5A695F83" w14:textId="77777777" w:rsidR="00AA301D" w:rsidRPr="00AA301D" w:rsidRDefault="00AA301D" w:rsidP="00AA301D">
      <w:pPr>
        <w:spacing w:line="360" w:lineRule="auto"/>
        <w:rPr>
          <w:rFonts w:ascii="Arial" w:hAnsi="Arial" w:cs="Arial"/>
          <w:sz w:val="24"/>
          <w:szCs w:val="24"/>
        </w:rPr>
      </w:pPr>
    </w:p>
    <w:p w14:paraId="17821A88"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Individuals with alcohol and drug dependencies are more likely to be targeted by criminal gangs. Studies have shown that alcohol use that occurs 2-3 days a month and drug use that occurs at least 1–2 days a week is positively associated with gang affiliation (McDaniel, 2012). The alcohol/drug habit makes them vulnerable to exploitation and those attending recovery groups and dependency units are specially targeted (NCA, 2017). Criminal gangs encourage the user to accrue large debts that they are unable to pay back via legitimate means, so they are forced to partake in the criminal gang’s activity as a way of paying back their “debt” (Robinson et al., </w:t>
      </w:r>
      <w:r w:rsidRPr="00AA301D">
        <w:rPr>
          <w:rFonts w:ascii="Arial" w:hAnsi="Arial" w:cs="Arial"/>
          <w:sz w:val="24"/>
          <w:szCs w:val="24"/>
        </w:rPr>
        <w:lastRenderedPageBreak/>
        <w:t xml:space="preserve">2019). This is referred to as debt-bonding and allows criminal gangs to exploit this vulnerability to their advantage by securing their cooperation as a form of debt repayment.  </w:t>
      </w:r>
    </w:p>
    <w:p w14:paraId="75408322" w14:textId="77777777" w:rsidR="00AA301D" w:rsidRPr="00AA301D" w:rsidRDefault="00AA301D" w:rsidP="00AA301D">
      <w:pPr>
        <w:spacing w:line="360" w:lineRule="auto"/>
        <w:rPr>
          <w:rFonts w:ascii="Arial" w:hAnsi="Arial" w:cs="Arial"/>
          <w:sz w:val="24"/>
          <w:szCs w:val="24"/>
        </w:rPr>
      </w:pPr>
    </w:p>
    <w:p w14:paraId="46F3A43D"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Vulnerable members of society including the elderly and those with mental and physical disabilities are more likely to be targeted and exploited by criminal gangs through “cuckooing”. This is defined as a criminal gang taking control over a vulnerable person’s home to prepare, store or deal drugs (HMICFRS, 2019). The criminal gang adapts its manipulative techniques depending on the location, urgency, potential of successful access and the characteristics of the vulnerable individual (Harding, 2020). This demonstrates the high levels of coercion, </w:t>
      </w:r>
      <w:proofErr w:type="gramStart"/>
      <w:r w:rsidRPr="00AA301D">
        <w:rPr>
          <w:rFonts w:ascii="Arial" w:hAnsi="Arial" w:cs="Arial"/>
          <w:sz w:val="24"/>
          <w:szCs w:val="24"/>
        </w:rPr>
        <w:t>control</w:t>
      </w:r>
      <w:proofErr w:type="gramEnd"/>
      <w:r w:rsidRPr="00AA301D">
        <w:rPr>
          <w:rFonts w:ascii="Arial" w:hAnsi="Arial" w:cs="Arial"/>
          <w:sz w:val="24"/>
          <w:szCs w:val="24"/>
        </w:rPr>
        <w:t xml:space="preserve"> and sophisticated operating nature of criminal gangs. </w:t>
      </w:r>
    </w:p>
    <w:p w14:paraId="0BF09FCA" w14:textId="77777777" w:rsidR="00AA301D" w:rsidRPr="00AA301D" w:rsidRDefault="00AA301D" w:rsidP="00AA301D">
      <w:pPr>
        <w:spacing w:line="360" w:lineRule="auto"/>
        <w:rPr>
          <w:rFonts w:ascii="Arial" w:hAnsi="Arial" w:cs="Arial"/>
          <w:sz w:val="24"/>
          <w:szCs w:val="24"/>
        </w:rPr>
      </w:pPr>
    </w:p>
    <w:p w14:paraId="292EC3E1"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As technology has advanced, criminal gangs are using this to their advantage to appeal to a wider audience. They are using drill music and social media platforms to promote gang culture and glamorise criminality (CPS, 2023). Research by </w:t>
      </w:r>
      <w:proofErr w:type="spellStart"/>
      <w:r w:rsidRPr="00AA301D">
        <w:rPr>
          <w:rFonts w:ascii="Arial" w:hAnsi="Arial" w:cs="Arial"/>
          <w:sz w:val="24"/>
          <w:szCs w:val="24"/>
        </w:rPr>
        <w:t>Storrod</w:t>
      </w:r>
      <w:proofErr w:type="spellEnd"/>
      <w:r w:rsidRPr="00AA301D">
        <w:rPr>
          <w:rFonts w:ascii="Arial" w:hAnsi="Arial" w:cs="Arial"/>
          <w:sz w:val="24"/>
          <w:szCs w:val="24"/>
        </w:rPr>
        <w:t xml:space="preserve"> and Densley (2017) shows gangs are now monitoring engagement with social media posts to target new recruits. They are also using social media to identify “clean skins” who are young people without a criminal record (Alessandra and Finlay, 2019). These young people are an attractive prospect to gangs as they will be less likely to be detected by police. This adaptation of recruitment techniques suggests that criminal gangs are targeting and recruiting individuals who were not previously identified as at risk of exploitation. </w:t>
      </w:r>
    </w:p>
    <w:p w14:paraId="021D4AC3" w14:textId="77777777" w:rsidR="00AA301D" w:rsidRPr="00AA301D" w:rsidRDefault="00AA301D" w:rsidP="00AA301D">
      <w:pPr>
        <w:spacing w:line="360" w:lineRule="auto"/>
        <w:rPr>
          <w:rFonts w:ascii="Arial" w:hAnsi="Arial" w:cs="Arial"/>
          <w:sz w:val="24"/>
          <w:szCs w:val="24"/>
        </w:rPr>
      </w:pPr>
    </w:p>
    <w:p w14:paraId="38C9BAE9" w14:textId="77777777" w:rsidR="00AA301D" w:rsidRPr="00AA301D" w:rsidRDefault="00AA301D" w:rsidP="00AA301D">
      <w:pPr>
        <w:spacing w:line="360" w:lineRule="auto"/>
        <w:rPr>
          <w:rFonts w:ascii="Arial" w:hAnsi="Arial" w:cs="Arial"/>
          <w:sz w:val="24"/>
          <w:szCs w:val="24"/>
        </w:rPr>
      </w:pPr>
      <w:r w:rsidRPr="00AA301D">
        <w:rPr>
          <w:rFonts w:ascii="Arial" w:hAnsi="Arial" w:cs="Arial"/>
          <w:sz w:val="24"/>
          <w:szCs w:val="24"/>
        </w:rPr>
        <w:t xml:space="preserve">In conclusion, throughout this essay I have identified socio-economic and psychological risk factors which make people vulnerable to exploitation by criminal gangs. As studies evidence, the probability of gang affiliation increases as risk factors accumulate (McDaniel, 2012). However, as the way gangs operate has evolved, coupled with the influence of new technologies and social media it suggests that the typical victim profile is more complex and difficult to identify and define. </w:t>
      </w:r>
    </w:p>
    <w:p w14:paraId="214DDEF7" w14:textId="77777777" w:rsidR="00AA301D" w:rsidRDefault="00AA301D" w:rsidP="00AA301D">
      <w:pPr>
        <w:spacing w:line="360" w:lineRule="auto"/>
        <w:rPr>
          <w:rFonts w:ascii="Arial" w:hAnsi="Arial" w:cs="Arial"/>
          <w:sz w:val="24"/>
          <w:szCs w:val="24"/>
        </w:rPr>
      </w:pPr>
    </w:p>
    <w:p w14:paraId="2E144C99" w14:textId="77777777" w:rsidR="00AA301D" w:rsidRPr="000C23A5" w:rsidRDefault="00AA301D" w:rsidP="00AA301D">
      <w:pPr>
        <w:spacing w:line="276" w:lineRule="auto"/>
        <w:rPr>
          <w:rFonts w:ascii="Arial" w:hAnsi="Arial" w:cs="Arial"/>
          <w:b/>
          <w:bCs/>
          <w:sz w:val="24"/>
          <w:szCs w:val="24"/>
        </w:rPr>
      </w:pPr>
      <w:r w:rsidRPr="000C23A5">
        <w:rPr>
          <w:rFonts w:ascii="Arial" w:hAnsi="Arial" w:cs="Arial"/>
          <w:b/>
          <w:bCs/>
          <w:sz w:val="24"/>
          <w:szCs w:val="24"/>
        </w:rPr>
        <w:t xml:space="preserve">Word Count: </w:t>
      </w:r>
      <w:r>
        <w:rPr>
          <w:rFonts w:ascii="Arial" w:hAnsi="Arial" w:cs="Arial"/>
          <w:b/>
          <w:bCs/>
          <w:sz w:val="24"/>
          <w:szCs w:val="24"/>
        </w:rPr>
        <w:t>1020</w:t>
      </w:r>
    </w:p>
    <w:p w14:paraId="53DB7DB2" w14:textId="77777777" w:rsidR="00AA301D" w:rsidRDefault="00AA301D"/>
    <w:p w14:paraId="703954D0" w14:textId="77777777" w:rsidR="00AA301D" w:rsidRDefault="00AA301D"/>
    <w:p w14:paraId="63C7B971" w14:textId="007904C2" w:rsidR="00AA301D" w:rsidRDefault="00AA301D" w:rsidP="00AA301D">
      <w:pPr>
        <w:jc w:val="center"/>
        <w:rPr>
          <w:rFonts w:ascii="Arial" w:hAnsi="Arial" w:cs="Arial"/>
          <w:sz w:val="24"/>
          <w:szCs w:val="24"/>
        </w:rPr>
      </w:pPr>
      <w:r w:rsidRPr="00AA301D">
        <w:rPr>
          <w:rFonts w:ascii="Arial" w:hAnsi="Arial" w:cs="Arial"/>
          <w:sz w:val="24"/>
          <w:szCs w:val="24"/>
        </w:rPr>
        <w:lastRenderedPageBreak/>
        <w:t>ESSAY FOUR: TO BE COMPLETED</w:t>
      </w:r>
    </w:p>
    <w:p w14:paraId="6165C25C" w14:textId="77777777" w:rsidR="00AA301D" w:rsidRDefault="00AA301D" w:rsidP="00AA301D">
      <w:pPr>
        <w:jc w:val="center"/>
        <w:rPr>
          <w:rFonts w:ascii="Arial" w:hAnsi="Arial" w:cs="Arial"/>
          <w:sz w:val="24"/>
          <w:szCs w:val="24"/>
        </w:rPr>
      </w:pPr>
    </w:p>
    <w:p w14:paraId="442B8A6D" w14:textId="77777777" w:rsidR="00AA301D" w:rsidRDefault="00AA301D" w:rsidP="00AA301D">
      <w:pPr>
        <w:jc w:val="center"/>
        <w:rPr>
          <w:rFonts w:ascii="Arial" w:hAnsi="Arial" w:cs="Arial"/>
          <w:sz w:val="24"/>
          <w:szCs w:val="24"/>
        </w:rPr>
      </w:pPr>
    </w:p>
    <w:p w14:paraId="6CA311C2" w14:textId="77777777" w:rsidR="00AA301D" w:rsidRDefault="00AA301D" w:rsidP="00AA301D">
      <w:pPr>
        <w:jc w:val="center"/>
        <w:rPr>
          <w:rFonts w:ascii="Arial" w:hAnsi="Arial" w:cs="Arial"/>
          <w:sz w:val="24"/>
          <w:szCs w:val="24"/>
        </w:rPr>
      </w:pPr>
    </w:p>
    <w:p w14:paraId="16F8A4A7" w14:textId="77777777" w:rsidR="00AA301D" w:rsidRDefault="00AA301D" w:rsidP="00AA301D">
      <w:pPr>
        <w:jc w:val="center"/>
        <w:rPr>
          <w:rFonts w:ascii="Arial" w:hAnsi="Arial" w:cs="Arial"/>
          <w:sz w:val="24"/>
          <w:szCs w:val="24"/>
        </w:rPr>
      </w:pPr>
    </w:p>
    <w:p w14:paraId="096D3F12" w14:textId="77777777" w:rsidR="00AA301D" w:rsidRDefault="00AA301D" w:rsidP="00AA301D">
      <w:pPr>
        <w:jc w:val="center"/>
        <w:rPr>
          <w:rFonts w:ascii="Arial" w:hAnsi="Arial" w:cs="Arial"/>
          <w:sz w:val="24"/>
          <w:szCs w:val="24"/>
        </w:rPr>
      </w:pPr>
    </w:p>
    <w:p w14:paraId="4A0439C0" w14:textId="77777777" w:rsidR="00AA301D" w:rsidRDefault="00AA301D" w:rsidP="00AA301D">
      <w:pPr>
        <w:jc w:val="center"/>
        <w:rPr>
          <w:rFonts w:ascii="Arial" w:hAnsi="Arial" w:cs="Arial"/>
          <w:sz w:val="24"/>
          <w:szCs w:val="24"/>
        </w:rPr>
      </w:pPr>
    </w:p>
    <w:p w14:paraId="6B94FBC1" w14:textId="77777777" w:rsidR="00AA301D" w:rsidRDefault="00AA301D" w:rsidP="00AA301D">
      <w:pPr>
        <w:jc w:val="center"/>
        <w:rPr>
          <w:rFonts w:ascii="Arial" w:hAnsi="Arial" w:cs="Arial"/>
          <w:sz w:val="24"/>
          <w:szCs w:val="24"/>
        </w:rPr>
      </w:pPr>
    </w:p>
    <w:p w14:paraId="6B36B485" w14:textId="77777777" w:rsidR="00AA301D" w:rsidRDefault="00AA301D" w:rsidP="00AA301D">
      <w:pPr>
        <w:jc w:val="center"/>
        <w:rPr>
          <w:rFonts w:ascii="Arial" w:hAnsi="Arial" w:cs="Arial"/>
          <w:sz w:val="24"/>
          <w:szCs w:val="24"/>
        </w:rPr>
      </w:pPr>
    </w:p>
    <w:p w14:paraId="34234295" w14:textId="77777777" w:rsidR="00AA301D" w:rsidRDefault="00AA301D" w:rsidP="00AA301D">
      <w:pPr>
        <w:jc w:val="center"/>
        <w:rPr>
          <w:rFonts w:ascii="Arial" w:hAnsi="Arial" w:cs="Arial"/>
          <w:sz w:val="24"/>
          <w:szCs w:val="24"/>
        </w:rPr>
      </w:pPr>
    </w:p>
    <w:p w14:paraId="63135DA8" w14:textId="77777777" w:rsidR="00AA301D" w:rsidRDefault="00AA301D" w:rsidP="00AA301D">
      <w:pPr>
        <w:jc w:val="center"/>
        <w:rPr>
          <w:rFonts w:ascii="Arial" w:hAnsi="Arial" w:cs="Arial"/>
          <w:sz w:val="24"/>
          <w:szCs w:val="24"/>
        </w:rPr>
      </w:pPr>
    </w:p>
    <w:p w14:paraId="15C24F8F" w14:textId="77777777" w:rsidR="00AA301D" w:rsidRDefault="00AA301D" w:rsidP="00AA301D">
      <w:pPr>
        <w:jc w:val="center"/>
        <w:rPr>
          <w:rFonts w:ascii="Arial" w:hAnsi="Arial" w:cs="Arial"/>
          <w:sz w:val="24"/>
          <w:szCs w:val="24"/>
        </w:rPr>
      </w:pPr>
    </w:p>
    <w:p w14:paraId="019FB308" w14:textId="77777777" w:rsidR="00AA301D" w:rsidRDefault="00AA301D" w:rsidP="00AA301D">
      <w:pPr>
        <w:jc w:val="center"/>
        <w:rPr>
          <w:rFonts w:ascii="Arial" w:hAnsi="Arial" w:cs="Arial"/>
          <w:sz w:val="24"/>
          <w:szCs w:val="24"/>
        </w:rPr>
      </w:pPr>
    </w:p>
    <w:p w14:paraId="3C54BD91" w14:textId="77777777" w:rsidR="00AA301D" w:rsidRDefault="00AA301D" w:rsidP="00AA301D">
      <w:pPr>
        <w:jc w:val="center"/>
        <w:rPr>
          <w:rFonts w:ascii="Arial" w:hAnsi="Arial" w:cs="Arial"/>
          <w:sz w:val="24"/>
          <w:szCs w:val="24"/>
        </w:rPr>
      </w:pPr>
    </w:p>
    <w:p w14:paraId="0680C7BF" w14:textId="77777777" w:rsidR="00AA301D" w:rsidRDefault="00AA301D" w:rsidP="00AA301D">
      <w:pPr>
        <w:rPr>
          <w:rFonts w:ascii="Arial" w:hAnsi="Arial" w:cs="Arial"/>
          <w:sz w:val="24"/>
          <w:szCs w:val="24"/>
        </w:rPr>
      </w:pPr>
    </w:p>
    <w:p w14:paraId="4158A4FC" w14:textId="77777777" w:rsidR="00AA301D" w:rsidRDefault="00AA301D" w:rsidP="00AA301D">
      <w:pPr>
        <w:rPr>
          <w:rFonts w:ascii="Arial" w:hAnsi="Arial" w:cs="Arial"/>
          <w:sz w:val="24"/>
          <w:szCs w:val="24"/>
        </w:rPr>
      </w:pPr>
    </w:p>
    <w:p w14:paraId="1B59D610" w14:textId="77777777" w:rsidR="00AA301D" w:rsidRDefault="00AA301D" w:rsidP="00AA301D">
      <w:pPr>
        <w:rPr>
          <w:rFonts w:ascii="Arial" w:hAnsi="Arial" w:cs="Arial"/>
          <w:sz w:val="24"/>
          <w:szCs w:val="24"/>
        </w:rPr>
      </w:pPr>
    </w:p>
    <w:p w14:paraId="24CB23CF" w14:textId="77777777" w:rsidR="00AA301D" w:rsidRDefault="00AA301D" w:rsidP="00AA301D">
      <w:pPr>
        <w:rPr>
          <w:rFonts w:ascii="Arial" w:hAnsi="Arial" w:cs="Arial"/>
          <w:sz w:val="24"/>
          <w:szCs w:val="24"/>
        </w:rPr>
      </w:pPr>
    </w:p>
    <w:p w14:paraId="70D36FD6" w14:textId="77777777" w:rsidR="00AA301D" w:rsidRDefault="00AA301D" w:rsidP="00AA301D">
      <w:pPr>
        <w:rPr>
          <w:rFonts w:ascii="Arial" w:hAnsi="Arial" w:cs="Arial"/>
          <w:sz w:val="24"/>
          <w:szCs w:val="24"/>
        </w:rPr>
      </w:pPr>
    </w:p>
    <w:p w14:paraId="28B2A4C4" w14:textId="77777777" w:rsidR="00AA301D" w:rsidRDefault="00AA301D" w:rsidP="00AA301D">
      <w:pPr>
        <w:rPr>
          <w:rFonts w:ascii="Arial" w:hAnsi="Arial" w:cs="Arial"/>
          <w:sz w:val="24"/>
          <w:szCs w:val="24"/>
        </w:rPr>
      </w:pPr>
    </w:p>
    <w:p w14:paraId="70127D99" w14:textId="77777777" w:rsidR="00AA301D" w:rsidRDefault="00AA301D" w:rsidP="00AA301D">
      <w:pPr>
        <w:rPr>
          <w:rFonts w:ascii="Arial" w:hAnsi="Arial" w:cs="Arial"/>
          <w:sz w:val="24"/>
          <w:szCs w:val="24"/>
        </w:rPr>
      </w:pPr>
    </w:p>
    <w:p w14:paraId="32A6809D" w14:textId="77777777" w:rsidR="00AA301D" w:rsidRDefault="00AA301D" w:rsidP="00AA301D">
      <w:pPr>
        <w:rPr>
          <w:rFonts w:ascii="Arial" w:hAnsi="Arial" w:cs="Arial"/>
          <w:sz w:val="24"/>
          <w:szCs w:val="24"/>
        </w:rPr>
      </w:pPr>
    </w:p>
    <w:p w14:paraId="0ED72370" w14:textId="77777777" w:rsidR="00AA301D" w:rsidRDefault="00AA301D" w:rsidP="00AA301D">
      <w:pPr>
        <w:rPr>
          <w:rFonts w:ascii="Arial" w:hAnsi="Arial" w:cs="Arial"/>
          <w:sz w:val="24"/>
          <w:szCs w:val="24"/>
        </w:rPr>
      </w:pPr>
    </w:p>
    <w:p w14:paraId="6FBBAF5D" w14:textId="77777777" w:rsidR="00AA301D" w:rsidRDefault="00AA301D" w:rsidP="00AA301D">
      <w:pPr>
        <w:rPr>
          <w:rFonts w:ascii="Arial" w:hAnsi="Arial" w:cs="Arial"/>
          <w:sz w:val="24"/>
          <w:szCs w:val="24"/>
        </w:rPr>
      </w:pPr>
    </w:p>
    <w:p w14:paraId="4E80BB9B" w14:textId="77777777" w:rsidR="00AA301D" w:rsidRDefault="00AA301D" w:rsidP="00AA301D">
      <w:pPr>
        <w:rPr>
          <w:rFonts w:ascii="Arial" w:hAnsi="Arial" w:cs="Arial"/>
          <w:sz w:val="24"/>
          <w:szCs w:val="24"/>
        </w:rPr>
      </w:pPr>
    </w:p>
    <w:p w14:paraId="04EB731C" w14:textId="77777777" w:rsidR="00AA301D" w:rsidRDefault="00AA301D" w:rsidP="00AA301D">
      <w:pPr>
        <w:rPr>
          <w:rFonts w:ascii="Arial" w:hAnsi="Arial" w:cs="Arial"/>
          <w:sz w:val="24"/>
          <w:szCs w:val="24"/>
        </w:rPr>
      </w:pPr>
    </w:p>
    <w:p w14:paraId="6F44D6E6" w14:textId="77777777" w:rsidR="00AA301D" w:rsidRDefault="00AA301D" w:rsidP="00AA301D">
      <w:pPr>
        <w:rPr>
          <w:rFonts w:ascii="Arial" w:hAnsi="Arial" w:cs="Arial"/>
          <w:sz w:val="24"/>
          <w:szCs w:val="24"/>
        </w:rPr>
      </w:pPr>
    </w:p>
    <w:p w14:paraId="5CA9ACDA" w14:textId="77777777" w:rsidR="00AA301D" w:rsidRDefault="00AA301D" w:rsidP="00AA301D">
      <w:pPr>
        <w:rPr>
          <w:rFonts w:ascii="Arial" w:hAnsi="Arial" w:cs="Arial"/>
          <w:sz w:val="24"/>
          <w:szCs w:val="24"/>
        </w:rPr>
      </w:pPr>
    </w:p>
    <w:p w14:paraId="1558AA25" w14:textId="77777777" w:rsidR="00AA301D" w:rsidRDefault="00AA301D" w:rsidP="00AA301D">
      <w:pPr>
        <w:rPr>
          <w:rFonts w:ascii="Arial" w:hAnsi="Arial" w:cs="Arial"/>
          <w:sz w:val="24"/>
          <w:szCs w:val="24"/>
        </w:rPr>
      </w:pPr>
    </w:p>
    <w:p w14:paraId="3315D533" w14:textId="77777777" w:rsidR="00AA301D" w:rsidRDefault="00AA301D" w:rsidP="00AA301D">
      <w:pPr>
        <w:rPr>
          <w:rFonts w:ascii="Arial" w:hAnsi="Arial" w:cs="Arial"/>
          <w:sz w:val="24"/>
          <w:szCs w:val="24"/>
        </w:rPr>
      </w:pPr>
    </w:p>
    <w:p w14:paraId="22246522" w14:textId="77777777" w:rsidR="00AA301D" w:rsidRDefault="00AA301D" w:rsidP="00AA301D">
      <w:pPr>
        <w:rPr>
          <w:rFonts w:ascii="Arial" w:hAnsi="Arial" w:cs="Arial"/>
          <w:sz w:val="24"/>
          <w:szCs w:val="24"/>
        </w:rPr>
      </w:pPr>
    </w:p>
    <w:p w14:paraId="1E6AD15C" w14:textId="77777777" w:rsidR="00AA301D" w:rsidRDefault="00AA301D" w:rsidP="00AA301D">
      <w:pPr>
        <w:rPr>
          <w:rFonts w:ascii="Arial" w:hAnsi="Arial" w:cs="Arial"/>
          <w:sz w:val="24"/>
          <w:szCs w:val="24"/>
        </w:rPr>
      </w:pPr>
    </w:p>
    <w:p w14:paraId="12CB46EA" w14:textId="77777777" w:rsidR="00AA301D" w:rsidRDefault="00AA301D" w:rsidP="00AA301D">
      <w:pPr>
        <w:rPr>
          <w:rFonts w:ascii="Arial" w:hAnsi="Arial" w:cs="Arial"/>
          <w:sz w:val="24"/>
          <w:szCs w:val="24"/>
        </w:rPr>
      </w:pPr>
    </w:p>
    <w:p w14:paraId="22C251BD" w14:textId="77777777" w:rsidR="00AA301D" w:rsidRDefault="00AA301D" w:rsidP="00AA301D">
      <w:pPr>
        <w:rPr>
          <w:rFonts w:ascii="Arial" w:hAnsi="Arial" w:cs="Arial"/>
          <w:sz w:val="24"/>
          <w:szCs w:val="24"/>
        </w:rPr>
      </w:pPr>
    </w:p>
    <w:p w14:paraId="420D56ED" w14:textId="77777777" w:rsidR="00AA301D" w:rsidRDefault="00AA301D" w:rsidP="00AA301D">
      <w:pPr>
        <w:rPr>
          <w:rFonts w:ascii="Arial" w:hAnsi="Arial" w:cs="Arial"/>
          <w:sz w:val="24"/>
          <w:szCs w:val="24"/>
        </w:rPr>
      </w:pPr>
    </w:p>
    <w:p w14:paraId="08AC762F" w14:textId="77777777" w:rsidR="00AA301D" w:rsidRDefault="00AA301D" w:rsidP="00AA301D">
      <w:pPr>
        <w:rPr>
          <w:rFonts w:ascii="Arial" w:hAnsi="Arial" w:cs="Arial"/>
          <w:sz w:val="24"/>
          <w:szCs w:val="24"/>
        </w:rPr>
      </w:pPr>
    </w:p>
    <w:p w14:paraId="09AFD9ED" w14:textId="77777777" w:rsidR="00AA301D" w:rsidRDefault="00AA301D" w:rsidP="00AA301D">
      <w:pPr>
        <w:rPr>
          <w:rFonts w:ascii="Arial" w:hAnsi="Arial" w:cs="Arial"/>
          <w:sz w:val="24"/>
          <w:szCs w:val="24"/>
        </w:rPr>
      </w:pPr>
    </w:p>
    <w:p w14:paraId="7B9DF7F9" w14:textId="77777777" w:rsidR="00AA301D" w:rsidRDefault="00AA301D" w:rsidP="00AA301D">
      <w:pPr>
        <w:rPr>
          <w:rFonts w:ascii="Arial" w:hAnsi="Arial" w:cs="Arial"/>
          <w:sz w:val="24"/>
          <w:szCs w:val="24"/>
        </w:rPr>
      </w:pPr>
    </w:p>
    <w:p w14:paraId="6AA3D03E" w14:textId="77777777" w:rsidR="00AA301D" w:rsidRDefault="00AA301D" w:rsidP="00AA301D">
      <w:pPr>
        <w:rPr>
          <w:rFonts w:ascii="Arial" w:hAnsi="Arial" w:cs="Arial"/>
          <w:sz w:val="24"/>
          <w:szCs w:val="24"/>
        </w:rPr>
      </w:pPr>
    </w:p>
    <w:p w14:paraId="18A60EB3" w14:textId="77777777" w:rsidR="00AA301D" w:rsidRDefault="00AA301D" w:rsidP="00AA301D">
      <w:pPr>
        <w:rPr>
          <w:rFonts w:ascii="Arial" w:hAnsi="Arial" w:cs="Arial"/>
          <w:sz w:val="24"/>
          <w:szCs w:val="24"/>
        </w:rPr>
      </w:pPr>
    </w:p>
    <w:p w14:paraId="3B8F8D1B" w14:textId="77777777" w:rsidR="00AA301D" w:rsidRDefault="00AA301D" w:rsidP="00AA301D">
      <w:pPr>
        <w:rPr>
          <w:rFonts w:ascii="Arial" w:hAnsi="Arial" w:cs="Arial"/>
          <w:sz w:val="24"/>
          <w:szCs w:val="24"/>
        </w:rPr>
      </w:pPr>
    </w:p>
    <w:p w14:paraId="61133AA2" w14:textId="77777777" w:rsidR="00AA301D" w:rsidRDefault="00AA301D" w:rsidP="00AA301D">
      <w:pPr>
        <w:rPr>
          <w:rFonts w:ascii="Arial" w:hAnsi="Arial" w:cs="Arial"/>
          <w:sz w:val="24"/>
          <w:szCs w:val="24"/>
        </w:rPr>
      </w:pPr>
    </w:p>
    <w:p w14:paraId="2EC68E81" w14:textId="77777777" w:rsidR="00AA301D" w:rsidRDefault="00AA301D" w:rsidP="00AA301D">
      <w:pPr>
        <w:rPr>
          <w:rFonts w:ascii="Arial" w:hAnsi="Arial" w:cs="Arial"/>
          <w:sz w:val="24"/>
          <w:szCs w:val="24"/>
        </w:rPr>
      </w:pPr>
    </w:p>
    <w:p w14:paraId="7B0131C1" w14:textId="77777777" w:rsidR="00AA301D" w:rsidRDefault="00AA301D" w:rsidP="00AA301D">
      <w:pPr>
        <w:rPr>
          <w:rFonts w:ascii="Arial" w:hAnsi="Arial" w:cs="Arial"/>
          <w:sz w:val="24"/>
          <w:szCs w:val="24"/>
        </w:rPr>
      </w:pPr>
    </w:p>
    <w:p w14:paraId="3707E3B5" w14:textId="77777777" w:rsidR="00AA301D" w:rsidRDefault="00AA301D" w:rsidP="00AA301D">
      <w:pPr>
        <w:rPr>
          <w:rFonts w:ascii="Arial" w:hAnsi="Arial" w:cs="Arial"/>
          <w:sz w:val="24"/>
          <w:szCs w:val="24"/>
        </w:rPr>
      </w:pPr>
    </w:p>
    <w:p w14:paraId="4B421615" w14:textId="77777777" w:rsidR="00AA301D" w:rsidRDefault="00AA301D" w:rsidP="00AA301D">
      <w:pPr>
        <w:rPr>
          <w:rFonts w:ascii="Arial" w:hAnsi="Arial" w:cs="Arial"/>
          <w:sz w:val="24"/>
          <w:szCs w:val="24"/>
        </w:rPr>
      </w:pPr>
    </w:p>
    <w:p w14:paraId="1A9939E4" w14:textId="5317BEBB" w:rsidR="00AA301D" w:rsidRPr="00363613" w:rsidRDefault="00AA301D" w:rsidP="00AA301D">
      <w:pPr>
        <w:rPr>
          <w:rFonts w:ascii="Arial" w:hAnsi="Arial" w:cs="Arial"/>
          <w:b/>
          <w:bCs/>
          <w:sz w:val="24"/>
          <w:szCs w:val="24"/>
          <w:u w:val="single"/>
        </w:rPr>
      </w:pPr>
      <w:r w:rsidRPr="00363613">
        <w:rPr>
          <w:rFonts w:ascii="Arial" w:hAnsi="Arial" w:cs="Arial"/>
          <w:b/>
          <w:bCs/>
          <w:sz w:val="24"/>
          <w:szCs w:val="24"/>
          <w:u w:val="single"/>
        </w:rPr>
        <w:lastRenderedPageBreak/>
        <w:t>BIBLIOGRAPHY</w:t>
      </w:r>
    </w:p>
    <w:p w14:paraId="1146EBC2" w14:textId="77777777" w:rsidR="00AA301D" w:rsidRDefault="00AA301D" w:rsidP="00AA301D">
      <w:pPr>
        <w:rPr>
          <w:rFonts w:ascii="Arial" w:hAnsi="Arial" w:cs="Arial"/>
          <w:sz w:val="24"/>
          <w:szCs w:val="24"/>
        </w:rPr>
      </w:pPr>
    </w:p>
    <w:p w14:paraId="58E341E8" w14:textId="77777777" w:rsidR="00363613" w:rsidRPr="002E54FD" w:rsidRDefault="00363613" w:rsidP="00363613">
      <w:pPr>
        <w:rPr>
          <w:rFonts w:ascii="Arial" w:hAnsi="Arial" w:cs="Arial"/>
          <w:sz w:val="24"/>
          <w:szCs w:val="24"/>
        </w:rPr>
      </w:pPr>
      <w:r w:rsidRPr="002E54FD">
        <w:rPr>
          <w:rFonts w:ascii="Arial" w:hAnsi="Arial" w:cs="Arial"/>
          <w:sz w:val="24"/>
          <w:szCs w:val="24"/>
        </w:rPr>
        <w:t xml:space="preserve">ACPO (2007) Practice Advice on Critical Incident Management, p7-12. Available at: </w:t>
      </w:r>
      <w:hyperlink r:id="rId4" w:history="1">
        <w:r w:rsidRPr="002E54FD">
          <w:rPr>
            <w:rStyle w:val="Hyperlink"/>
            <w:rFonts w:ascii="Arial" w:hAnsi="Arial" w:cs="Arial"/>
            <w:sz w:val="24"/>
            <w:szCs w:val="24"/>
          </w:rPr>
          <w:t>Microsoft Word - 070912 Extract Critical Incident Management 2007.d (college.police.uk)</w:t>
        </w:r>
      </w:hyperlink>
      <w:r w:rsidRPr="002E54FD">
        <w:rPr>
          <w:rFonts w:ascii="Arial" w:hAnsi="Arial" w:cs="Arial"/>
          <w:sz w:val="24"/>
          <w:szCs w:val="24"/>
        </w:rPr>
        <w:t xml:space="preserve"> (accessed 9</w:t>
      </w:r>
      <w:r w:rsidRPr="002E54FD">
        <w:rPr>
          <w:rFonts w:ascii="Arial" w:hAnsi="Arial" w:cs="Arial"/>
          <w:sz w:val="24"/>
          <w:szCs w:val="24"/>
          <w:vertAlign w:val="superscript"/>
        </w:rPr>
        <w:t>th</w:t>
      </w:r>
      <w:r w:rsidRPr="002E54FD">
        <w:rPr>
          <w:rFonts w:ascii="Arial" w:hAnsi="Arial" w:cs="Arial"/>
          <w:sz w:val="24"/>
          <w:szCs w:val="24"/>
        </w:rPr>
        <w:t xml:space="preserve"> December 2023).</w:t>
      </w:r>
    </w:p>
    <w:p w14:paraId="21643B59" w14:textId="77777777" w:rsidR="00363613" w:rsidRDefault="00363613" w:rsidP="00363613">
      <w:pPr>
        <w:spacing w:line="276" w:lineRule="auto"/>
        <w:rPr>
          <w:rFonts w:ascii="Arial" w:hAnsi="Arial" w:cs="Arial"/>
          <w:sz w:val="24"/>
          <w:szCs w:val="24"/>
        </w:rPr>
      </w:pPr>
    </w:p>
    <w:p w14:paraId="1D45858C" w14:textId="77777777" w:rsidR="00363613" w:rsidRPr="00E636FE" w:rsidRDefault="00363613" w:rsidP="00363613">
      <w:pPr>
        <w:spacing w:line="276" w:lineRule="auto"/>
        <w:rPr>
          <w:rFonts w:ascii="Arial" w:hAnsi="Arial" w:cs="Arial"/>
          <w:sz w:val="24"/>
          <w:szCs w:val="24"/>
        </w:rPr>
      </w:pPr>
      <w:r w:rsidRPr="00E636FE">
        <w:rPr>
          <w:rFonts w:ascii="Arial" w:hAnsi="Arial" w:cs="Arial"/>
          <w:sz w:val="24"/>
          <w:szCs w:val="24"/>
        </w:rPr>
        <w:t xml:space="preserve">ACPO (1992) Principles of Investigative Interviewing (HOC 22/1992) London: Home Office. </w:t>
      </w:r>
    </w:p>
    <w:p w14:paraId="0F2118E4" w14:textId="77777777" w:rsidR="00363613" w:rsidRPr="00E636FE" w:rsidRDefault="00363613" w:rsidP="00363613">
      <w:pPr>
        <w:spacing w:line="276" w:lineRule="auto"/>
        <w:rPr>
          <w:rFonts w:ascii="Arial" w:hAnsi="Arial" w:cs="Arial"/>
          <w:color w:val="333333"/>
          <w:sz w:val="24"/>
          <w:szCs w:val="24"/>
          <w:shd w:val="clear" w:color="auto" w:fill="FFFFFF"/>
        </w:rPr>
      </w:pPr>
    </w:p>
    <w:p w14:paraId="03C48BD1" w14:textId="77777777" w:rsidR="00363613" w:rsidRDefault="00363613" w:rsidP="00363613">
      <w:pPr>
        <w:spacing w:line="276" w:lineRule="auto"/>
        <w:rPr>
          <w:rFonts w:ascii="Arial" w:hAnsi="Arial" w:cs="Arial"/>
          <w:sz w:val="24"/>
          <w:szCs w:val="24"/>
        </w:rPr>
      </w:pPr>
      <w:proofErr w:type="gramStart"/>
      <w:r w:rsidRPr="00E636FE">
        <w:rPr>
          <w:rFonts w:ascii="Arial" w:hAnsi="Arial" w:cs="Arial"/>
          <w:color w:val="333333"/>
          <w:sz w:val="24"/>
          <w:szCs w:val="24"/>
          <w:shd w:val="clear" w:color="auto" w:fill="FFFFFF"/>
        </w:rPr>
        <w:t>Akehurst ,</w:t>
      </w:r>
      <w:proofErr w:type="gramEnd"/>
      <w:r w:rsidRPr="00E636FE">
        <w:rPr>
          <w:rFonts w:ascii="Arial" w:hAnsi="Arial" w:cs="Arial"/>
          <w:color w:val="333333"/>
          <w:sz w:val="24"/>
          <w:szCs w:val="24"/>
          <w:shd w:val="clear" w:color="auto" w:fill="FFFFFF"/>
        </w:rPr>
        <w:t xml:space="preserve"> L. , Milne , R. and </w:t>
      </w:r>
      <w:proofErr w:type="spellStart"/>
      <w:r w:rsidRPr="00E636FE">
        <w:rPr>
          <w:rFonts w:ascii="Arial" w:hAnsi="Arial" w:cs="Arial"/>
          <w:color w:val="333333"/>
          <w:sz w:val="24"/>
          <w:szCs w:val="24"/>
          <w:shd w:val="clear" w:color="auto" w:fill="FFFFFF"/>
        </w:rPr>
        <w:t>Köhnken</w:t>
      </w:r>
      <w:proofErr w:type="spellEnd"/>
      <w:r w:rsidRPr="00E636FE">
        <w:rPr>
          <w:rFonts w:ascii="Arial" w:hAnsi="Arial" w:cs="Arial"/>
          <w:color w:val="333333"/>
          <w:sz w:val="24"/>
          <w:szCs w:val="24"/>
          <w:shd w:val="clear" w:color="auto" w:fill="FFFFFF"/>
        </w:rPr>
        <w:t xml:space="preserve"> , G. 2003 . The effects of children's age and delay on recall in a cognitive or structured </w:t>
      </w:r>
      <w:proofErr w:type="gramStart"/>
      <w:r w:rsidRPr="00E636FE">
        <w:rPr>
          <w:rFonts w:ascii="Arial" w:hAnsi="Arial" w:cs="Arial"/>
          <w:color w:val="333333"/>
          <w:sz w:val="24"/>
          <w:szCs w:val="24"/>
          <w:shd w:val="clear" w:color="auto" w:fill="FFFFFF"/>
        </w:rPr>
        <w:t>interview .</w:t>
      </w:r>
      <w:proofErr w:type="gramEnd"/>
      <w:r w:rsidRPr="00E636FE">
        <w:rPr>
          <w:rFonts w:ascii="Arial" w:hAnsi="Arial" w:cs="Arial"/>
          <w:color w:val="333333"/>
          <w:sz w:val="24"/>
          <w:szCs w:val="24"/>
          <w:shd w:val="clear" w:color="auto" w:fill="FFFFFF"/>
        </w:rPr>
        <w:t> </w:t>
      </w:r>
      <w:r w:rsidRPr="00E636FE">
        <w:rPr>
          <w:rStyle w:val="citationsource-journal"/>
          <w:rFonts w:ascii="Arial" w:hAnsi="Arial" w:cs="Arial"/>
          <w:i/>
          <w:iCs/>
          <w:color w:val="333333"/>
          <w:sz w:val="24"/>
          <w:szCs w:val="24"/>
          <w:shd w:val="clear" w:color="auto" w:fill="FFFFFF"/>
        </w:rPr>
        <w:t xml:space="preserve">Psychology, Crime &amp; </w:t>
      </w:r>
      <w:proofErr w:type="gramStart"/>
      <w:r w:rsidRPr="00E636FE">
        <w:rPr>
          <w:rStyle w:val="citationsource-journal"/>
          <w:rFonts w:ascii="Arial" w:hAnsi="Arial" w:cs="Arial"/>
          <w:i/>
          <w:iCs/>
          <w:color w:val="333333"/>
          <w:sz w:val="24"/>
          <w:szCs w:val="24"/>
          <w:shd w:val="clear" w:color="auto" w:fill="FFFFFF"/>
        </w:rPr>
        <w:t>Law</w:t>
      </w:r>
      <w:r w:rsidRPr="00E636FE">
        <w:rPr>
          <w:rStyle w:val="citationsource-journal"/>
          <w:rFonts w:ascii="Arial" w:hAnsi="Arial" w:cs="Arial"/>
          <w:color w:val="333333"/>
          <w:sz w:val="24"/>
          <w:szCs w:val="24"/>
          <w:shd w:val="clear" w:color="auto" w:fill="FFFFFF"/>
        </w:rPr>
        <w:t> </w:t>
      </w:r>
      <w:r w:rsidRPr="00E636FE">
        <w:rPr>
          <w:rFonts w:ascii="Arial" w:hAnsi="Arial" w:cs="Arial"/>
          <w:color w:val="333333"/>
          <w:sz w:val="24"/>
          <w:szCs w:val="24"/>
          <w:shd w:val="clear" w:color="auto" w:fill="FFFFFF"/>
        </w:rPr>
        <w:t>,</w:t>
      </w:r>
      <w:proofErr w:type="gramEnd"/>
      <w:r w:rsidRPr="00E636FE">
        <w:rPr>
          <w:rFonts w:ascii="Arial" w:hAnsi="Arial" w:cs="Arial"/>
          <w:color w:val="333333"/>
          <w:sz w:val="24"/>
          <w:szCs w:val="24"/>
          <w:shd w:val="clear" w:color="auto" w:fill="FFFFFF"/>
        </w:rPr>
        <w:t xml:space="preserve"> 9 : 97 – 107. Available at: DOI: </w:t>
      </w:r>
      <w:hyperlink r:id="rId5" w:history="1">
        <w:r w:rsidRPr="00E636FE">
          <w:rPr>
            <w:rStyle w:val="Hyperlink"/>
            <w:rFonts w:ascii="Arial" w:hAnsi="Arial" w:cs="Arial"/>
            <w:color w:val="333333"/>
            <w:sz w:val="24"/>
            <w:szCs w:val="24"/>
            <w:shd w:val="clear" w:color="auto" w:fill="FFFFFF"/>
          </w:rPr>
          <w:t>10.1080/10683160308140</w:t>
        </w:r>
      </w:hyperlink>
      <w:r w:rsidRPr="00E636FE">
        <w:rPr>
          <w:rFonts w:ascii="Arial" w:hAnsi="Arial" w:cs="Arial"/>
          <w:sz w:val="24"/>
          <w:szCs w:val="24"/>
        </w:rPr>
        <w:t xml:space="preserve"> </w:t>
      </w:r>
    </w:p>
    <w:p w14:paraId="2634921E" w14:textId="77777777" w:rsidR="00363613" w:rsidRPr="00E636FE" w:rsidRDefault="00363613" w:rsidP="00363613">
      <w:pPr>
        <w:spacing w:line="276" w:lineRule="auto"/>
        <w:rPr>
          <w:rFonts w:ascii="Arial" w:hAnsi="Arial" w:cs="Arial"/>
          <w:sz w:val="24"/>
          <w:szCs w:val="24"/>
        </w:rPr>
      </w:pPr>
    </w:p>
    <w:p w14:paraId="49D63D6C" w14:textId="77777777" w:rsidR="00363613" w:rsidRPr="00E636FE" w:rsidRDefault="00363613" w:rsidP="00363613">
      <w:pPr>
        <w:spacing w:line="276" w:lineRule="auto"/>
        <w:rPr>
          <w:rFonts w:ascii="Arial" w:hAnsi="Arial" w:cs="Arial"/>
          <w:sz w:val="24"/>
          <w:szCs w:val="24"/>
        </w:rPr>
      </w:pPr>
      <w:r w:rsidRPr="00E636FE">
        <w:rPr>
          <w:rFonts w:ascii="Arial" w:hAnsi="Arial" w:cs="Arial"/>
          <w:sz w:val="24"/>
          <w:szCs w:val="24"/>
          <w:shd w:val="clear" w:color="auto" w:fill="FFFFFF"/>
        </w:rPr>
        <w:t xml:space="preserve">ALESSANDRA, G.W. and FINLAY, F., 2019. </w:t>
      </w:r>
      <w:r w:rsidRPr="00D466BF">
        <w:rPr>
          <w:rFonts w:ascii="Arial" w:hAnsi="Arial" w:cs="Arial"/>
          <w:i/>
          <w:iCs/>
          <w:sz w:val="24"/>
          <w:szCs w:val="24"/>
          <w:shd w:val="clear" w:color="auto" w:fill="FFFFFF"/>
        </w:rPr>
        <w:t>County lines: how gang crime is affecting our young people. </w:t>
      </w:r>
      <w:r w:rsidRPr="00E636FE">
        <w:rPr>
          <w:rFonts w:ascii="Arial" w:hAnsi="Arial" w:cs="Arial"/>
          <w:i/>
          <w:iCs/>
          <w:sz w:val="24"/>
          <w:szCs w:val="24"/>
          <w:shd w:val="clear" w:color="auto" w:fill="FFFFFF"/>
        </w:rPr>
        <w:t>Archives of Disease in Childhood, </w:t>
      </w:r>
      <w:r w:rsidRPr="00E636FE">
        <w:rPr>
          <w:rFonts w:ascii="Arial" w:hAnsi="Arial" w:cs="Arial"/>
          <w:b/>
          <w:bCs/>
          <w:sz w:val="24"/>
          <w:szCs w:val="24"/>
          <w:shd w:val="clear" w:color="auto" w:fill="FFFFFF"/>
        </w:rPr>
        <w:t>104</w:t>
      </w:r>
      <w:r w:rsidRPr="00E636FE">
        <w:rPr>
          <w:rFonts w:ascii="Arial" w:hAnsi="Arial" w:cs="Arial"/>
          <w:sz w:val="24"/>
          <w:szCs w:val="24"/>
          <w:shd w:val="clear" w:color="auto" w:fill="FFFFFF"/>
        </w:rPr>
        <w:t>(8), pp. 730.</w:t>
      </w:r>
    </w:p>
    <w:p w14:paraId="3AFF3EBD" w14:textId="77777777" w:rsidR="00363613" w:rsidRDefault="00363613" w:rsidP="00363613">
      <w:pPr>
        <w:spacing w:line="276" w:lineRule="auto"/>
        <w:rPr>
          <w:rFonts w:ascii="Arial" w:hAnsi="Arial" w:cs="Arial"/>
          <w:sz w:val="24"/>
          <w:szCs w:val="24"/>
          <w:shd w:val="clear" w:color="auto" w:fill="FFFFFF"/>
        </w:rPr>
      </w:pPr>
      <w:r w:rsidRPr="00E636FE">
        <w:rPr>
          <w:rFonts w:ascii="Arial" w:hAnsi="Arial" w:cs="Arial"/>
          <w:sz w:val="24"/>
          <w:szCs w:val="24"/>
        </w:rPr>
        <w:t xml:space="preserve">Available at: </w:t>
      </w:r>
      <w:hyperlink r:id="rId6" w:history="1">
        <w:r w:rsidRPr="00E636FE">
          <w:rPr>
            <w:rStyle w:val="Hyperlink"/>
            <w:rFonts w:ascii="Arial" w:hAnsi="Arial" w:cs="Arial"/>
            <w:color w:val="auto"/>
            <w:sz w:val="24"/>
            <w:szCs w:val="24"/>
          </w:rPr>
          <w:t>file (nationalcrimeagency.gov.uk)</w:t>
        </w:r>
      </w:hyperlink>
      <w:r w:rsidRPr="00E636FE">
        <w:rPr>
          <w:rFonts w:ascii="Arial" w:hAnsi="Arial" w:cs="Arial"/>
          <w:sz w:val="24"/>
          <w:szCs w:val="24"/>
          <w:shd w:val="clear" w:color="auto" w:fill="FFFFFF"/>
        </w:rPr>
        <w:t xml:space="preserve"> (accessed 20</w:t>
      </w:r>
      <w:r w:rsidRPr="00E636FE">
        <w:rPr>
          <w:rFonts w:ascii="Arial" w:hAnsi="Arial" w:cs="Arial"/>
          <w:sz w:val="24"/>
          <w:szCs w:val="24"/>
          <w:shd w:val="clear" w:color="auto" w:fill="FFFFFF"/>
          <w:vertAlign w:val="superscript"/>
        </w:rPr>
        <w:t>th</w:t>
      </w:r>
      <w:r w:rsidRPr="00E636FE">
        <w:rPr>
          <w:rFonts w:ascii="Arial" w:hAnsi="Arial" w:cs="Arial"/>
          <w:sz w:val="24"/>
          <w:szCs w:val="24"/>
          <w:shd w:val="clear" w:color="auto" w:fill="FFFFFF"/>
        </w:rPr>
        <w:t xml:space="preserve"> October 2023) </w:t>
      </w:r>
    </w:p>
    <w:p w14:paraId="6D169EB7" w14:textId="77777777" w:rsidR="00363613" w:rsidRDefault="00363613" w:rsidP="00363613">
      <w:pPr>
        <w:spacing w:line="276" w:lineRule="auto"/>
        <w:rPr>
          <w:rFonts w:ascii="Arial" w:hAnsi="Arial" w:cs="Arial"/>
          <w:sz w:val="24"/>
          <w:szCs w:val="24"/>
          <w:shd w:val="clear" w:color="auto" w:fill="FFFFFF"/>
        </w:rPr>
      </w:pPr>
    </w:p>
    <w:p w14:paraId="17D3CC51" w14:textId="77777777" w:rsidR="00363613" w:rsidRDefault="00363613" w:rsidP="00363613">
      <w:pPr>
        <w:rPr>
          <w:rFonts w:ascii="Arial" w:hAnsi="Arial" w:cs="Arial"/>
          <w:sz w:val="24"/>
          <w:szCs w:val="24"/>
        </w:rPr>
      </w:pPr>
      <w:r w:rsidRPr="002E54FD">
        <w:rPr>
          <w:rFonts w:ascii="Arial" w:hAnsi="Arial" w:cs="Arial"/>
          <w:sz w:val="24"/>
          <w:szCs w:val="24"/>
        </w:rPr>
        <w:t xml:space="preserve">Alison, A., </w:t>
      </w:r>
      <w:proofErr w:type="spellStart"/>
      <w:r w:rsidRPr="002E54FD">
        <w:rPr>
          <w:rFonts w:ascii="Arial" w:hAnsi="Arial" w:cs="Arial"/>
          <w:sz w:val="24"/>
          <w:szCs w:val="24"/>
        </w:rPr>
        <w:t>ven</w:t>
      </w:r>
      <w:proofErr w:type="spellEnd"/>
      <w:r w:rsidRPr="002E54FD">
        <w:rPr>
          <w:rFonts w:ascii="Arial" w:hAnsi="Arial" w:cs="Arial"/>
          <w:sz w:val="24"/>
          <w:szCs w:val="24"/>
        </w:rPr>
        <w:t xml:space="preserve"> den Heuvel, C., Waring, S., Power, N., Long, A. and O’Hara, T. (2013), </w:t>
      </w:r>
      <w:r w:rsidRPr="00D466BF">
        <w:rPr>
          <w:rFonts w:ascii="Arial" w:hAnsi="Arial" w:cs="Arial"/>
          <w:i/>
          <w:iCs/>
          <w:sz w:val="24"/>
          <w:szCs w:val="24"/>
        </w:rPr>
        <w:t>“Immersive simulated learning environment for researching critical incidents: a knowledge synthesis of the literature and experiences of studying high-risk strategic decision making”,</w:t>
      </w:r>
      <w:r w:rsidRPr="002E54FD">
        <w:rPr>
          <w:rFonts w:ascii="Arial" w:hAnsi="Arial" w:cs="Arial"/>
          <w:sz w:val="24"/>
          <w:szCs w:val="24"/>
        </w:rPr>
        <w:t xml:space="preserve"> Journal of Cognitive</w:t>
      </w:r>
      <w:r>
        <w:rPr>
          <w:rFonts w:ascii="Arial" w:hAnsi="Arial" w:cs="Arial"/>
          <w:sz w:val="24"/>
          <w:szCs w:val="24"/>
        </w:rPr>
        <w:t xml:space="preserve"> </w:t>
      </w:r>
      <w:r w:rsidRPr="002E54FD">
        <w:rPr>
          <w:rFonts w:ascii="Arial" w:hAnsi="Arial" w:cs="Arial"/>
          <w:sz w:val="24"/>
          <w:szCs w:val="24"/>
        </w:rPr>
        <w:t>Engineering and Decision Making, Vol. 7 No. 3, pp. 255-272.</w:t>
      </w:r>
    </w:p>
    <w:p w14:paraId="33520064" w14:textId="77777777" w:rsidR="00363613" w:rsidRDefault="00363613" w:rsidP="00363613">
      <w:pPr>
        <w:rPr>
          <w:rFonts w:ascii="Arial" w:hAnsi="Arial" w:cs="Arial"/>
          <w:sz w:val="24"/>
          <w:szCs w:val="24"/>
        </w:rPr>
      </w:pPr>
    </w:p>
    <w:p w14:paraId="6BE5C24F" w14:textId="77777777" w:rsidR="00363613" w:rsidRPr="002E54FD" w:rsidRDefault="00363613" w:rsidP="00363613">
      <w:pPr>
        <w:rPr>
          <w:rFonts w:ascii="Arial" w:hAnsi="Arial" w:cs="Arial"/>
          <w:sz w:val="24"/>
          <w:szCs w:val="24"/>
        </w:rPr>
      </w:pPr>
      <w:r w:rsidRPr="002E54FD">
        <w:rPr>
          <w:rFonts w:ascii="Arial" w:hAnsi="Arial" w:cs="Arial"/>
          <w:sz w:val="24"/>
          <w:szCs w:val="24"/>
        </w:rPr>
        <w:t>Andersen, J.P., Pitel, M., Weerasinghe, A. and Papazoglou, K. (2016), “</w:t>
      </w:r>
      <w:r w:rsidRPr="00D466BF">
        <w:rPr>
          <w:rFonts w:ascii="Arial" w:hAnsi="Arial" w:cs="Arial"/>
          <w:i/>
          <w:iCs/>
          <w:sz w:val="24"/>
          <w:szCs w:val="24"/>
        </w:rPr>
        <w:t xml:space="preserve">Highly realistic </w:t>
      </w:r>
      <w:proofErr w:type="gramStart"/>
      <w:r w:rsidRPr="00D466BF">
        <w:rPr>
          <w:rFonts w:ascii="Arial" w:hAnsi="Arial" w:cs="Arial"/>
          <w:i/>
          <w:iCs/>
          <w:sz w:val="24"/>
          <w:szCs w:val="24"/>
        </w:rPr>
        <w:t>scenario based</w:t>
      </w:r>
      <w:proofErr w:type="gramEnd"/>
      <w:r w:rsidRPr="00D466BF">
        <w:rPr>
          <w:rFonts w:ascii="Arial" w:hAnsi="Arial" w:cs="Arial"/>
          <w:i/>
          <w:iCs/>
          <w:sz w:val="24"/>
          <w:szCs w:val="24"/>
        </w:rPr>
        <w:t xml:space="preserve"> training simulates the psychophysiology of real world use of force encounters: implications for improved police officer performance</w:t>
      </w:r>
      <w:r w:rsidRPr="002E54FD">
        <w:rPr>
          <w:rFonts w:ascii="Arial" w:hAnsi="Arial" w:cs="Arial"/>
          <w:sz w:val="24"/>
          <w:szCs w:val="24"/>
        </w:rPr>
        <w:t>”, Journal of Law Enforcement, Vol. 5 No. 4.</w:t>
      </w:r>
    </w:p>
    <w:p w14:paraId="685C4390" w14:textId="77777777" w:rsidR="00363613" w:rsidRPr="00E636FE" w:rsidRDefault="00363613" w:rsidP="00363613">
      <w:pPr>
        <w:spacing w:line="276" w:lineRule="auto"/>
        <w:rPr>
          <w:rFonts w:ascii="Arial" w:hAnsi="Arial" w:cs="Arial"/>
          <w:sz w:val="24"/>
          <w:szCs w:val="24"/>
          <w:shd w:val="clear" w:color="auto" w:fill="FFFFFF"/>
        </w:rPr>
      </w:pPr>
    </w:p>
    <w:p w14:paraId="3698D6B0" w14:textId="77777777" w:rsidR="00363613" w:rsidRDefault="00363613" w:rsidP="00363613">
      <w:pPr>
        <w:spacing w:line="276" w:lineRule="auto"/>
        <w:rPr>
          <w:rFonts w:ascii="Arial" w:hAnsi="Arial" w:cs="Arial"/>
          <w:sz w:val="24"/>
          <w:szCs w:val="24"/>
        </w:rPr>
      </w:pPr>
      <w:r w:rsidRPr="00E636FE">
        <w:rPr>
          <w:rFonts w:ascii="Arial" w:hAnsi="Arial" w:cs="Arial"/>
          <w:sz w:val="24"/>
          <w:szCs w:val="24"/>
        </w:rPr>
        <w:t xml:space="preserve">Batchelor, S (2009). </w:t>
      </w:r>
      <w:r w:rsidRPr="00D466BF">
        <w:rPr>
          <w:rFonts w:ascii="Arial" w:hAnsi="Arial" w:cs="Arial"/>
          <w:i/>
          <w:iCs/>
          <w:sz w:val="24"/>
          <w:szCs w:val="24"/>
        </w:rPr>
        <w:t xml:space="preserve">Girls, </w:t>
      </w:r>
      <w:proofErr w:type="gramStart"/>
      <w:r w:rsidRPr="00D466BF">
        <w:rPr>
          <w:rFonts w:ascii="Arial" w:hAnsi="Arial" w:cs="Arial"/>
          <w:i/>
          <w:iCs/>
          <w:sz w:val="24"/>
          <w:szCs w:val="24"/>
        </w:rPr>
        <w:t>gangs</w:t>
      </w:r>
      <w:proofErr w:type="gramEnd"/>
      <w:r w:rsidRPr="00D466BF">
        <w:rPr>
          <w:rFonts w:ascii="Arial" w:hAnsi="Arial" w:cs="Arial"/>
          <w:i/>
          <w:iCs/>
          <w:sz w:val="24"/>
          <w:szCs w:val="24"/>
        </w:rPr>
        <w:t xml:space="preserve"> and violence: Assessing the evidence</w:t>
      </w:r>
      <w:r w:rsidRPr="00E636FE">
        <w:rPr>
          <w:rFonts w:ascii="Arial" w:hAnsi="Arial" w:cs="Arial"/>
          <w:sz w:val="24"/>
          <w:szCs w:val="24"/>
        </w:rPr>
        <w:t>. Probation Journal, 56: 399–414</w:t>
      </w:r>
      <w:r>
        <w:rPr>
          <w:rFonts w:ascii="Arial" w:hAnsi="Arial" w:cs="Arial"/>
          <w:sz w:val="24"/>
          <w:szCs w:val="24"/>
        </w:rPr>
        <w:t xml:space="preserve">. </w:t>
      </w:r>
    </w:p>
    <w:p w14:paraId="2070DC94" w14:textId="77777777" w:rsidR="00363613" w:rsidRDefault="00363613" w:rsidP="00363613">
      <w:pPr>
        <w:spacing w:line="276" w:lineRule="auto"/>
        <w:rPr>
          <w:rFonts w:ascii="Arial" w:hAnsi="Arial" w:cs="Arial"/>
          <w:sz w:val="24"/>
          <w:szCs w:val="24"/>
        </w:rPr>
      </w:pPr>
    </w:p>
    <w:p w14:paraId="24CAEDE9" w14:textId="77777777" w:rsidR="00363613" w:rsidRDefault="00363613" w:rsidP="00363613">
      <w:pPr>
        <w:spacing w:line="276" w:lineRule="auto"/>
        <w:rPr>
          <w:rFonts w:ascii="Arial" w:hAnsi="Arial" w:cs="Arial"/>
          <w:sz w:val="24"/>
          <w:szCs w:val="24"/>
        </w:rPr>
      </w:pPr>
      <w:r w:rsidRPr="002E54FD">
        <w:rPr>
          <w:rFonts w:ascii="Arial" w:hAnsi="Arial" w:cs="Arial"/>
          <w:sz w:val="24"/>
          <w:szCs w:val="24"/>
        </w:rPr>
        <w:t xml:space="preserve">Brown, O., Power, </w:t>
      </w:r>
      <w:proofErr w:type="gramStart"/>
      <w:r w:rsidRPr="002E54FD">
        <w:rPr>
          <w:rFonts w:ascii="Arial" w:hAnsi="Arial" w:cs="Arial"/>
          <w:sz w:val="24"/>
          <w:szCs w:val="24"/>
        </w:rPr>
        <w:t>N.</w:t>
      </w:r>
      <w:proofErr w:type="gramEnd"/>
      <w:r w:rsidRPr="002E54FD">
        <w:rPr>
          <w:rFonts w:ascii="Arial" w:hAnsi="Arial" w:cs="Arial"/>
          <w:sz w:val="24"/>
          <w:szCs w:val="24"/>
        </w:rPr>
        <w:t xml:space="preserve"> and Conchie, S.M. (2021) ‘</w:t>
      </w:r>
      <w:r w:rsidRPr="00D466BF">
        <w:rPr>
          <w:rFonts w:ascii="Arial" w:hAnsi="Arial" w:cs="Arial"/>
          <w:i/>
          <w:iCs/>
          <w:sz w:val="24"/>
          <w:szCs w:val="24"/>
        </w:rPr>
        <w:t>Communication and coordination across event phases: A multi</w:t>
      </w:r>
      <w:r w:rsidRPr="00D466BF">
        <w:rPr>
          <w:rFonts w:ascii="Cambria Math" w:hAnsi="Cambria Math" w:cs="Cambria Math"/>
          <w:i/>
          <w:iCs/>
          <w:sz w:val="24"/>
          <w:szCs w:val="24"/>
        </w:rPr>
        <w:t>‐</w:t>
      </w:r>
      <w:r w:rsidRPr="00D466BF">
        <w:rPr>
          <w:rFonts w:ascii="Arial" w:hAnsi="Arial" w:cs="Arial"/>
          <w:i/>
          <w:iCs/>
          <w:sz w:val="24"/>
          <w:szCs w:val="24"/>
        </w:rPr>
        <w:t>team system emergency response’</w:t>
      </w:r>
      <w:r w:rsidRPr="002E54FD">
        <w:rPr>
          <w:rFonts w:ascii="Arial" w:hAnsi="Arial" w:cs="Arial"/>
          <w:sz w:val="24"/>
          <w:szCs w:val="24"/>
        </w:rPr>
        <w:t>, Journal of Occupational &amp; Organizational Psychology, 94(3), pp. 591–615.</w:t>
      </w:r>
      <w:r>
        <w:rPr>
          <w:rFonts w:ascii="Arial" w:hAnsi="Arial" w:cs="Arial"/>
          <w:sz w:val="24"/>
          <w:szCs w:val="24"/>
        </w:rPr>
        <w:t xml:space="preserve"> Available at: </w:t>
      </w:r>
      <w:hyperlink r:id="rId7" w:history="1">
        <w:r w:rsidRPr="006E57E1">
          <w:rPr>
            <w:rStyle w:val="Hyperlink"/>
            <w:rFonts w:ascii="Arial" w:hAnsi="Arial" w:cs="Arial"/>
            <w:sz w:val="24"/>
            <w:szCs w:val="24"/>
          </w:rPr>
          <w:t>https://doi.org/10.1111/joop.12349</w:t>
        </w:r>
      </w:hyperlink>
    </w:p>
    <w:p w14:paraId="1815DCD0" w14:textId="77777777" w:rsidR="00363613" w:rsidRPr="00E636FE" w:rsidRDefault="00363613" w:rsidP="00363613">
      <w:pPr>
        <w:spacing w:line="276" w:lineRule="auto"/>
        <w:rPr>
          <w:rFonts w:ascii="Arial" w:hAnsi="Arial" w:cs="Arial"/>
          <w:sz w:val="24"/>
          <w:szCs w:val="24"/>
        </w:rPr>
      </w:pPr>
    </w:p>
    <w:p w14:paraId="19C4D0E3" w14:textId="77777777" w:rsidR="00363613" w:rsidRPr="00E636FE" w:rsidRDefault="00363613" w:rsidP="00363613">
      <w:pPr>
        <w:spacing w:line="276" w:lineRule="auto"/>
        <w:rPr>
          <w:rFonts w:ascii="Arial" w:hAnsi="Arial" w:cs="Arial"/>
          <w:sz w:val="24"/>
          <w:szCs w:val="24"/>
        </w:rPr>
      </w:pPr>
      <w:proofErr w:type="gramStart"/>
      <w:r w:rsidRPr="00E636FE">
        <w:rPr>
          <w:rFonts w:ascii="Arial" w:hAnsi="Arial" w:cs="Arial"/>
          <w:color w:val="333333"/>
          <w:sz w:val="24"/>
          <w:szCs w:val="24"/>
        </w:rPr>
        <w:t>Clarke ,</w:t>
      </w:r>
      <w:proofErr w:type="gramEnd"/>
      <w:r w:rsidRPr="00E636FE">
        <w:rPr>
          <w:rFonts w:ascii="Arial" w:hAnsi="Arial" w:cs="Arial"/>
          <w:color w:val="333333"/>
          <w:sz w:val="24"/>
          <w:szCs w:val="24"/>
        </w:rPr>
        <w:t xml:space="preserve"> C. and Milne , R. (2001) . </w:t>
      </w:r>
      <w:r w:rsidRPr="00E636FE">
        <w:rPr>
          <w:rStyle w:val="citationsource-book"/>
          <w:rFonts w:ascii="Arial" w:hAnsi="Arial" w:cs="Arial"/>
          <w:i/>
          <w:iCs/>
          <w:color w:val="333333"/>
          <w:sz w:val="24"/>
          <w:szCs w:val="24"/>
        </w:rPr>
        <w:t xml:space="preserve">National evaluation of the PEACE investigative interviewing </w:t>
      </w:r>
      <w:proofErr w:type="gramStart"/>
      <w:r w:rsidRPr="00E636FE">
        <w:rPr>
          <w:rStyle w:val="citationsource-book"/>
          <w:rFonts w:ascii="Arial" w:hAnsi="Arial" w:cs="Arial"/>
          <w:i/>
          <w:iCs/>
          <w:color w:val="333333"/>
          <w:sz w:val="24"/>
          <w:szCs w:val="24"/>
        </w:rPr>
        <w:t>course</w:t>
      </w:r>
      <w:r w:rsidRPr="00E636FE">
        <w:rPr>
          <w:rStyle w:val="citationsource-book"/>
          <w:rFonts w:ascii="Arial" w:hAnsi="Arial" w:cs="Arial"/>
          <w:color w:val="333333"/>
          <w:sz w:val="24"/>
          <w:szCs w:val="24"/>
        </w:rPr>
        <w:t> </w:t>
      </w:r>
      <w:r w:rsidRPr="00E636FE">
        <w:rPr>
          <w:rFonts w:ascii="Arial" w:hAnsi="Arial" w:cs="Arial"/>
          <w:color w:val="333333"/>
          <w:sz w:val="24"/>
          <w:szCs w:val="24"/>
        </w:rPr>
        <w:t>,</w:t>
      </w:r>
      <w:proofErr w:type="gramEnd"/>
      <w:r w:rsidRPr="00E636FE">
        <w:rPr>
          <w:rFonts w:ascii="Arial" w:hAnsi="Arial" w:cs="Arial"/>
          <w:color w:val="333333"/>
          <w:sz w:val="24"/>
          <w:szCs w:val="24"/>
        </w:rPr>
        <w:t xml:space="preserve"> London : Home Office. Available at: </w:t>
      </w:r>
      <w:hyperlink r:id="rId8" w:history="1">
        <w:r w:rsidRPr="00E636FE">
          <w:rPr>
            <w:rStyle w:val="Hyperlink"/>
            <w:rFonts w:ascii="Arial" w:hAnsi="Arial" w:cs="Arial"/>
            <w:sz w:val="24"/>
            <w:szCs w:val="24"/>
          </w:rPr>
          <w:t>Academia.edu</w:t>
        </w:r>
      </w:hyperlink>
      <w:r w:rsidRPr="00E636FE">
        <w:rPr>
          <w:rFonts w:ascii="Arial" w:hAnsi="Arial" w:cs="Arial"/>
          <w:sz w:val="24"/>
          <w:szCs w:val="24"/>
        </w:rPr>
        <w:t xml:space="preserve"> (accessed 11</w:t>
      </w:r>
      <w:r w:rsidRPr="00E636FE">
        <w:rPr>
          <w:rFonts w:ascii="Arial" w:hAnsi="Arial" w:cs="Arial"/>
          <w:sz w:val="24"/>
          <w:szCs w:val="24"/>
          <w:vertAlign w:val="superscript"/>
        </w:rPr>
        <w:t>th</w:t>
      </w:r>
      <w:r w:rsidRPr="00E636FE">
        <w:rPr>
          <w:rFonts w:ascii="Arial" w:hAnsi="Arial" w:cs="Arial"/>
          <w:sz w:val="24"/>
          <w:szCs w:val="24"/>
        </w:rPr>
        <w:t xml:space="preserve"> November 2023)</w:t>
      </w:r>
    </w:p>
    <w:p w14:paraId="2E8E4638" w14:textId="77777777" w:rsidR="00363613" w:rsidRDefault="00363613" w:rsidP="00363613">
      <w:pPr>
        <w:pStyle w:val="dx-doi"/>
        <w:spacing w:before="0" w:after="0" w:line="276" w:lineRule="auto"/>
        <w:rPr>
          <w:rStyle w:val="Hyperlink"/>
          <w:rFonts w:ascii="Arial" w:hAnsi="Arial" w:cs="Arial"/>
          <w:color w:val="006DB4"/>
        </w:rPr>
      </w:pPr>
      <w:proofErr w:type="gramStart"/>
      <w:r w:rsidRPr="00E636FE">
        <w:rPr>
          <w:rFonts w:ascii="Arial" w:hAnsi="Arial" w:cs="Arial"/>
          <w:color w:val="333333"/>
        </w:rPr>
        <w:t>Clifford ,</w:t>
      </w:r>
      <w:proofErr w:type="gramEnd"/>
      <w:r w:rsidRPr="00E636FE">
        <w:rPr>
          <w:rFonts w:ascii="Arial" w:hAnsi="Arial" w:cs="Arial"/>
          <w:color w:val="333333"/>
        </w:rPr>
        <w:t xml:space="preserve"> B.R. and George , R. 1996 . </w:t>
      </w:r>
      <w:r w:rsidRPr="00D466BF">
        <w:rPr>
          <w:rFonts w:ascii="Arial" w:hAnsi="Arial" w:cs="Arial"/>
          <w:i/>
          <w:iCs/>
          <w:color w:val="333333"/>
        </w:rPr>
        <w:t xml:space="preserve">A field evaluation of training in three methods of witness/victim investigative </w:t>
      </w:r>
      <w:proofErr w:type="gramStart"/>
      <w:r w:rsidRPr="00D466BF">
        <w:rPr>
          <w:rFonts w:ascii="Arial" w:hAnsi="Arial" w:cs="Arial"/>
          <w:i/>
          <w:iCs/>
          <w:color w:val="333333"/>
        </w:rPr>
        <w:t>interviewing</w:t>
      </w:r>
      <w:r w:rsidRPr="00E636FE">
        <w:rPr>
          <w:rFonts w:ascii="Arial" w:hAnsi="Arial" w:cs="Arial"/>
          <w:color w:val="333333"/>
        </w:rPr>
        <w:t xml:space="preserve"> .</w:t>
      </w:r>
      <w:proofErr w:type="gramEnd"/>
      <w:r w:rsidRPr="00E636FE">
        <w:rPr>
          <w:rFonts w:ascii="Arial" w:hAnsi="Arial" w:cs="Arial"/>
          <w:color w:val="333333"/>
        </w:rPr>
        <w:t> </w:t>
      </w:r>
      <w:r w:rsidRPr="00E636FE">
        <w:rPr>
          <w:rStyle w:val="citationsource-journal"/>
          <w:rFonts w:ascii="Arial" w:hAnsi="Arial" w:cs="Arial"/>
          <w:i/>
          <w:iCs/>
          <w:color w:val="333333"/>
        </w:rPr>
        <w:t xml:space="preserve">Psychology, Crime &amp; </w:t>
      </w:r>
      <w:proofErr w:type="gramStart"/>
      <w:r w:rsidRPr="00E636FE">
        <w:rPr>
          <w:rStyle w:val="citationsource-journal"/>
          <w:rFonts w:ascii="Arial" w:hAnsi="Arial" w:cs="Arial"/>
          <w:i/>
          <w:iCs/>
          <w:color w:val="333333"/>
        </w:rPr>
        <w:t>Law</w:t>
      </w:r>
      <w:r w:rsidRPr="00E636FE">
        <w:rPr>
          <w:rStyle w:val="citationsource-journal"/>
          <w:rFonts w:ascii="Arial" w:hAnsi="Arial" w:cs="Arial"/>
          <w:color w:val="333333"/>
        </w:rPr>
        <w:t> </w:t>
      </w:r>
      <w:r w:rsidRPr="00E636FE">
        <w:rPr>
          <w:rFonts w:ascii="Arial" w:hAnsi="Arial" w:cs="Arial"/>
          <w:color w:val="333333"/>
        </w:rPr>
        <w:t>,</w:t>
      </w:r>
      <w:proofErr w:type="gramEnd"/>
      <w:r w:rsidRPr="00E636FE">
        <w:rPr>
          <w:rFonts w:ascii="Arial" w:hAnsi="Arial" w:cs="Arial"/>
          <w:color w:val="333333"/>
        </w:rPr>
        <w:t xml:space="preserve"> 2 : 231 – 248. Available at: </w:t>
      </w:r>
      <w:hyperlink r:id="rId9" w:history="1">
        <w:r w:rsidRPr="00E636FE">
          <w:rPr>
            <w:rStyle w:val="Hyperlink"/>
            <w:rFonts w:ascii="Arial" w:hAnsi="Arial" w:cs="Arial"/>
            <w:color w:val="006DB4"/>
          </w:rPr>
          <w:t>https://doi-org.ezproxy.uwtsd.ac.uk/10.1080/10683169608409780</w:t>
        </w:r>
      </w:hyperlink>
    </w:p>
    <w:p w14:paraId="23289D33" w14:textId="77777777" w:rsidR="00363613" w:rsidRPr="00D579EF" w:rsidRDefault="00363613" w:rsidP="00363613">
      <w:pPr>
        <w:pStyle w:val="dx-doi"/>
        <w:spacing w:before="0" w:after="0" w:line="276" w:lineRule="auto"/>
        <w:rPr>
          <w:rFonts w:ascii="Arial" w:hAnsi="Arial" w:cs="Arial"/>
        </w:rPr>
      </w:pPr>
      <w:r w:rsidRPr="00D579EF">
        <w:rPr>
          <w:rFonts w:ascii="Arial" w:hAnsi="Arial" w:cs="Arial"/>
        </w:rPr>
        <w:lastRenderedPageBreak/>
        <w:t xml:space="preserve">College of Policing (2013). </w:t>
      </w:r>
      <w:r w:rsidRPr="00D466BF">
        <w:rPr>
          <w:rFonts w:ascii="Arial" w:hAnsi="Arial" w:cs="Arial"/>
          <w:i/>
          <w:iCs/>
        </w:rPr>
        <w:t>Definitions.</w:t>
      </w:r>
      <w:r w:rsidRPr="00D579EF">
        <w:rPr>
          <w:rFonts w:ascii="Arial" w:hAnsi="Arial" w:cs="Arial"/>
        </w:rPr>
        <w:t xml:space="preserve"> Available at </w:t>
      </w:r>
      <w:hyperlink r:id="rId10" w:history="1">
        <w:r w:rsidRPr="00D579EF">
          <w:rPr>
            <w:rStyle w:val="Hyperlink"/>
            <w:rFonts w:ascii="Arial" w:hAnsi="Arial" w:cs="Arial"/>
          </w:rPr>
          <w:t>https://www.college.police.uk/app/civil-emergencies/disaster-victim-identification/definitions</w:t>
        </w:r>
      </w:hyperlink>
      <w:r w:rsidRPr="00D579EF">
        <w:rPr>
          <w:rFonts w:ascii="Arial" w:hAnsi="Arial" w:cs="Arial"/>
        </w:rPr>
        <w:t>. (</w:t>
      </w:r>
      <w:proofErr w:type="gramStart"/>
      <w:r w:rsidRPr="00D579EF">
        <w:rPr>
          <w:rFonts w:ascii="Arial" w:hAnsi="Arial" w:cs="Arial"/>
        </w:rPr>
        <w:t>accessed</w:t>
      </w:r>
      <w:proofErr w:type="gramEnd"/>
      <w:r w:rsidRPr="00D579EF">
        <w:rPr>
          <w:rFonts w:ascii="Arial" w:hAnsi="Arial" w:cs="Arial"/>
        </w:rPr>
        <w:t xml:space="preserve"> 29</w:t>
      </w:r>
      <w:r w:rsidRPr="00D579EF">
        <w:rPr>
          <w:rFonts w:ascii="Arial" w:hAnsi="Arial" w:cs="Arial"/>
          <w:vertAlign w:val="superscript"/>
        </w:rPr>
        <w:t>th</w:t>
      </w:r>
      <w:r w:rsidRPr="00D579EF">
        <w:rPr>
          <w:rFonts w:ascii="Arial" w:hAnsi="Arial" w:cs="Arial"/>
        </w:rPr>
        <w:t xml:space="preserve"> November 2023.) </w:t>
      </w:r>
    </w:p>
    <w:p w14:paraId="6823729C" w14:textId="77777777" w:rsidR="00363613" w:rsidRPr="00D579EF" w:rsidRDefault="00363613" w:rsidP="00363613">
      <w:pPr>
        <w:rPr>
          <w:rFonts w:ascii="Arial" w:hAnsi="Arial" w:cs="Arial"/>
          <w:sz w:val="24"/>
          <w:szCs w:val="24"/>
        </w:rPr>
      </w:pPr>
    </w:p>
    <w:p w14:paraId="32F0B6A5" w14:textId="77777777" w:rsidR="00363613" w:rsidRDefault="00363613" w:rsidP="00363613">
      <w:pPr>
        <w:rPr>
          <w:rFonts w:ascii="Arial" w:hAnsi="Arial" w:cs="Arial"/>
          <w:sz w:val="24"/>
          <w:szCs w:val="24"/>
        </w:rPr>
      </w:pPr>
      <w:r w:rsidRPr="00D579EF">
        <w:rPr>
          <w:rFonts w:ascii="Arial" w:hAnsi="Arial" w:cs="Arial"/>
          <w:sz w:val="24"/>
          <w:szCs w:val="24"/>
        </w:rPr>
        <w:t xml:space="preserve">College of Policing (2013.) </w:t>
      </w:r>
      <w:r w:rsidRPr="00D466BF">
        <w:rPr>
          <w:rFonts w:ascii="Arial" w:hAnsi="Arial" w:cs="Arial"/>
          <w:i/>
          <w:iCs/>
          <w:sz w:val="24"/>
          <w:szCs w:val="24"/>
        </w:rPr>
        <w:t>Introduction and types of critical incidents</w:t>
      </w:r>
      <w:r w:rsidRPr="00D579EF">
        <w:rPr>
          <w:rFonts w:ascii="Arial" w:hAnsi="Arial" w:cs="Arial"/>
          <w:sz w:val="24"/>
          <w:szCs w:val="24"/>
        </w:rPr>
        <w:t xml:space="preserve">.  Available at: </w:t>
      </w:r>
      <w:hyperlink r:id="rId11" w:history="1">
        <w:r w:rsidRPr="00D579EF">
          <w:rPr>
            <w:rStyle w:val="Hyperlink"/>
            <w:rFonts w:ascii="Arial" w:hAnsi="Arial" w:cs="Arial"/>
            <w:sz w:val="24"/>
            <w:szCs w:val="24"/>
          </w:rPr>
          <w:t>https://www.college.police.uk/app/critical-incident-management/introduction-and-types-critical-incidents</w:t>
        </w:r>
      </w:hyperlink>
      <w:r w:rsidRPr="00D579EF">
        <w:rPr>
          <w:rFonts w:ascii="Arial" w:hAnsi="Arial" w:cs="Arial"/>
          <w:sz w:val="24"/>
          <w:szCs w:val="24"/>
        </w:rPr>
        <w:t>. (</w:t>
      </w:r>
      <w:proofErr w:type="gramStart"/>
      <w:r w:rsidRPr="00D579EF">
        <w:rPr>
          <w:rFonts w:ascii="Arial" w:hAnsi="Arial" w:cs="Arial"/>
          <w:sz w:val="24"/>
          <w:szCs w:val="24"/>
        </w:rPr>
        <w:t>accessed</w:t>
      </w:r>
      <w:proofErr w:type="gramEnd"/>
      <w:r w:rsidRPr="00D579EF">
        <w:rPr>
          <w:rFonts w:ascii="Arial" w:hAnsi="Arial" w:cs="Arial"/>
          <w:sz w:val="24"/>
          <w:szCs w:val="24"/>
        </w:rPr>
        <w:t xml:space="preserve"> 6</w:t>
      </w:r>
      <w:r w:rsidRPr="00D579EF">
        <w:rPr>
          <w:rFonts w:ascii="Arial" w:hAnsi="Arial" w:cs="Arial"/>
          <w:sz w:val="24"/>
          <w:szCs w:val="24"/>
          <w:vertAlign w:val="superscript"/>
        </w:rPr>
        <w:t>th</w:t>
      </w:r>
      <w:r w:rsidRPr="00D579EF">
        <w:rPr>
          <w:rFonts w:ascii="Arial" w:hAnsi="Arial" w:cs="Arial"/>
          <w:sz w:val="24"/>
          <w:szCs w:val="24"/>
        </w:rPr>
        <w:t xml:space="preserve"> December 2023.) </w:t>
      </w:r>
    </w:p>
    <w:p w14:paraId="579BA7F7" w14:textId="77777777" w:rsidR="00363613" w:rsidRDefault="00363613" w:rsidP="00363613">
      <w:pPr>
        <w:rPr>
          <w:rFonts w:ascii="Arial" w:hAnsi="Arial" w:cs="Arial"/>
          <w:sz w:val="24"/>
          <w:szCs w:val="24"/>
        </w:rPr>
      </w:pPr>
    </w:p>
    <w:p w14:paraId="09878846" w14:textId="77777777" w:rsidR="00363613" w:rsidRPr="00D579EF" w:rsidRDefault="00363613" w:rsidP="00363613">
      <w:pPr>
        <w:spacing w:line="276" w:lineRule="auto"/>
        <w:rPr>
          <w:rFonts w:ascii="Arial" w:hAnsi="Arial" w:cs="Arial"/>
          <w:sz w:val="24"/>
          <w:szCs w:val="24"/>
        </w:rPr>
      </w:pPr>
      <w:r w:rsidRPr="00E636FE">
        <w:rPr>
          <w:rFonts w:ascii="Arial" w:hAnsi="Arial" w:cs="Arial"/>
          <w:sz w:val="24"/>
          <w:szCs w:val="24"/>
        </w:rPr>
        <w:t xml:space="preserve">College of Policing (2013) </w:t>
      </w:r>
      <w:r w:rsidRPr="00D466BF">
        <w:rPr>
          <w:rFonts w:ascii="Arial" w:hAnsi="Arial" w:cs="Arial"/>
          <w:i/>
          <w:iCs/>
          <w:sz w:val="24"/>
          <w:szCs w:val="24"/>
        </w:rPr>
        <w:t>Investigative Interviewing</w:t>
      </w:r>
      <w:r w:rsidRPr="00E636FE">
        <w:rPr>
          <w:rFonts w:ascii="Arial" w:hAnsi="Arial" w:cs="Arial"/>
          <w:sz w:val="24"/>
          <w:szCs w:val="24"/>
        </w:rPr>
        <w:t xml:space="preserve">. London: College of Policing. Available at: </w:t>
      </w:r>
      <w:hyperlink r:id="rId12" w:history="1">
        <w:r w:rsidRPr="00E636FE">
          <w:rPr>
            <w:rStyle w:val="Hyperlink"/>
            <w:rFonts w:ascii="Arial" w:hAnsi="Arial" w:cs="Arial"/>
            <w:sz w:val="24"/>
            <w:szCs w:val="24"/>
          </w:rPr>
          <w:t>https://www.app.college.police.uk/app-content/investigations/investigative-interviewing/</w:t>
        </w:r>
      </w:hyperlink>
      <w:r w:rsidRPr="00E636FE">
        <w:rPr>
          <w:rFonts w:ascii="Arial" w:hAnsi="Arial" w:cs="Arial"/>
          <w:sz w:val="24"/>
          <w:szCs w:val="24"/>
        </w:rPr>
        <w:t xml:space="preserve"> (accessed 3</w:t>
      </w:r>
      <w:r w:rsidRPr="00E636FE">
        <w:rPr>
          <w:rFonts w:ascii="Arial" w:hAnsi="Arial" w:cs="Arial"/>
          <w:sz w:val="24"/>
          <w:szCs w:val="24"/>
          <w:vertAlign w:val="superscript"/>
        </w:rPr>
        <w:t>rd</w:t>
      </w:r>
      <w:r w:rsidRPr="00E636FE">
        <w:rPr>
          <w:rFonts w:ascii="Arial" w:hAnsi="Arial" w:cs="Arial"/>
          <w:sz w:val="24"/>
          <w:szCs w:val="24"/>
        </w:rPr>
        <w:t xml:space="preserve"> November 2023.)</w:t>
      </w:r>
    </w:p>
    <w:p w14:paraId="2F839B3B" w14:textId="77777777" w:rsidR="00363613" w:rsidRPr="00D579EF" w:rsidRDefault="00363613" w:rsidP="00363613">
      <w:pPr>
        <w:rPr>
          <w:rFonts w:ascii="Arial" w:hAnsi="Arial" w:cs="Arial"/>
          <w:sz w:val="24"/>
          <w:szCs w:val="24"/>
        </w:rPr>
      </w:pPr>
    </w:p>
    <w:p w14:paraId="66E6E9F1" w14:textId="77777777" w:rsidR="00363613" w:rsidRDefault="00363613" w:rsidP="00363613">
      <w:pPr>
        <w:rPr>
          <w:rFonts w:ascii="Arial" w:hAnsi="Arial" w:cs="Arial"/>
          <w:sz w:val="24"/>
          <w:szCs w:val="24"/>
        </w:rPr>
      </w:pPr>
      <w:r w:rsidRPr="00D579EF">
        <w:rPr>
          <w:rFonts w:ascii="Arial" w:hAnsi="Arial" w:cs="Arial"/>
          <w:sz w:val="24"/>
          <w:szCs w:val="24"/>
        </w:rPr>
        <w:t xml:space="preserve">College of Policing (2019). </w:t>
      </w:r>
      <w:r w:rsidRPr="00D466BF">
        <w:rPr>
          <w:rFonts w:ascii="Arial" w:hAnsi="Arial" w:cs="Arial"/>
          <w:i/>
          <w:iCs/>
          <w:sz w:val="24"/>
          <w:szCs w:val="24"/>
        </w:rPr>
        <w:t>Police Constable</w:t>
      </w:r>
      <w:r w:rsidRPr="00D579EF">
        <w:rPr>
          <w:rFonts w:ascii="Arial" w:hAnsi="Arial" w:cs="Arial"/>
          <w:sz w:val="24"/>
          <w:szCs w:val="24"/>
        </w:rPr>
        <w:t xml:space="preserve">. Available at: </w:t>
      </w:r>
      <w:hyperlink r:id="rId13" w:history="1">
        <w:r w:rsidRPr="00D579EF">
          <w:rPr>
            <w:rStyle w:val="Hyperlink"/>
            <w:rFonts w:ascii="Arial" w:hAnsi="Arial" w:cs="Arial"/>
            <w:sz w:val="24"/>
            <w:szCs w:val="24"/>
          </w:rPr>
          <w:t>https://profdev.college.police.uk/professional-profile/police-constable/</w:t>
        </w:r>
      </w:hyperlink>
      <w:r w:rsidRPr="00D579EF">
        <w:rPr>
          <w:rFonts w:ascii="Arial" w:hAnsi="Arial" w:cs="Arial"/>
          <w:sz w:val="24"/>
          <w:szCs w:val="24"/>
        </w:rPr>
        <w:t>. (accessed 29</w:t>
      </w:r>
      <w:r w:rsidRPr="00D579EF">
        <w:rPr>
          <w:rFonts w:ascii="Arial" w:hAnsi="Arial" w:cs="Arial"/>
          <w:sz w:val="24"/>
          <w:szCs w:val="24"/>
          <w:vertAlign w:val="superscript"/>
        </w:rPr>
        <w:t>th</w:t>
      </w:r>
      <w:r w:rsidRPr="00D579EF">
        <w:rPr>
          <w:rFonts w:ascii="Arial" w:hAnsi="Arial" w:cs="Arial"/>
          <w:sz w:val="24"/>
          <w:szCs w:val="24"/>
        </w:rPr>
        <w:t xml:space="preserve"> November 2023). </w:t>
      </w:r>
    </w:p>
    <w:p w14:paraId="43A9B5A4" w14:textId="77777777" w:rsidR="00363613" w:rsidRPr="00E636FE" w:rsidRDefault="00363613" w:rsidP="00363613">
      <w:pPr>
        <w:spacing w:line="276" w:lineRule="auto"/>
        <w:rPr>
          <w:rFonts w:ascii="Arial" w:hAnsi="Arial" w:cs="Arial"/>
          <w:sz w:val="24"/>
          <w:szCs w:val="24"/>
        </w:rPr>
      </w:pPr>
    </w:p>
    <w:p w14:paraId="60AA2E6A" w14:textId="77777777" w:rsidR="00363613" w:rsidRPr="00E636FE" w:rsidRDefault="00363613" w:rsidP="00363613">
      <w:pPr>
        <w:spacing w:line="276" w:lineRule="auto"/>
        <w:rPr>
          <w:rStyle w:val="doilink"/>
          <w:rFonts w:ascii="Arial" w:hAnsi="Arial" w:cs="Arial"/>
          <w:color w:val="333333"/>
          <w:sz w:val="24"/>
          <w:szCs w:val="24"/>
          <w:shd w:val="clear" w:color="auto" w:fill="FFFFFF"/>
        </w:rPr>
      </w:pPr>
      <w:r w:rsidRPr="00E636FE">
        <w:rPr>
          <w:rStyle w:val="authorname"/>
          <w:rFonts w:ascii="Arial" w:hAnsi="Arial" w:cs="Arial"/>
          <w:color w:val="333333"/>
          <w:sz w:val="24"/>
          <w:szCs w:val="24"/>
          <w:shd w:val="clear" w:color="auto" w:fill="FFFFFF"/>
        </w:rPr>
        <w:t>Dando, C </w:t>
      </w:r>
      <w:r w:rsidRPr="00E636FE">
        <w:rPr>
          <w:rStyle w:val="separator"/>
          <w:rFonts w:ascii="Arial" w:hAnsi="Arial" w:cs="Arial"/>
          <w:color w:val="333333"/>
          <w:sz w:val="24"/>
          <w:szCs w:val="24"/>
          <w:shd w:val="clear" w:color="auto" w:fill="FFFFFF"/>
        </w:rPr>
        <w:t>, </w:t>
      </w:r>
      <w:r w:rsidRPr="00E636FE">
        <w:rPr>
          <w:rStyle w:val="authorname"/>
          <w:rFonts w:ascii="Arial" w:hAnsi="Arial" w:cs="Arial"/>
          <w:color w:val="333333"/>
          <w:sz w:val="24"/>
          <w:szCs w:val="24"/>
          <w:shd w:val="clear" w:color="auto" w:fill="FFFFFF"/>
        </w:rPr>
        <w:t>Wilcock R </w:t>
      </w:r>
      <w:r w:rsidRPr="00E636FE">
        <w:rPr>
          <w:rStyle w:val="separator"/>
          <w:rFonts w:ascii="Arial" w:hAnsi="Arial" w:cs="Arial"/>
          <w:color w:val="333333"/>
          <w:sz w:val="24"/>
          <w:szCs w:val="24"/>
          <w:shd w:val="clear" w:color="auto" w:fill="FFFFFF"/>
        </w:rPr>
        <w:t>&amp; </w:t>
      </w:r>
      <w:r w:rsidRPr="00E636FE">
        <w:rPr>
          <w:rStyle w:val="authorname"/>
          <w:rFonts w:ascii="Arial" w:hAnsi="Arial" w:cs="Arial"/>
          <w:color w:val="333333"/>
          <w:sz w:val="24"/>
          <w:szCs w:val="24"/>
          <w:shd w:val="clear" w:color="auto" w:fill="FFFFFF"/>
        </w:rPr>
        <w:t xml:space="preserve"> Milne  R. </w:t>
      </w:r>
      <w:r w:rsidRPr="00E636FE">
        <w:rPr>
          <w:rStyle w:val="Date1"/>
          <w:rFonts w:ascii="Arial" w:hAnsi="Arial" w:cs="Arial"/>
          <w:color w:val="333333"/>
          <w:sz w:val="24"/>
          <w:szCs w:val="24"/>
          <w:shd w:val="clear" w:color="auto" w:fill="FFFFFF"/>
        </w:rPr>
        <w:t>(2009)</w:t>
      </w:r>
      <w:r w:rsidRPr="00E636FE">
        <w:rPr>
          <w:rFonts w:ascii="Arial" w:hAnsi="Arial" w:cs="Arial"/>
          <w:color w:val="333333"/>
          <w:sz w:val="24"/>
          <w:szCs w:val="24"/>
          <w:shd w:val="clear" w:color="auto" w:fill="FFFFFF"/>
        </w:rPr>
        <w:t> </w:t>
      </w:r>
      <w:r w:rsidRPr="00E636FE">
        <w:rPr>
          <w:rStyle w:val="arttitle"/>
          <w:rFonts w:ascii="Arial" w:hAnsi="Arial" w:cs="Arial"/>
          <w:color w:val="333333"/>
          <w:sz w:val="24"/>
          <w:szCs w:val="24"/>
          <w:shd w:val="clear" w:color="auto" w:fill="FFFFFF"/>
        </w:rPr>
        <w:t>The Cognitive Interview</w:t>
      </w:r>
      <w:r w:rsidRPr="00D466BF">
        <w:rPr>
          <w:rStyle w:val="arttitle"/>
          <w:rFonts w:ascii="Arial" w:hAnsi="Arial" w:cs="Arial"/>
          <w:i/>
          <w:iCs/>
          <w:color w:val="333333"/>
          <w:sz w:val="24"/>
          <w:szCs w:val="24"/>
          <w:shd w:val="clear" w:color="auto" w:fill="FFFFFF"/>
        </w:rPr>
        <w:t>: novice police officers' witness/victim interviewing practices,</w:t>
      </w:r>
      <w:r w:rsidRPr="00E636FE">
        <w:rPr>
          <w:rFonts w:ascii="Arial" w:hAnsi="Arial" w:cs="Arial"/>
          <w:color w:val="333333"/>
          <w:sz w:val="24"/>
          <w:szCs w:val="24"/>
          <w:shd w:val="clear" w:color="auto" w:fill="FFFFFF"/>
        </w:rPr>
        <w:t> </w:t>
      </w:r>
      <w:r w:rsidRPr="00E636FE">
        <w:rPr>
          <w:rStyle w:val="serialtitle"/>
          <w:rFonts w:ascii="Arial" w:hAnsi="Arial" w:cs="Arial"/>
          <w:color w:val="333333"/>
          <w:sz w:val="24"/>
          <w:szCs w:val="24"/>
          <w:shd w:val="clear" w:color="auto" w:fill="FFFFFF"/>
        </w:rPr>
        <w:t>Psychology, Crime &amp; Law,</w:t>
      </w:r>
      <w:r w:rsidRPr="00E636FE">
        <w:rPr>
          <w:rFonts w:ascii="Arial" w:hAnsi="Arial" w:cs="Arial"/>
          <w:color w:val="333333"/>
          <w:sz w:val="24"/>
          <w:szCs w:val="24"/>
          <w:shd w:val="clear" w:color="auto" w:fill="FFFFFF"/>
        </w:rPr>
        <w:t> </w:t>
      </w:r>
      <w:r w:rsidRPr="00E636FE">
        <w:rPr>
          <w:rStyle w:val="volumeissue"/>
          <w:rFonts w:ascii="Arial" w:hAnsi="Arial" w:cs="Arial"/>
          <w:color w:val="333333"/>
          <w:sz w:val="24"/>
          <w:szCs w:val="24"/>
          <w:shd w:val="clear" w:color="auto" w:fill="FFFFFF"/>
        </w:rPr>
        <w:t>15:8,</w:t>
      </w:r>
      <w:r w:rsidRPr="00E636FE">
        <w:rPr>
          <w:rFonts w:ascii="Arial" w:hAnsi="Arial" w:cs="Arial"/>
          <w:color w:val="333333"/>
          <w:sz w:val="24"/>
          <w:szCs w:val="24"/>
          <w:shd w:val="clear" w:color="auto" w:fill="FFFFFF"/>
        </w:rPr>
        <w:t> </w:t>
      </w:r>
      <w:r w:rsidRPr="00E636FE">
        <w:rPr>
          <w:rStyle w:val="pagerange"/>
          <w:rFonts w:ascii="Arial" w:hAnsi="Arial" w:cs="Arial"/>
          <w:color w:val="333333"/>
          <w:sz w:val="24"/>
          <w:szCs w:val="24"/>
          <w:shd w:val="clear" w:color="auto" w:fill="FFFFFF"/>
        </w:rPr>
        <w:t>679-696,</w:t>
      </w:r>
      <w:r w:rsidRPr="00E636FE">
        <w:rPr>
          <w:rFonts w:ascii="Arial" w:hAnsi="Arial" w:cs="Arial"/>
          <w:color w:val="333333"/>
          <w:sz w:val="24"/>
          <w:szCs w:val="24"/>
          <w:shd w:val="clear" w:color="auto" w:fill="FFFFFF"/>
        </w:rPr>
        <w:t xml:space="preserve"> available at: </w:t>
      </w:r>
      <w:r w:rsidRPr="00E636FE">
        <w:rPr>
          <w:rStyle w:val="doilink"/>
          <w:rFonts w:ascii="Arial" w:hAnsi="Arial" w:cs="Arial"/>
          <w:color w:val="333333"/>
          <w:sz w:val="24"/>
          <w:szCs w:val="24"/>
          <w:shd w:val="clear" w:color="auto" w:fill="FFFFFF"/>
        </w:rPr>
        <w:t>DOI: </w:t>
      </w:r>
      <w:hyperlink r:id="rId14" w:history="1">
        <w:r w:rsidRPr="00E636FE">
          <w:rPr>
            <w:rStyle w:val="Hyperlink"/>
            <w:rFonts w:ascii="Arial" w:hAnsi="Arial" w:cs="Arial"/>
            <w:color w:val="333333"/>
            <w:sz w:val="24"/>
            <w:szCs w:val="24"/>
            <w:shd w:val="clear" w:color="auto" w:fill="FFFFFF"/>
          </w:rPr>
          <w:t>10.1080/10683160802203963</w:t>
        </w:r>
      </w:hyperlink>
      <w:r>
        <w:rPr>
          <w:rStyle w:val="doilink"/>
          <w:rFonts w:ascii="Arial" w:hAnsi="Arial" w:cs="Arial"/>
          <w:color w:val="333333"/>
          <w:sz w:val="24"/>
          <w:szCs w:val="24"/>
          <w:shd w:val="clear" w:color="auto" w:fill="FFFFFF"/>
        </w:rPr>
        <w:t xml:space="preserve">. </w:t>
      </w:r>
    </w:p>
    <w:p w14:paraId="7BC3908A" w14:textId="77777777" w:rsidR="00363613" w:rsidRPr="00E636FE" w:rsidRDefault="00363613" w:rsidP="00363613">
      <w:pPr>
        <w:spacing w:line="276" w:lineRule="auto"/>
        <w:rPr>
          <w:rFonts w:ascii="Arial" w:hAnsi="Arial" w:cs="Arial"/>
          <w:color w:val="333333"/>
          <w:sz w:val="24"/>
          <w:szCs w:val="24"/>
          <w:shd w:val="clear" w:color="auto" w:fill="FFFFFF"/>
        </w:rPr>
      </w:pPr>
    </w:p>
    <w:p w14:paraId="188CFDE3" w14:textId="77777777" w:rsidR="00363613" w:rsidRPr="00D466BF" w:rsidRDefault="00363613" w:rsidP="00363613">
      <w:pPr>
        <w:spacing w:line="276" w:lineRule="auto"/>
        <w:rPr>
          <w:rFonts w:ascii="Arial" w:hAnsi="Arial" w:cs="Arial"/>
          <w:sz w:val="24"/>
          <w:szCs w:val="24"/>
        </w:rPr>
      </w:pPr>
      <w:r w:rsidRPr="00E636FE">
        <w:rPr>
          <w:rFonts w:ascii="Arial" w:hAnsi="Arial" w:cs="Arial"/>
          <w:sz w:val="24"/>
          <w:szCs w:val="24"/>
        </w:rPr>
        <w:t>Dando, C.J. Ormerod, T. C. Atkinson-Sheppard, S. (2022) “</w:t>
      </w:r>
      <w:r w:rsidRPr="00D466BF">
        <w:rPr>
          <w:rFonts w:ascii="Arial" w:hAnsi="Arial" w:cs="Arial"/>
          <w:i/>
          <w:iCs/>
          <w:sz w:val="24"/>
          <w:szCs w:val="24"/>
        </w:rPr>
        <w:t>Parental experiences of the impact of grooming and criminal exploitation of children for county lines drug trafficking.”</w:t>
      </w:r>
      <w:r w:rsidRPr="00E636FE">
        <w:rPr>
          <w:rFonts w:ascii="Arial" w:hAnsi="Arial" w:cs="Arial"/>
          <w:sz w:val="24"/>
          <w:szCs w:val="24"/>
        </w:rPr>
        <w:t xml:space="preserve"> Journal of Public Health. 26(1) pp, 1-9. Available at:</w:t>
      </w:r>
      <w:r>
        <w:t xml:space="preserve"> </w:t>
      </w:r>
      <w:r w:rsidRPr="00E636FE">
        <w:rPr>
          <w:rFonts w:ascii="Arial" w:hAnsi="Arial" w:cs="Arial"/>
          <w:sz w:val="24"/>
          <w:szCs w:val="24"/>
        </w:rPr>
        <w:t>Parental experiences of the impact of grooming and criminal exploitation of children for county lines drug trafficking</w:t>
      </w:r>
      <w:r w:rsidRPr="00D466BF">
        <w:rPr>
          <w:rStyle w:val="identifier"/>
          <w:rFonts w:ascii="Arial" w:hAnsi="Arial" w:cs="Arial"/>
          <w:color w:val="212121"/>
          <w:sz w:val="24"/>
          <w:szCs w:val="24"/>
        </w:rPr>
        <w:t xml:space="preserve"> </w:t>
      </w:r>
      <w:r>
        <w:rPr>
          <w:rStyle w:val="identifier"/>
          <w:rFonts w:ascii="Arial" w:hAnsi="Arial" w:cs="Arial"/>
          <w:color w:val="212121"/>
          <w:sz w:val="24"/>
          <w:szCs w:val="24"/>
        </w:rPr>
        <w:t xml:space="preserve">DOI: </w:t>
      </w:r>
      <w:hyperlink r:id="rId15" w:tgtFrame="_blank" w:history="1">
        <w:r w:rsidRPr="00D466BF">
          <w:rPr>
            <w:rStyle w:val="Hyperlink"/>
            <w:rFonts w:ascii="Arial" w:hAnsi="Arial" w:cs="Arial"/>
            <w:color w:val="0071BC"/>
            <w:sz w:val="24"/>
            <w:szCs w:val="24"/>
          </w:rPr>
          <w:t>10.1093/</w:t>
        </w:r>
        <w:proofErr w:type="spellStart"/>
        <w:r w:rsidRPr="00D466BF">
          <w:rPr>
            <w:rStyle w:val="Hyperlink"/>
            <w:rFonts w:ascii="Arial" w:hAnsi="Arial" w:cs="Arial"/>
            <w:color w:val="0071BC"/>
            <w:sz w:val="24"/>
            <w:szCs w:val="24"/>
          </w:rPr>
          <w:t>pubmed</w:t>
        </w:r>
        <w:proofErr w:type="spellEnd"/>
        <w:r w:rsidRPr="00D466BF">
          <w:rPr>
            <w:rStyle w:val="Hyperlink"/>
            <w:rFonts w:ascii="Arial" w:hAnsi="Arial" w:cs="Arial"/>
            <w:color w:val="0071BC"/>
            <w:sz w:val="24"/>
            <w:szCs w:val="24"/>
          </w:rPr>
          <w:t>/fdac112</w:t>
        </w:r>
      </w:hyperlink>
    </w:p>
    <w:p w14:paraId="73F4BBC3" w14:textId="77777777" w:rsidR="00363613" w:rsidRPr="00E636FE" w:rsidRDefault="00363613" w:rsidP="00363613">
      <w:pPr>
        <w:spacing w:line="276" w:lineRule="auto"/>
        <w:rPr>
          <w:rFonts w:ascii="Arial" w:hAnsi="Arial" w:cs="Arial"/>
          <w:sz w:val="24"/>
          <w:szCs w:val="24"/>
        </w:rPr>
      </w:pPr>
    </w:p>
    <w:p w14:paraId="0ED420ED" w14:textId="77777777" w:rsidR="00363613" w:rsidRPr="00E636FE" w:rsidRDefault="00363613" w:rsidP="00363613">
      <w:pPr>
        <w:spacing w:line="276" w:lineRule="auto"/>
        <w:rPr>
          <w:rFonts w:ascii="Arial" w:hAnsi="Arial" w:cs="Arial"/>
          <w:sz w:val="24"/>
          <w:szCs w:val="24"/>
        </w:rPr>
      </w:pPr>
      <w:r w:rsidRPr="00E636FE">
        <w:rPr>
          <w:rFonts w:ascii="Arial" w:hAnsi="Arial" w:cs="Arial"/>
          <w:sz w:val="24"/>
          <w:szCs w:val="24"/>
        </w:rPr>
        <w:t xml:space="preserve">Dodier O, Ginet M, Teissedre F, </w:t>
      </w:r>
      <w:proofErr w:type="spellStart"/>
      <w:r w:rsidRPr="00E636FE">
        <w:rPr>
          <w:rFonts w:ascii="Arial" w:hAnsi="Arial" w:cs="Arial"/>
          <w:sz w:val="24"/>
          <w:szCs w:val="24"/>
        </w:rPr>
        <w:t>Verkampt</w:t>
      </w:r>
      <w:proofErr w:type="spellEnd"/>
      <w:r w:rsidRPr="00E636FE">
        <w:rPr>
          <w:rFonts w:ascii="Arial" w:hAnsi="Arial" w:cs="Arial"/>
          <w:sz w:val="24"/>
          <w:szCs w:val="24"/>
        </w:rPr>
        <w:t xml:space="preserve"> F, Fisher RP. (2021) </w:t>
      </w:r>
      <w:r w:rsidRPr="00D466BF">
        <w:rPr>
          <w:rFonts w:ascii="Arial" w:hAnsi="Arial" w:cs="Arial"/>
          <w:i/>
          <w:iCs/>
          <w:sz w:val="24"/>
          <w:szCs w:val="24"/>
        </w:rPr>
        <w:t xml:space="preserve">Using the cognitive interview to recall real-world emotionally stressful experiences: </w:t>
      </w:r>
      <w:r w:rsidRPr="00E636FE">
        <w:rPr>
          <w:rFonts w:ascii="Arial" w:hAnsi="Arial" w:cs="Arial"/>
          <w:sz w:val="24"/>
          <w:szCs w:val="24"/>
        </w:rPr>
        <w:t xml:space="preserve">Road accidents. Appl Cognit Psychol. </w:t>
      </w:r>
      <w:proofErr w:type="gramStart"/>
      <w:r w:rsidRPr="00E636FE">
        <w:rPr>
          <w:rFonts w:ascii="Arial" w:hAnsi="Arial" w:cs="Arial"/>
          <w:sz w:val="24"/>
          <w:szCs w:val="24"/>
        </w:rPr>
        <w:t>2021;35:1099</w:t>
      </w:r>
      <w:proofErr w:type="gramEnd"/>
      <w:r w:rsidRPr="00E636FE">
        <w:rPr>
          <w:rFonts w:ascii="Arial" w:hAnsi="Arial" w:cs="Arial"/>
          <w:sz w:val="24"/>
          <w:szCs w:val="24"/>
        </w:rPr>
        <w:t xml:space="preserve">–1105. Available at: </w:t>
      </w:r>
      <w:hyperlink r:id="rId16" w:history="1">
        <w:r w:rsidRPr="00E636FE">
          <w:rPr>
            <w:rStyle w:val="Hyperlink"/>
            <w:rFonts w:ascii="Arial" w:hAnsi="Arial" w:cs="Arial"/>
            <w:sz w:val="24"/>
            <w:szCs w:val="24"/>
          </w:rPr>
          <w:t>https://doi.org/10. 1002/acp.3828</w:t>
        </w:r>
      </w:hyperlink>
      <w:r w:rsidRPr="00E636FE">
        <w:rPr>
          <w:rFonts w:ascii="Arial" w:hAnsi="Arial" w:cs="Arial"/>
          <w:sz w:val="24"/>
          <w:szCs w:val="24"/>
        </w:rPr>
        <w:t xml:space="preserve"> ( </w:t>
      </w:r>
    </w:p>
    <w:p w14:paraId="7AFFEBF3" w14:textId="77777777" w:rsidR="00363613" w:rsidRPr="00E636FE" w:rsidRDefault="00363613" w:rsidP="00363613">
      <w:pPr>
        <w:spacing w:line="276" w:lineRule="auto"/>
        <w:rPr>
          <w:rFonts w:ascii="Arial" w:hAnsi="Arial" w:cs="Arial"/>
          <w:sz w:val="24"/>
          <w:szCs w:val="24"/>
        </w:rPr>
      </w:pPr>
    </w:p>
    <w:p w14:paraId="470BD0E6" w14:textId="77777777" w:rsidR="00363613" w:rsidRPr="00E636FE" w:rsidRDefault="00363613" w:rsidP="00363613">
      <w:pPr>
        <w:spacing w:line="276" w:lineRule="auto"/>
        <w:rPr>
          <w:rFonts w:ascii="Arial" w:hAnsi="Arial" w:cs="Arial"/>
          <w:sz w:val="24"/>
          <w:szCs w:val="24"/>
        </w:rPr>
      </w:pPr>
      <w:r w:rsidRPr="00E636FE">
        <w:rPr>
          <w:rFonts w:ascii="Arial" w:hAnsi="Arial" w:cs="Arial"/>
          <w:sz w:val="24"/>
          <w:szCs w:val="24"/>
        </w:rPr>
        <w:t xml:space="preserve">Eich, E., Macauley, D, Ryan, L. (1994). </w:t>
      </w:r>
      <w:r w:rsidRPr="00D466BF">
        <w:rPr>
          <w:rFonts w:ascii="Arial" w:hAnsi="Arial" w:cs="Arial"/>
          <w:i/>
          <w:iCs/>
          <w:sz w:val="24"/>
          <w:szCs w:val="24"/>
        </w:rPr>
        <w:t>Mood dependent memory for event of the person past.</w:t>
      </w:r>
      <w:r w:rsidRPr="00E636FE">
        <w:rPr>
          <w:rFonts w:ascii="Arial" w:hAnsi="Arial" w:cs="Arial"/>
          <w:sz w:val="24"/>
          <w:szCs w:val="24"/>
        </w:rPr>
        <w:t xml:space="preserve"> Journal of Experimental Psychology: General, 123, 201-215. </w:t>
      </w:r>
    </w:p>
    <w:p w14:paraId="2B59D8B4" w14:textId="77777777" w:rsidR="00363613" w:rsidRPr="00E636FE" w:rsidRDefault="00363613" w:rsidP="00363613">
      <w:pPr>
        <w:spacing w:line="276" w:lineRule="auto"/>
        <w:rPr>
          <w:rFonts w:ascii="Arial" w:hAnsi="Arial" w:cs="Arial"/>
          <w:sz w:val="24"/>
          <w:szCs w:val="24"/>
        </w:rPr>
      </w:pPr>
    </w:p>
    <w:p w14:paraId="30DB405E" w14:textId="77777777" w:rsidR="00363613" w:rsidRDefault="00363613" w:rsidP="00363613">
      <w:pPr>
        <w:spacing w:line="276" w:lineRule="auto"/>
        <w:rPr>
          <w:rFonts w:ascii="Arial" w:hAnsi="Arial" w:cs="Arial"/>
          <w:sz w:val="24"/>
          <w:szCs w:val="24"/>
        </w:rPr>
      </w:pPr>
      <w:r w:rsidRPr="00E636FE">
        <w:rPr>
          <w:rFonts w:ascii="Arial" w:hAnsi="Arial" w:cs="Arial"/>
          <w:sz w:val="24"/>
          <w:szCs w:val="24"/>
        </w:rPr>
        <w:t xml:space="preserve">Fisher, R. P., &amp; Geiselman, R. E. (1992). </w:t>
      </w:r>
      <w:r w:rsidRPr="00D466BF">
        <w:rPr>
          <w:rFonts w:ascii="Arial" w:hAnsi="Arial" w:cs="Arial"/>
          <w:i/>
          <w:iCs/>
          <w:sz w:val="24"/>
          <w:szCs w:val="24"/>
        </w:rPr>
        <w:t xml:space="preserve">Memory-enhancing techniques in investigative interviewing: </w:t>
      </w:r>
      <w:r w:rsidRPr="00E636FE">
        <w:rPr>
          <w:rFonts w:ascii="Arial" w:hAnsi="Arial" w:cs="Arial"/>
          <w:sz w:val="24"/>
          <w:szCs w:val="24"/>
        </w:rPr>
        <w:t>The cognitive interview</w:t>
      </w:r>
      <w:r>
        <w:rPr>
          <w:rFonts w:ascii="Arial" w:hAnsi="Arial" w:cs="Arial"/>
          <w:sz w:val="24"/>
          <w:szCs w:val="24"/>
        </w:rPr>
        <w:t>.</w:t>
      </w:r>
    </w:p>
    <w:p w14:paraId="66411ADB" w14:textId="77777777" w:rsidR="00363613" w:rsidRDefault="00363613" w:rsidP="00363613">
      <w:pPr>
        <w:spacing w:line="276" w:lineRule="auto"/>
        <w:rPr>
          <w:rFonts w:ascii="Arial" w:hAnsi="Arial" w:cs="Arial"/>
          <w:sz w:val="24"/>
          <w:szCs w:val="24"/>
        </w:rPr>
      </w:pPr>
    </w:p>
    <w:p w14:paraId="6AB0330D" w14:textId="77777777" w:rsidR="00363613" w:rsidRPr="00E636FE" w:rsidRDefault="00363613" w:rsidP="00363613">
      <w:pPr>
        <w:rPr>
          <w:rFonts w:ascii="Arial" w:hAnsi="Arial" w:cs="Arial"/>
          <w:sz w:val="24"/>
          <w:szCs w:val="24"/>
        </w:rPr>
      </w:pPr>
      <w:r w:rsidRPr="001E1E31">
        <w:rPr>
          <w:rFonts w:ascii="Arial" w:hAnsi="Arial" w:cs="Arial"/>
          <w:sz w:val="24"/>
          <w:szCs w:val="24"/>
        </w:rPr>
        <w:t xml:space="preserve">Fodor, O. C., &amp; </w:t>
      </w:r>
      <w:proofErr w:type="spellStart"/>
      <w:r w:rsidRPr="001E1E31">
        <w:rPr>
          <w:rFonts w:ascii="Arial" w:hAnsi="Arial" w:cs="Arial"/>
          <w:sz w:val="24"/>
          <w:szCs w:val="24"/>
        </w:rPr>
        <w:t>Flestea</w:t>
      </w:r>
      <w:proofErr w:type="spellEnd"/>
      <w:r w:rsidRPr="001E1E31">
        <w:rPr>
          <w:rFonts w:ascii="Arial" w:hAnsi="Arial" w:cs="Arial"/>
          <w:sz w:val="24"/>
          <w:szCs w:val="24"/>
        </w:rPr>
        <w:t>, A. M. (2016</w:t>
      </w:r>
      <w:r w:rsidRPr="00D466BF">
        <w:rPr>
          <w:rFonts w:ascii="Arial" w:hAnsi="Arial" w:cs="Arial"/>
          <w:i/>
          <w:iCs/>
          <w:sz w:val="24"/>
          <w:szCs w:val="24"/>
        </w:rPr>
        <w:t>). When fluid structures fail: A social network approach to multi-team systems’ effectiveness</w:t>
      </w:r>
      <w:r w:rsidRPr="001E1E31">
        <w:rPr>
          <w:rFonts w:ascii="Arial" w:hAnsi="Arial" w:cs="Arial"/>
          <w:sz w:val="24"/>
          <w:szCs w:val="24"/>
        </w:rPr>
        <w:t>. Team Performance Management, 22, 156–180.</w:t>
      </w:r>
      <w:r>
        <w:rPr>
          <w:rFonts w:ascii="Arial" w:hAnsi="Arial" w:cs="Arial"/>
          <w:sz w:val="24"/>
          <w:szCs w:val="24"/>
        </w:rPr>
        <w:t xml:space="preserve"> Available at:</w:t>
      </w:r>
      <w:r w:rsidRPr="001E1E31">
        <w:rPr>
          <w:rFonts w:ascii="Arial" w:hAnsi="Arial" w:cs="Arial"/>
          <w:sz w:val="24"/>
          <w:szCs w:val="24"/>
        </w:rPr>
        <w:t xml:space="preserve"> </w:t>
      </w:r>
      <w:hyperlink r:id="rId17" w:history="1">
        <w:r w:rsidRPr="00D466BF">
          <w:rPr>
            <w:rStyle w:val="Hyperlink"/>
            <w:rFonts w:ascii="Arial" w:hAnsi="Arial" w:cs="Arial"/>
            <w:sz w:val="24"/>
            <w:szCs w:val="24"/>
            <w:shd w:val="clear" w:color="auto" w:fill="FFFFFF"/>
          </w:rPr>
          <w:t>https://doi.org/10.1108/TPM-11-2015-0055</w:t>
        </w:r>
      </w:hyperlink>
    </w:p>
    <w:p w14:paraId="04A35E5B" w14:textId="77777777" w:rsidR="00363613" w:rsidRPr="00E636FE" w:rsidRDefault="00363613" w:rsidP="00363613">
      <w:pPr>
        <w:spacing w:line="276" w:lineRule="auto"/>
        <w:rPr>
          <w:rFonts w:ascii="Arial" w:hAnsi="Arial" w:cs="Arial"/>
          <w:sz w:val="24"/>
          <w:szCs w:val="24"/>
        </w:rPr>
      </w:pPr>
    </w:p>
    <w:p w14:paraId="0A677A5D" w14:textId="77777777" w:rsidR="00363613" w:rsidRPr="00E636FE" w:rsidRDefault="00363613" w:rsidP="00363613">
      <w:pPr>
        <w:spacing w:line="276" w:lineRule="auto"/>
        <w:rPr>
          <w:rFonts w:ascii="Arial" w:hAnsi="Arial" w:cs="Arial"/>
          <w:sz w:val="24"/>
          <w:szCs w:val="24"/>
        </w:rPr>
      </w:pPr>
      <w:r w:rsidRPr="00E636FE">
        <w:rPr>
          <w:rFonts w:ascii="Arial" w:hAnsi="Arial" w:cs="Arial"/>
          <w:sz w:val="24"/>
          <w:szCs w:val="24"/>
        </w:rPr>
        <w:t xml:space="preserve">Harding, S. (2020). </w:t>
      </w:r>
      <w:r w:rsidRPr="00D466BF">
        <w:rPr>
          <w:rFonts w:ascii="Arial" w:hAnsi="Arial" w:cs="Arial"/>
          <w:i/>
          <w:iCs/>
          <w:sz w:val="24"/>
          <w:szCs w:val="24"/>
        </w:rPr>
        <w:t>Cuckooing and Nuanced Dealing Relationships</w:t>
      </w:r>
      <w:r w:rsidRPr="00E636FE">
        <w:rPr>
          <w:rFonts w:ascii="Arial" w:hAnsi="Arial" w:cs="Arial"/>
          <w:sz w:val="24"/>
          <w:szCs w:val="24"/>
        </w:rPr>
        <w:t xml:space="preserve">. In County Lines: Exploitation and Drug Dealing amongst Urban Street Gangs (1st ed., pp. 179–222). Bristol University Press. </w:t>
      </w:r>
      <w:hyperlink r:id="rId18" w:history="1">
        <w:r w:rsidRPr="00E636FE">
          <w:rPr>
            <w:rStyle w:val="Hyperlink"/>
            <w:rFonts w:ascii="Arial" w:hAnsi="Arial" w:cs="Arial"/>
            <w:color w:val="auto"/>
            <w:sz w:val="24"/>
            <w:szCs w:val="24"/>
          </w:rPr>
          <w:t>https://doi.org/10.2307/j.ctv114c782.12</w:t>
        </w:r>
      </w:hyperlink>
      <w:r>
        <w:rPr>
          <w:rFonts w:ascii="Arial" w:hAnsi="Arial" w:cs="Arial"/>
          <w:sz w:val="24"/>
          <w:szCs w:val="24"/>
        </w:rPr>
        <w:t xml:space="preserve">. </w:t>
      </w:r>
    </w:p>
    <w:p w14:paraId="3ECE0931" w14:textId="77777777" w:rsidR="00363613" w:rsidRPr="00E636FE" w:rsidRDefault="00363613" w:rsidP="00363613">
      <w:pPr>
        <w:spacing w:line="276" w:lineRule="auto"/>
        <w:rPr>
          <w:rFonts w:ascii="Arial" w:hAnsi="Arial" w:cs="Arial"/>
          <w:sz w:val="24"/>
          <w:szCs w:val="24"/>
        </w:rPr>
      </w:pPr>
    </w:p>
    <w:p w14:paraId="01437A9D" w14:textId="77777777" w:rsidR="00363613" w:rsidRPr="00E636FE" w:rsidRDefault="00363613" w:rsidP="00363613">
      <w:pPr>
        <w:spacing w:line="276" w:lineRule="auto"/>
        <w:rPr>
          <w:rFonts w:ascii="Arial" w:hAnsi="Arial" w:cs="Arial"/>
          <w:sz w:val="24"/>
          <w:szCs w:val="24"/>
        </w:rPr>
      </w:pPr>
      <w:r w:rsidRPr="00E636FE">
        <w:rPr>
          <w:rFonts w:ascii="Arial" w:hAnsi="Arial" w:cs="Arial"/>
          <w:sz w:val="24"/>
          <w:szCs w:val="24"/>
        </w:rPr>
        <w:t xml:space="preserve">Hargie O and Dickson D. (2004) </w:t>
      </w:r>
      <w:r w:rsidRPr="00D466BF">
        <w:rPr>
          <w:rFonts w:ascii="Arial" w:hAnsi="Arial" w:cs="Arial"/>
          <w:i/>
          <w:iCs/>
          <w:sz w:val="24"/>
          <w:szCs w:val="24"/>
        </w:rPr>
        <w:t xml:space="preserve">Skilled interpersonal communication: Research, </w:t>
      </w:r>
      <w:proofErr w:type="gramStart"/>
      <w:r w:rsidRPr="00D466BF">
        <w:rPr>
          <w:rFonts w:ascii="Arial" w:hAnsi="Arial" w:cs="Arial"/>
          <w:i/>
          <w:iCs/>
          <w:sz w:val="24"/>
          <w:szCs w:val="24"/>
        </w:rPr>
        <w:t>theory</w:t>
      </w:r>
      <w:proofErr w:type="gramEnd"/>
      <w:r w:rsidRPr="00D466BF">
        <w:rPr>
          <w:rFonts w:ascii="Arial" w:hAnsi="Arial" w:cs="Arial"/>
          <w:i/>
          <w:iCs/>
          <w:sz w:val="24"/>
          <w:szCs w:val="24"/>
        </w:rPr>
        <w:t xml:space="preserve"> and practice</w:t>
      </w:r>
      <w:r w:rsidRPr="00E636FE">
        <w:rPr>
          <w:rFonts w:ascii="Arial" w:hAnsi="Arial" w:cs="Arial"/>
          <w:sz w:val="24"/>
          <w:szCs w:val="24"/>
        </w:rPr>
        <w:t>. London: Routledge</w:t>
      </w:r>
    </w:p>
    <w:p w14:paraId="14C39C66" w14:textId="77777777" w:rsidR="00363613" w:rsidRPr="00E636FE" w:rsidRDefault="00363613" w:rsidP="00363613">
      <w:pPr>
        <w:spacing w:line="276" w:lineRule="auto"/>
        <w:rPr>
          <w:rFonts w:ascii="Arial" w:hAnsi="Arial" w:cs="Arial"/>
          <w:sz w:val="24"/>
          <w:szCs w:val="24"/>
        </w:rPr>
      </w:pPr>
    </w:p>
    <w:p w14:paraId="2F53B3D9" w14:textId="77777777" w:rsidR="00363613" w:rsidRPr="00E636FE" w:rsidRDefault="00363613" w:rsidP="00363613">
      <w:pPr>
        <w:spacing w:line="276" w:lineRule="auto"/>
        <w:rPr>
          <w:rFonts w:ascii="Arial" w:hAnsi="Arial" w:cs="Arial"/>
          <w:sz w:val="24"/>
          <w:szCs w:val="24"/>
        </w:rPr>
      </w:pPr>
      <w:r w:rsidRPr="00E636FE">
        <w:rPr>
          <w:rFonts w:ascii="Arial" w:hAnsi="Arial" w:cs="Arial"/>
          <w:sz w:val="24"/>
          <w:szCs w:val="24"/>
        </w:rPr>
        <w:t xml:space="preserve">HMICFRS (2019) ‘Cuckooing,’ available at: </w:t>
      </w:r>
      <w:hyperlink r:id="rId19" w:history="1">
        <w:r w:rsidRPr="00E636FE">
          <w:rPr>
            <w:rStyle w:val="Hyperlink"/>
            <w:rFonts w:ascii="Arial" w:hAnsi="Arial" w:cs="Arial"/>
            <w:color w:val="auto"/>
            <w:sz w:val="24"/>
            <w:szCs w:val="24"/>
          </w:rPr>
          <w:t>Cuckooing - His Majesty’s Inspectorate of Constabulary and Fire &amp; Rescue Services (justiceinspectorates.gov.uk)</w:t>
        </w:r>
      </w:hyperlink>
      <w:r w:rsidRPr="00E636FE">
        <w:rPr>
          <w:rFonts w:ascii="Arial" w:hAnsi="Arial" w:cs="Arial"/>
          <w:sz w:val="24"/>
          <w:szCs w:val="24"/>
        </w:rPr>
        <w:t xml:space="preserve"> (accessed 20</w:t>
      </w:r>
      <w:r w:rsidRPr="00E636FE">
        <w:rPr>
          <w:rFonts w:ascii="Arial" w:hAnsi="Arial" w:cs="Arial"/>
          <w:sz w:val="24"/>
          <w:szCs w:val="24"/>
          <w:vertAlign w:val="superscript"/>
        </w:rPr>
        <w:t>th</w:t>
      </w:r>
      <w:r w:rsidRPr="00E636FE">
        <w:rPr>
          <w:rFonts w:ascii="Arial" w:hAnsi="Arial" w:cs="Arial"/>
          <w:sz w:val="24"/>
          <w:szCs w:val="24"/>
        </w:rPr>
        <w:t xml:space="preserve"> October 2023). </w:t>
      </w:r>
    </w:p>
    <w:p w14:paraId="3927530D" w14:textId="77777777" w:rsidR="00363613" w:rsidRPr="00E636FE" w:rsidRDefault="00363613" w:rsidP="00363613">
      <w:pPr>
        <w:spacing w:line="276" w:lineRule="auto"/>
        <w:rPr>
          <w:rFonts w:ascii="Arial" w:hAnsi="Arial" w:cs="Arial"/>
          <w:sz w:val="24"/>
          <w:szCs w:val="24"/>
        </w:rPr>
      </w:pPr>
    </w:p>
    <w:p w14:paraId="34A9F94B" w14:textId="77777777" w:rsidR="00363613" w:rsidRDefault="00363613" w:rsidP="00363613">
      <w:pPr>
        <w:spacing w:line="276" w:lineRule="auto"/>
        <w:rPr>
          <w:rFonts w:ascii="Arial" w:hAnsi="Arial" w:cs="Arial"/>
          <w:sz w:val="24"/>
          <w:szCs w:val="24"/>
        </w:rPr>
      </w:pPr>
      <w:r w:rsidRPr="00E636FE">
        <w:rPr>
          <w:rFonts w:ascii="Arial" w:hAnsi="Arial" w:cs="Arial"/>
          <w:sz w:val="24"/>
          <w:szCs w:val="24"/>
        </w:rPr>
        <w:t>Holmberg U., Madsen K. (2014). ‘</w:t>
      </w:r>
      <w:r w:rsidRPr="00D466BF">
        <w:rPr>
          <w:rFonts w:ascii="Arial" w:hAnsi="Arial" w:cs="Arial"/>
          <w:i/>
          <w:iCs/>
          <w:sz w:val="24"/>
          <w:szCs w:val="24"/>
        </w:rPr>
        <w:t>Rapport Operationalized as a Humanitarian Interview in Investigative Interview Settings</w:t>
      </w:r>
      <w:r w:rsidRPr="00E636FE">
        <w:rPr>
          <w:rFonts w:ascii="Arial" w:hAnsi="Arial" w:cs="Arial"/>
          <w:sz w:val="24"/>
          <w:szCs w:val="24"/>
        </w:rPr>
        <w:t>.’ Psychiatry, Psychology and Law 21(4): 591–610.</w:t>
      </w:r>
    </w:p>
    <w:p w14:paraId="77CD930D" w14:textId="77777777" w:rsidR="00363613" w:rsidRDefault="00363613" w:rsidP="00363613">
      <w:pPr>
        <w:spacing w:line="276" w:lineRule="auto"/>
        <w:rPr>
          <w:rFonts w:ascii="Arial" w:hAnsi="Arial" w:cs="Arial"/>
          <w:sz w:val="24"/>
          <w:szCs w:val="24"/>
        </w:rPr>
      </w:pPr>
    </w:p>
    <w:p w14:paraId="248F4DA4" w14:textId="77777777" w:rsidR="00363613" w:rsidRDefault="00363613" w:rsidP="00363613">
      <w:pPr>
        <w:rPr>
          <w:rFonts w:ascii="Arial" w:hAnsi="Arial" w:cs="Arial"/>
          <w:sz w:val="24"/>
          <w:szCs w:val="24"/>
        </w:rPr>
      </w:pPr>
      <w:r w:rsidRPr="001E1E31">
        <w:rPr>
          <w:rFonts w:ascii="Arial" w:hAnsi="Arial" w:cs="Arial"/>
          <w:sz w:val="24"/>
          <w:szCs w:val="24"/>
        </w:rPr>
        <w:t xml:space="preserve">Home Office (2021) </w:t>
      </w:r>
      <w:r w:rsidRPr="00D466BF">
        <w:rPr>
          <w:rFonts w:ascii="Arial" w:hAnsi="Arial" w:cs="Arial"/>
          <w:i/>
          <w:iCs/>
          <w:sz w:val="24"/>
          <w:szCs w:val="24"/>
        </w:rPr>
        <w:t>Critical Incident Management</w:t>
      </w:r>
      <w:r w:rsidRPr="001E1E31">
        <w:rPr>
          <w:rFonts w:ascii="Arial" w:hAnsi="Arial" w:cs="Arial"/>
          <w:sz w:val="24"/>
          <w:szCs w:val="24"/>
        </w:rPr>
        <w:t xml:space="preserve">. Available at: </w:t>
      </w:r>
      <w:hyperlink r:id="rId20" w:history="1">
        <w:r w:rsidRPr="001E1E31">
          <w:rPr>
            <w:rStyle w:val="Hyperlink"/>
            <w:rFonts w:ascii="Arial" w:hAnsi="Arial" w:cs="Arial"/>
            <w:sz w:val="24"/>
            <w:szCs w:val="24"/>
          </w:rPr>
          <w:t>National critical incident management guidance (publishing.service.gov.uk)</w:t>
        </w:r>
      </w:hyperlink>
      <w:r w:rsidRPr="001E1E31">
        <w:rPr>
          <w:rFonts w:ascii="Arial" w:hAnsi="Arial" w:cs="Arial"/>
          <w:sz w:val="24"/>
          <w:szCs w:val="24"/>
        </w:rPr>
        <w:t>. (accessed 11</w:t>
      </w:r>
      <w:r w:rsidRPr="001E1E31">
        <w:rPr>
          <w:rFonts w:ascii="Arial" w:hAnsi="Arial" w:cs="Arial"/>
          <w:sz w:val="24"/>
          <w:szCs w:val="24"/>
          <w:vertAlign w:val="superscript"/>
        </w:rPr>
        <w:t>th</w:t>
      </w:r>
      <w:r w:rsidRPr="001E1E31">
        <w:rPr>
          <w:rFonts w:ascii="Arial" w:hAnsi="Arial" w:cs="Arial"/>
          <w:sz w:val="24"/>
          <w:szCs w:val="24"/>
        </w:rPr>
        <w:t xml:space="preserve"> December 2023).</w:t>
      </w:r>
    </w:p>
    <w:p w14:paraId="28A2400E" w14:textId="77777777" w:rsidR="00363613" w:rsidRDefault="00363613" w:rsidP="00363613">
      <w:pPr>
        <w:rPr>
          <w:rFonts w:ascii="Arial" w:hAnsi="Arial" w:cs="Arial"/>
          <w:sz w:val="24"/>
          <w:szCs w:val="24"/>
        </w:rPr>
      </w:pPr>
    </w:p>
    <w:p w14:paraId="73802AC1" w14:textId="77777777" w:rsidR="00363613" w:rsidRDefault="00363613" w:rsidP="00363613">
      <w:pPr>
        <w:rPr>
          <w:rFonts w:ascii="Arial" w:hAnsi="Arial" w:cs="Arial"/>
          <w:sz w:val="24"/>
          <w:szCs w:val="24"/>
        </w:rPr>
      </w:pPr>
      <w:r w:rsidRPr="001E1E31">
        <w:rPr>
          <w:rFonts w:ascii="Arial" w:hAnsi="Arial" w:cs="Arial"/>
          <w:sz w:val="24"/>
          <w:szCs w:val="24"/>
        </w:rPr>
        <w:t xml:space="preserve">Huhta JM, Di Nota PM, Nyman M, Pietilä E, Ropo E (2021) </w:t>
      </w:r>
      <w:r w:rsidRPr="00D306B4">
        <w:rPr>
          <w:rFonts w:ascii="Arial" w:hAnsi="Arial" w:cs="Arial"/>
          <w:i/>
          <w:iCs/>
          <w:sz w:val="24"/>
          <w:szCs w:val="24"/>
        </w:rPr>
        <w:t>Universal police behaviours during critical incidents and their connection to personality: a preliminary study.</w:t>
      </w:r>
      <w:r w:rsidRPr="001E1E31">
        <w:rPr>
          <w:rFonts w:ascii="Arial" w:hAnsi="Arial" w:cs="Arial"/>
          <w:sz w:val="24"/>
          <w:szCs w:val="24"/>
        </w:rPr>
        <w:t xml:space="preserve"> Nord J Stud Polic 8:1–18. </w:t>
      </w:r>
      <w:hyperlink r:id="rId21" w:history="1">
        <w:r w:rsidRPr="001E1E31">
          <w:rPr>
            <w:rStyle w:val="Hyperlink"/>
            <w:rFonts w:ascii="Arial" w:hAnsi="Arial" w:cs="Arial"/>
            <w:sz w:val="24"/>
            <w:szCs w:val="24"/>
          </w:rPr>
          <w:t>https://doi.org/10.18261/issn.2703-7045-2021-01-04</w:t>
        </w:r>
      </w:hyperlink>
      <w:r>
        <w:rPr>
          <w:rStyle w:val="Hyperlink"/>
          <w:rFonts w:ascii="Arial" w:hAnsi="Arial" w:cs="Arial"/>
          <w:sz w:val="24"/>
          <w:szCs w:val="24"/>
        </w:rPr>
        <w:t xml:space="preserve">. </w:t>
      </w:r>
      <w:r w:rsidRPr="001E1E31">
        <w:rPr>
          <w:rFonts w:ascii="Arial" w:hAnsi="Arial" w:cs="Arial"/>
          <w:sz w:val="24"/>
          <w:szCs w:val="24"/>
        </w:rPr>
        <w:t xml:space="preserve"> </w:t>
      </w:r>
    </w:p>
    <w:p w14:paraId="16F52DDE" w14:textId="77777777" w:rsidR="00363613" w:rsidRPr="00E636FE" w:rsidRDefault="00363613" w:rsidP="00363613">
      <w:pPr>
        <w:spacing w:line="276" w:lineRule="auto"/>
        <w:rPr>
          <w:rFonts w:ascii="Arial" w:hAnsi="Arial" w:cs="Arial"/>
          <w:sz w:val="24"/>
          <w:szCs w:val="24"/>
        </w:rPr>
      </w:pPr>
    </w:p>
    <w:p w14:paraId="56ED6BF3" w14:textId="77777777" w:rsidR="00363613" w:rsidRPr="00D306B4" w:rsidRDefault="00363613" w:rsidP="00363613">
      <w:pPr>
        <w:spacing w:line="276" w:lineRule="auto"/>
        <w:rPr>
          <w:rFonts w:ascii="Arial" w:hAnsi="Arial" w:cs="Arial"/>
          <w:color w:val="212121"/>
          <w:sz w:val="24"/>
          <w:szCs w:val="24"/>
          <w:shd w:val="clear" w:color="auto" w:fill="FFFFFF"/>
        </w:rPr>
      </w:pPr>
      <w:r w:rsidRPr="00D306B4">
        <w:rPr>
          <w:rFonts w:ascii="Arial" w:hAnsi="Arial" w:cs="Arial"/>
          <w:color w:val="212121"/>
          <w:sz w:val="24"/>
          <w:szCs w:val="24"/>
          <w:shd w:val="clear" w:color="auto" w:fill="FFFFFF"/>
        </w:rPr>
        <w:t xml:space="preserve">James, D. R., Sargant, N. N., Bostock, N., &amp; Khadr, S. (2017). </w:t>
      </w:r>
      <w:r w:rsidRPr="00D306B4">
        <w:rPr>
          <w:rFonts w:ascii="Arial" w:hAnsi="Arial" w:cs="Arial"/>
          <w:i/>
          <w:iCs/>
          <w:color w:val="212121"/>
          <w:sz w:val="24"/>
          <w:szCs w:val="24"/>
          <w:shd w:val="clear" w:color="auto" w:fill="FFFFFF"/>
        </w:rPr>
        <w:t>New challenges in adolescent safeguarding</w:t>
      </w:r>
      <w:r w:rsidRPr="00D306B4">
        <w:rPr>
          <w:rFonts w:ascii="Arial" w:hAnsi="Arial" w:cs="Arial"/>
          <w:color w:val="212121"/>
          <w:sz w:val="24"/>
          <w:szCs w:val="24"/>
          <w:shd w:val="clear" w:color="auto" w:fill="FFFFFF"/>
        </w:rPr>
        <w:t>. </w:t>
      </w:r>
      <w:r w:rsidRPr="00D306B4">
        <w:rPr>
          <w:rFonts w:ascii="Arial" w:hAnsi="Arial" w:cs="Arial"/>
          <w:i/>
          <w:iCs/>
          <w:color w:val="212121"/>
          <w:sz w:val="24"/>
          <w:szCs w:val="24"/>
          <w:shd w:val="clear" w:color="auto" w:fill="FFFFFF"/>
        </w:rPr>
        <w:t>Postgraduate medical journal</w:t>
      </w:r>
      <w:r w:rsidRPr="00D306B4">
        <w:rPr>
          <w:rFonts w:ascii="Arial" w:hAnsi="Arial" w:cs="Arial"/>
          <w:color w:val="212121"/>
          <w:sz w:val="24"/>
          <w:szCs w:val="24"/>
          <w:shd w:val="clear" w:color="auto" w:fill="FFFFFF"/>
        </w:rPr>
        <w:t>, </w:t>
      </w:r>
      <w:r w:rsidRPr="00D306B4">
        <w:rPr>
          <w:rFonts w:ascii="Arial" w:hAnsi="Arial" w:cs="Arial"/>
          <w:i/>
          <w:iCs/>
          <w:color w:val="212121"/>
          <w:sz w:val="24"/>
          <w:szCs w:val="24"/>
          <w:shd w:val="clear" w:color="auto" w:fill="FFFFFF"/>
        </w:rPr>
        <w:t>93</w:t>
      </w:r>
      <w:r w:rsidRPr="00D306B4">
        <w:rPr>
          <w:rFonts w:ascii="Arial" w:hAnsi="Arial" w:cs="Arial"/>
          <w:color w:val="212121"/>
          <w:sz w:val="24"/>
          <w:szCs w:val="24"/>
          <w:shd w:val="clear" w:color="auto" w:fill="FFFFFF"/>
        </w:rPr>
        <w:t>(1096), 96–102.</w:t>
      </w:r>
      <w:r>
        <w:rPr>
          <w:rFonts w:ascii="Arial" w:hAnsi="Arial" w:cs="Arial"/>
          <w:color w:val="212121"/>
          <w:sz w:val="24"/>
          <w:szCs w:val="24"/>
          <w:shd w:val="clear" w:color="auto" w:fill="FFFFFF"/>
        </w:rPr>
        <w:t xml:space="preserve"> Available at: </w:t>
      </w:r>
      <w:r w:rsidRPr="00D306B4">
        <w:rPr>
          <w:rFonts w:ascii="Arial" w:hAnsi="Arial" w:cs="Arial"/>
          <w:color w:val="212121"/>
          <w:sz w:val="24"/>
          <w:szCs w:val="24"/>
          <w:shd w:val="clear" w:color="auto" w:fill="FFFFFF"/>
        </w:rPr>
        <w:t xml:space="preserve"> </w:t>
      </w:r>
      <w:hyperlink r:id="rId22" w:history="1">
        <w:r w:rsidRPr="00D306B4">
          <w:rPr>
            <w:rStyle w:val="Hyperlink"/>
            <w:rFonts w:ascii="Arial" w:hAnsi="Arial" w:cs="Arial"/>
            <w:sz w:val="24"/>
            <w:szCs w:val="24"/>
            <w:shd w:val="clear" w:color="auto" w:fill="FFFFFF"/>
          </w:rPr>
          <w:t>https://doi.org/10.1136/postgradmedj-2016-134426</w:t>
        </w:r>
      </w:hyperlink>
    </w:p>
    <w:p w14:paraId="6D531BFF" w14:textId="77777777" w:rsidR="00363613" w:rsidRDefault="00363613" w:rsidP="00363613">
      <w:pPr>
        <w:spacing w:line="276" w:lineRule="auto"/>
        <w:rPr>
          <w:rFonts w:ascii="Arial" w:hAnsi="Arial" w:cs="Arial"/>
          <w:sz w:val="24"/>
          <w:szCs w:val="24"/>
        </w:rPr>
      </w:pPr>
    </w:p>
    <w:p w14:paraId="2865F3DC" w14:textId="77777777" w:rsidR="00363613" w:rsidRDefault="00363613" w:rsidP="00363613">
      <w:pPr>
        <w:rPr>
          <w:rFonts w:ascii="Arial" w:hAnsi="Arial" w:cs="Arial"/>
          <w:sz w:val="24"/>
          <w:szCs w:val="24"/>
        </w:rPr>
      </w:pPr>
      <w:r w:rsidRPr="001E1E31">
        <w:rPr>
          <w:rFonts w:ascii="Arial" w:hAnsi="Arial" w:cs="Arial"/>
          <w:sz w:val="24"/>
          <w:szCs w:val="24"/>
        </w:rPr>
        <w:t xml:space="preserve">Jenkins, B., Semple, T. and Bennell, C. (2021), </w:t>
      </w:r>
      <w:r w:rsidRPr="00D306B4">
        <w:rPr>
          <w:rFonts w:ascii="Arial" w:hAnsi="Arial" w:cs="Arial"/>
          <w:i/>
          <w:iCs/>
          <w:sz w:val="24"/>
          <w:szCs w:val="24"/>
        </w:rPr>
        <w:t>"An evidence-based approach to critical incident scenario development"</w:t>
      </w:r>
      <w:r w:rsidRPr="001E1E31">
        <w:rPr>
          <w:rFonts w:ascii="Arial" w:hAnsi="Arial" w:cs="Arial"/>
          <w:sz w:val="24"/>
          <w:szCs w:val="24"/>
        </w:rPr>
        <w:t xml:space="preserve">, Policing: An International Journal, Vol. 44 No. 3, pp. 437-454. </w:t>
      </w:r>
      <w:hyperlink r:id="rId23" w:history="1">
        <w:r w:rsidRPr="001E1E31">
          <w:rPr>
            <w:rStyle w:val="Hyperlink"/>
            <w:rFonts w:ascii="Arial" w:hAnsi="Arial" w:cs="Arial"/>
            <w:sz w:val="24"/>
            <w:szCs w:val="24"/>
          </w:rPr>
          <w:t>https://doi.org/10.1108/PIJPSM-02-2020-0017</w:t>
        </w:r>
      </w:hyperlink>
      <w:r w:rsidRPr="001E1E31">
        <w:rPr>
          <w:rFonts w:ascii="Arial" w:hAnsi="Arial" w:cs="Arial"/>
          <w:sz w:val="24"/>
          <w:szCs w:val="24"/>
        </w:rPr>
        <w:t xml:space="preserve"> (accessed 14th December 2023). </w:t>
      </w:r>
    </w:p>
    <w:p w14:paraId="6A48F9E3" w14:textId="77777777" w:rsidR="00363613" w:rsidRDefault="00363613" w:rsidP="00363613">
      <w:pPr>
        <w:rPr>
          <w:rFonts w:ascii="Arial" w:hAnsi="Arial" w:cs="Arial"/>
          <w:sz w:val="24"/>
          <w:szCs w:val="24"/>
        </w:rPr>
      </w:pPr>
    </w:p>
    <w:p w14:paraId="0CA777CC" w14:textId="77777777" w:rsidR="00363613" w:rsidRDefault="00363613" w:rsidP="00363613">
      <w:pPr>
        <w:rPr>
          <w:rFonts w:ascii="Arial" w:hAnsi="Arial" w:cs="Arial"/>
          <w:sz w:val="24"/>
          <w:szCs w:val="24"/>
        </w:rPr>
      </w:pPr>
      <w:r w:rsidRPr="00A4313E">
        <w:rPr>
          <w:rFonts w:ascii="Arial" w:hAnsi="Arial" w:cs="Arial"/>
          <w:sz w:val="24"/>
          <w:szCs w:val="24"/>
        </w:rPr>
        <w:t xml:space="preserve">JESIP (2023). Definitions - JESIP website. Available at: </w:t>
      </w:r>
      <w:hyperlink r:id="rId24" w:history="1">
        <w:r w:rsidRPr="00A4313E">
          <w:rPr>
            <w:rStyle w:val="Hyperlink"/>
            <w:rFonts w:ascii="Arial" w:hAnsi="Arial" w:cs="Arial"/>
            <w:sz w:val="24"/>
            <w:szCs w:val="24"/>
          </w:rPr>
          <w:t>https://www.jesip.org.uk/joint-doctrine/definitions/</w:t>
        </w:r>
      </w:hyperlink>
      <w:r w:rsidRPr="00A4313E">
        <w:rPr>
          <w:rFonts w:ascii="Arial" w:hAnsi="Arial" w:cs="Arial"/>
          <w:sz w:val="24"/>
          <w:szCs w:val="24"/>
        </w:rPr>
        <w:t>. (accessed 29</w:t>
      </w:r>
      <w:r w:rsidRPr="00A4313E">
        <w:rPr>
          <w:rFonts w:ascii="Arial" w:hAnsi="Arial" w:cs="Arial"/>
          <w:sz w:val="24"/>
          <w:szCs w:val="24"/>
          <w:vertAlign w:val="superscript"/>
        </w:rPr>
        <w:t>th</w:t>
      </w:r>
      <w:r w:rsidRPr="00A4313E">
        <w:rPr>
          <w:rFonts w:ascii="Arial" w:hAnsi="Arial" w:cs="Arial"/>
          <w:sz w:val="24"/>
          <w:szCs w:val="24"/>
        </w:rPr>
        <w:t xml:space="preserve"> November 2023). </w:t>
      </w:r>
    </w:p>
    <w:p w14:paraId="0FAB8A08" w14:textId="77777777" w:rsidR="00363613" w:rsidRPr="00A4313E" w:rsidRDefault="00363613" w:rsidP="00363613">
      <w:pPr>
        <w:rPr>
          <w:rFonts w:ascii="Arial" w:hAnsi="Arial" w:cs="Arial"/>
          <w:sz w:val="24"/>
          <w:szCs w:val="24"/>
        </w:rPr>
      </w:pPr>
    </w:p>
    <w:p w14:paraId="42DAFBDE" w14:textId="77777777" w:rsidR="00363613" w:rsidRPr="00A4313E" w:rsidRDefault="00363613" w:rsidP="00363613">
      <w:pPr>
        <w:rPr>
          <w:rFonts w:ascii="Arial" w:hAnsi="Arial" w:cs="Arial"/>
          <w:sz w:val="24"/>
          <w:szCs w:val="24"/>
        </w:rPr>
      </w:pPr>
      <w:r w:rsidRPr="00A4313E">
        <w:rPr>
          <w:rFonts w:ascii="Arial" w:hAnsi="Arial" w:cs="Arial"/>
          <w:sz w:val="24"/>
          <w:szCs w:val="24"/>
        </w:rPr>
        <w:t xml:space="preserve">JESIP (2022). M/ETHANE – JESIP website. Available at: </w:t>
      </w:r>
      <w:hyperlink r:id="rId25" w:history="1">
        <w:r w:rsidRPr="00A4313E">
          <w:rPr>
            <w:rStyle w:val="Hyperlink"/>
            <w:rFonts w:ascii="Arial" w:hAnsi="Arial" w:cs="Arial"/>
            <w:sz w:val="24"/>
            <w:szCs w:val="24"/>
          </w:rPr>
          <w:t>M/ETHANE - JESIP Website</w:t>
        </w:r>
      </w:hyperlink>
      <w:r w:rsidRPr="00A4313E">
        <w:rPr>
          <w:rFonts w:ascii="Arial" w:hAnsi="Arial" w:cs="Arial"/>
          <w:sz w:val="24"/>
          <w:szCs w:val="24"/>
        </w:rPr>
        <w:t xml:space="preserve"> (accessed 12the December 2023). </w:t>
      </w:r>
    </w:p>
    <w:p w14:paraId="65FD5EDE" w14:textId="77777777" w:rsidR="00363613" w:rsidRPr="001E1E31" w:rsidRDefault="00363613" w:rsidP="00363613">
      <w:pPr>
        <w:rPr>
          <w:rFonts w:ascii="Arial" w:hAnsi="Arial" w:cs="Arial"/>
          <w:sz w:val="24"/>
          <w:szCs w:val="24"/>
        </w:rPr>
      </w:pPr>
    </w:p>
    <w:p w14:paraId="442D6814" w14:textId="77777777" w:rsidR="00363613" w:rsidRDefault="00363613" w:rsidP="00363613">
      <w:pPr>
        <w:spacing w:line="276" w:lineRule="auto"/>
        <w:rPr>
          <w:rFonts w:ascii="Arial" w:hAnsi="Arial" w:cs="Arial"/>
          <w:sz w:val="24"/>
          <w:szCs w:val="24"/>
        </w:rPr>
      </w:pPr>
      <w:proofErr w:type="gramStart"/>
      <w:r w:rsidRPr="00E636FE">
        <w:rPr>
          <w:rFonts w:ascii="Arial" w:hAnsi="Arial" w:cs="Arial"/>
          <w:sz w:val="24"/>
          <w:szCs w:val="24"/>
        </w:rPr>
        <w:t>Kebbell ,</w:t>
      </w:r>
      <w:proofErr w:type="gramEnd"/>
      <w:r w:rsidRPr="00E636FE">
        <w:rPr>
          <w:rFonts w:ascii="Arial" w:hAnsi="Arial" w:cs="Arial"/>
          <w:sz w:val="24"/>
          <w:szCs w:val="24"/>
        </w:rPr>
        <w:t xml:space="preserve"> M. and Milne , R. </w:t>
      </w:r>
      <w:r>
        <w:rPr>
          <w:rFonts w:ascii="Arial" w:hAnsi="Arial" w:cs="Arial"/>
          <w:sz w:val="24"/>
          <w:szCs w:val="24"/>
        </w:rPr>
        <w:t>(</w:t>
      </w:r>
      <w:r w:rsidRPr="00E636FE">
        <w:rPr>
          <w:rFonts w:ascii="Arial" w:hAnsi="Arial" w:cs="Arial"/>
          <w:sz w:val="24"/>
          <w:szCs w:val="24"/>
        </w:rPr>
        <w:t>1998</w:t>
      </w:r>
      <w:r w:rsidRPr="00D306B4">
        <w:rPr>
          <w:rFonts w:ascii="Arial" w:hAnsi="Arial" w:cs="Arial"/>
          <w:i/>
          <w:iCs/>
          <w:sz w:val="24"/>
          <w:szCs w:val="24"/>
        </w:rPr>
        <w:t xml:space="preserve">). Police officers perceptions of eyewitness factors in forensic </w:t>
      </w:r>
      <w:proofErr w:type="gramStart"/>
      <w:r w:rsidRPr="00D306B4">
        <w:rPr>
          <w:rFonts w:ascii="Arial" w:hAnsi="Arial" w:cs="Arial"/>
          <w:i/>
          <w:iCs/>
          <w:sz w:val="24"/>
          <w:szCs w:val="24"/>
        </w:rPr>
        <w:t>investigations .</w:t>
      </w:r>
      <w:proofErr w:type="gramEnd"/>
      <w:r w:rsidRPr="00D306B4">
        <w:rPr>
          <w:rFonts w:ascii="Arial" w:hAnsi="Arial" w:cs="Arial"/>
          <w:i/>
          <w:iCs/>
          <w:sz w:val="24"/>
          <w:szCs w:val="24"/>
        </w:rPr>
        <w:t xml:space="preserve"> </w:t>
      </w:r>
      <w:r w:rsidRPr="00E636FE">
        <w:rPr>
          <w:rFonts w:ascii="Arial" w:hAnsi="Arial" w:cs="Arial"/>
          <w:sz w:val="24"/>
          <w:szCs w:val="24"/>
        </w:rPr>
        <w:t xml:space="preserve">Journal of Social </w:t>
      </w:r>
      <w:proofErr w:type="gramStart"/>
      <w:r w:rsidRPr="00E636FE">
        <w:rPr>
          <w:rFonts w:ascii="Arial" w:hAnsi="Arial" w:cs="Arial"/>
          <w:sz w:val="24"/>
          <w:szCs w:val="24"/>
        </w:rPr>
        <w:t>Psychology ,</w:t>
      </w:r>
      <w:proofErr w:type="gramEnd"/>
      <w:r w:rsidRPr="00E636FE">
        <w:rPr>
          <w:rFonts w:ascii="Arial" w:hAnsi="Arial" w:cs="Arial"/>
          <w:sz w:val="24"/>
          <w:szCs w:val="24"/>
        </w:rPr>
        <w:t xml:space="preserve"> 138 : 323 – 330</w:t>
      </w:r>
      <w:r>
        <w:rPr>
          <w:rFonts w:ascii="Arial" w:hAnsi="Arial" w:cs="Arial"/>
          <w:sz w:val="24"/>
          <w:szCs w:val="24"/>
        </w:rPr>
        <w:t>.</w:t>
      </w:r>
    </w:p>
    <w:p w14:paraId="1CFEA3A8" w14:textId="77777777" w:rsidR="00363613" w:rsidRDefault="00363613" w:rsidP="00363613">
      <w:pPr>
        <w:spacing w:line="276" w:lineRule="auto"/>
        <w:rPr>
          <w:rFonts w:ascii="Arial" w:hAnsi="Arial" w:cs="Arial"/>
          <w:sz w:val="24"/>
          <w:szCs w:val="24"/>
        </w:rPr>
      </w:pPr>
    </w:p>
    <w:p w14:paraId="6FD91615" w14:textId="77777777" w:rsidR="00363613" w:rsidRPr="00E7269A" w:rsidRDefault="00363613" w:rsidP="00363613">
      <w:pPr>
        <w:rPr>
          <w:rFonts w:ascii="Arial" w:hAnsi="Arial" w:cs="Arial"/>
          <w:sz w:val="24"/>
          <w:szCs w:val="24"/>
        </w:rPr>
      </w:pPr>
      <w:r w:rsidRPr="00E7269A">
        <w:rPr>
          <w:rFonts w:ascii="Arial" w:hAnsi="Arial" w:cs="Arial"/>
          <w:sz w:val="24"/>
          <w:szCs w:val="24"/>
        </w:rPr>
        <w:t xml:space="preserve">Kerslake Report (2018). </w:t>
      </w:r>
      <w:r w:rsidRPr="00D306B4">
        <w:rPr>
          <w:rFonts w:ascii="Arial" w:hAnsi="Arial" w:cs="Arial"/>
          <w:i/>
          <w:iCs/>
          <w:sz w:val="24"/>
          <w:szCs w:val="24"/>
        </w:rPr>
        <w:t>An independent review into the preparedness for, and emergency response to, the Manchester Arena attack on 22nd May 2017</w:t>
      </w:r>
      <w:r w:rsidRPr="00E7269A">
        <w:rPr>
          <w:rFonts w:ascii="Arial" w:hAnsi="Arial" w:cs="Arial"/>
          <w:sz w:val="24"/>
          <w:szCs w:val="24"/>
        </w:rPr>
        <w:t xml:space="preserve">. Available at: </w:t>
      </w:r>
      <w:hyperlink r:id="rId26" w:history="1">
        <w:r w:rsidRPr="00E7269A">
          <w:rPr>
            <w:rStyle w:val="Hyperlink"/>
            <w:rFonts w:ascii="Arial" w:hAnsi="Arial" w:cs="Arial"/>
            <w:sz w:val="24"/>
            <w:szCs w:val="24"/>
          </w:rPr>
          <w:t>Microsoft Word - Kerslake_Arena_Review_PROOFED.docx (kerslakearenareview.co.uk)</w:t>
        </w:r>
      </w:hyperlink>
      <w:r w:rsidRPr="00E7269A">
        <w:rPr>
          <w:rFonts w:ascii="Arial" w:hAnsi="Arial" w:cs="Arial"/>
          <w:sz w:val="24"/>
          <w:szCs w:val="24"/>
        </w:rPr>
        <w:t xml:space="preserve"> (accessed 12</w:t>
      </w:r>
      <w:r w:rsidRPr="00E7269A">
        <w:rPr>
          <w:rFonts w:ascii="Arial" w:hAnsi="Arial" w:cs="Arial"/>
          <w:sz w:val="24"/>
          <w:szCs w:val="24"/>
          <w:vertAlign w:val="superscript"/>
        </w:rPr>
        <w:t>th</w:t>
      </w:r>
      <w:r w:rsidRPr="00E7269A">
        <w:rPr>
          <w:rFonts w:ascii="Arial" w:hAnsi="Arial" w:cs="Arial"/>
          <w:sz w:val="24"/>
          <w:szCs w:val="24"/>
        </w:rPr>
        <w:t xml:space="preserve"> December, 2023). </w:t>
      </w:r>
    </w:p>
    <w:p w14:paraId="76310A5A" w14:textId="77777777" w:rsidR="00363613" w:rsidRPr="00E636FE" w:rsidRDefault="00363613" w:rsidP="00363613">
      <w:pPr>
        <w:spacing w:line="276" w:lineRule="auto"/>
        <w:rPr>
          <w:rFonts w:ascii="Arial" w:hAnsi="Arial" w:cs="Arial"/>
          <w:sz w:val="24"/>
          <w:szCs w:val="24"/>
        </w:rPr>
      </w:pPr>
    </w:p>
    <w:p w14:paraId="52672018" w14:textId="77777777" w:rsidR="00363613" w:rsidRDefault="00363613" w:rsidP="00363613">
      <w:pPr>
        <w:spacing w:line="276" w:lineRule="auto"/>
        <w:rPr>
          <w:rFonts w:ascii="Arial" w:hAnsi="Arial" w:cs="Arial"/>
          <w:sz w:val="24"/>
          <w:szCs w:val="24"/>
        </w:rPr>
      </w:pPr>
      <w:proofErr w:type="spellStart"/>
      <w:r w:rsidRPr="00E636FE">
        <w:rPr>
          <w:rFonts w:ascii="Arial" w:hAnsi="Arial" w:cs="Arial"/>
          <w:sz w:val="24"/>
          <w:szCs w:val="24"/>
        </w:rPr>
        <w:lastRenderedPageBreak/>
        <w:t>Kieckhaefer</w:t>
      </w:r>
      <w:proofErr w:type="spellEnd"/>
      <w:r w:rsidRPr="00E636FE">
        <w:rPr>
          <w:rFonts w:ascii="Arial" w:hAnsi="Arial" w:cs="Arial"/>
          <w:sz w:val="24"/>
          <w:szCs w:val="24"/>
        </w:rPr>
        <w:t xml:space="preserve"> J. M., </w:t>
      </w:r>
      <w:proofErr w:type="spellStart"/>
      <w:r w:rsidRPr="00E636FE">
        <w:rPr>
          <w:rFonts w:ascii="Arial" w:hAnsi="Arial" w:cs="Arial"/>
          <w:sz w:val="24"/>
          <w:szCs w:val="24"/>
        </w:rPr>
        <w:t>Vallano</w:t>
      </w:r>
      <w:proofErr w:type="spellEnd"/>
      <w:r w:rsidRPr="00E636FE">
        <w:rPr>
          <w:rFonts w:ascii="Arial" w:hAnsi="Arial" w:cs="Arial"/>
          <w:sz w:val="24"/>
          <w:szCs w:val="24"/>
        </w:rPr>
        <w:t xml:space="preserve"> J. P., Compo N. S. (2014). ‘</w:t>
      </w:r>
      <w:r w:rsidRPr="00D306B4">
        <w:rPr>
          <w:rFonts w:ascii="Arial" w:hAnsi="Arial" w:cs="Arial"/>
          <w:i/>
          <w:iCs/>
          <w:sz w:val="24"/>
          <w:szCs w:val="24"/>
        </w:rPr>
        <w:t>Examining the Positive Effects of Rapport Building: When and Why does Rapport Building Benefit Adult Eyewitness Memory?</w:t>
      </w:r>
      <w:r w:rsidRPr="00E636FE">
        <w:rPr>
          <w:rFonts w:ascii="Arial" w:hAnsi="Arial" w:cs="Arial"/>
          <w:sz w:val="24"/>
          <w:szCs w:val="24"/>
        </w:rPr>
        <w:t>’ Memory 22(8): 1010–1023.</w:t>
      </w:r>
    </w:p>
    <w:p w14:paraId="59472D3B" w14:textId="77777777" w:rsidR="00363613" w:rsidRDefault="00363613" w:rsidP="00363613">
      <w:pPr>
        <w:spacing w:line="276" w:lineRule="auto"/>
        <w:rPr>
          <w:rFonts w:ascii="Arial" w:hAnsi="Arial" w:cs="Arial"/>
          <w:sz w:val="24"/>
          <w:szCs w:val="24"/>
        </w:rPr>
      </w:pPr>
    </w:p>
    <w:p w14:paraId="1A9F1B95" w14:textId="77777777" w:rsidR="00363613" w:rsidRPr="00D306B4" w:rsidRDefault="00363613" w:rsidP="00363613">
      <w:pPr>
        <w:rPr>
          <w:rFonts w:ascii="Arial" w:hAnsi="Arial" w:cs="Arial"/>
          <w:sz w:val="24"/>
          <w:szCs w:val="24"/>
        </w:rPr>
      </w:pPr>
      <w:r w:rsidRPr="00D306B4">
        <w:rPr>
          <w:rFonts w:ascii="Arial" w:hAnsi="Arial" w:cs="Arial"/>
          <w:sz w:val="24"/>
          <w:szCs w:val="24"/>
        </w:rPr>
        <w:t>Klein, G.A. and Woods, D.D. (1993), “</w:t>
      </w:r>
      <w:r w:rsidRPr="00D306B4">
        <w:rPr>
          <w:rFonts w:ascii="Arial" w:hAnsi="Arial" w:cs="Arial"/>
          <w:i/>
          <w:iCs/>
          <w:sz w:val="24"/>
          <w:szCs w:val="24"/>
        </w:rPr>
        <w:t>Conclusions: decision making in action”,</w:t>
      </w:r>
      <w:r w:rsidRPr="00D306B4">
        <w:rPr>
          <w:rFonts w:ascii="Arial" w:hAnsi="Arial" w:cs="Arial"/>
          <w:sz w:val="24"/>
          <w:szCs w:val="24"/>
        </w:rPr>
        <w:t xml:space="preserve"> in Klein, G.A., </w:t>
      </w:r>
      <w:proofErr w:type="spellStart"/>
      <w:r w:rsidRPr="00D306B4">
        <w:rPr>
          <w:rFonts w:ascii="Arial" w:hAnsi="Arial" w:cs="Arial"/>
          <w:sz w:val="24"/>
          <w:szCs w:val="24"/>
        </w:rPr>
        <w:t>Orasanu</w:t>
      </w:r>
      <w:proofErr w:type="spellEnd"/>
      <w:r w:rsidRPr="00D306B4">
        <w:rPr>
          <w:rFonts w:ascii="Arial" w:hAnsi="Arial" w:cs="Arial"/>
          <w:sz w:val="24"/>
          <w:szCs w:val="24"/>
        </w:rPr>
        <w:t xml:space="preserve">, J., Calderwood and </w:t>
      </w:r>
      <w:proofErr w:type="spellStart"/>
      <w:r w:rsidRPr="00D306B4">
        <w:rPr>
          <w:rFonts w:ascii="Arial" w:hAnsi="Arial" w:cs="Arial"/>
          <w:sz w:val="24"/>
          <w:szCs w:val="24"/>
        </w:rPr>
        <w:t>Zsambok</w:t>
      </w:r>
      <w:proofErr w:type="spellEnd"/>
      <w:r w:rsidRPr="00D306B4">
        <w:rPr>
          <w:rFonts w:ascii="Arial" w:hAnsi="Arial" w:cs="Arial"/>
          <w:sz w:val="24"/>
          <w:szCs w:val="24"/>
        </w:rPr>
        <w:t xml:space="preserve">, C.E. (Eds), Decision Making in Action: Models and Methods, </w:t>
      </w:r>
      <w:proofErr w:type="spellStart"/>
      <w:r w:rsidRPr="00D306B4">
        <w:rPr>
          <w:rFonts w:ascii="Arial" w:hAnsi="Arial" w:cs="Arial"/>
          <w:sz w:val="24"/>
          <w:szCs w:val="24"/>
        </w:rPr>
        <w:t>Ablex</w:t>
      </w:r>
      <w:proofErr w:type="spellEnd"/>
      <w:r w:rsidRPr="00D306B4">
        <w:rPr>
          <w:rFonts w:ascii="Arial" w:hAnsi="Arial" w:cs="Arial"/>
          <w:sz w:val="24"/>
          <w:szCs w:val="24"/>
        </w:rPr>
        <w:t>, Norwood, NJ, pp. 404-411.</w:t>
      </w:r>
    </w:p>
    <w:p w14:paraId="64F1F33A" w14:textId="77777777" w:rsidR="00363613" w:rsidRPr="00D306B4" w:rsidRDefault="00363613" w:rsidP="00363613">
      <w:pPr>
        <w:rPr>
          <w:rFonts w:ascii="Arial" w:hAnsi="Arial" w:cs="Arial"/>
          <w:sz w:val="24"/>
          <w:szCs w:val="24"/>
        </w:rPr>
      </w:pPr>
    </w:p>
    <w:p w14:paraId="310CD894" w14:textId="77777777" w:rsidR="00363613" w:rsidRPr="00D306B4" w:rsidRDefault="00363613" w:rsidP="00363613">
      <w:pPr>
        <w:rPr>
          <w:rFonts w:ascii="Arial" w:hAnsi="Arial" w:cs="Arial"/>
          <w:color w:val="212121"/>
          <w:sz w:val="24"/>
          <w:szCs w:val="24"/>
          <w:shd w:val="clear" w:color="auto" w:fill="FFFFFF"/>
        </w:rPr>
      </w:pPr>
      <w:proofErr w:type="spellStart"/>
      <w:r w:rsidRPr="00D306B4">
        <w:rPr>
          <w:rFonts w:ascii="Arial" w:hAnsi="Arial" w:cs="Arial"/>
          <w:color w:val="212121"/>
          <w:sz w:val="24"/>
          <w:szCs w:val="24"/>
          <w:shd w:val="clear" w:color="auto" w:fill="FFFFFF"/>
        </w:rPr>
        <w:t>Koriat</w:t>
      </w:r>
      <w:proofErr w:type="spellEnd"/>
      <w:r w:rsidRPr="00D306B4">
        <w:rPr>
          <w:rFonts w:ascii="Arial" w:hAnsi="Arial" w:cs="Arial"/>
          <w:color w:val="212121"/>
          <w:sz w:val="24"/>
          <w:szCs w:val="24"/>
          <w:shd w:val="clear" w:color="auto" w:fill="FFFFFF"/>
        </w:rPr>
        <w:t xml:space="preserve">, A., &amp; Goldsmith, M. (1996). </w:t>
      </w:r>
      <w:r w:rsidRPr="00D306B4">
        <w:rPr>
          <w:rFonts w:ascii="Arial" w:hAnsi="Arial" w:cs="Arial"/>
          <w:i/>
          <w:iCs/>
          <w:color w:val="212121"/>
          <w:sz w:val="24"/>
          <w:szCs w:val="24"/>
          <w:shd w:val="clear" w:color="auto" w:fill="FFFFFF"/>
        </w:rPr>
        <w:t>Monitoring and control processes in the strategic regulation of memory accuracy. Psychological review</w:t>
      </w:r>
      <w:r w:rsidRPr="00D306B4">
        <w:rPr>
          <w:rFonts w:ascii="Arial" w:hAnsi="Arial" w:cs="Arial"/>
          <w:color w:val="212121"/>
          <w:sz w:val="24"/>
          <w:szCs w:val="24"/>
          <w:shd w:val="clear" w:color="auto" w:fill="FFFFFF"/>
        </w:rPr>
        <w:t>, </w:t>
      </w:r>
      <w:r w:rsidRPr="00D306B4">
        <w:rPr>
          <w:rFonts w:ascii="Arial" w:hAnsi="Arial" w:cs="Arial"/>
          <w:i/>
          <w:iCs/>
          <w:color w:val="212121"/>
          <w:sz w:val="24"/>
          <w:szCs w:val="24"/>
          <w:shd w:val="clear" w:color="auto" w:fill="FFFFFF"/>
        </w:rPr>
        <w:t>103</w:t>
      </w:r>
      <w:r w:rsidRPr="00D306B4">
        <w:rPr>
          <w:rFonts w:ascii="Arial" w:hAnsi="Arial" w:cs="Arial"/>
          <w:color w:val="212121"/>
          <w:sz w:val="24"/>
          <w:szCs w:val="24"/>
          <w:shd w:val="clear" w:color="auto" w:fill="FFFFFF"/>
        </w:rPr>
        <w:t xml:space="preserve">(3), 490–517. Available at: </w:t>
      </w:r>
      <w:hyperlink r:id="rId27" w:history="1">
        <w:r w:rsidRPr="00D306B4">
          <w:rPr>
            <w:rStyle w:val="Hyperlink"/>
            <w:rFonts w:ascii="Arial" w:hAnsi="Arial" w:cs="Arial"/>
            <w:sz w:val="24"/>
            <w:szCs w:val="24"/>
            <w:shd w:val="clear" w:color="auto" w:fill="FFFFFF"/>
          </w:rPr>
          <w:t>https://doi.org/10.1037/0033-295x.103.3.490</w:t>
        </w:r>
      </w:hyperlink>
    </w:p>
    <w:p w14:paraId="54DD7DCE" w14:textId="77777777" w:rsidR="00363613" w:rsidRPr="00E636FE" w:rsidRDefault="00363613" w:rsidP="00363613">
      <w:pPr>
        <w:spacing w:line="276" w:lineRule="auto"/>
        <w:rPr>
          <w:rFonts w:ascii="Arial" w:hAnsi="Arial" w:cs="Arial"/>
          <w:sz w:val="24"/>
          <w:szCs w:val="24"/>
        </w:rPr>
      </w:pPr>
    </w:p>
    <w:p w14:paraId="50303215" w14:textId="77777777" w:rsidR="00363613" w:rsidRPr="00E636FE" w:rsidRDefault="00363613" w:rsidP="00363613">
      <w:pPr>
        <w:spacing w:line="276" w:lineRule="auto"/>
        <w:rPr>
          <w:rFonts w:ascii="Arial" w:hAnsi="Arial" w:cs="Arial"/>
          <w:sz w:val="24"/>
          <w:szCs w:val="24"/>
        </w:rPr>
      </w:pPr>
      <w:proofErr w:type="gramStart"/>
      <w:r w:rsidRPr="00E636FE">
        <w:rPr>
          <w:rFonts w:ascii="Arial" w:hAnsi="Arial" w:cs="Arial"/>
          <w:sz w:val="24"/>
          <w:szCs w:val="24"/>
        </w:rPr>
        <w:t>Lipton ,</w:t>
      </w:r>
      <w:proofErr w:type="gramEnd"/>
      <w:r w:rsidRPr="00E636FE">
        <w:rPr>
          <w:rFonts w:ascii="Arial" w:hAnsi="Arial" w:cs="Arial"/>
          <w:sz w:val="24"/>
          <w:szCs w:val="24"/>
        </w:rPr>
        <w:t xml:space="preserve"> J.P. </w:t>
      </w:r>
      <w:r>
        <w:rPr>
          <w:rFonts w:ascii="Arial" w:hAnsi="Arial" w:cs="Arial"/>
          <w:sz w:val="24"/>
          <w:szCs w:val="24"/>
        </w:rPr>
        <w:t>(</w:t>
      </w:r>
      <w:r w:rsidRPr="00E636FE">
        <w:rPr>
          <w:rFonts w:ascii="Arial" w:hAnsi="Arial" w:cs="Arial"/>
          <w:sz w:val="24"/>
          <w:szCs w:val="24"/>
        </w:rPr>
        <w:t>1977</w:t>
      </w:r>
      <w:r>
        <w:rPr>
          <w:rFonts w:ascii="Arial" w:hAnsi="Arial" w:cs="Arial"/>
          <w:sz w:val="24"/>
          <w:szCs w:val="24"/>
        </w:rPr>
        <w:t>).</w:t>
      </w:r>
      <w:r w:rsidRPr="00E636FE">
        <w:rPr>
          <w:rFonts w:ascii="Arial" w:hAnsi="Arial" w:cs="Arial"/>
          <w:sz w:val="24"/>
          <w:szCs w:val="24"/>
        </w:rPr>
        <w:t xml:space="preserve"> </w:t>
      </w:r>
      <w:r w:rsidRPr="00D306B4">
        <w:rPr>
          <w:rFonts w:ascii="Arial" w:hAnsi="Arial" w:cs="Arial"/>
          <w:i/>
          <w:iCs/>
          <w:sz w:val="24"/>
          <w:szCs w:val="24"/>
        </w:rPr>
        <w:t xml:space="preserve">The psychology of eyewitness </w:t>
      </w:r>
      <w:proofErr w:type="gramStart"/>
      <w:r w:rsidRPr="00D306B4">
        <w:rPr>
          <w:rFonts w:ascii="Arial" w:hAnsi="Arial" w:cs="Arial"/>
          <w:i/>
          <w:iCs/>
          <w:sz w:val="24"/>
          <w:szCs w:val="24"/>
        </w:rPr>
        <w:t>testimony</w:t>
      </w:r>
      <w:r w:rsidRPr="00E636FE">
        <w:rPr>
          <w:rFonts w:ascii="Arial" w:hAnsi="Arial" w:cs="Arial"/>
          <w:sz w:val="24"/>
          <w:szCs w:val="24"/>
        </w:rPr>
        <w:t xml:space="preserve"> .</w:t>
      </w:r>
      <w:proofErr w:type="gramEnd"/>
      <w:r w:rsidRPr="00E636FE">
        <w:rPr>
          <w:rFonts w:ascii="Arial" w:hAnsi="Arial" w:cs="Arial"/>
          <w:sz w:val="24"/>
          <w:szCs w:val="24"/>
        </w:rPr>
        <w:t xml:space="preserve"> Journal of Applied </w:t>
      </w:r>
      <w:proofErr w:type="gramStart"/>
      <w:r w:rsidRPr="00E636FE">
        <w:rPr>
          <w:rFonts w:ascii="Arial" w:hAnsi="Arial" w:cs="Arial"/>
          <w:sz w:val="24"/>
          <w:szCs w:val="24"/>
        </w:rPr>
        <w:t>Psychology ,</w:t>
      </w:r>
      <w:proofErr w:type="gramEnd"/>
      <w:r w:rsidRPr="00E636FE">
        <w:rPr>
          <w:rFonts w:ascii="Arial" w:hAnsi="Arial" w:cs="Arial"/>
          <w:sz w:val="24"/>
          <w:szCs w:val="24"/>
        </w:rPr>
        <w:t xml:space="preserve"> 62 : 90 – 93 . available at:</w:t>
      </w:r>
      <w:r w:rsidRPr="00E636FE">
        <w:rPr>
          <w:rFonts w:ascii="Arial" w:hAnsi="Arial" w:cs="Arial"/>
          <w:color w:val="333333"/>
          <w:sz w:val="24"/>
          <w:szCs w:val="24"/>
          <w:shd w:val="clear" w:color="auto" w:fill="FFFFFF"/>
        </w:rPr>
        <w:t> </w:t>
      </w:r>
      <w:hyperlink r:id="rId28" w:tgtFrame="_blank" w:history="1">
        <w:r w:rsidRPr="00E636FE">
          <w:rPr>
            <w:rStyle w:val="Hyperlink"/>
            <w:rFonts w:ascii="Arial" w:hAnsi="Arial" w:cs="Arial"/>
            <w:color w:val="23527C"/>
            <w:sz w:val="24"/>
            <w:szCs w:val="24"/>
            <w:shd w:val="clear" w:color="auto" w:fill="FFFFFF"/>
          </w:rPr>
          <w:t>https://doi-org.ezproxy.uwtsd.ac.uk/10.1037/0021-9010.62.1.90</w:t>
        </w:r>
      </w:hyperlink>
      <w:r w:rsidRPr="00E636FE">
        <w:rPr>
          <w:rFonts w:ascii="Arial" w:hAnsi="Arial" w:cs="Arial"/>
          <w:sz w:val="24"/>
          <w:szCs w:val="24"/>
        </w:rPr>
        <w:t xml:space="preserve"> ( </w:t>
      </w:r>
    </w:p>
    <w:p w14:paraId="63FE3F32" w14:textId="77777777" w:rsidR="00363613" w:rsidRPr="00E636FE" w:rsidRDefault="00363613" w:rsidP="00363613">
      <w:pPr>
        <w:spacing w:line="276" w:lineRule="auto"/>
        <w:rPr>
          <w:rFonts w:ascii="Arial" w:hAnsi="Arial" w:cs="Arial"/>
          <w:sz w:val="24"/>
          <w:szCs w:val="24"/>
        </w:rPr>
      </w:pPr>
    </w:p>
    <w:p w14:paraId="2BCB4CC3" w14:textId="77777777" w:rsidR="00363613" w:rsidRDefault="00363613" w:rsidP="00363613">
      <w:pPr>
        <w:spacing w:line="276" w:lineRule="auto"/>
        <w:rPr>
          <w:rFonts w:ascii="Arial" w:hAnsi="Arial" w:cs="Arial"/>
          <w:sz w:val="24"/>
          <w:szCs w:val="24"/>
        </w:rPr>
      </w:pPr>
      <w:r w:rsidRPr="00E636FE">
        <w:rPr>
          <w:rFonts w:ascii="Arial" w:hAnsi="Arial" w:cs="Arial"/>
          <w:sz w:val="24"/>
          <w:szCs w:val="24"/>
        </w:rPr>
        <w:t xml:space="preserve">Madsen K., Holmberg U. (2015). </w:t>
      </w:r>
      <w:r w:rsidRPr="00D306B4">
        <w:rPr>
          <w:rFonts w:ascii="Arial" w:hAnsi="Arial" w:cs="Arial"/>
          <w:i/>
          <w:iCs/>
          <w:sz w:val="24"/>
          <w:szCs w:val="24"/>
        </w:rPr>
        <w:t>‘Interviewees' Psychological Well-being in Investigative Interviews: A Therapeutic Jurisprudential Approach</w:t>
      </w:r>
      <w:r w:rsidRPr="00E636FE">
        <w:rPr>
          <w:rFonts w:ascii="Arial" w:hAnsi="Arial" w:cs="Arial"/>
          <w:sz w:val="24"/>
          <w:szCs w:val="24"/>
        </w:rPr>
        <w:t>.’ Psychiatry, Psychology and Law 22(1): 60–74.</w:t>
      </w:r>
    </w:p>
    <w:p w14:paraId="314CA863" w14:textId="77777777" w:rsidR="00363613" w:rsidRDefault="00363613" w:rsidP="00363613">
      <w:pPr>
        <w:spacing w:line="276" w:lineRule="auto"/>
        <w:rPr>
          <w:rFonts w:ascii="Arial" w:hAnsi="Arial" w:cs="Arial"/>
          <w:sz w:val="24"/>
          <w:szCs w:val="24"/>
        </w:rPr>
      </w:pPr>
    </w:p>
    <w:p w14:paraId="64E4A5BF" w14:textId="77777777" w:rsidR="00363613" w:rsidRDefault="00363613" w:rsidP="00363613">
      <w:pPr>
        <w:rPr>
          <w:rFonts w:ascii="Arial" w:hAnsi="Arial" w:cs="Arial"/>
          <w:sz w:val="24"/>
          <w:szCs w:val="24"/>
        </w:rPr>
      </w:pPr>
      <w:r w:rsidRPr="00E7269A">
        <w:rPr>
          <w:rFonts w:ascii="Arial" w:hAnsi="Arial" w:cs="Arial"/>
          <w:sz w:val="24"/>
          <w:szCs w:val="24"/>
        </w:rPr>
        <w:t xml:space="preserve">Macpherson W. (1999) The Stephen Lawrence Inquiry. Available at: </w:t>
      </w:r>
      <w:hyperlink r:id="rId29" w:history="1">
        <w:r w:rsidRPr="00E7269A">
          <w:rPr>
            <w:rStyle w:val="Hyperlink"/>
            <w:rFonts w:ascii="Arial" w:hAnsi="Arial" w:cs="Arial"/>
            <w:sz w:val="24"/>
            <w:szCs w:val="24"/>
          </w:rPr>
          <w:t>https://www.gov.uk/government/publications/the-stephen-lawrence-inquiry</w:t>
        </w:r>
      </w:hyperlink>
      <w:r w:rsidRPr="00E7269A">
        <w:rPr>
          <w:rFonts w:ascii="Arial" w:hAnsi="Arial" w:cs="Arial"/>
          <w:sz w:val="24"/>
          <w:szCs w:val="24"/>
        </w:rPr>
        <w:t>. (accessed 6</w:t>
      </w:r>
      <w:r w:rsidRPr="00E7269A">
        <w:rPr>
          <w:rFonts w:ascii="Arial" w:hAnsi="Arial" w:cs="Arial"/>
          <w:sz w:val="24"/>
          <w:szCs w:val="24"/>
          <w:vertAlign w:val="superscript"/>
        </w:rPr>
        <w:t>th</w:t>
      </w:r>
      <w:r w:rsidRPr="00E7269A">
        <w:rPr>
          <w:rFonts w:ascii="Arial" w:hAnsi="Arial" w:cs="Arial"/>
          <w:sz w:val="24"/>
          <w:szCs w:val="24"/>
        </w:rPr>
        <w:t xml:space="preserve"> December 2023). </w:t>
      </w:r>
    </w:p>
    <w:p w14:paraId="32B76AAD" w14:textId="77777777" w:rsidR="00363613" w:rsidRDefault="00363613" w:rsidP="00363613">
      <w:pPr>
        <w:rPr>
          <w:rFonts w:ascii="Arial" w:hAnsi="Arial" w:cs="Arial"/>
          <w:sz w:val="24"/>
          <w:szCs w:val="24"/>
        </w:rPr>
      </w:pPr>
    </w:p>
    <w:p w14:paraId="418443F7" w14:textId="77777777" w:rsidR="00363613" w:rsidRPr="00E7269A" w:rsidRDefault="00363613" w:rsidP="00363613">
      <w:pPr>
        <w:rPr>
          <w:rFonts w:ascii="Arial" w:hAnsi="Arial" w:cs="Arial"/>
          <w:sz w:val="24"/>
          <w:szCs w:val="24"/>
        </w:rPr>
      </w:pPr>
      <w:r w:rsidRPr="00E7269A">
        <w:rPr>
          <w:rFonts w:ascii="Arial" w:hAnsi="Arial" w:cs="Arial"/>
          <w:sz w:val="24"/>
          <w:szCs w:val="24"/>
        </w:rPr>
        <w:t xml:space="preserve">Mayhill disturbance Independent Learning Review (2021). Available at: </w:t>
      </w:r>
      <w:hyperlink r:id="rId30" w:history="1">
        <w:r w:rsidRPr="00E7269A">
          <w:rPr>
            <w:rStyle w:val="Hyperlink"/>
            <w:rFonts w:ascii="Arial" w:hAnsi="Arial" w:cs="Arial"/>
            <w:sz w:val="24"/>
            <w:szCs w:val="24"/>
          </w:rPr>
          <w:t>Mayhill disturbance Independent Learning Review | South Wales Police (south-wales.police.uk)</w:t>
        </w:r>
      </w:hyperlink>
      <w:r w:rsidRPr="00E7269A">
        <w:rPr>
          <w:rFonts w:ascii="Arial" w:hAnsi="Arial" w:cs="Arial"/>
          <w:sz w:val="24"/>
          <w:szCs w:val="24"/>
        </w:rPr>
        <w:t xml:space="preserve"> (accessed 10</w:t>
      </w:r>
      <w:r w:rsidRPr="00E7269A">
        <w:rPr>
          <w:rFonts w:ascii="Arial" w:hAnsi="Arial" w:cs="Arial"/>
          <w:sz w:val="24"/>
          <w:szCs w:val="24"/>
          <w:vertAlign w:val="superscript"/>
        </w:rPr>
        <w:t>th</w:t>
      </w:r>
      <w:r w:rsidRPr="00E7269A">
        <w:rPr>
          <w:rFonts w:ascii="Arial" w:hAnsi="Arial" w:cs="Arial"/>
          <w:sz w:val="24"/>
          <w:szCs w:val="24"/>
        </w:rPr>
        <w:t xml:space="preserve"> December 2023). </w:t>
      </w:r>
    </w:p>
    <w:p w14:paraId="0A3041C3" w14:textId="77777777" w:rsidR="00363613" w:rsidRPr="00E636FE" w:rsidRDefault="00363613" w:rsidP="00363613">
      <w:pPr>
        <w:spacing w:line="276" w:lineRule="auto"/>
        <w:rPr>
          <w:rFonts w:ascii="Arial" w:hAnsi="Arial" w:cs="Arial"/>
          <w:sz w:val="24"/>
          <w:szCs w:val="24"/>
        </w:rPr>
      </w:pPr>
    </w:p>
    <w:p w14:paraId="78577FF2" w14:textId="77777777" w:rsidR="00363613" w:rsidRPr="00E636FE" w:rsidRDefault="00363613" w:rsidP="00363613">
      <w:pPr>
        <w:spacing w:line="276" w:lineRule="auto"/>
        <w:rPr>
          <w:rFonts w:ascii="Arial" w:hAnsi="Arial" w:cs="Arial"/>
          <w:sz w:val="24"/>
          <w:szCs w:val="24"/>
          <w:shd w:val="clear" w:color="auto" w:fill="FFFFFF"/>
        </w:rPr>
      </w:pPr>
      <w:r w:rsidRPr="00E636FE">
        <w:rPr>
          <w:rFonts w:ascii="Arial" w:hAnsi="Arial" w:cs="Arial"/>
          <w:sz w:val="24"/>
          <w:szCs w:val="24"/>
          <w:shd w:val="clear" w:color="auto" w:fill="FFFFFF"/>
        </w:rPr>
        <w:t xml:space="preserve">McDaniel, D.D. (2012) </w:t>
      </w:r>
      <w:r w:rsidRPr="00D306B4">
        <w:rPr>
          <w:rFonts w:ascii="Arial" w:hAnsi="Arial" w:cs="Arial"/>
          <w:i/>
          <w:iCs/>
          <w:sz w:val="24"/>
          <w:szCs w:val="24"/>
          <w:shd w:val="clear" w:color="auto" w:fill="FFFFFF"/>
        </w:rPr>
        <w:t>‘Risk and protective factors associated with gang affiliation among high-risk youth: a public health approach’</w:t>
      </w:r>
      <w:r w:rsidRPr="00E636FE">
        <w:rPr>
          <w:rFonts w:ascii="Arial" w:hAnsi="Arial" w:cs="Arial"/>
          <w:sz w:val="24"/>
          <w:szCs w:val="24"/>
          <w:shd w:val="clear" w:color="auto" w:fill="FFFFFF"/>
        </w:rPr>
        <w:t xml:space="preserve">, Injury prevention, 18(4), pp. 253–258. Available at: </w:t>
      </w:r>
      <w:hyperlink r:id="rId31" w:history="1">
        <w:r w:rsidRPr="00E636FE">
          <w:rPr>
            <w:rStyle w:val="Hyperlink"/>
            <w:rFonts w:ascii="Arial" w:hAnsi="Arial" w:cs="Arial"/>
            <w:color w:val="auto"/>
            <w:sz w:val="24"/>
            <w:szCs w:val="24"/>
            <w:shd w:val="clear" w:color="auto" w:fill="FFFFFF"/>
          </w:rPr>
          <w:t>https://doi.org/10.1136/injuryprev-2011-040083</w:t>
        </w:r>
      </w:hyperlink>
      <w:r w:rsidRPr="00E636FE">
        <w:rPr>
          <w:rFonts w:ascii="Arial" w:hAnsi="Arial" w:cs="Arial"/>
          <w:sz w:val="24"/>
          <w:szCs w:val="24"/>
          <w:shd w:val="clear" w:color="auto" w:fill="FFFFFF"/>
        </w:rPr>
        <w:t xml:space="preserve">. </w:t>
      </w:r>
    </w:p>
    <w:p w14:paraId="4FD46A43" w14:textId="77777777" w:rsidR="00363613" w:rsidRPr="00E636FE" w:rsidRDefault="00363613" w:rsidP="00363613">
      <w:pPr>
        <w:spacing w:line="276" w:lineRule="auto"/>
        <w:rPr>
          <w:rFonts w:ascii="Arial" w:hAnsi="Arial" w:cs="Arial"/>
          <w:sz w:val="24"/>
          <w:szCs w:val="24"/>
          <w:shd w:val="clear" w:color="auto" w:fill="FFFFFF"/>
        </w:rPr>
      </w:pPr>
    </w:p>
    <w:p w14:paraId="22FD7637" w14:textId="77777777" w:rsidR="00363613" w:rsidRPr="00E636FE" w:rsidRDefault="00363613" w:rsidP="00363613">
      <w:pPr>
        <w:spacing w:line="276" w:lineRule="auto"/>
        <w:rPr>
          <w:rFonts w:ascii="Arial" w:hAnsi="Arial" w:cs="Arial"/>
          <w:sz w:val="24"/>
          <w:szCs w:val="24"/>
        </w:rPr>
      </w:pPr>
      <w:proofErr w:type="gramStart"/>
      <w:r w:rsidRPr="00E636FE">
        <w:rPr>
          <w:rFonts w:ascii="Arial" w:hAnsi="Arial" w:cs="Arial"/>
          <w:color w:val="333333"/>
          <w:sz w:val="24"/>
          <w:szCs w:val="24"/>
        </w:rPr>
        <w:t>Memon ,</w:t>
      </w:r>
      <w:proofErr w:type="gramEnd"/>
      <w:r w:rsidRPr="00E636FE">
        <w:rPr>
          <w:rFonts w:ascii="Arial" w:hAnsi="Arial" w:cs="Arial"/>
          <w:color w:val="333333"/>
          <w:sz w:val="24"/>
          <w:szCs w:val="24"/>
        </w:rPr>
        <w:t xml:space="preserve"> A. , Bull , R. and Smith , M. (1995) . </w:t>
      </w:r>
      <w:r w:rsidRPr="00D306B4">
        <w:rPr>
          <w:rFonts w:ascii="Arial" w:hAnsi="Arial" w:cs="Arial"/>
          <w:i/>
          <w:iCs/>
          <w:color w:val="333333"/>
          <w:sz w:val="24"/>
          <w:szCs w:val="24"/>
        </w:rPr>
        <w:t>Improving the quality of the police interview: Can training in the use of the cognitive techniques help</w:t>
      </w:r>
      <w:proofErr w:type="gramStart"/>
      <w:r w:rsidRPr="00D306B4">
        <w:rPr>
          <w:rFonts w:ascii="Arial" w:hAnsi="Arial" w:cs="Arial"/>
          <w:i/>
          <w:iCs/>
          <w:color w:val="333333"/>
          <w:sz w:val="24"/>
          <w:szCs w:val="24"/>
        </w:rPr>
        <w:t>?</w:t>
      </w:r>
      <w:r w:rsidRPr="00E636FE">
        <w:rPr>
          <w:rFonts w:ascii="Arial" w:hAnsi="Arial" w:cs="Arial"/>
          <w:color w:val="333333"/>
          <w:sz w:val="24"/>
          <w:szCs w:val="24"/>
        </w:rPr>
        <w:t xml:space="preserve"> .</w:t>
      </w:r>
      <w:proofErr w:type="gramEnd"/>
      <w:r w:rsidRPr="00E636FE">
        <w:rPr>
          <w:rFonts w:ascii="Arial" w:hAnsi="Arial" w:cs="Arial"/>
          <w:color w:val="333333"/>
          <w:sz w:val="24"/>
          <w:szCs w:val="24"/>
        </w:rPr>
        <w:t> </w:t>
      </w:r>
      <w:r w:rsidRPr="00E636FE">
        <w:rPr>
          <w:rStyle w:val="citationsource-journal"/>
          <w:rFonts w:ascii="Arial" w:hAnsi="Arial" w:cs="Arial"/>
          <w:i/>
          <w:iCs/>
          <w:color w:val="333333"/>
          <w:sz w:val="24"/>
          <w:szCs w:val="24"/>
        </w:rPr>
        <w:t xml:space="preserve">Policing and </w:t>
      </w:r>
      <w:proofErr w:type="gramStart"/>
      <w:r w:rsidRPr="00E636FE">
        <w:rPr>
          <w:rStyle w:val="citationsource-journal"/>
          <w:rFonts w:ascii="Arial" w:hAnsi="Arial" w:cs="Arial"/>
          <w:i/>
          <w:iCs/>
          <w:color w:val="333333"/>
          <w:sz w:val="24"/>
          <w:szCs w:val="24"/>
        </w:rPr>
        <w:t>Society</w:t>
      </w:r>
      <w:r w:rsidRPr="00E636FE">
        <w:rPr>
          <w:rStyle w:val="citationsource-journal"/>
          <w:rFonts w:ascii="Arial" w:hAnsi="Arial" w:cs="Arial"/>
          <w:color w:val="333333"/>
          <w:sz w:val="24"/>
          <w:szCs w:val="24"/>
        </w:rPr>
        <w:t> </w:t>
      </w:r>
      <w:r w:rsidRPr="00E636FE">
        <w:rPr>
          <w:rFonts w:ascii="Arial" w:hAnsi="Arial" w:cs="Arial"/>
          <w:color w:val="333333"/>
          <w:sz w:val="24"/>
          <w:szCs w:val="24"/>
        </w:rPr>
        <w:t>,</w:t>
      </w:r>
      <w:proofErr w:type="gramEnd"/>
      <w:r w:rsidRPr="00E636FE">
        <w:rPr>
          <w:rFonts w:ascii="Arial" w:hAnsi="Arial" w:cs="Arial"/>
          <w:color w:val="333333"/>
          <w:sz w:val="24"/>
          <w:szCs w:val="24"/>
        </w:rPr>
        <w:t xml:space="preserve"> 5 : 53 – 68. Available at: </w:t>
      </w:r>
      <w:r w:rsidRPr="00E636FE">
        <w:rPr>
          <w:rFonts w:ascii="Arial" w:hAnsi="Arial" w:cs="Arial"/>
          <w:color w:val="333333"/>
          <w:sz w:val="24"/>
          <w:szCs w:val="24"/>
          <w:shd w:val="clear" w:color="auto" w:fill="FFFFFF"/>
        </w:rPr>
        <w:t>DOI: </w:t>
      </w:r>
      <w:hyperlink r:id="rId32" w:history="1">
        <w:r w:rsidRPr="00E636FE">
          <w:rPr>
            <w:rStyle w:val="Hyperlink"/>
            <w:rFonts w:ascii="Arial" w:hAnsi="Arial" w:cs="Arial"/>
            <w:color w:val="333333"/>
            <w:sz w:val="24"/>
            <w:szCs w:val="24"/>
            <w:shd w:val="clear" w:color="auto" w:fill="FFFFFF"/>
          </w:rPr>
          <w:t>10.1080/10439463.1995.9964710</w:t>
        </w:r>
      </w:hyperlink>
      <w:r w:rsidRPr="00E636FE">
        <w:rPr>
          <w:rFonts w:ascii="Arial" w:hAnsi="Arial" w:cs="Arial"/>
          <w:sz w:val="24"/>
          <w:szCs w:val="24"/>
        </w:rPr>
        <w:t xml:space="preserve">  (accessed 11</w:t>
      </w:r>
      <w:r w:rsidRPr="00E636FE">
        <w:rPr>
          <w:rFonts w:ascii="Arial" w:hAnsi="Arial" w:cs="Arial"/>
          <w:sz w:val="24"/>
          <w:szCs w:val="24"/>
          <w:vertAlign w:val="superscript"/>
        </w:rPr>
        <w:t>th</w:t>
      </w:r>
      <w:r w:rsidRPr="00E636FE">
        <w:rPr>
          <w:rFonts w:ascii="Arial" w:hAnsi="Arial" w:cs="Arial"/>
          <w:sz w:val="24"/>
          <w:szCs w:val="24"/>
        </w:rPr>
        <w:t xml:space="preserve"> November 2023.) </w:t>
      </w:r>
    </w:p>
    <w:p w14:paraId="70ACE8B4" w14:textId="77777777" w:rsidR="00363613" w:rsidRPr="00E636FE" w:rsidRDefault="00363613" w:rsidP="00363613">
      <w:pPr>
        <w:spacing w:line="276" w:lineRule="auto"/>
        <w:rPr>
          <w:rFonts w:ascii="Arial" w:hAnsi="Arial" w:cs="Arial"/>
          <w:sz w:val="24"/>
          <w:szCs w:val="24"/>
        </w:rPr>
      </w:pPr>
    </w:p>
    <w:p w14:paraId="34684198" w14:textId="77777777" w:rsidR="00363613" w:rsidRPr="00E636FE" w:rsidRDefault="00363613" w:rsidP="00363613">
      <w:pPr>
        <w:spacing w:line="276" w:lineRule="auto"/>
        <w:rPr>
          <w:rFonts w:ascii="Arial" w:hAnsi="Arial" w:cs="Arial"/>
          <w:color w:val="333333"/>
          <w:sz w:val="24"/>
          <w:szCs w:val="24"/>
          <w:shd w:val="clear" w:color="auto" w:fill="FFFFFF"/>
        </w:rPr>
      </w:pPr>
      <w:proofErr w:type="gramStart"/>
      <w:r w:rsidRPr="00E636FE">
        <w:rPr>
          <w:rFonts w:ascii="Arial" w:hAnsi="Arial" w:cs="Arial"/>
          <w:color w:val="333333"/>
          <w:sz w:val="24"/>
          <w:szCs w:val="24"/>
          <w:shd w:val="clear" w:color="auto" w:fill="FFFFFF"/>
        </w:rPr>
        <w:t>Memon ,</w:t>
      </w:r>
      <w:proofErr w:type="gramEnd"/>
      <w:r w:rsidRPr="00E636FE">
        <w:rPr>
          <w:rFonts w:ascii="Arial" w:hAnsi="Arial" w:cs="Arial"/>
          <w:color w:val="333333"/>
          <w:sz w:val="24"/>
          <w:szCs w:val="24"/>
          <w:shd w:val="clear" w:color="auto" w:fill="FFFFFF"/>
        </w:rPr>
        <w:t xml:space="preserve"> A. , Holley , A. , Milne , R. , </w:t>
      </w:r>
      <w:proofErr w:type="spellStart"/>
      <w:r w:rsidRPr="00E636FE">
        <w:rPr>
          <w:rFonts w:ascii="Arial" w:hAnsi="Arial" w:cs="Arial"/>
          <w:color w:val="333333"/>
          <w:sz w:val="24"/>
          <w:szCs w:val="24"/>
          <w:shd w:val="clear" w:color="auto" w:fill="FFFFFF"/>
        </w:rPr>
        <w:t>Köhnken</w:t>
      </w:r>
      <w:proofErr w:type="spellEnd"/>
      <w:r w:rsidRPr="00E636FE">
        <w:rPr>
          <w:rFonts w:ascii="Arial" w:hAnsi="Arial" w:cs="Arial"/>
          <w:color w:val="333333"/>
          <w:sz w:val="24"/>
          <w:szCs w:val="24"/>
          <w:shd w:val="clear" w:color="auto" w:fill="FFFFFF"/>
        </w:rPr>
        <w:t xml:space="preserve"> , G. and Bull , R. (1994) . </w:t>
      </w:r>
      <w:r w:rsidRPr="00D306B4">
        <w:rPr>
          <w:rFonts w:ascii="Arial" w:hAnsi="Arial" w:cs="Arial"/>
          <w:i/>
          <w:iCs/>
          <w:color w:val="333333"/>
          <w:sz w:val="24"/>
          <w:szCs w:val="24"/>
          <w:shd w:val="clear" w:color="auto" w:fill="FFFFFF"/>
        </w:rPr>
        <w:t>Towards understanding the effects of interviewer training in evaluating the cognitive interview.</w:t>
      </w:r>
      <w:r w:rsidRPr="00E636FE">
        <w:rPr>
          <w:rFonts w:ascii="Arial" w:hAnsi="Arial" w:cs="Arial"/>
          <w:color w:val="333333"/>
          <w:sz w:val="24"/>
          <w:szCs w:val="24"/>
          <w:shd w:val="clear" w:color="auto" w:fill="FFFFFF"/>
        </w:rPr>
        <w:t> </w:t>
      </w:r>
      <w:r w:rsidRPr="00E636FE">
        <w:rPr>
          <w:rStyle w:val="citationsource-journal"/>
          <w:rFonts w:ascii="Arial" w:hAnsi="Arial" w:cs="Arial"/>
          <w:i/>
          <w:iCs/>
          <w:color w:val="333333"/>
          <w:sz w:val="24"/>
          <w:szCs w:val="24"/>
          <w:shd w:val="clear" w:color="auto" w:fill="FFFFFF"/>
        </w:rPr>
        <w:t xml:space="preserve">Applied Cognitive </w:t>
      </w:r>
      <w:proofErr w:type="gramStart"/>
      <w:r w:rsidRPr="00E636FE">
        <w:rPr>
          <w:rStyle w:val="citationsource-journal"/>
          <w:rFonts w:ascii="Arial" w:hAnsi="Arial" w:cs="Arial"/>
          <w:i/>
          <w:iCs/>
          <w:color w:val="333333"/>
          <w:sz w:val="24"/>
          <w:szCs w:val="24"/>
          <w:shd w:val="clear" w:color="auto" w:fill="FFFFFF"/>
        </w:rPr>
        <w:t>Psychology</w:t>
      </w:r>
      <w:r w:rsidRPr="00E636FE">
        <w:rPr>
          <w:rStyle w:val="citationsource-journal"/>
          <w:rFonts w:ascii="Arial" w:hAnsi="Arial" w:cs="Arial"/>
          <w:color w:val="333333"/>
          <w:sz w:val="24"/>
          <w:szCs w:val="24"/>
          <w:shd w:val="clear" w:color="auto" w:fill="FFFFFF"/>
        </w:rPr>
        <w:t> </w:t>
      </w:r>
      <w:r w:rsidRPr="00E636FE">
        <w:rPr>
          <w:rFonts w:ascii="Arial" w:hAnsi="Arial" w:cs="Arial"/>
          <w:color w:val="333333"/>
          <w:sz w:val="24"/>
          <w:szCs w:val="24"/>
          <w:shd w:val="clear" w:color="auto" w:fill="FFFFFF"/>
        </w:rPr>
        <w:t>,</w:t>
      </w:r>
      <w:proofErr w:type="gramEnd"/>
      <w:r w:rsidRPr="00E636FE">
        <w:rPr>
          <w:rFonts w:ascii="Arial" w:hAnsi="Arial" w:cs="Arial"/>
          <w:color w:val="333333"/>
          <w:sz w:val="24"/>
          <w:szCs w:val="24"/>
          <w:shd w:val="clear" w:color="auto" w:fill="FFFFFF"/>
        </w:rPr>
        <w:t xml:space="preserve"> 8 : 641 – 659 . </w:t>
      </w:r>
    </w:p>
    <w:p w14:paraId="1EA935F8" w14:textId="77777777" w:rsidR="00363613" w:rsidRPr="00E636FE" w:rsidRDefault="00363613" w:rsidP="00363613">
      <w:pPr>
        <w:spacing w:line="276" w:lineRule="auto"/>
        <w:rPr>
          <w:rFonts w:ascii="Arial" w:hAnsi="Arial" w:cs="Arial"/>
          <w:sz w:val="24"/>
          <w:szCs w:val="24"/>
        </w:rPr>
      </w:pPr>
      <w:r w:rsidRPr="00E636FE">
        <w:rPr>
          <w:rFonts w:ascii="Arial" w:hAnsi="Arial" w:cs="Arial"/>
          <w:color w:val="333333"/>
          <w:sz w:val="24"/>
          <w:szCs w:val="24"/>
          <w:shd w:val="clear" w:color="auto" w:fill="FFFFFF"/>
        </w:rPr>
        <w:t> </w:t>
      </w:r>
    </w:p>
    <w:p w14:paraId="5C882516" w14:textId="77777777" w:rsidR="00363613" w:rsidRPr="00E636FE" w:rsidRDefault="00363613" w:rsidP="00363613">
      <w:pPr>
        <w:spacing w:line="276" w:lineRule="auto"/>
        <w:rPr>
          <w:rFonts w:ascii="Arial" w:hAnsi="Arial" w:cs="Arial"/>
          <w:sz w:val="24"/>
          <w:szCs w:val="24"/>
        </w:rPr>
      </w:pPr>
      <w:r w:rsidRPr="00E636FE">
        <w:rPr>
          <w:rFonts w:ascii="Arial" w:hAnsi="Arial" w:cs="Arial"/>
          <w:sz w:val="24"/>
          <w:szCs w:val="24"/>
        </w:rPr>
        <w:t xml:space="preserve">Memon, A., Meissner, C. A., &amp; Fraser, J. (2010). </w:t>
      </w:r>
      <w:r w:rsidRPr="00D306B4">
        <w:rPr>
          <w:rFonts w:ascii="Arial" w:hAnsi="Arial" w:cs="Arial"/>
          <w:i/>
          <w:iCs/>
          <w:sz w:val="24"/>
          <w:szCs w:val="24"/>
        </w:rPr>
        <w:t>The cognitive interview: A meta-analytic review and study space analysis of the past 25 years</w:t>
      </w:r>
      <w:r w:rsidRPr="00E636FE">
        <w:rPr>
          <w:rFonts w:ascii="Arial" w:hAnsi="Arial" w:cs="Arial"/>
          <w:sz w:val="24"/>
          <w:szCs w:val="24"/>
        </w:rPr>
        <w:t xml:space="preserve">. Psychology, Public Policy, &amp; Law, 16(4), 340–372. Available at: </w:t>
      </w:r>
      <w:hyperlink r:id="rId33" w:history="1">
        <w:r w:rsidRPr="00E636FE">
          <w:rPr>
            <w:rStyle w:val="Hyperlink"/>
            <w:rFonts w:ascii="Arial" w:hAnsi="Arial" w:cs="Arial"/>
            <w:sz w:val="24"/>
            <w:szCs w:val="24"/>
          </w:rPr>
          <w:t>https://doi.org/10.1037/a0020518</w:t>
        </w:r>
      </w:hyperlink>
      <w:r>
        <w:rPr>
          <w:rFonts w:ascii="Arial" w:hAnsi="Arial" w:cs="Arial"/>
          <w:sz w:val="24"/>
          <w:szCs w:val="24"/>
        </w:rPr>
        <w:t>.</w:t>
      </w:r>
    </w:p>
    <w:p w14:paraId="6E03AD75" w14:textId="77777777" w:rsidR="00363613" w:rsidRPr="00E636FE" w:rsidRDefault="00363613" w:rsidP="00363613">
      <w:pPr>
        <w:spacing w:line="276" w:lineRule="auto"/>
        <w:rPr>
          <w:rFonts w:ascii="Arial" w:hAnsi="Arial" w:cs="Arial"/>
          <w:sz w:val="24"/>
          <w:szCs w:val="24"/>
        </w:rPr>
      </w:pPr>
    </w:p>
    <w:p w14:paraId="1E2253FF" w14:textId="77777777" w:rsidR="00363613" w:rsidRPr="00E636FE" w:rsidRDefault="00363613" w:rsidP="00363613">
      <w:pPr>
        <w:spacing w:line="276" w:lineRule="auto"/>
        <w:rPr>
          <w:rFonts w:ascii="Arial" w:hAnsi="Arial" w:cs="Arial"/>
          <w:sz w:val="24"/>
          <w:szCs w:val="24"/>
        </w:rPr>
      </w:pPr>
      <w:proofErr w:type="gramStart"/>
      <w:r w:rsidRPr="00E636FE">
        <w:rPr>
          <w:rFonts w:ascii="Arial" w:hAnsi="Arial" w:cs="Arial"/>
          <w:sz w:val="24"/>
          <w:szCs w:val="24"/>
        </w:rPr>
        <w:t>Milne ,</w:t>
      </w:r>
      <w:proofErr w:type="gramEnd"/>
      <w:r w:rsidRPr="00E636FE">
        <w:rPr>
          <w:rFonts w:ascii="Arial" w:hAnsi="Arial" w:cs="Arial"/>
          <w:sz w:val="24"/>
          <w:szCs w:val="24"/>
        </w:rPr>
        <w:t xml:space="preserve"> R. , Clare , I.C.H. and Bull , R. </w:t>
      </w:r>
      <w:r>
        <w:rPr>
          <w:rFonts w:ascii="Arial" w:hAnsi="Arial" w:cs="Arial"/>
          <w:sz w:val="24"/>
          <w:szCs w:val="24"/>
        </w:rPr>
        <w:t>(</w:t>
      </w:r>
      <w:r w:rsidRPr="00E636FE">
        <w:rPr>
          <w:rFonts w:ascii="Arial" w:hAnsi="Arial" w:cs="Arial"/>
          <w:sz w:val="24"/>
          <w:szCs w:val="24"/>
        </w:rPr>
        <w:t>1999</w:t>
      </w:r>
      <w:r>
        <w:rPr>
          <w:rFonts w:ascii="Arial" w:hAnsi="Arial" w:cs="Arial"/>
          <w:sz w:val="24"/>
          <w:szCs w:val="24"/>
        </w:rPr>
        <w:t>).</w:t>
      </w:r>
      <w:r w:rsidRPr="00E636FE">
        <w:rPr>
          <w:rFonts w:ascii="Arial" w:hAnsi="Arial" w:cs="Arial"/>
          <w:sz w:val="24"/>
          <w:szCs w:val="24"/>
        </w:rPr>
        <w:t xml:space="preserve"> </w:t>
      </w:r>
      <w:r w:rsidRPr="00D306B4">
        <w:rPr>
          <w:rFonts w:ascii="Arial" w:hAnsi="Arial" w:cs="Arial"/>
          <w:i/>
          <w:iCs/>
          <w:sz w:val="24"/>
          <w:szCs w:val="24"/>
        </w:rPr>
        <w:t xml:space="preserve">Interviewing adults with learning disability with the cognitive </w:t>
      </w:r>
      <w:proofErr w:type="gramStart"/>
      <w:r w:rsidRPr="00D306B4">
        <w:rPr>
          <w:rFonts w:ascii="Arial" w:hAnsi="Arial" w:cs="Arial"/>
          <w:i/>
          <w:iCs/>
          <w:sz w:val="24"/>
          <w:szCs w:val="24"/>
        </w:rPr>
        <w:t xml:space="preserve">interview </w:t>
      </w:r>
      <w:r w:rsidRPr="00E636FE">
        <w:rPr>
          <w:rFonts w:ascii="Arial" w:hAnsi="Arial" w:cs="Arial"/>
          <w:sz w:val="24"/>
          <w:szCs w:val="24"/>
        </w:rPr>
        <w:t>.</w:t>
      </w:r>
      <w:proofErr w:type="gramEnd"/>
      <w:r w:rsidRPr="00E636FE">
        <w:rPr>
          <w:rFonts w:ascii="Arial" w:hAnsi="Arial" w:cs="Arial"/>
          <w:sz w:val="24"/>
          <w:szCs w:val="24"/>
        </w:rPr>
        <w:t xml:space="preserve"> Psychology, Crime &amp; Law, 5:1-2, 81-99, available at: </w:t>
      </w:r>
      <w:hyperlink r:id="rId34" w:history="1">
        <w:r w:rsidRPr="00E636FE">
          <w:rPr>
            <w:rStyle w:val="Hyperlink"/>
            <w:rFonts w:ascii="Arial" w:hAnsi="Arial" w:cs="Arial"/>
            <w:sz w:val="24"/>
            <w:szCs w:val="24"/>
          </w:rPr>
          <w:t>https://doi.org/10.1080/10683169908414995</w:t>
        </w:r>
      </w:hyperlink>
      <w:r>
        <w:rPr>
          <w:rFonts w:ascii="Arial" w:hAnsi="Arial" w:cs="Arial"/>
          <w:sz w:val="24"/>
          <w:szCs w:val="24"/>
        </w:rPr>
        <w:t xml:space="preserve">. </w:t>
      </w:r>
      <w:r w:rsidRPr="00E636FE">
        <w:rPr>
          <w:rFonts w:ascii="Arial" w:hAnsi="Arial" w:cs="Arial"/>
          <w:sz w:val="24"/>
          <w:szCs w:val="24"/>
        </w:rPr>
        <w:t xml:space="preserve"> </w:t>
      </w:r>
    </w:p>
    <w:p w14:paraId="25FD2618" w14:textId="77777777" w:rsidR="00363613" w:rsidRPr="00E636FE" w:rsidRDefault="00363613" w:rsidP="00363613">
      <w:pPr>
        <w:spacing w:line="276" w:lineRule="auto"/>
        <w:rPr>
          <w:rFonts w:ascii="Arial" w:hAnsi="Arial" w:cs="Arial"/>
          <w:sz w:val="24"/>
          <w:szCs w:val="24"/>
        </w:rPr>
      </w:pPr>
    </w:p>
    <w:p w14:paraId="7BAB32FE" w14:textId="77777777" w:rsidR="00363613" w:rsidRDefault="00363613" w:rsidP="00363613">
      <w:pPr>
        <w:spacing w:line="276" w:lineRule="auto"/>
        <w:rPr>
          <w:rFonts w:ascii="Arial" w:hAnsi="Arial" w:cs="Arial"/>
          <w:sz w:val="24"/>
          <w:szCs w:val="24"/>
        </w:rPr>
      </w:pPr>
      <w:proofErr w:type="gramStart"/>
      <w:r w:rsidRPr="00E636FE">
        <w:rPr>
          <w:rFonts w:ascii="Arial" w:hAnsi="Arial" w:cs="Arial"/>
          <w:sz w:val="24"/>
          <w:szCs w:val="24"/>
        </w:rPr>
        <w:t>Milne ,</w:t>
      </w:r>
      <w:proofErr w:type="gramEnd"/>
      <w:r w:rsidRPr="00E636FE">
        <w:rPr>
          <w:rFonts w:ascii="Arial" w:hAnsi="Arial" w:cs="Arial"/>
          <w:sz w:val="24"/>
          <w:szCs w:val="24"/>
        </w:rPr>
        <w:t xml:space="preserve"> R. and Bull , R. (2006) “ </w:t>
      </w:r>
      <w:r w:rsidRPr="00D306B4">
        <w:rPr>
          <w:rFonts w:ascii="Arial" w:hAnsi="Arial" w:cs="Arial"/>
          <w:i/>
          <w:iCs/>
          <w:sz w:val="24"/>
          <w:szCs w:val="24"/>
        </w:rPr>
        <w:t>Interviewing victims of crime, including children and people with intellectual disabilities ”</w:t>
      </w:r>
      <w:r w:rsidRPr="00E636FE">
        <w:rPr>
          <w:rFonts w:ascii="Arial" w:hAnsi="Arial" w:cs="Arial"/>
          <w:sz w:val="24"/>
          <w:szCs w:val="24"/>
        </w:rPr>
        <w:t xml:space="preserve"> . In Practical psychology for forensic investigations and </w:t>
      </w:r>
      <w:proofErr w:type="gramStart"/>
      <w:r w:rsidRPr="00E636FE">
        <w:rPr>
          <w:rFonts w:ascii="Arial" w:hAnsi="Arial" w:cs="Arial"/>
          <w:sz w:val="24"/>
          <w:szCs w:val="24"/>
        </w:rPr>
        <w:t>prosecutions ,</w:t>
      </w:r>
      <w:proofErr w:type="gramEnd"/>
      <w:r w:rsidRPr="00E636FE">
        <w:rPr>
          <w:rFonts w:ascii="Arial" w:hAnsi="Arial" w:cs="Arial"/>
          <w:sz w:val="24"/>
          <w:szCs w:val="24"/>
        </w:rPr>
        <w:t xml:space="preserve"> Edited by: Kebbell , M.R. and Davies , G . 7 – </w:t>
      </w:r>
      <w:proofErr w:type="gramStart"/>
      <w:r w:rsidRPr="00E636FE">
        <w:rPr>
          <w:rFonts w:ascii="Arial" w:hAnsi="Arial" w:cs="Arial"/>
          <w:sz w:val="24"/>
          <w:szCs w:val="24"/>
        </w:rPr>
        <w:t>25 .</w:t>
      </w:r>
      <w:proofErr w:type="gramEnd"/>
      <w:r w:rsidRPr="00E636FE">
        <w:rPr>
          <w:rFonts w:ascii="Arial" w:hAnsi="Arial" w:cs="Arial"/>
          <w:sz w:val="24"/>
          <w:szCs w:val="24"/>
        </w:rPr>
        <w:t xml:space="preserve"> </w:t>
      </w:r>
      <w:proofErr w:type="gramStart"/>
      <w:r w:rsidRPr="00E636FE">
        <w:rPr>
          <w:rFonts w:ascii="Arial" w:hAnsi="Arial" w:cs="Arial"/>
          <w:sz w:val="24"/>
          <w:szCs w:val="24"/>
        </w:rPr>
        <w:t>Chichester :</w:t>
      </w:r>
      <w:proofErr w:type="gramEnd"/>
      <w:r w:rsidRPr="00E636FE">
        <w:rPr>
          <w:rFonts w:ascii="Arial" w:hAnsi="Arial" w:cs="Arial"/>
          <w:sz w:val="24"/>
          <w:szCs w:val="24"/>
        </w:rPr>
        <w:t xml:space="preserve"> Wiley .</w:t>
      </w:r>
    </w:p>
    <w:p w14:paraId="71D03707" w14:textId="77777777" w:rsidR="00363613" w:rsidRDefault="00363613" w:rsidP="00363613">
      <w:pPr>
        <w:spacing w:line="276" w:lineRule="auto"/>
        <w:rPr>
          <w:rFonts w:ascii="Arial" w:hAnsi="Arial" w:cs="Arial"/>
          <w:sz w:val="24"/>
          <w:szCs w:val="24"/>
        </w:rPr>
      </w:pPr>
    </w:p>
    <w:p w14:paraId="5BDBF204" w14:textId="77777777" w:rsidR="00363613" w:rsidRPr="00D306B4" w:rsidRDefault="00363613" w:rsidP="00363613">
      <w:pPr>
        <w:spacing w:line="276" w:lineRule="auto"/>
        <w:rPr>
          <w:rFonts w:ascii="Arial" w:hAnsi="Arial" w:cs="Arial"/>
          <w:color w:val="333333"/>
          <w:sz w:val="24"/>
          <w:szCs w:val="24"/>
          <w:shd w:val="clear" w:color="auto" w:fill="FFFFFF"/>
        </w:rPr>
      </w:pPr>
      <w:r w:rsidRPr="00D306B4">
        <w:rPr>
          <w:rFonts w:ascii="Arial" w:hAnsi="Arial" w:cs="Arial"/>
          <w:color w:val="333333"/>
          <w:sz w:val="24"/>
          <w:szCs w:val="24"/>
          <w:shd w:val="clear" w:color="auto" w:fill="FFFFFF"/>
        </w:rPr>
        <w:t>Milne, R., Clare, I. C. H., &amp; Bull, R. (1999). Using the cognitive interview with adults with mild learning disabilities. </w:t>
      </w:r>
      <w:r w:rsidRPr="00D306B4">
        <w:rPr>
          <w:rFonts w:ascii="Arial" w:hAnsi="Arial" w:cs="Arial"/>
          <w:i/>
          <w:iCs/>
          <w:color w:val="333333"/>
          <w:sz w:val="24"/>
          <w:szCs w:val="24"/>
          <w:shd w:val="clear" w:color="auto" w:fill="FFFFFF"/>
        </w:rPr>
        <w:t>Psychology, Crime &amp; Law</w:t>
      </w:r>
      <w:r w:rsidRPr="00D306B4">
        <w:rPr>
          <w:rFonts w:ascii="Arial" w:hAnsi="Arial" w:cs="Arial"/>
          <w:color w:val="333333"/>
          <w:sz w:val="24"/>
          <w:szCs w:val="24"/>
          <w:shd w:val="clear" w:color="auto" w:fill="FFFFFF"/>
        </w:rPr>
        <w:t>, </w:t>
      </w:r>
      <w:r w:rsidRPr="00D306B4">
        <w:rPr>
          <w:rFonts w:ascii="Arial" w:hAnsi="Arial" w:cs="Arial"/>
          <w:i/>
          <w:iCs/>
          <w:color w:val="333333"/>
          <w:sz w:val="24"/>
          <w:szCs w:val="24"/>
          <w:shd w:val="clear" w:color="auto" w:fill="FFFFFF"/>
        </w:rPr>
        <w:t>5</w:t>
      </w:r>
      <w:r w:rsidRPr="00D306B4">
        <w:rPr>
          <w:rFonts w:ascii="Arial" w:hAnsi="Arial" w:cs="Arial"/>
          <w:color w:val="333333"/>
          <w:sz w:val="24"/>
          <w:szCs w:val="24"/>
          <w:shd w:val="clear" w:color="auto" w:fill="FFFFFF"/>
        </w:rPr>
        <w:t xml:space="preserve">(1–2), 81–99. </w:t>
      </w:r>
      <w:r>
        <w:rPr>
          <w:rFonts w:ascii="Arial" w:hAnsi="Arial" w:cs="Arial"/>
          <w:color w:val="333333"/>
          <w:sz w:val="24"/>
          <w:szCs w:val="24"/>
          <w:shd w:val="clear" w:color="auto" w:fill="FFFFFF"/>
        </w:rPr>
        <w:t xml:space="preserve">Available at: </w:t>
      </w:r>
      <w:hyperlink r:id="rId35" w:history="1">
        <w:r w:rsidRPr="006E57E1">
          <w:rPr>
            <w:rStyle w:val="Hyperlink"/>
            <w:rFonts w:ascii="Arial" w:hAnsi="Arial" w:cs="Arial"/>
            <w:sz w:val="24"/>
            <w:szCs w:val="24"/>
            <w:shd w:val="clear" w:color="auto" w:fill="FFFFFF"/>
          </w:rPr>
          <w:t>https://doi.org/10.1080/10683169908414995</w:t>
        </w:r>
      </w:hyperlink>
    </w:p>
    <w:p w14:paraId="1FE061A4" w14:textId="77777777" w:rsidR="00363613" w:rsidRPr="00E636FE" w:rsidRDefault="00363613" w:rsidP="00363613">
      <w:pPr>
        <w:spacing w:line="276" w:lineRule="auto"/>
        <w:rPr>
          <w:rFonts w:ascii="Arial" w:hAnsi="Arial" w:cs="Arial"/>
          <w:sz w:val="24"/>
          <w:szCs w:val="24"/>
        </w:rPr>
      </w:pPr>
    </w:p>
    <w:p w14:paraId="7E0E906A" w14:textId="77777777" w:rsidR="00363613" w:rsidRPr="00E636FE" w:rsidRDefault="00363613" w:rsidP="00363613">
      <w:pPr>
        <w:spacing w:line="276" w:lineRule="auto"/>
        <w:rPr>
          <w:rFonts w:ascii="Arial" w:hAnsi="Arial" w:cs="Arial"/>
          <w:sz w:val="24"/>
          <w:szCs w:val="24"/>
        </w:rPr>
      </w:pPr>
      <w:r w:rsidRPr="00E636FE">
        <w:rPr>
          <w:rFonts w:ascii="Arial" w:hAnsi="Arial" w:cs="Arial"/>
          <w:sz w:val="24"/>
          <w:szCs w:val="24"/>
        </w:rPr>
        <w:t xml:space="preserve">Milne, R, Shaw, G &amp; Bull, R. (2008). </w:t>
      </w:r>
      <w:r w:rsidRPr="001A5F54">
        <w:rPr>
          <w:rFonts w:ascii="Arial" w:hAnsi="Arial" w:cs="Arial"/>
          <w:i/>
          <w:iCs/>
          <w:sz w:val="24"/>
          <w:szCs w:val="24"/>
        </w:rPr>
        <w:t>Investigative Interviewing: The Role of Research.</w:t>
      </w:r>
      <w:r w:rsidRPr="00E636FE">
        <w:rPr>
          <w:rFonts w:ascii="Arial" w:hAnsi="Arial" w:cs="Arial"/>
          <w:sz w:val="24"/>
          <w:szCs w:val="24"/>
        </w:rPr>
        <w:t xml:space="preserve"> Available at: </w:t>
      </w:r>
      <w:r w:rsidRPr="00E636FE">
        <w:rPr>
          <w:rFonts w:ascii="Arial" w:hAnsi="Arial" w:cs="Arial"/>
          <w:color w:val="555555"/>
          <w:sz w:val="24"/>
          <w:szCs w:val="24"/>
          <w:shd w:val="clear" w:color="auto" w:fill="FFFFFF"/>
        </w:rPr>
        <w:t>DOI:</w:t>
      </w:r>
      <w:hyperlink r:id="rId36" w:tgtFrame="_blank" w:history="1">
        <w:r w:rsidRPr="00E636FE">
          <w:rPr>
            <w:rStyle w:val="Hyperlink"/>
            <w:rFonts w:ascii="Arial" w:hAnsi="Arial" w:cs="Arial"/>
            <w:sz w:val="24"/>
            <w:szCs w:val="24"/>
            <w:bdr w:val="none" w:sz="0" w:space="0" w:color="auto" w:frame="1"/>
            <w:shd w:val="clear" w:color="auto" w:fill="FFFFFF"/>
          </w:rPr>
          <w:t>10.1002/9780470713068.ch4</w:t>
        </w:r>
      </w:hyperlink>
      <w:r w:rsidRPr="00E636FE">
        <w:rPr>
          <w:rStyle w:val="Hyperlink"/>
          <w:rFonts w:ascii="Arial" w:hAnsi="Arial" w:cs="Arial"/>
          <w:sz w:val="24"/>
          <w:szCs w:val="24"/>
          <w:bdr w:val="none" w:sz="0" w:space="0" w:color="auto" w:frame="1"/>
          <w:shd w:val="clear" w:color="auto" w:fill="FFFFFF"/>
        </w:rPr>
        <w:t>.</w:t>
      </w:r>
    </w:p>
    <w:p w14:paraId="0FC7296C" w14:textId="77777777" w:rsidR="00363613" w:rsidRPr="00E636FE" w:rsidRDefault="00363613" w:rsidP="00363613">
      <w:pPr>
        <w:spacing w:line="276" w:lineRule="auto"/>
        <w:rPr>
          <w:rFonts w:ascii="Arial" w:hAnsi="Arial" w:cs="Arial"/>
          <w:sz w:val="24"/>
          <w:szCs w:val="24"/>
        </w:rPr>
      </w:pPr>
    </w:p>
    <w:p w14:paraId="668CD1E6" w14:textId="77777777" w:rsidR="00363613" w:rsidRPr="00E636FE" w:rsidRDefault="00363613" w:rsidP="00363613">
      <w:pPr>
        <w:spacing w:line="276" w:lineRule="auto"/>
        <w:rPr>
          <w:rFonts w:ascii="Arial" w:hAnsi="Arial" w:cs="Arial"/>
          <w:sz w:val="24"/>
          <w:szCs w:val="24"/>
          <w:shd w:val="clear" w:color="auto" w:fill="FFFFFF"/>
        </w:rPr>
      </w:pPr>
      <w:r w:rsidRPr="00E636FE">
        <w:rPr>
          <w:rFonts w:ascii="Arial" w:hAnsi="Arial" w:cs="Arial"/>
          <w:sz w:val="24"/>
          <w:szCs w:val="24"/>
          <w:shd w:val="clear" w:color="auto" w:fill="FFFFFF"/>
        </w:rPr>
        <w:t xml:space="preserve">National Crime Agency (2017). </w:t>
      </w:r>
      <w:r w:rsidRPr="001A5F54">
        <w:rPr>
          <w:rFonts w:ascii="Arial" w:hAnsi="Arial" w:cs="Arial"/>
          <w:i/>
          <w:iCs/>
          <w:sz w:val="24"/>
          <w:szCs w:val="24"/>
          <w:shd w:val="clear" w:color="auto" w:fill="FFFFFF"/>
        </w:rPr>
        <w:t xml:space="preserve">County lines violence, </w:t>
      </w:r>
      <w:proofErr w:type="gramStart"/>
      <w:r w:rsidRPr="001A5F54">
        <w:rPr>
          <w:rFonts w:ascii="Arial" w:hAnsi="Arial" w:cs="Arial"/>
          <w:i/>
          <w:iCs/>
          <w:sz w:val="24"/>
          <w:szCs w:val="24"/>
          <w:shd w:val="clear" w:color="auto" w:fill="FFFFFF"/>
        </w:rPr>
        <w:t>exploitation</w:t>
      </w:r>
      <w:proofErr w:type="gramEnd"/>
      <w:r w:rsidRPr="001A5F54">
        <w:rPr>
          <w:rFonts w:ascii="Arial" w:hAnsi="Arial" w:cs="Arial"/>
          <w:i/>
          <w:iCs/>
          <w:sz w:val="24"/>
          <w:szCs w:val="24"/>
          <w:shd w:val="clear" w:color="auto" w:fill="FFFFFF"/>
        </w:rPr>
        <w:t xml:space="preserve"> and drug supply. 2017</w:t>
      </w:r>
      <w:r w:rsidRPr="00E636FE">
        <w:rPr>
          <w:rFonts w:ascii="Arial" w:hAnsi="Arial" w:cs="Arial"/>
          <w:sz w:val="24"/>
          <w:szCs w:val="24"/>
          <w:shd w:val="clear" w:color="auto" w:fill="FFFFFF"/>
        </w:rPr>
        <w:t xml:space="preserve">. Available at: </w:t>
      </w:r>
      <w:hyperlink r:id="rId37" w:history="1">
        <w:r w:rsidRPr="00E636FE">
          <w:rPr>
            <w:rStyle w:val="Hyperlink"/>
            <w:rFonts w:ascii="Arial" w:hAnsi="Arial" w:cs="Arial"/>
            <w:sz w:val="24"/>
            <w:szCs w:val="24"/>
          </w:rPr>
          <w:t>file (nationalcrimeagency.gov.uk)</w:t>
        </w:r>
      </w:hyperlink>
      <w:r w:rsidRPr="00E636FE">
        <w:rPr>
          <w:rFonts w:ascii="Arial" w:hAnsi="Arial" w:cs="Arial"/>
          <w:sz w:val="24"/>
          <w:szCs w:val="24"/>
        </w:rPr>
        <w:t xml:space="preserve"> (accessed 20</w:t>
      </w:r>
      <w:r w:rsidRPr="00E636FE">
        <w:rPr>
          <w:rFonts w:ascii="Arial" w:hAnsi="Arial" w:cs="Arial"/>
          <w:sz w:val="24"/>
          <w:szCs w:val="24"/>
          <w:vertAlign w:val="superscript"/>
        </w:rPr>
        <w:t>th</w:t>
      </w:r>
      <w:r w:rsidRPr="00E636FE">
        <w:rPr>
          <w:rFonts w:ascii="Arial" w:hAnsi="Arial" w:cs="Arial"/>
          <w:sz w:val="24"/>
          <w:szCs w:val="24"/>
        </w:rPr>
        <w:t xml:space="preserve"> October 2023). </w:t>
      </w:r>
    </w:p>
    <w:p w14:paraId="435D5133" w14:textId="77777777" w:rsidR="00363613" w:rsidRPr="00E636FE" w:rsidRDefault="00363613" w:rsidP="00363613">
      <w:pPr>
        <w:spacing w:line="276" w:lineRule="auto"/>
        <w:rPr>
          <w:rFonts w:ascii="Arial" w:hAnsi="Arial" w:cs="Arial"/>
          <w:sz w:val="24"/>
          <w:szCs w:val="24"/>
          <w:shd w:val="clear" w:color="auto" w:fill="FFFFFF"/>
        </w:rPr>
      </w:pPr>
    </w:p>
    <w:p w14:paraId="6E00F9E6" w14:textId="77777777" w:rsidR="00363613" w:rsidRDefault="00363613" w:rsidP="00363613">
      <w:pPr>
        <w:pStyle w:val="word-break"/>
        <w:shd w:val="clear" w:color="auto" w:fill="FFFFFF"/>
        <w:spacing w:before="0" w:beforeAutospacing="0" w:after="0" w:afterAutospacing="0" w:line="276" w:lineRule="auto"/>
        <w:textAlignment w:val="baseline"/>
        <w:rPr>
          <w:rFonts w:ascii="Arial" w:hAnsi="Arial" w:cs="Arial"/>
        </w:rPr>
      </w:pPr>
      <w:r w:rsidRPr="00E636FE">
        <w:rPr>
          <w:rFonts w:ascii="Arial" w:hAnsi="Arial" w:cs="Arial"/>
          <w:color w:val="444444"/>
        </w:rPr>
        <w:t xml:space="preserve">National Investigative Interviewing Strategy (2009) available at: </w:t>
      </w:r>
      <w:hyperlink r:id="rId38" w:history="1">
        <w:r w:rsidRPr="00E636FE">
          <w:rPr>
            <w:rStyle w:val="Hyperlink"/>
            <w:rFonts w:ascii="Arial" w:hAnsi="Arial" w:cs="Arial"/>
          </w:rPr>
          <w:t xml:space="preserve">National Investigative Interviewing Strategy 2009library.college.police.uk/...Investigative-Interviewing-Strategy-2009.pdf · </w:t>
        </w:r>
        <w:proofErr w:type="spellStart"/>
        <w:r w:rsidRPr="00E636FE">
          <w:rPr>
            <w:rStyle w:val="Hyperlink"/>
            <w:rFonts w:ascii="Arial" w:hAnsi="Arial" w:cs="Arial"/>
          </w:rPr>
          <w:t>TheStrategy</w:t>
        </w:r>
        <w:proofErr w:type="spellEnd"/>
        <w:r w:rsidRPr="00E636FE">
          <w:rPr>
            <w:rStyle w:val="Hyperlink"/>
            <w:rFonts w:ascii="Arial" w:hAnsi="Arial" w:cs="Arial"/>
          </w:rPr>
          <w:t xml:space="preserve"> </w:t>
        </w:r>
        <w:proofErr w:type="spellStart"/>
        <w:r w:rsidRPr="00E636FE">
          <w:rPr>
            <w:rStyle w:val="Hyperlink"/>
            <w:rFonts w:ascii="Arial" w:hAnsi="Arial" w:cs="Arial"/>
          </w:rPr>
          <w:t>Thisdocumentrevisesand</w:t>
        </w:r>
        <w:proofErr w:type="spellEnd"/>
        <w:r w:rsidRPr="00E636FE">
          <w:rPr>
            <w:rStyle w:val="Hyperlink"/>
            <w:rFonts w:ascii="Arial" w:hAnsi="Arial" w:cs="Arial"/>
          </w:rPr>
          <w:t xml:space="preserve"> </w:t>
        </w:r>
        <w:proofErr w:type="spellStart"/>
        <w:r w:rsidRPr="00E636FE">
          <w:rPr>
            <w:rStyle w:val="Hyperlink"/>
            <w:rFonts w:ascii="Arial" w:hAnsi="Arial" w:cs="Arial"/>
          </w:rPr>
          <w:t>replacesACPO</w:t>
        </w:r>
        <w:proofErr w:type="spellEnd"/>
        <w:r w:rsidRPr="00E636FE">
          <w:rPr>
            <w:rStyle w:val="Hyperlink"/>
            <w:rFonts w:ascii="Arial" w:hAnsi="Arial" w:cs="Arial"/>
          </w:rPr>
          <w:t xml:space="preserve"> (2004) - [PDF Document] (</w:t>
        </w:r>
        <w:proofErr w:type="spellStart"/>
        <w:r w:rsidRPr="00E636FE">
          <w:rPr>
            <w:rStyle w:val="Hyperlink"/>
            <w:rFonts w:ascii="Arial" w:hAnsi="Arial" w:cs="Arial"/>
          </w:rPr>
          <w:t>vdocuments.site</w:t>
        </w:r>
        <w:proofErr w:type="spellEnd"/>
        <w:r w:rsidRPr="00E636FE">
          <w:rPr>
            <w:rStyle w:val="Hyperlink"/>
            <w:rFonts w:ascii="Arial" w:hAnsi="Arial" w:cs="Arial"/>
          </w:rPr>
          <w:t>)</w:t>
        </w:r>
      </w:hyperlink>
      <w:r w:rsidRPr="00E636FE">
        <w:rPr>
          <w:rFonts w:ascii="Arial" w:hAnsi="Arial" w:cs="Arial"/>
        </w:rPr>
        <w:t xml:space="preserve"> (accessed 9</w:t>
      </w:r>
      <w:r w:rsidRPr="00E636FE">
        <w:rPr>
          <w:rFonts w:ascii="Arial" w:hAnsi="Arial" w:cs="Arial"/>
          <w:vertAlign w:val="superscript"/>
        </w:rPr>
        <w:t>th</w:t>
      </w:r>
      <w:r w:rsidRPr="00E636FE">
        <w:rPr>
          <w:rFonts w:ascii="Arial" w:hAnsi="Arial" w:cs="Arial"/>
        </w:rPr>
        <w:t xml:space="preserve"> November 2023)</w:t>
      </w:r>
    </w:p>
    <w:p w14:paraId="367FEDBB" w14:textId="77777777" w:rsidR="00363613" w:rsidRDefault="00363613" w:rsidP="00363613">
      <w:pPr>
        <w:pStyle w:val="word-break"/>
        <w:shd w:val="clear" w:color="auto" w:fill="FFFFFF"/>
        <w:spacing w:before="0" w:beforeAutospacing="0" w:after="0" w:afterAutospacing="0" w:line="276" w:lineRule="auto"/>
        <w:textAlignment w:val="baseline"/>
        <w:rPr>
          <w:rFonts w:ascii="Arial" w:hAnsi="Arial" w:cs="Arial"/>
        </w:rPr>
      </w:pPr>
    </w:p>
    <w:p w14:paraId="64CFFE77" w14:textId="77777777" w:rsidR="00363613" w:rsidRPr="002C5631" w:rsidRDefault="00363613" w:rsidP="00363613">
      <w:pPr>
        <w:rPr>
          <w:rFonts w:ascii="Arial" w:hAnsi="Arial" w:cs="Arial"/>
          <w:sz w:val="24"/>
          <w:szCs w:val="24"/>
        </w:rPr>
      </w:pPr>
      <w:r w:rsidRPr="002C5631">
        <w:rPr>
          <w:rFonts w:ascii="Arial" w:hAnsi="Arial" w:cs="Arial"/>
          <w:sz w:val="24"/>
          <w:szCs w:val="24"/>
        </w:rPr>
        <w:t xml:space="preserve">National Police Chiefs Council (NPCC) (2020) Officer and Staff Safety Review. Available at: </w:t>
      </w:r>
      <w:hyperlink r:id="rId39" w:history="1">
        <w:r w:rsidRPr="002C5631">
          <w:rPr>
            <w:rStyle w:val="Hyperlink"/>
            <w:rFonts w:ascii="Arial" w:hAnsi="Arial" w:cs="Arial"/>
            <w:sz w:val="24"/>
            <w:szCs w:val="24"/>
          </w:rPr>
          <w:t>CoP-NPCC-Officer-Staff-Safety-Review-010920</w:t>
        </w:r>
      </w:hyperlink>
      <w:r w:rsidRPr="002C5631">
        <w:rPr>
          <w:rFonts w:ascii="Arial" w:hAnsi="Arial" w:cs="Arial"/>
          <w:sz w:val="24"/>
          <w:szCs w:val="24"/>
        </w:rPr>
        <w:t xml:space="preserve"> (accessed 14</w:t>
      </w:r>
      <w:r w:rsidRPr="002C5631">
        <w:rPr>
          <w:rFonts w:ascii="Arial" w:hAnsi="Arial" w:cs="Arial"/>
          <w:sz w:val="24"/>
          <w:szCs w:val="24"/>
          <w:vertAlign w:val="superscript"/>
        </w:rPr>
        <w:t>th</w:t>
      </w:r>
      <w:r w:rsidRPr="002C5631">
        <w:rPr>
          <w:rFonts w:ascii="Arial" w:hAnsi="Arial" w:cs="Arial"/>
          <w:sz w:val="24"/>
          <w:szCs w:val="24"/>
        </w:rPr>
        <w:t xml:space="preserve"> December 2023). </w:t>
      </w:r>
    </w:p>
    <w:p w14:paraId="1A620BC6" w14:textId="77777777" w:rsidR="00363613" w:rsidRPr="002C5631" w:rsidRDefault="00363613" w:rsidP="00363613">
      <w:pPr>
        <w:rPr>
          <w:rFonts w:ascii="Arial" w:hAnsi="Arial" w:cs="Arial"/>
          <w:sz w:val="24"/>
          <w:szCs w:val="24"/>
        </w:rPr>
      </w:pPr>
    </w:p>
    <w:p w14:paraId="3E6A7E07" w14:textId="77777777" w:rsidR="00363613" w:rsidRPr="002C5631" w:rsidRDefault="00363613" w:rsidP="00363613">
      <w:pPr>
        <w:rPr>
          <w:rFonts w:ascii="Arial" w:hAnsi="Arial" w:cs="Arial"/>
          <w:sz w:val="24"/>
          <w:szCs w:val="24"/>
        </w:rPr>
      </w:pPr>
      <w:r w:rsidRPr="002C5631">
        <w:rPr>
          <w:rFonts w:ascii="Arial" w:hAnsi="Arial" w:cs="Arial"/>
          <w:sz w:val="24"/>
          <w:szCs w:val="24"/>
        </w:rPr>
        <w:t xml:space="preserve">National Policing Improvement Agency (2011) Practice Advice on CRITICAL INCIDENT MANAGEMENT. Second Edition. Available at: </w:t>
      </w:r>
      <w:hyperlink r:id="rId40" w:history="1">
        <w:r w:rsidRPr="002C5631">
          <w:rPr>
            <w:rStyle w:val="Hyperlink"/>
            <w:rFonts w:ascii="Arial" w:hAnsi="Arial" w:cs="Arial"/>
            <w:sz w:val="24"/>
            <w:szCs w:val="24"/>
          </w:rPr>
          <w:t>https://library.college.police.uk/docs/NPIA/Practice-Advice-on-CIM-Jul2011.pdf</w:t>
        </w:r>
      </w:hyperlink>
      <w:r w:rsidRPr="002C5631">
        <w:rPr>
          <w:rFonts w:ascii="Arial" w:hAnsi="Arial" w:cs="Arial"/>
          <w:sz w:val="24"/>
          <w:szCs w:val="24"/>
        </w:rPr>
        <w:t>. (</w:t>
      </w:r>
      <w:proofErr w:type="gramStart"/>
      <w:r w:rsidRPr="002C5631">
        <w:rPr>
          <w:rFonts w:ascii="Arial" w:hAnsi="Arial" w:cs="Arial"/>
          <w:sz w:val="24"/>
          <w:szCs w:val="24"/>
        </w:rPr>
        <w:t>accessed</w:t>
      </w:r>
      <w:proofErr w:type="gramEnd"/>
      <w:r w:rsidRPr="002C5631">
        <w:rPr>
          <w:rFonts w:ascii="Arial" w:hAnsi="Arial" w:cs="Arial"/>
          <w:sz w:val="24"/>
          <w:szCs w:val="24"/>
        </w:rPr>
        <w:t xml:space="preserve"> 6</w:t>
      </w:r>
      <w:r w:rsidRPr="002C5631">
        <w:rPr>
          <w:rFonts w:ascii="Arial" w:hAnsi="Arial" w:cs="Arial"/>
          <w:sz w:val="24"/>
          <w:szCs w:val="24"/>
          <w:vertAlign w:val="superscript"/>
        </w:rPr>
        <w:t>th</w:t>
      </w:r>
      <w:r w:rsidRPr="002C5631">
        <w:rPr>
          <w:rFonts w:ascii="Arial" w:hAnsi="Arial" w:cs="Arial"/>
          <w:sz w:val="24"/>
          <w:szCs w:val="24"/>
        </w:rPr>
        <w:t xml:space="preserve"> December 2023.) </w:t>
      </w:r>
    </w:p>
    <w:p w14:paraId="167196E1" w14:textId="77777777" w:rsidR="00363613" w:rsidRPr="00E636FE" w:rsidRDefault="00363613" w:rsidP="00363613">
      <w:pPr>
        <w:pStyle w:val="word-break"/>
        <w:shd w:val="clear" w:color="auto" w:fill="FFFFFF"/>
        <w:spacing w:before="0" w:beforeAutospacing="0" w:after="0" w:afterAutospacing="0" w:line="276" w:lineRule="auto"/>
        <w:textAlignment w:val="baseline"/>
        <w:rPr>
          <w:rFonts w:ascii="Arial" w:hAnsi="Arial" w:cs="Arial"/>
        </w:rPr>
      </w:pPr>
    </w:p>
    <w:p w14:paraId="1EB60264" w14:textId="77777777" w:rsidR="00363613" w:rsidRPr="00E636FE" w:rsidRDefault="00363613" w:rsidP="00363613">
      <w:pPr>
        <w:pStyle w:val="word-break"/>
        <w:shd w:val="clear" w:color="auto" w:fill="FFFFFF"/>
        <w:spacing w:before="0" w:beforeAutospacing="0" w:after="0" w:afterAutospacing="0" w:line="276" w:lineRule="auto"/>
        <w:textAlignment w:val="baseline"/>
        <w:rPr>
          <w:rFonts w:ascii="Arial" w:hAnsi="Arial" w:cs="Arial"/>
          <w:color w:val="444444"/>
        </w:rPr>
      </w:pPr>
    </w:p>
    <w:p w14:paraId="47868933" w14:textId="77777777" w:rsidR="00363613" w:rsidRDefault="00363613" w:rsidP="00363613">
      <w:pPr>
        <w:spacing w:line="276" w:lineRule="auto"/>
        <w:rPr>
          <w:rFonts w:ascii="Arial" w:hAnsi="Arial" w:cs="Arial"/>
          <w:color w:val="3A3A3A"/>
          <w:sz w:val="24"/>
          <w:szCs w:val="24"/>
          <w:shd w:val="clear" w:color="auto" w:fill="FFFFFF"/>
        </w:rPr>
      </w:pPr>
      <w:r w:rsidRPr="00E636FE">
        <w:rPr>
          <w:rFonts w:ascii="Arial" w:hAnsi="Arial" w:cs="Arial"/>
          <w:color w:val="3A3A3A"/>
          <w:sz w:val="24"/>
          <w:szCs w:val="24"/>
          <w:shd w:val="clear" w:color="auto" w:fill="FFFFFF"/>
        </w:rPr>
        <w:t xml:space="preserve">Risan, P., Binder, P.-E. and Milne, R.J. (2018) </w:t>
      </w:r>
      <w:r w:rsidRPr="001A5F54">
        <w:rPr>
          <w:rFonts w:ascii="Arial" w:hAnsi="Arial" w:cs="Arial"/>
          <w:i/>
          <w:iCs/>
          <w:color w:val="3A3A3A"/>
          <w:sz w:val="24"/>
          <w:szCs w:val="24"/>
          <w:shd w:val="clear" w:color="auto" w:fill="FFFFFF"/>
        </w:rPr>
        <w:t>‘Establishing and Maintaining Rapport in Investigative Interviews of Traumatized Victims: A Qualitative Study’</w:t>
      </w:r>
      <w:r w:rsidRPr="00E636FE">
        <w:rPr>
          <w:rFonts w:ascii="Arial" w:hAnsi="Arial" w:cs="Arial"/>
          <w:color w:val="3A3A3A"/>
          <w:sz w:val="24"/>
          <w:szCs w:val="24"/>
          <w:shd w:val="clear" w:color="auto" w:fill="FFFFFF"/>
        </w:rPr>
        <w:t>, </w:t>
      </w:r>
      <w:proofErr w:type="gramStart"/>
      <w:r w:rsidRPr="00E636FE">
        <w:rPr>
          <w:rFonts w:ascii="Arial" w:hAnsi="Arial" w:cs="Arial"/>
          <w:i/>
          <w:iCs/>
          <w:color w:val="3A3A3A"/>
          <w:sz w:val="24"/>
          <w:szCs w:val="24"/>
          <w:shd w:val="clear" w:color="auto" w:fill="FFFFFF"/>
        </w:rPr>
        <w:t>Policing :</w:t>
      </w:r>
      <w:proofErr w:type="gramEnd"/>
      <w:r w:rsidRPr="00E636FE">
        <w:rPr>
          <w:rFonts w:ascii="Arial" w:hAnsi="Arial" w:cs="Arial"/>
          <w:i/>
          <w:iCs/>
          <w:color w:val="3A3A3A"/>
          <w:sz w:val="24"/>
          <w:szCs w:val="24"/>
          <w:shd w:val="clear" w:color="auto" w:fill="FFFFFF"/>
        </w:rPr>
        <w:t xml:space="preserve"> a journal of policy and practice</w:t>
      </w:r>
      <w:r w:rsidRPr="00E636FE">
        <w:rPr>
          <w:rFonts w:ascii="Arial" w:hAnsi="Arial" w:cs="Arial"/>
          <w:color w:val="3A3A3A"/>
          <w:sz w:val="24"/>
          <w:szCs w:val="24"/>
          <w:shd w:val="clear" w:color="auto" w:fill="FFFFFF"/>
        </w:rPr>
        <w:t xml:space="preserve">, 12(4), pp. 372–387. Available at: </w:t>
      </w:r>
      <w:hyperlink r:id="rId41" w:history="1">
        <w:r w:rsidRPr="00E636FE">
          <w:rPr>
            <w:rStyle w:val="Hyperlink"/>
            <w:rFonts w:ascii="Arial" w:hAnsi="Arial" w:cs="Arial"/>
            <w:sz w:val="24"/>
            <w:szCs w:val="24"/>
            <w:shd w:val="clear" w:color="auto" w:fill="FFFFFF"/>
          </w:rPr>
          <w:t>https://doi.org/10.1093/police/pax031</w:t>
        </w:r>
      </w:hyperlink>
      <w:r w:rsidRPr="00E636FE">
        <w:rPr>
          <w:rFonts w:ascii="Arial" w:hAnsi="Arial" w:cs="Arial"/>
          <w:color w:val="3A3A3A"/>
          <w:sz w:val="24"/>
          <w:szCs w:val="24"/>
          <w:shd w:val="clear" w:color="auto" w:fill="FFFFFF"/>
        </w:rPr>
        <w:t>.</w:t>
      </w:r>
    </w:p>
    <w:p w14:paraId="0F4A3F53" w14:textId="77777777" w:rsidR="00363613" w:rsidRDefault="00363613" w:rsidP="00363613">
      <w:pPr>
        <w:spacing w:line="276" w:lineRule="auto"/>
        <w:rPr>
          <w:rFonts w:ascii="Arial" w:hAnsi="Arial" w:cs="Arial"/>
          <w:color w:val="3A3A3A"/>
          <w:sz w:val="24"/>
          <w:szCs w:val="24"/>
          <w:shd w:val="clear" w:color="auto" w:fill="FFFFFF"/>
        </w:rPr>
      </w:pPr>
    </w:p>
    <w:p w14:paraId="2E6C05CE" w14:textId="77777777" w:rsidR="00363613" w:rsidRPr="000608D9" w:rsidRDefault="00363613" w:rsidP="00363613">
      <w:pPr>
        <w:rPr>
          <w:rFonts w:ascii="Arial" w:hAnsi="Arial" w:cs="Arial"/>
          <w:sz w:val="24"/>
          <w:szCs w:val="24"/>
        </w:rPr>
      </w:pPr>
      <w:r w:rsidRPr="000608D9">
        <w:rPr>
          <w:rFonts w:ascii="Arial" w:hAnsi="Arial" w:cs="Arial"/>
          <w:sz w:val="24"/>
          <w:szCs w:val="24"/>
        </w:rPr>
        <w:t xml:space="preserve">R.J. Bye P. </w:t>
      </w:r>
      <w:proofErr w:type="spellStart"/>
      <w:r w:rsidRPr="000608D9">
        <w:rPr>
          <w:rFonts w:ascii="Arial" w:hAnsi="Arial" w:cs="Arial"/>
          <w:sz w:val="24"/>
          <w:szCs w:val="24"/>
        </w:rPr>
        <w:t>Almklov</w:t>
      </w:r>
      <w:proofErr w:type="spellEnd"/>
      <w:r w:rsidRPr="000608D9">
        <w:rPr>
          <w:rFonts w:ascii="Arial" w:hAnsi="Arial" w:cs="Arial"/>
          <w:sz w:val="24"/>
          <w:szCs w:val="24"/>
        </w:rPr>
        <w:t xml:space="preserve"> S. Antonsen O.M. Nyheim A.L. Aalberg S.O. Johnsen. (2019) </w:t>
      </w:r>
      <w:r w:rsidRPr="001A5F54">
        <w:rPr>
          <w:rFonts w:ascii="Arial" w:hAnsi="Arial" w:cs="Arial"/>
          <w:i/>
          <w:iCs/>
          <w:sz w:val="24"/>
          <w:szCs w:val="24"/>
        </w:rPr>
        <w:t>The institutional context of crisis. A study of the police response during the 22 July terror attacks in Norway</w:t>
      </w:r>
      <w:r w:rsidRPr="000608D9">
        <w:rPr>
          <w:rFonts w:ascii="Arial" w:hAnsi="Arial" w:cs="Arial"/>
          <w:sz w:val="24"/>
          <w:szCs w:val="24"/>
        </w:rPr>
        <w:t xml:space="preserve">. Available at: </w:t>
      </w:r>
      <w:hyperlink r:id="rId42" w:history="1">
        <w:r w:rsidRPr="000608D9">
          <w:rPr>
            <w:rStyle w:val="Hyperlink"/>
            <w:rFonts w:ascii="Arial" w:hAnsi="Arial" w:cs="Arial"/>
            <w:sz w:val="24"/>
            <w:szCs w:val="24"/>
          </w:rPr>
          <w:t>https://doi.org/info:doi/</w:t>
        </w:r>
      </w:hyperlink>
      <w:r w:rsidRPr="000608D9">
        <w:rPr>
          <w:rFonts w:ascii="Arial" w:hAnsi="Arial" w:cs="Arial"/>
          <w:sz w:val="24"/>
          <w:szCs w:val="24"/>
        </w:rPr>
        <w:t xml:space="preserve">. </w:t>
      </w:r>
    </w:p>
    <w:p w14:paraId="01278196" w14:textId="77777777" w:rsidR="00363613" w:rsidRDefault="00363613" w:rsidP="00363613">
      <w:pPr>
        <w:spacing w:line="276" w:lineRule="auto"/>
        <w:rPr>
          <w:rFonts w:ascii="Arial" w:hAnsi="Arial" w:cs="Arial"/>
          <w:color w:val="3A3A3A"/>
          <w:sz w:val="24"/>
          <w:szCs w:val="24"/>
          <w:shd w:val="clear" w:color="auto" w:fill="FFFFFF"/>
        </w:rPr>
      </w:pPr>
      <w:r w:rsidRPr="001A5F54">
        <w:rPr>
          <w:rFonts w:ascii="Arial" w:hAnsi="Arial" w:cs="Arial"/>
          <w:color w:val="3A3A3A"/>
          <w:sz w:val="24"/>
          <w:szCs w:val="24"/>
          <w:shd w:val="clear" w:color="auto" w:fill="FFFFFF"/>
        </w:rPr>
        <w:lastRenderedPageBreak/>
        <w:t xml:space="preserve">Robinson, G., McLean, R., &amp; Densley, J. (2019). </w:t>
      </w:r>
      <w:r w:rsidRPr="001A5F54">
        <w:rPr>
          <w:rFonts w:ascii="Arial" w:hAnsi="Arial" w:cs="Arial"/>
          <w:i/>
          <w:iCs/>
          <w:color w:val="3A3A3A"/>
          <w:sz w:val="24"/>
          <w:szCs w:val="24"/>
          <w:shd w:val="clear" w:color="auto" w:fill="FFFFFF"/>
        </w:rPr>
        <w:t>Working County Lines: Child Criminal Exploitation and Illicit Drug Dealing in Glasgow and Merseyside.</w:t>
      </w:r>
      <w:r w:rsidRPr="001A5F54">
        <w:rPr>
          <w:rFonts w:ascii="Arial" w:hAnsi="Arial" w:cs="Arial"/>
          <w:color w:val="3A3A3A"/>
          <w:sz w:val="24"/>
          <w:szCs w:val="24"/>
          <w:shd w:val="clear" w:color="auto" w:fill="FFFFFF"/>
        </w:rPr>
        <w:t xml:space="preserve"> International Journal of Offender Therapy and Comparative Criminology, 63(5), 694-711. </w:t>
      </w:r>
      <w:r>
        <w:rPr>
          <w:rFonts w:ascii="Arial" w:hAnsi="Arial" w:cs="Arial"/>
          <w:color w:val="3A3A3A"/>
          <w:sz w:val="24"/>
          <w:szCs w:val="24"/>
          <w:shd w:val="clear" w:color="auto" w:fill="FFFFFF"/>
        </w:rPr>
        <w:t xml:space="preserve">Available at: </w:t>
      </w:r>
      <w:hyperlink r:id="rId43" w:history="1">
        <w:r w:rsidRPr="006E57E1">
          <w:rPr>
            <w:rStyle w:val="Hyperlink"/>
            <w:rFonts w:ascii="Arial" w:hAnsi="Arial" w:cs="Arial"/>
            <w:sz w:val="24"/>
            <w:szCs w:val="24"/>
            <w:shd w:val="clear" w:color="auto" w:fill="FFFFFF"/>
          </w:rPr>
          <w:t>https://doi.org/10.1177/0306624X18806742</w:t>
        </w:r>
      </w:hyperlink>
    </w:p>
    <w:p w14:paraId="63A3117C" w14:textId="77777777" w:rsidR="00363613" w:rsidRDefault="00363613" w:rsidP="00363613">
      <w:pPr>
        <w:spacing w:line="276" w:lineRule="auto"/>
        <w:rPr>
          <w:rFonts w:ascii="Arial" w:hAnsi="Arial" w:cs="Arial"/>
          <w:sz w:val="24"/>
          <w:szCs w:val="24"/>
          <w:shd w:val="clear" w:color="auto" w:fill="FFFFFF"/>
        </w:rPr>
      </w:pPr>
    </w:p>
    <w:p w14:paraId="01E2B285" w14:textId="77777777" w:rsidR="00363613" w:rsidRPr="002C5631" w:rsidRDefault="00363613" w:rsidP="00363613">
      <w:pPr>
        <w:rPr>
          <w:rFonts w:ascii="Arial" w:hAnsi="Arial" w:cs="Arial"/>
          <w:sz w:val="24"/>
          <w:szCs w:val="24"/>
        </w:rPr>
      </w:pPr>
      <w:r w:rsidRPr="002C5631">
        <w:rPr>
          <w:rFonts w:ascii="Arial" w:hAnsi="Arial" w:cs="Arial"/>
          <w:sz w:val="24"/>
          <w:szCs w:val="24"/>
        </w:rPr>
        <w:t xml:space="preserve">Roycroft, M, &amp; Roach, J (eds) 2019, </w:t>
      </w:r>
      <w:r w:rsidRPr="001A5F54">
        <w:rPr>
          <w:rFonts w:ascii="Arial" w:hAnsi="Arial" w:cs="Arial"/>
          <w:i/>
          <w:iCs/>
          <w:sz w:val="24"/>
          <w:szCs w:val="24"/>
        </w:rPr>
        <w:t xml:space="preserve">Decision Making in Police Enquiries and Critical Incidents: What Really </w:t>
      </w:r>
      <w:proofErr w:type="gramStart"/>
      <w:r w:rsidRPr="001A5F54">
        <w:rPr>
          <w:rFonts w:ascii="Arial" w:hAnsi="Arial" w:cs="Arial"/>
          <w:i/>
          <w:iCs/>
          <w:sz w:val="24"/>
          <w:szCs w:val="24"/>
        </w:rPr>
        <w:t>Works?,</w:t>
      </w:r>
      <w:proofErr w:type="gramEnd"/>
      <w:r w:rsidRPr="002C5631">
        <w:rPr>
          <w:rFonts w:ascii="Arial" w:hAnsi="Arial" w:cs="Arial"/>
          <w:sz w:val="24"/>
          <w:szCs w:val="24"/>
        </w:rPr>
        <w:t xml:space="preserve"> Palgrave Macmillan UK, London. Available at: </w:t>
      </w:r>
      <w:hyperlink r:id="rId44" w:history="1">
        <w:r w:rsidRPr="002C5631">
          <w:rPr>
            <w:rStyle w:val="Hyperlink"/>
            <w:rFonts w:ascii="Arial" w:hAnsi="Arial" w:cs="Arial"/>
            <w:sz w:val="24"/>
            <w:szCs w:val="24"/>
          </w:rPr>
          <w:t>https://ebookcentral.proquest.com/lib/trinity/detail.action?docID=5646010</w:t>
        </w:r>
      </w:hyperlink>
      <w:r w:rsidRPr="002C5631">
        <w:rPr>
          <w:rFonts w:ascii="Arial" w:hAnsi="Arial" w:cs="Arial"/>
          <w:sz w:val="24"/>
          <w:szCs w:val="24"/>
        </w:rPr>
        <w:t>. (accessed 9</w:t>
      </w:r>
      <w:r w:rsidRPr="002C5631">
        <w:rPr>
          <w:rFonts w:ascii="Arial" w:hAnsi="Arial" w:cs="Arial"/>
          <w:sz w:val="24"/>
          <w:szCs w:val="24"/>
          <w:vertAlign w:val="superscript"/>
        </w:rPr>
        <w:t>th</w:t>
      </w:r>
      <w:r w:rsidRPr="002C5631">
        <w:rPr>
          <w:rFonts w:ascii="Arial" w:hAnsi="Arial" w:cs="Arial"/>
          <w:sz w:val="24"/>
          <w:szCs w:val="24"/>
        </w:rPr>
        <w:t xml:space="preserve"> December 2023). </w:t>
      </w:r>
    </w:p>
    <w:p w14:paraId="70E7498B" w14:textId="77777777" w:rsidR="00363613" w:rsidRPr="00E636FE" w:rsidRDefault="00363613" w:rsidP="00363613">
      <w:pPr>
        <w:spacing w:line="276" w:lineRule="auto"/>
        <w:rPr>
          <w:rFonts w:ascii="Arial" w:hAnsi="Arial" w:cs="Arial"/>
          <w:sz w:val="24"/>
          <w:szCs w:val="24"/>
          <w:shd w:val="clear" w:color="auto" w:fill="FFFFFF"/>
        </w:rPr>
      </w:pPr>
    </w:p>
    <w:p w14:paraId="73FD404C" w14:textId="77777777" w:rsidR="00363613" w:rsidRDefault="00363613" w:rsidP="00363613">
      <w:pPr>
        <w:spacing w:line="276" w:lineRule="auto"/>
        <w:rPr>
          <w:rFonts w:ascii="Arial" w:hAnsi="Arial" w:cs="Arial"/>
          <w:color w:val="222222"/>
          <w:sz w:val="24"/>
          <w:szCs w:val="24"/>
          <w:shd w:val="clear" w:color="auto" w:fill="FFFFFF"/>
        </w:rPr>
      </w:pPr>
      <w:r w:rsidRPr="00E636FE">
        <w:rPr>
          <w:rFonts w:ascii="Arial" w:hAnsi="Arial" w:cs="Arial"/>
          <w:color w:val="333333"/>
          <w:sz w:val="24"/>
          <w:szCs w:val="24"/>
          <w:shd w:val="clear" w:color="auto" w:fill="FFFFFF"/>
        </w:rPr>
        <w:t xml:space="preserve">Savage, S.  &amp; </w:t>
      </w:r>
      <w:proofErr w:type="gramStart"/>
      <w:r w:rsidRPr="00E636FE">
        <w:rPr>
          <w:rFonts w:ascii="Arial" w:hAnsi="Arial" w:cs="Arial"/>
          <w:color w:val="333333"/>
          <w:sz w:val="24"/>
          <w:szCs w:val="24"/>
          <w:shd w:val="clear" w:color="auto" w:fill="FFFFFF"/>
        </w:rPr>
        <w:t>Milne ,</w:t>
      </w:r>
      <w:proofErr w:type="gramEnd"/>
      <w:r w:rsidRPr="00E636FE">
        <w:rPr>
          <w:rFonts w:ascii="Arial" w:hAnsi="Arial" w:cs="Arial"/>
          <w:color w:val="333333"/>
          <w:sz w:val="24"/>
          <w:szCs w:val="24"/>
          <w:shd w:val="clear" w:color="auto" w:fill="FFFFFF"/>
        </w:rPr>
        <w:t xml:space="preserve"> R. in press Miscarriages of justice – </w:t>
      </w:r>
      <w:r w:rsidRPr="001A5F54">
        <w:rPr>
          <w:rFonts w:ascii="Arial" w:hAnsi="Arial" w:cs="Arial"/>
          <w:i/>
          <w:iCs/>
          <w:color w:val="333333"/>
          <w:sz w:val="24"/>
          <w:szCs w:val="24"/>
          <w:shd w:val="clear" w:color="auto" w:fill="FFFFFF"/>
        </w:rPr>
        <w:t xml:space="preserve">The role of the investigative process </w:t>
      </w:r>
      <w:r w:rsidRPr="00E636FE">
        <w:rPr>
          <w:rFonts w:ascii="Arial" w:hAnsi="Arial" w:cs="Arial"/>
          <w:color w:val="333333"/>
          <w:sz w:val="24"/>
          <w:szCs w:val="24"/>
          <w:shd w:val="clear" w:color="auto" w:fill="FFFFFF"/>
        </w:rPr>
        <w:t>. In. </w:t>
      </w:r>
      <w:r w:rsidRPr="00E636FE">
        <w:rPr>
          <w:rFonts w:ascii="Arial" w:hAnsi="Arial" w:cs="Arial"/>
          <w:color w:val="222222"/>
          <w:sz w:val="24"/>
          <w:szCs w:val="24"/>
          <w:shd w:val="clear" w:color="auto" w:fill="FFFFFF"/>
        </w:rPr>
        <w:t>Newburn, T., Williamson, T. and Wright, A. eds., 2012. </w:t>
      </w:r>
      <w:r w:rsidRPr="00E636FE">
        <w:rPr>
          <w:rFonts w:ascii="Arial" w:hAnsi="Arial" w:cs="Arial"/>
          <w:i/>
          <w:iCs/>
          <w:color w:val="222222"/>
          <w:sz w:val="24"/>
          <w:szCs w:val="24"/>
          <w:shd w:val="clear" w:color="auto" w:fill="FFFFFF"/>
        </w:rPr>
        <w:t>Handbook of criminal investigation</w:t>
      </w:r>
      <w:r w:rsidRPr="00E636FE">
        <w:rPr>
          <w:rFonts w:ascii="Arial" w:hAnsi="Arial" w:cs="Arial"/>
          <w:color w:val="222222"/>
          <w:sz w:val="24"/>
          <w:szCs w:val="24"/>
          <w:shd w:val="clear" w:color="auto" w:fill="FFFFFF"/>
        </w:rPr>
        <w:t>. Routledge.</w:t>
      </w:r>
    </w:p>
    <w:p w14:paraId="55989C9E" w14:textId="77777777" w:rsidR="00363613" w:rsidRDefault="00363613" w:rsidP="00363613">
      <w:pPr>
        <w:spacing w:line="276" w:lineRule="auto"/>
        <w:rPr>
          <w:rFonts w:ascii="Arial" w:hAnsi="Arial" w:cs="Arial"/>
          <w:color w:val="222222"/>
          <w:sz w:val="24"/>
          <w:szCs w:val="24"/>
          <w:shd w:val="clear" w:color="auto" w:fill="FFFFFF"/>
        </w:rPr>
      </w:pPr>
    </w:p>
    <w:p w14:paraId="5ABD40B9" w14:textId="77777777" w:rsidR="00363613" w:rsidRPr="00771D74" w:rsidRDefault="00363613" w:rsidP="00363613">
      <w:pPr>
        <w:rPr>
          <w:rFonts w:ascii="Arial" w:hAnsi="Arial" w:cs="Arial"/>
          <w:sz w:val="24"/>
          <w:szCs w:val="24"/>
        </w:rPr>
      </w:pPr>
      <w:r w:rsidRPr="00771D74">
        <w:rPr>
          <w:rFonts w:ascii="Arial" w:hAnsi="Arial" w:cs="Arial"/>
          <w:sz w:val="24"/>
          <w:szCs w:val="24"/>
        </w:rPr>
        <w:t xml:space="preserve">South Wales Police (2023) New Officer Safety Training (PPST) launches in January. Available at </w:t>
      </w:r>
      <w:hyperlink r:id="rId45" w:history="1">
        <w:r w:rsidRPr="00771D74">
          <w:rPr>
            <w:rStyle w:val="Hyperlink"/>
            <w:rFonts w:ascii="Arial" w:hAnsi="Arial" w:cs="Arial"/>
            <w:sz w:val="24"/>
            <w:szCs w:val="24"/>
          </w:rPr>
          <w:t>New Officer Safety Training (PPST) launches in January (police.int)</w:t>
        </w:r>
      </w:hyperlink>
      <w:r w:rsidRPr="00771D74">
        <w:rPr>
          <w:rFonts w:ascii="Arial" w:hAnsi="Arial" w:cs="Arial"/>
          <w:sz w:val="24"/>
          <w:szCs w:val="24"/>
        </w:rPr>
        <w:t xml:space="preserve"> (accessed 14</w:t>
      </w:r>
      <w:r w:rsidRPr="00771D74">
        <w:rPr>
          <w:rFonts w:ascii="Arial" w:hAnsi="Arial" w:cs="Arial"/>
          <w:sz w:val="24"/>
          <w:szCs w:val="24"/>
          <w:vertAlign w:val="superscript"/>
        </w:rPr>
        <w:t>th</w:t>
      </w:r>
      <w:r w:rsidRPr="00771D74">
        <w:rPr>
          <w:rFonts w:ascii="Arial" w:hAnsi="Arial" w:cs="Arial"/>
          <w:sz w:val="24"/>
          <w:szCs w:val="24"/>
        </w:rPr>
        <w:t xml:space="preserve"> December 2023). </w:t>
      </w:r>
    </w:p>
    <w:p w14:paraId="2968E58E" w14:textId="77777777" w:rsidR="00363613" w:rsidRPr="00E636FE" w:rsidRDefault="00363613" w:rsidP="00363613">
      <w:pPr>
        <w:rPr>
          <w:rFonts w:ascii="Arial" w:hAnsi="Arial" w:cs="Arial"/>
          <w:color w:val="333333"/>
          <w:sz w:val="24"/>
          <w:szCs w:val="24"/>
          <w:shd w:val="clear" w:color="auto" w:fill="FFFFFF"/>
        </w:rPr>
      </w:pPr>
    </w:p>
    <w:p w14:paraId="383B4517" w14:textId="77777777" w:rsidR="00363613" w:rsidRPr="00E636FE" w:rsidRDefault="00363613" w:rsidP="00363613">
      <w:pPr>
        <w:spacing w:line="276" w:lineRule="auto"/>
        <w:rPr>
          <w:rFonts w:ascii="Arial" w:hAnsi="Arial" w:cs="Arial"/>
          <w:sz w:val="24"/>
          <w:szCs w:val="24"/>
        </w:rPr>
      </w:pPr>
      <w:proofErr w:type="spellStart"/>
      <w:r w:rsidRPr="00E636FE">
        <w:rPr>
          <w:rFonts w:ascii="Arial" w:hAnsi="Arial" w:cs="Arial"/>
          <w:sz w:val="24"/>
          <w:szCs w:val="24"/>
        </w:rPr>
        <w:t>Storrod</w:t>
      </w:r>
      <w:proofErr w:type="spellEnd"/>
      <w:r w:rsidRPr="00E636FE">
        <w:rPr>
          <w:rFonts w:ascii="Arial" w:hAnsi="Arial" w:cs="Arial"/>
          <w:sz w:val="24"/>
          <w:szCs w:val="24"/>
        </w:rPr>
        <w:t xml:space="preserve">, M and Densley, J (2017). </w:t>
      </w:r>
      <w:r w:rsidRPr="001A5F54">
        <w:rPr>
          <w:rFonts w:ascii="Arial" w:hAnsi="Arial" w:cs="Arial"/>
          <w:i/>
          <w:iCs/>
          <w:sz w:val="24"/>
          <w:szCs w:val="24"/>
        </w:rPr>
        <w:t>‘Going viral’ and ‘Going country’: The expressive and instrumental activities of street gangs on social media</w:t>
      </w:r>
      <w:r w:rsidRPr="00E636FE">
        <w:rPr>
          <w:rFonts w:ascii="Arial" w:hAnsi="Arial" w:cs="Arial"/>
          <w:sz w:val="24"/>
          <w:szCs w:val="24"/>
        </w:rPr>
        <w:t>. Journal of Youth Studies, 20: 677–96</w:t>
      </w:r>
    </w:p>
    <w:p w14:paraId="54D6484A" w14:textId="77777777" w:rsidR="00363613" w:rsidRPr="00E636FE" w:rsidRDefault="00363613" w:rsidP="00363613">
      <w:pPr>
        <w:spacing w:line="276" w:lineRule="auto"/>
        <w:rPr>
          <w:rFonts w:ascii="Arial" w:hAnsi="Arial" w:cs="Arial"/>
          <w:sz w:val="24"/>
          <w:szCs w:val="24"/>
        </w:rPr>
      </w:pPr>
    </w:p>
    <w:p w14:paraId="3BA01CEB" w14:textId="77777777" w:rsidR="00363613" w:rsidRPr="00E636FE" w:rsidRDefault="00363613" w:rsidP="00363613">
      <w:pPr>
        <w:spacing w:line="276" w:lineRule="auto"/>
        <w:rPr>
          <w:rFonts w:ascii="Arial" w:hAnsi="Arial" w:cs="Arial"/>
          <w:sz w:val="24"/>
          <w:szCs w:val="24"/>
        </w:rPr>
      </w:pPr>
      <w:r w:rsidRPr="00E636FE">
        <w:rPr>
          <w:rFonts w:ascii="Arial" w:hAnsi="Arial" w:cs="Arial"/>
          <w:sz w:val="24"/>
          <w:szCs w:val="24"/>
        </w:rPr>
        <w:t xml:space="preserve">The Crown Prosecution Service (2023). Gang related offences - Decision making available at: </w:t>
      </w:r>
      <w:hyperlink r:id="rId46" w:anchor="a08" w:history="1">
        <w:r w:rsidRPr="00E636FE">
          <w:rPr>
            <w:rStyle w:val="Hyperlink"/>
            <w:rFonts w:ascii="Arial" w:hAnsi="Arial" w:cs="Arial"/>
            <w:color w:val="auto"/>
            <w:sz w:val="24"/>
            <w:szCs w:val="24"/>
          </w:rPr>
          <w:t>https://www.cps.gov.uk/legal-guidance/gang-related-offences-decision-making#a08</w:t>
        </w:r>
      </w:hyperlink>
      <w:r w:rsidRPr="00E636FE">
        <w:rPr>
          <w:rFonts w:ascii="Arial" w:hAnsi="Arial" w:cs="Arial"/>
          <w:sz w:val="24"/>
          <w:szCs w:val="24"/>
        </w:rPr>
        <w:t>. (accessed 21</w:t>
      </w:r>
      <w:r w:rsidRPr="00E636FE">
        <w:rPr>
          <w:rFonts w:ascii="Arial" w:hAnsi="Arial" w:cs="Arial"/>
          <w:sz w:val="24"/>
          <w:szCs w:val="24"/>
          <w:vertAlign w:val="superscript"/>
        </w:rPr>
        <w:t>st</w:t>
      </w:r>
      <w:r w:rsidRPr="00E636FE">
        <w:rPr>
          <w:rFonts w:ascii="Arial" w:hAnsi="Arial" w:cs="Arial"/>
          <w:sz w:val="24"/>
          <w:szCs w:val="24"/>
        </w:rPr>
        <w:t xml:space="preserve"> October 2023). </w:t>
      </w:r>
    </w:p>
    <w:p w14:paraId="08823BA4" w14:textId="77777777" w:rsidR="00363613" w:rsidRPr="00E636FE" w:rsidRDefault="00363613" w:rsidP="00363613">
      <w:pPr>
        <w:spacing w:line="276" w:lineRule="auto"/>
        <w:rPr>
          <w:rFonts w:ascii="Arial" w:hAnsi="Arial" w:cs="Arial"/>
          <w:sz w:val="24"/>
          <w:szCs w:val="24"/>
          <w:highlight w:val="green"/>
        </w:rPr>
      </w:pPr>
    </w:p>
    <w:p w14:paraId="0736B502" w14:textId="77777777" w:rsidR="00363613" w:rsidRDefault="00363613" w:rsidP="00363613">
      <w:pPr>
        <w:spacing w:line="276" w:lineRule="auto"/>
        <w:rPr>
          <w:rFonts w:ascii="Arial" w:hAnsi="Arial" w:cs="Arial"/>
          <w:sz w:val="24"/>
          <w:szCs w:val="24"/>
        </w:rPr>
      </w:pPr>
      <w:r w:rsidRPr="00E636FE">
        <w:rPr>
          <w:rFonts w:ascii="Arial" w:hAnsi="Arial" w:cs="Arial"/>
          <w:sz w:val="24"/>
          <w:szCs w:val="24"/>
        </w:rPr>
        <w:t xml:space="preserve">Thornberry, T P, Krohn, M D, Lizotte, A J, Smith, C A and Tobin, K (2013). </w:t>
      </w:r>
      <w:r w:rsidRPr="001A5F54">
        <w:rPr>
          <w:rFonts w:ascii="Arial" w:hAnsi="Arial" w:cs="Arial"/>
          <w:i/>
          <w:iCs/>
          <w:sz w:val="24"/>
          <w:szCs w:val="24"/>
        </w:rPr>
        <w:t>Gangs and Delinquency in Developmental Perspective.</w:t>
      </w:r>
      <w:r w:rsidRPr="00E636FE">
        <w:rPr>
          <w:rFonts w:ascii="Arial" w:hAnsi="Arial" w:cs="Arial"/>
          <w:sz w:val="24"/>
          <w:szCs w:val="24"/>
        </w:rPr>
        <w:t xml:space="preserve"> Cambridge: Cambridge University Press</w:t>
      </w:r>
    </w:p>
    <w:p w14:paraId="58CACA91" w14:textId="77777777" w:rsidR="00363613" w:rsidRPr="00E636FE" w:rsidRDefault="00363613" w:rsidP="00363613">
      <w:pPr>
        <w:spacing w:line="276" w:lineRule="auto"/>
        <w:rPr>
          <w:rFonts w:ascii="Arial" w:hAnsi="Arial" w:cs="Arial"/>
          <w:sz w:val="24"/>
          <w:szCs w:val="24"/>
        </w:rPr>
      </w:pPr>
    </w:p>
    <w:p w14:paraId="76CA0965" w14:textId="77777777" w:rsidR="00363613" w:rsidRPr="00E636FE" w:rsidRDefault="00363613" w:rsidP="00363613">
      <w:pPr>
        <w:spacing w:line="276" w:lineRule="auto"/>
        <w:rPr>
          <w:rFonts w:ascii="Arial" w:hAnsi="Arial" w:cs="Arial"/>
          <w:sz w:val="24"/>
          <w:szCs w:val="24"/>
        </w:rPr>
      </w:pPr>
      <w:r w:rsidRPr="00E636FE">
        <w:rPr>
          <w:rFonts w:ascii="Arial" w:hAnsi="Arial" w:cs="Arial"/>
          <w:sz w:val="24"/>
          <w:szCs w:val="24"/>
        </w:rPr>
        <w:t xml:space="preserve">Van der Westhuizen, M &amp; </w:t>
      </w:r>
      <w:proofErr w:type="spellStart"/>
      <w:r w:rsidRPr="00E636FE">
        <w:rPr>
          <w:rFonts w:ascii="Arial" w:hAnsi="Arial" w:cs="Arial"/>
          <w:sz w:val="24"/>
          <w:szCs w:val="24"/>
        </w:rPr>
        <w:t>Gawulayo</w:t>
      </w:r>
      <w:proofErr w:type="spellEnd"/>
      <w:r w:rsidRPr="00E636FE">
        <w:rPr>
          <w:rFonts w:ascii="Arial" w:hAnsi="Arial" w:cs="Arial"/>
          <w:sz w:val="24"/>
          <w:szCs w:val="24"/>
        </w:rPr>
        <w:t xml:space="preserve">, S. (2021). </w:t>
      </w:r>
      <w:r w:rsidRPr="001A5F54">
        <w:rPr>
          <w:rFonts w:ascii="Arial" w:hAnsi="Arial" w:cs="Arial"/>
          <w:i/>
          <w:iCs/>
          <w:sz w:val="24"/>
          <w:szCs w:val="24"/>
        </w:rPr>
        <w:t xml:space="preserve">Youths in gangs on the Cape Flats: if not in gangs, then </w:t>
      </w:r>
      <w:proofErr w:type="gramStart"/>
      <w:r w:rsidRPr="001A5F54">
        <w:rPr>
          <w:rFonts w:ascii="Arial" w:hAnsi="Arial" w:cs="Arial"/>
          <w:i/>
          <w:iCs/>
          <w:sz w:val="24"/>
          <w:szCs w:val="24"/>
        </w:rPr>
        <w:t>what?.</w:t>
      </w:r>
      <w:proofErr w:type="gramEnd"/>
      <w:r w:rsidRPr="001A5F54">
        <w:rPr>
          <w:rFonts w:ascii="Arial" w:hAnsi="Arial" w:cs="Arial"/>
          <w:i/>
          <w:iCs/>
          <w:sz w:val="24"/>
          <w:szCs w:val="24"/>
        </w:rPr>
        <w:t xml:space="preserve"> </w:t>
      </w:r>
      <w:r w:rsidRPr="00E636FE">
        <w:rPr>
          <w:rFonts w:ascii="Arial" w:hAnsi="Arial" w:cs="Arial"/>
          <w:sz w:val="24"/>
          <w:szCs w:val="24"/>
        </w:rPr>
        <w:t xml:space="preserve">Social </w:t>
      </w:r>
      <w:proofErr w:type="gramStart"/>
      <w:r w:rsidRPr="00E636FE">
        <w:rPr>
          <w:rFonts w:ascii="Arial" w:hAnsi="Arial" w:cs="Arial"/>
          <w:sz w:val="24"/>
          <w:szCs w:val="24"/>
        </w:rPr>
        <w:t>Work ,</w:t>
      </w:r>
      <w:proofErr w:type="gramEnd"/>
      <w:r w:rsidRPr="00E636FE">
        <w:rPr>
          <w:rFonts w:ascii="Arial" w:hAnsi="Arial" w:cs="Arial"/>
          <w:sz w:val="24"/>
          <w:szCs w:val="24"/>
        </w:rPr>
        <w:t xml:space="preserve"> 57(1), 118-132. </w:t>
      </w:r>
      <w:r>
        <w:rPr>
          <w:rFonts w:ascii="Arial" w:hAnsi="Arial" w:cs="Arial"/>
          <w:sz w:val="24"/>
          <w:szCs w:val="24"/>
        </w:rPr>
        <w:t xml:space="preserve">Available at: </w:t>
      </w:r>
      <w:hyperlink r:id="rId47" w:history="1">
        <w:r w:rsidRPr="006E57E1">
          <w:rPr>
            <w:rStyle w:val="Hyperlink"/>
            <w:rFonts w:ascii="Arial" w:hAnsi="Arial" w:cs="Arial"/>
            <w:sz w:val="24"/>
            <w:szCs w:val="24"/>
          </w:rPr>
          <w:t>https://dx.doi.org/10.15270/52-2-810</w:t>
        </w:r>
      </w:hyperlink>
      <w:r w:rsidRPr="00E636FE">
        <w:rPr>
          <w:rFonts w:ascii="Arial" w:hAnsi="Arial" w:cs="Arial"/>
          <w:sz w:val="24"/>
          <w:szCs w:val="24"/>
        </w:rPr>
        <w:t xml:space="preserve"> </w:t>
      </w:r>
    </w:p>
    <w:p w14:paraId="3FD75709" w14:textId="77777777" w:rsidR="00363613" w:rsidRPr="00E636FE" w:rsidRDefault="00363613" w:rsidP="00363613">
      <w:pPr>
        <w:spacing w:line="276" w:lineRule="auto"/>
        <w:rPr>
          <w:rFonts w:ascii="Arial" w:hAnsi="Arial" w:cs="Arial"/>
          <w:sz w:val="24"/>
          <w:szCs w:val="24"/>
        </w:rPr>
      </w:pPr>
    </w:p>
    <w:p w14:paraId="4332CB1D" w14:textId="77777777" w:rsidR="00363613" w:rsidRPr="00E636FE" w:rsidRDefault="00363613" w:rsidP="00363613">
      <w:pPr>
        <w:spacing w:line="276" w:lineRule="auto"/>
        <w:rPr>
          <w:rFonts w:ascii="Arial" w:hAnsi="Arial" w:cs="Arial"/>
          <w:color w:val="3A3A3A"/>
          <w:sz w:val="24"/>
          <w:szCs w:val="24"/>
          <w:shd w:val="clear" w:color="auto" w:fill="FFFFFF"/>
        </w:rPr>
      </w:pPr>
      <w:proofErr w:type="spellStart"/>
      <w:r w:rsidRPr="00E636FE">
        <w:rPr>
          <w:rFonts w:ascii="Arial" w:hAnsi="Arial" w:cs="Arial"/>
          <w:color w:val="3A3A3A"/>
          <w:sz w:val="24"/>
          <w:szCs w:val="24"/>
          <w:shd w:val="clear" w:color="auto" w:fill="FFFFFF"/>
        </w:rPr>
        <w:t>Vanderhallen</w:t>
      </w:r>
      <w:proofErr w:type="spellEnd"/>
      <w:r w:rsidRPr="00E636FE">
        <w:rPr>
          <w:rFonts w:ascii="Arial" w:hAnsi="Arial" w:cs="Arial"/>
          <w:color w:val="3A3A3A"/>
          <w:sz w:val="24"/>
          <w:szCs w:val="24"/>
          <w:shd w:val="clear" w:color="auto" w:fill="FFFFFF"/>
        </w:rPr>
        <w:t xml:space="preserve"> M., </w:t>
      </w:r>
      <w:proofErr w:type="spellStart"/>
      <w:r w:rsidRPr="00E636FE">
        <w:rPr>
          <w:rFonts w:ascii="Arial" w:hAnsi="Arial" w:cs="Arial"/>
          <w:color w:val="3A3A3A"/>
          <w:sz w:val="24"/>
          <w:szCs w:val="24"/>
          <w:shd w:val="clear" w:color="auto" w:fill="FFFFFF"/>
        </w:rPr>
        <w:t>Vervaeke</w:t>
      </w:r>
      <w:proofErr w:type="spellEnd"/>
      <w:r w:rsidRPr="00E636FE">
        <w:rPr>
          <w:rFonts w:ascii="Arial" w:hAnsi="Arial" w:cs="Arial"/>
          <w:color w:val="3A3A3A"/>
          <w:sz w:val="24"/>
          <w:szCs w:val="24"/>
          <w:shd w:val="clear" w:color="auto" w:fill="FFFFFF"/>
        </w:rPr>
        <w:t xml:space="preserve"> G., Holmberg U. (2011). ‘</w:t>
      </w:r>
      <w:r w:rsidRPr="001A5F54">
        <w:rPr>
          <w:rFonts w:ascii="Arial" w:hAnsi="Arial" w:cs="Arial"/>
          <w:i/>
          <w:iCs/>
          <w:color w:val="3A3A3A"/>
          <w:sz w:val="24"/>
          <w:szCs w:val="24"/>
          <w:shd w:val="clear" w:color="auto" w:fill="FFFFFF"/>
        </w:rPr>
        <w:t>Witness and Suspect Perceptions of Working Alliance and Interviewing Style.</w:t>
      </w:r>
      <w:r w:rsidRPr="00E636FE">
        <w:rPr>
          <w:rFonts w:ascii="Arial" w:hAnsi="Arial" w:cs="Arial"/>
          <w:color w:val="3A3A3A"/>
          <w:sz w:val="24"/>
          <w:szCs w:val="24"/>
          <w:shd w:val="clear" w:color="auto" w:fill="FFFFFF"/>
        </w:rPr>
        <w:t>’ Journal of Investigative Psychology and Offender Profiling 8(2): 110–130.</w:t>
      </w:r>
    </w:p>
    <w:p w14:paraId="0EA6DF05" w14:textId="77777777" w:rsidR="00363613" w:rsidRPr="00E636FE" w:rsidRDefault="00363613" w:rsidP="00363613">
      <w:pPr>
        <w:spacing w:line="276" w:lineRule="auto"/>
        <w:rPr>
          <w:rFonts w:ascii="Arial" w:hAnsi="Arial" w:cs="Arial"/>
          <w:color w:val="3A3A3A"/>
          <w:sz w:val="24"/>
          <w:szCs w:val="24"/>
          <w:shd w:val="clear" w:color="auto" w:fill="FFFFFF"/>
        </w:rPr>
      </w:pPr>
    </w:p>
    <w:p w14:paraId="32C6813C" w14:textId="77777777" w:rsidR="00363613" w:rsidRDefault="00363613" w:rsidP="00363613">
      <w:pPr>
        <w:spacing w:line="276" w:lineRule="auto"/>
        <w:rPr>
          <w:rFonts w:ascii="Arial" w:hAnsi="Arial" w:cs="Arial"/>
          <w:sz w:val="24"/>
          <w:szCs w:val="24"/>
        </w:rPr>
      </w:pPr>
      <w:proofErr w:type="gramStart"/>
      <w:r w:rsidRPr="00E636FE">
        <w:rPr>
          <w:rFonts w:ascii="Arial" w:hAnsi="Arial" w:cs="Arial"/>
          <w:color w:val="333333"/>
          <w:sz w:val="24"/>
          <w:szCs w:val="24"/>
          <w:shd w:val="clear" w:color="auto" w:fill="FFFFFF"/>
        </w:rPr>
        <w:t>Wright ,</w:t>
      </w:r>
      <w:proofErr w:type="gramEnd"/>
      <w:r w:rsidRPr="00E636FE">
        <w:rPr>
          <w:rFonts w:ascii="Arial" w:hAnsi="Arial" w:cs="Arial"/>
          <w:color w:val="333333"/>
          <w:sz w:val="24"/>
          <w:szCs w:val="24"/>
          <w:shd w:val="clear" w:color="auto" w:fill="FFFFFF"/>
        </w:rPr>
        <w:t xml:space="preserve"> A.M. and Holliday , R.E. </w:t>
      </w:r>
      <w:r>
        <w:rPr>
          <w:rFonts w:ascii="Arial" w:hAnsi="Arial" w:cs="Arial"/>
          <w:color w:val="333333"/>
          <w:sz w:val="24"/>
          <w:szCs w:val="24"/>
          <w:shd w:val="clear" w:color="auto" w:fill="FFFFFF"/>
        </w:rPr>
        <w:t>(</w:t>
      </w:r>
      <w:r w:rsidRPr="00E636FE">
        <w:rPr>
          <w:rFonts w:ascii="Arial" w:hAnsi="Arial" w:cs="Arial"/>
          <w:color w:val="333333"/>
          <w:sz w:val="24"/>
          <w:szCs w:val="24"/>
          <w:shd w:val="clear" w:color="auto" w:fill="FFFFFF"/>
        </w:rPr>
        <w:t>2007</w:t>
      </w:r>
      <w:r>
        <w:rPr>
          <w:rFonts w:ascii="Arial" w:hAnsi="Arial" w:cs="Arial"/>
          <w:color w:val="333333"/>
          <w:sz w:val="24"/>
          <w:szCs w:val="24"/>
          <w:shd w:val="clear" w:color="auto" w:fill="FFFFFF"/>
        </w:rPr>
        <w:t>)</w:t>
      </w:r>
      <w:r w:rsidRPr="00E636FE">
        <w:rPr>
          <w:rFonts w:ascii="Arial" w:hAnsi="Arial" w:cs="Arial"/>
          <w:color w:val="333333"/>
          <w:sz w:val="24"/>
          <w:szCs w:val="24"/>
          <w:shd w:val="clear" w:color="auto" w:fill="FFFFFF"/>
        </w:rPr>
        <w:t xml:space="preserve">. </w:t>
      </w:r>
      <w:r w:rsidRPr="001A5F54">
        <w:rPr>
          <w:rFonts w:ascii="Arial" w:hAnsi="Arial" w:cs="Arial"/>
          <w:i/>
          <w:iCs/>
          <w:color w:val="333333"/>
          <w:sz w:val="24"/>
          <w:szCs w:val="24"/>
          <w:shd w:val="clear" w:color="auto" w:fill="FFFFFF"/>
        </w:rPr>
        <w:t xml:space="preserve">Enhancing the recall of young, young-old, and old-old adults with cognitive </w:t>
      </w:r>
      <w:proofErr w:type="gramStart"/>
      <w:r w:rsidRPr="001A5F54">
        <w:rPr>
          <w:rFonts w:ascii="Arial" w:hAnsi="Arial" w:cs="Arial"/>
          <w:i/>
          <w:iCs/>
          <w:color w:val="333333"/>
          <w:sz w:val="24"/>
          <w:szCs w:val="24"/>
          <w:shd w:val="clear" w:color="auto" w:fill="FFFFFF"/>
        </w:rPr>
        <w:t>interviews .</w:t>
      </w:r>
      <w:proofErr w:type="gramEnd"/>
      <w:r w:rsidRPr="00E636FE">
        <w:rPr>
          <w:rFonts w:ascii="Arial" w:hAnsi="Arial" w:cs="Arial"/>
          <w:color w:val="333333"/>
          <w:sz w:val="24"/>
          <w:szCs w:val="24"/>
          <w:shd w:val="clear" w:color="auto" w:fill="FFFFFF"/>
        </w:rPr>
        <w:t> </w:t>
      </w:r>
      <w:r w:rsidRPr="00E636FE">
        <w:rPr>
          <w:rStyle w:val="citationsource-journal"/>
          <w:rFonts w:ascii="Arial" w:hAnsi="Arial" w:cs="Arial"/>
          <w:i/>
          <w:iCs/>
          <w:color w:val="333333"/>
          <w:sz w:val="24"/>
          <w:szCs w:val="24"/>
          <w:shd w:val="clear" w:color="auto" w:fill="FFFFFF"/>
        </w:rPr>
        <w:t xml:space="preserve">Applied Cognitive </w:t>
      </w:r>
      <w:proofErr w:type="gramStart"/>
      <w:r w:rsidRPr="00E636FE">
        <w:rPr>
          <w:rStyle w:val="citationsource-journal"/>
          <w:rFonts w:ascii="Arial" w:hAnsi="Arial" w:cs="Arial"/>
          <w:i/>
          <w:iCs/>
          <w:color w:val="333333"/>
          <w:sz w:val="24"/>
          <w:szCs w:val="24"/>
          <w:shd w:val="clear" w:color="auto" w:fill="FFFFFF"/>
        </w:rPr>
        <w:t>Psychology</w:t>
      </w:r>
      <w:r w:rsidRPr="00E636FE">
        <w:rPr>
          <w:rStyle w:val="citationsource-journal"/>
          <w:rFonts w:ascii="Arial" w:hAnsi="Arial" w:cs="Arial"/>
          <w:color w:val="333333"/>
          <w:sz w:val="24"/>
          <w:szCs w:val="24"/>
          <w:shd w:val="clear" w:color="auto" w:fill="FFFFFF"/>
        </w:rPr>
        <w:t> </w:t>
      </w:r>
      <w:r w:rsidRPr="00E636FE">
        <w:rPr>
          <w:rFonts w:ascii="Arial" w:hAnsi="Arial" w:cs="Arial"/>
          <w:color w:val="333333"/>
          <w:sz w:val="24"/>
          <w:szCs w:val="24"/>
          <w:shd w:val="clear" w:color="auto" w:fill="FFFFFF"/>
        </w:rPr>
        <w:t>,</w:t>
      </w:r>
      <w:proofErr w:type="gramEnd"/>
      <w:r w:rsidRPr="00E636FE">
        <w:rPr>
          <w:rFonts w:ascii="Arial" w:hAnsi="Arial" w:cs="Arial"/>
          <w:color w:val="333333"/>
          <w:sz w:val="24"/>
          <w:szCs w:val="24"/>
          <w:shd w:val="clear" w:color="auto" w:fill="FFFFFF"/>
        </w:rPr>
        <w:t xml:space="preserve"> 21 : 19 – 43. Available at: </w:t>
      </w:r>
      <w:hyperlink r:id="rId48" w:history="1">
        <w:r w:rsidRPr="00E636FE">
          <w:rPr>
            <w:rStyle w:val="Hyperlink"/>
            <w:rFonts w:ascii="Arial" w:hAnsi="Arial" w:cs="Arial"/>
            <w:sz w:val="24"/>
            <w:szCs w:val="24"/>
            <w:shd w:val="clear" w:color="auto" w:fill="FFFFFF"/>
          </w:rPr>
          <w:t>https://doi-org.ezproxy.uwtsd.ac.uk/10.1002/acp.1260</w:t>
        </w:r>
      </w:hyperlink>
      <w:r>
        <w:rPr>
          <w:rFonts w:ascii="Arial" w:hAnsi="Arial" w:cs="Arial"/>
          <w:sz w:val="24"/>
          <w:szCs w:val="24"/>
        </w:rPr>
        <w:t>.</w:t>
      </w:r>
    </w:p>
    <w:p w14:paraId="71614CED" w14:textId="77777777" w:rsidR="00AA301D" w:rsidRPr="00AA301D" w:rsidRDefault="00AA301D" w:rsidP="00AA301D">
      <w:pPr>
        <w:rPr>
          <w:rFonts w:ascii="Arial" w:hAnsi="Arial" w:cs="Arial"/>
          <w:sz w:val="24"/>
          <w:szCs w:val="24"/>
        </w:rPr>
      </w:pPr>
    </w:p>
    <w:sectPr w:rsidR="00AA301D" w:rsidRPr="00AA30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01D"/>
    <w:rsid w:val="00363613"/>
    <w:rsid w:val="00A02D0D"/>
    <w:rsid w:val="00AA301D"/>
    <w:rsid w:val="00F82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6895F"/>
  <w15:chartTrackingRefBased/>
  <w15:docId w15:val="{A8986ACE-F891-4F33-9ACB-7C492CABE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0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3613"/>
    <w:rPr>
      <w:color w:val="0000FF"/>
      <w:u w:val="single"/>
    </w:rPr>
  </w:style>
  <w:style w:type="paragraph" w:customStyle="1" w:styleId="word-break">
    <w:name w:val="word-break"/>
    <w:basedOn w:val="Normal"/>
    <w:rsid w:val="0036361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uthorname">
    <w:name w:val="authorname"/>
    <w:basedOn w:val="DefaultParagraphFont"/>
    <w:rsid w:val="00363613"/>
  </w:style>
  <w:style w:type="character" w:customStyle="1" w:styleId="separator">
    <w:name w:val="separator"/>
    <w:basedOn w:val="DefaultParagraphFont"/>
    <w:rsid w:val="00363613"/>
  </w:style>
  <w:style w:type="character" w:customStyle="1" w:styleId="Date1">
    <w:name w:val="Date1"/>
    <w:basedOn w:val="DefaultParagraphFont"/>
    <w:rsid w:val="00363613"/>
  </w:style>
  <w:style w:type="character" w:customStyle="1" w:styleId="arttitle">
    <w:name w:val="art_title"/>
    <w:basedOn w:val="DefaultParagraphFont"/>
    <w:rsid w:val="00363613"/>
  </w:style>
  <w:style w:type="character" w:customStyle="1" w:styleId="serialtitle">
    <w:name w:val="serial_title"/>
    <w:basedOn w:val="DefaultParagraphFont"/>
    <w:rsid w:val="00363613"/>
  </w:style>
  <w:style w:type="character" w:customStyle="1" w:styleId="volumeissue">
    <w:name w:val="volume_issue"/>
    <w:basedOn w:val="DefaultParagraphFont"/>
    <w:rsid w:val="00363613"/>
  </w:style>
  <w:style w:type="character" w:customStyle="1" w:styleId="pagerange">
    <w:name w:val="page_range"/>
    <w:basedOn w:val="DefaultParagraphFont"/>
    <w:rsid w:val="00363613"/>
  </w:style>
  <w:style w:type="character" w:customStyle="1" w:styleId="doilink">
    <w:name w:val="doi_link"/>
    <w:basedOn w:val="DefaultParagraphFont"/>
    <w:rsid w:val="00363613"/>
  </w:style>
  <w:style w:type="character" w:customStyle="1" w:styleId="citationsource-journal">
    <w:name w:val="citation_source-journal"/>
    <w:basedOn w:val="DefaultParagraphFont"/>
    <w:rsid w:val="00363613"/>
  </w:style>
  <w:style w:type="paragraph" w:customStyle="1" w:styleId="dx-doi">
    <w:name w:val="dx-doi"/>
    <w:basedOn w:val="Normal"/>
    <w:rsid w:val="00363613"/>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citationsource-book">
    <w:name w:val="citation_source-book"/>
    <w:basedOn w:val="DefaultParagraphFont"/>
    <w:rsid w:val="00363613"/>
  </w:style>
  <w:style w:type="character" w:customStyle="1" w:styleId="identifier">
    <w:name w:val="identifier"/>
    <w:basedOn w:val="DefaultParagraphFont"/>
    <w:rsid w:val="003636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fdev.college.police.uk/professional-profile/police-constable/" TargetMode="External"/><Relationship Id="rId18" Type="http://schemas.openxmlformats.org/officeDocument/2006/relationships/hyperlink" Target="https://doi.org/10.2307/j.ctv114c782.12" TargetMode="External"/><Relationship Id="rId26" Type="http://schemas.openxmlformats.org/officeDocument/2006/relationships/hyperlink" Target="https://www.kerslakearenareview.co.uk/media/1022/kerslake_arena_review_printed_final.pdf" TargetMode="External"/><Relationship Id="rId39" Type="http://schemas.openxmlformats.org/officeDocument/2006/relationships/hyperlink" Target="https://news.npcc.police.uk/resources/cop-npcc-officer-staff-safety-review-010920" TargetMode="External"/><Relationship Id="rId21" Type="http://schemas.openxmlformats.org/officeDocument/2006/relationships/hyperlink" Target="https://doi.org/10.18261/issn.2703-7045-2021-01-04" TargetMode="External"/><Relationship Id="rId34" Type="http://schemas.openxmlformats.org/officeDocument/2006/relationships/hyperlink" Target="https://doi.org/10.1080/10683169908414995" TargetMode="External"/><Relationship Id="rId42" Type="http://schemas.openxmlformats.org/officeDocument/2006/relationships/hyperlink" Target="https://doi.org/info:doi/" TargetMode="External"/><Relationship Id="rId47" Type="http://schemas.openxmlformats.org/officeDocument/2006/relationships/hyperlink" Target="https://dx.doi.org/10.15270/52-2-810" TargetMode="External"/><Relationship Id="rId50" Type="http://schemas.openxmlformats.org/officeDocument/2006/relationships/theme" Target="theme/theme1.xml"/><Relationship Id="rId7" Type="http://schemas.openxmlformats.org/officeDocument/2006/relationships/hyperlink" Target="https://doi.org/10.1111/joop.12349" TargetMode="External"/><Relationship Id="rId2" Type="http://schemas.openxmlformats.org/officeDocument/2006/relationships/settings" Target="settings.xml"/><Relationship Id="rId16" Type="http://schemas.openxmlformats.org/officeDocument/2006/relationships/hyperlink" Target="https://doi.org/10.%201002/acp.3828" TargetMode="External"/><Relationship Id="rId29" Type="http://schemas.openxmlformats.org/officeDocument/2006/relationships/hyperlink" Target="https://www.gov.uk/government/publications/the-stephen-lawrence-inquiry" TargetMode="External"/><Relationship Id="rId11" Type="http://schemas.openxmlformats.org/officeDocument/2006/relationships/hyperlink" Target="https://www.college.police.uk/app/critical-incident-management/introduction-and-types-critical-incidents" TargetMode="External"/><Relationship Id="rId24" Type="http://schemas.openxmlformats.org/officeDocument/2006/relationships/hyperlink" Target="https://www.jesip.org.uk/joint-doctrine/definitions/" TargetMode="External"/><Relationship Id="rId32" Type="http://schemas.openxmlformats.org/officeDocument/2006/relationships/hyperlink" Target="https://doi-org.ezproxy.uwtsd.ac.uk/10.1080/10439463.1995.9964710" TargetMode="External"/><Relationship Id="rId37" Type="http://schemas.openxmlformats.org/officeDocument/2006/relationships/hyperlink" Target="https://nationalcrimeagency.gov.uk/who-we-are/publications/234-county-lines-violen-ce-exploitation-drug-supply-2017/file" TargetMode="External"/><Relationship Id="rId40" Type="http://schemas.openxmlformats.org/officeDocument/2006/relationships/hyperlink" Target="https://library.college.police.uk/docs/NPIA/Practice-Advice-on-CIM-Jul2011.pdf" TargetMode="External"/><Relationship Id="rId45" Type="http://schemas.openxmlformats.org/officeDocument/2006/relationships/hyperlink" Target="https://bob.swp-rest.police.int/sorce/beacon/singlepageview.aspx?contentType=News&amp;row=1375712&amp;SPVPrimaryMenu=1142&amp;SPVSecondaryMenu=5320&amp;SPVReferrer=Sitesearch" TargetMode="External"/><Relationship Id="rId5" Type="http://schemas.openxmlformats.org/officeDocument/2006/relationships/hyperlink" Target="https://doi-org.ezproxy.uwtsd.ac.uk/10.1080/10683160308140" TargetMode="External"/><Relationship Id="rId15" Type="http://schemas.openxmlformats.org/officeDocument/2006/relationships/hyperlink" Target="https://doi.org/10.1093/pubmed/fdac112" TargetMode="External"/><Relationship Id="rId23" Type="http://schemas.openxmlformats.org/officeDocument/2006/relationships/hyperlink" Target="https://doi.org/10.1108/PIJPSM-02-2020-0017" TargetMode="External"/><Relationship Id="rId28" Type="http://schemas.openxmlformats.org/officeDocument/2006/relationships/hyperlink" Target="https://psycnet-apa-org.ezproxy.uwtsd.ac.uk/doi/10.1037/0021-9010.62.1.90" TargetMode="External"/><Relationship Id="rId36" Type="http://schemas.openxmlformats.org/officeDocument/2006/relationships/hyperlink" Target="http://dx.doi.org/10.1002/9780470713068.ch4" TargetMode="External"/><Relationship Id="rId49" Type="http://schemas.openxmlformats.org/officeDocument/2006/relationships/fontTable" Target="fontTable.xml"/><Relationship Id="rId10" Type="http://schemas.openxmlformats.org/officeDocument/2006/relationships/hyperlink" Target="https://www.college.police.uk/app/civil-emergencies/disaster-victim-identification/definitions" TargetMode="External"/><Relationship Id="rId19" Type="http://schemas.openxmlformats.org/officeDocument/2006/relationships/hyperlink" Target="https://hmicfrs.justiceinspectorates.gov.uk/glossary/cuckooing/" TargetMode="External"/><Relationship Id="rId31" Type="http://schemas.openxmlformats.org/officeDocument/2006/relationships/hyperlink" Target="https://doi.org/10.1136/injuryprev-2011-040083" TargetMode="External"/><Relationship Id="rId44" Type="http://schemas.openxmlformats.org/officeDocument/2006/relationships/hyperlink" Target="https://ebookcentral.proquest.com/lib/trinity/detail.action?docID=5646010" TargetMode="External"/><Relationship Id="rId4" Type="http://schemas.openxmlformats.org/officeDocument/2006/relationships/hyperlink" Target="https://library.college.police.uk/docs/APPref/Extract-Critical-Incident-Management-2007.pdf" TargetMode="External"/><Relationship Id="rId9" Type="http://schemas.openxmlformats.org/officeDocument/2006/relationships/hyperlink" Target="https://doi-org.ezproxy.uwtsd.ac.uk/10.1080/10683169608409780" TargetMode="External"/><Relationship Id="rId14" Type="http://schemas.openxmlformats.org/officeDocument/2006/relationships/hyperlink" Target="https://doi-org.ezproxy.uwtsd.ac.uk/10.1080/10683160802203963" TargetMode="External"/><Relationship Id="rId22" Type="http://schemas.openxmlformats.org/officeDocument/2006/relationships/hyperlink" Target="https://doi.org/10.1136/postgradmedj-2016-134426" TargetMode="External"/><Relationship Id="rId27" Type="http://schemas.openxmlformats.org/officeDocument/2006/relationships/hyperlink" Target="https://doi.org/10.1037/0033-295x.103.3.490" TargetMode="External"/><Relationship Id="rId30" Type="http://schemas.openxmlformats.org/officeDocument/2006/relationships/hyperlink" Target="https://www.south-wales.police.uk/news/south-wales/news/2022/ion-jan/south-wales-police-apologises-for-response-to-mayhill-incident/mayhill-disturbance-independent-learning-review/" TargetMode="External"/><Relationship Id="rId35" Type="http://schemas.openxmlformats.org/officeDocument/2006/relationships/hyperlink" Target="https://doi.org/10.1080/10683169908414995" TargetMode="External"/><Relationship Id="rId43" Type="http://schemas.openxmlformats.org/officeDocument/2006/relationships/hyperlink" Target="https://doi.org/10.1177/0306624X18806742" TargetMode="External"/><Relationship Id="rId48" Type="http://schemas.openxmlformats.org/officeDocument/2006/relationships/hyperlink" Target="https://doi-org.ezproxy.uwtsd.ac.uk/10.1002/acp.1260" TargetMode="External"/><Relationship Id="rId8" Type="http://schemas.openxmlformats.org/officeDocument/2006/relationships/hyperlink" Target="https://www.academia.edu/download/83755057/National_Evaluation_of_the_PEACE_Investi20220410-14283-brc8qw.pdf" TargetMode="External"/><Relationship Id="rId3" Type="http://schemas.openxmlformats.org/officeDocument/2006/relationships/webSettings" Target="webSettings.xml"/><Relationship Id="rId12" Type="http://schemas.openxmlformats.org/officeDocument/2006/relationships/hyperlink" Target="https://www.app.college.police.uk/app-content/investigations/investigative-interviewing/" TargetMode="External"/><Relationship Id="rId17" Type="http://schemas.openxmlformats.org/officeDocument/2006/relationships/hyperlink" Target="https://doi.org/10.1108/TPM-11-2015-0055" TargetMode="External"/><Relationship Id="rId25" Type="http://schemas.openxmlformats.org/officeDocument/2006/relationships/hyperlink" Target="https://www.jesip.org.uk/joint-doctrine/m-ethane/" TargetMode="External"/><Relationship Id="rId33" Type="http://schemas.openxmlformats.org/officeDocument/2006/relationships/hyperlink" Target="https://doi.org/10.1037/a0020518" TargetMode="External"/><Relationship Id="rId38" Type="http://schemas.openxmlformats.org/officeDocument/2006/relationships/hyperlink" Target="https://vdocuments.site/national-investigative-interviewing-strategy-thestrategy-thisdocumentrevisesand.html?page=2" TargetMode="External"/><Relationship Id="rId46" Type="http://schemas.openxmlformats.org/officeDocument/2006/relationships/hyperlink" Target="https://www.cps.gov.uk/legal-guidance/gang-related-offences-decision-making" TargetMode="External"/><Relationship Id="rId20" Type="http://schemas.openxmlformats.org/officeDocument/2006/relationships/hyperlink" Target="https://assets.publishing.service.gov.uk/government/uploads/system/uploads/attachment_data/file/1013914/national-critical-incident-management-guidance-v13.0-ext.pdf" TargetMode="External"/><Relationship Id="rId41" Type="http://schemas.openxmlformats.org/officeDocument/2006/relationships/hyperlink" Target="https://doi.org/10.1093/police/pax031" TargetMode="External"/><Relationship Id="rId1" Type="http://schemas.openxmlformats.org/officeDocument/2006/relationships/styles" Target="styles.xml"/><Relationship Id="rId6" Type="http://schemas.openxmlformats.org/officeDocument/2006/relationships/hyperlink" Target="https://nationalcrimeagency.gov.uk/who-we-are/publications/234-county-lines-violen-ce-exploitation-drug-supply-2017/f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17</Pages>
  <Words>5756</Words>
  <Characters>32812</Characters>
  <Application>Microsoft Office Word</Application>
  <DocSecurity>0</DocSecurity>
  <Lines>273</Lines>
  <Paragraphs>76</Paragraphs>
  <ScaleCrop>false</ScaleCrop>
  <Company>South Wales Police</Company>
  <LinksUpToDate>false</LinksUpToDate>
  <CharactersWithSpaces>38492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Jackson-Johns,Sophia swp8479</dc:creator>
  <cp:keywords/>
  <dc:description/>
  <cp:lastModifiedBy>Jackson-Johns,Sophia swp8479</cp:lastModifiedBy>
  <cp:revision>2</cp:revision>
  <dcterms:created xsi:type="dcterms:W3CDTF">2024-05-04T11:57:00Z</dcterms:created>
  <dcterms:modified xsi:type="dcterms:W3CDTF">2024-05-04T12:11:00Z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2024-05-04T12:10:33Z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2d4d134b-81b2-48f4-b983-03c13b57b171</vt:lpwstr>
  </property>
  <property fmtid="{D5CDD505-2E9C-101B-9397-08002B2CF9AE}" pid="8" name="MSIP_Label_66cf8fe5-b7b7-4df7-b38d-1c61ac2f6639_ContentBits">
    <vt:lpwstr>0</vt:lpwstr>
  </property>
</Properties>
</file>