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5CE97" w14:textId="7BC5B1AE" w:rsidR="00402B16" w:rsidRDefault="00402B16" w:rsidP="00B44B23">
      <w:pPr>
        <w:spacing w:before="2400" w:after="240"/>
      </w:pPr>
    </w:p>
    <w:p w14:paraId="744228FC" w14:textId="3D3E4141" w:rsidR="00402B16" w:rsidRDefault="00B44B23" w:rsidP="00B44B23">
      <w:pPr>
        <w:spacing w:after="240"/>
        <w:jc w:val="center"/>
      </w:pPr>
      <w:r>
        <w:rPr>
          <w:rFonts w:asciiTheme="minorBidi" w:hAnsiTheme="minorBidi"/>
          <w:noProof/>
        </w:rPr>
        <w:drawing>
          <wp:inline distT="0" distB="0" distL="0" distR="0" wp14:anchorId="185A1F7A" wp14:editId="71291FD3">
            <wp:extent cx="3638550" cy="1819275"/>
            <wp:effectExtent l="0" t="0" r="6350" b="9525"/>
            <wp:docPr id="527614896" name="Picture 527614896" descr="A close-up of a sig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  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sdt>
      <w:sdtPr>
        <w:rPr>
          <w:rFonts w:ascii="Times New Roman" w:eastAsia="Times New Roman" w:hAnsi="Times New Roman" w:cs="Times New Roman"/>
          <w:b/>
          <w:bCs/>
          <w:sz w:val="36"/>
          <w:szCs w:val="36"/>
          <w:lang w:eastAsia="en-GB"/>
        </w:rPr>
        <w:alias w:val="Title"/>
        <w:tag w:val=""/>
        <w:id w:val="1735040861"/>
        <w:placeholder>
          <w:docPart w:val="0616E9209B9E4F5D940E6500779A2188"/>
        </w:placeholder>
        <w:dataBinding w:prefixMappings="xmlns:ns0='http://purl.org/dc/elements/1.1/' xmlns:ns1='http://schemas.openxmlformats.org/package/2006/metadata/core-properties' " w:xpath="/ns1:coreProperties[1]/ns0:title[1]" w:storeItemID="{6C3C8BC8-F283-45AE-878A-BAB7291924A1}"/>
        <w:text/>
      </w:sdtPr>
      <w:sdtEndPr/>
      <w:sdtContent>
        <w:p w14:paraId="4A803308" w14:textId="08A27DBA" w:rsidR="009027C7" w:rsidRPr="00B662ED" w:rsidRDefault="006B66F5" w:rsidP="009027C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40"/>
              <w:szCs w:val="40"/>
            </w:rPr>
          </w:pPr>
          <w:r>
            <w:rPr>
              <w:rFonts w:ascii="Times New Roman" w:eastAsia="Times New Roman" w:hAnsi="Times New Roman" w:cs="Times New Roman"/>
              <w:b/>
              <w:bCs/>
              <w:sz w:val="36"/>
              <w:szCs w:val="36"/>
              <w:lang w:eastAsia="en-GB"/>
            </w:rPr>
            <w:t>LCBB4013 Stakeholder Engagement Portfolio</w:t>
          </w:r>
        </w:p>
      </w:sdtContent>
    </w:sdt>
    <w:p w14:paraId="33329180" w14:textId="77777777" w:rsidR="009027C7" w:rsidRDefault="009027C7" w:rsidP="009027C7">
      <w:pPr>
        <w:pStyle w:val="NoSpacing"/>
        <w:rPr>
          <w:color w:val="156082" w:themeColor="accent1"/>
          <w:sz w:val="28"/>
          <w:szCs w:val="28"/>
        </w:rPr>
      </w:pPr>
    </w:p>
    <w:p w14:paraId="36049BF0" w14:textId="77777777" w:rsidR="009027C7" w:rsidRDefault="009027C7" w:rsidP="009027C7">
      <w:pPr>
        <w:pStyle w:val="NoSpacing"/>
        <w:rPr>
          <w:color w:val="156082" w:themeColor="accent1"/>
          <w:sz w:val="28"/>
          <w:szCs w:val="28"/>
        </w:rPr>
      </w:pPr>
    </w:p>
    <w:p w14:paraId="69DF281E" w14:textId="77777777" w:rsidR="009027C7" w:rsidRDefault="009027C7" w:rsidP="009027C7">
      <w:pPr>
        <w:pStyle w:val="NoSpacing"/>
        <w:rPr>
          <w:color w:val="156082" w:themeColor="accent1"/>
          <w:sz w:val="28"/>
          <w:szCs w:val="28"/>
        </w:rPr>
      </w:pPr>
    </w:p>
    <w:p w14:paraId="3112F040" w14:textId="77777777" w:rsidR="009027C7" w:rsidRDefault="009027C7" w:rsidP="009027C7">
      <w:pPr>
        <w:pStyle w:val="NoSpacing"/>
        <w:rPr>
          <w:color w:val="156082" w:themeColor="accent1"/>
          <w:sz w:val="28"/>
          <w:szCs w:val="28"/>
        </w:rPr>
      </w:pPr>
    </w:p>
    <w:p w14:paraId="3E978990" w14:textId="77777777" w:rsidR="009027C7" w:rsidRPr="009027C7" w:rsidRDefault="009027C7" w:rsidP="009027C7">
      <w:pPr>
        <w:pStyle w:val="NoSpacing"/>
        <w:rPr>
          <w:sz w:val="28"/>
          <w:szCs w:val="28"/>
        </w:rPr>
      </w:pPr>
      <w:r>
        <w:rPr>
          <w:sz w:val="28"/>
          <w:szCs w:val="28"/>
        </w:rPr>
        <w:t>Name: Monika Kitova</w:t>
      </w:r>
    </w:p>
    <w:p w14:paraId="568529A2" w14:textId="77777777" w:rsidR="009027C7" w:rsidRPr="009027C7" w:rsidRDefault="009027C7" w:rsidP="009027C7">
      <w:pPr>
        <w:pStyle w:val="NoSpacing"/>
        <w:rPr>
          <w:sz w:val="28"/>
          <w:szCs w:val="28"/>
        </w:rPr>
      </w:pPr>
      <w:r>
        <w:rPr>
          <w:sz w:val="28"/>
          <w:szCs w:val="28"/>
        </w:rPr>
        <w:t>Student ID: 2429802</w:t>
      </w:r>
    </w:p>
    <w:p w14:paraId="4D9B2144" w14:textId="7873A0F4" w:rsidR="009027C7" w:rsidRPr="009027C7" w:rsidRDefault="009027C7" w:rsidP="009027C7">
      <w:pPr>
        <w:pStyle w:val="NoSpacing"/>
        <w:rPr>
          <w:sz w:val="28"/>
          <w:szCs w:val="28"/>
        </w:rPr>
      </w:pPr>
      <w:r>
        <w:rPr>
          <w:sz w:val="28"/>
          <w:szCs w:val="28"/>
        </w:rPr>
        <w:t>Module Code: LCBB4013</w:t>
      </w:r>
    </w:p>
    <w:p w14:paraId="5357F961" w14:textId="02A0D2BE" w:rsidR="009027C7" w:rsidRPr="009027C7" w:rsidRDefault="009027C7" w:rsidP="009027C7">
      <w:pPr>
        <w:pStyle w:val="NoSpacing"/>
        <w:rPr>
          <w:sz w:val="28"/>
          <w:szCs w:val="28"/>
        </w:rPr>
      </w:pPr>
      <w:r>
        <w:rPr>
          <w:sz w:val="28"/>
          <w:szCs w:val="28"/>
        </w:rPr>
        <w:t xml:space="preserve">Module name: </w:t>
      </w:r>
      <w:r>
        <w:rPr>
          <w:bCs/>
          <w:sz w:val="28"/>
          <w:szCs w:val="28"/>
        </w:rPr>
        <w:t>Stakeholder</w:t>
      </w:r>
      <w:r>
        <w:rPr>
          <w:bCs/>
          <w:spacing w:val="-6"/>
          <w:sz w:val="28"/>
          <w:szCs w:val="28"/>
        </w:rPr>
        <w:t xml:space="preserve"> </w:t>
      </w:r>
      <w:r>
        <w:rPr>
          <w:bCs/>
          <w:spacing w:val="-2"/>
          <w:sz w:val="28"/>
          <w:szCs w:val="28"/>
        </w:rPr>
        <w:t>Engagement</w:t>
      </w:r>
    </w:p>
    <w:p w14:paraId="7106E99C" w14:textId="29E641FA" w:rsidR="009027C7" w:rsidRDefault="009027C7" w:rsidP="009027C7">
      <w:pPr>
        <w:pStyle w:val="NoSpacing"/>
        <w:rPr>
          <w:bCs/>
          <w:spacing w:val="-4"/>
          <w:sz w:val="28"/>
          <w:szCs w:val="28"/>
        </w:rPr>
      </w:pPr>
      <w:r>
        <w:rPr>
          <w:sz w:val="28"/>
          <w:szCs w:val="28"/>
        </w:rPr>
        <w:t xml:space="preserve">Lecturer: </w:t>
      </w:r>
      <w:r>
        <w:rPr>
          <w:bCs/>
          <w:sz w:val="28"/>
          <w:szCs w:val="28"/>
        </w:rPr>
        <w:t xml:space="preserve">Zainab </w:t>
      </w:r>
      <w:r>
        <w:rPr>
          <w:bCs/>
          <w:spacing w:val="-4"/>
          <w:sz w:val="28"/>
          <w:szCs w:val="28"/>
        </w:rPr>
        <w:t>Atta</w:t>
      </w:r>
    </w:p>
    <w:p w14:paraId="29F51A88" w14:textId="77777777" w:rsidR="009027C7" w:rsidRPr="009027C7" w:rsidRDefault="009027C7" w:rsidP="009027C7">
      <w:pPr>
        <w:spacing w:after="480"/>
        <w:rPr>
          <w:rFonts w:asciiTheme="minorHAnsi" w:hAnsiTheme="minorHAnsi"/>
          <w:sz w:val="28"/>
          <w:szCs w:val="28"/>
        </w:rPr>
      </w:pPr>
      <w:r>
        <w:rPr>
          <w:rFonts w:asciiTheme="minorHAnsi" w:hAnsiTheme="minorHAnsi"/>
          <w:sz w:val="28"/>
          <w:szCs w:val="28"/>
        </w:rPr>
        <w:t>Word count: 3110</w:t>
      </w:r>
    </w:p>
    <w:p w14:paraId="1C2DF3F7" w14:textId="77777777" w:rsidR="009027C7" w:rsidRPr="009027C7" w:rsidRDefault="009027C7" w:rsidP="009027C7">
      <w:pPr>
        <w:pStyle w:val="NoSpacing"/>
        <w:rPr>
          <w:sz w:val="28"/>
          <w:szCs w:val="28"/>
        </w:rPr>
      </w:pPr>
    </w:p>
    <w:p w14:paraId="313CEAAD" w14:textId="77777777" w:rsidR="009027C7" w:rsidRDefault="009027C7" w:rsidP="009027C7">
      <w:pPr>
        <w:pStyle w:val="NoSpacing"/>
        <w:spacing w:before="480"/>
        <w:jc w:val="center"/>
        <w:rPr>
          <w:color w:val="156082" w:themeColor="accent1"/>
        </w:rPr>
      </w:pPr>
    </w:p>
    <w:p w14:paraId="33D12784" w14:textId="79E5B8B5" w:rsidR="00B44B23" w:rsidRPr="00B44B23" w:rsidRDefault="009027C7" w:rsidP="00B44B23">
      <w:pPr>
        <w:spacing w:after="480"/>
        <w:jc w:val="center"/>
        <w:rPr>
          <w:color w:val="FFFFFF" w:themeColor="background1"/>
        </w:rPr>
      </w:pPr>
      <w:r>
        <w:rPr>
          <w:color w:val="FFFFFF" w:themeColor="background1"/>
        </w:rPr>
        <w:br w:type="page"/>
      </w:r>
    </w:p>
    <w:sdt>
      <w:sdtPr>
        <w:rPr>
          <w:rFonts w:ascii="Times New Roman" w:eastAsia="Times New Roman" w:hAnsi="Times New Roman" w:cs="Times New Roman"/>
          <w:color w:val="auto"/>
          <w:sz w:val="24"/>
          <w:szCs w:val="24"/>
          <w:lang w:val="en-GB" w:eastAsia="en-GB"/>
        </w:rPr>
        <w:id w:val="-1141422209"/>
        <w:docPartObj>
          <w:docPartGallery w:val="Table of Contents"/>
          <w:docPartUnique/>
        </w:docPartObj>
      </w:sdtPr>
      <w:sdtEndPr>
        <w:rPr>
          <w:b/>
          <w:bCs/>
          <w:noProof/>
        </w:rPr>
      </w:sdtEndPr>
      <w:sdtContent>
        <w:p w14:paraId="0BB138E6" w14:textId="1EB65549" w:rsidR="002D3B12" w:rsidRDefault="002D3B12">
          <w:pPr>
            <w:pStyle w:val="TOCHeading"/>
          </w:pPr>
          <w:r>
            <w:t>Table of Contents</w:t>
          </w:r>
        </w:p>
        <w:p w14:paraId="5F5EF3DC" w14:textId="3A389E93" w:rsidR="002D3B12" w:rsidRDefault="002D3B12">
          <w:pPr>
            <w:pStyle w:val="TOC1"/>
            <w:tabs>
              <w:tab w:val="right" w:leader="dot" w:pos="9016"/>
            </w:tabs>
            <w:rPr>
              <w:noProof/>
            </w:rPr>
          </w:pPr>
          <w:r>
            <w:fldChar w:fldCharType="begin"/>
          </w:r>
          <w:r>
            <w:instrText xml:space="preserve"> TOC \o "1-3" \h \z \u </w:instrText>
          </w:r>
          <w:r>
            <w:fldChar w:fldCharType="separate"/>
          </w:r>
          <w:hyperlink w:anchor="_Toc235487966" w:history="1">
            <w:r>
              <w:rPr>
                <w:rStyle w:val="Hyperlink"/>
                <w:noProof/>
              </w:rPr>
              <w:t>Element 1: Introduction</w:t>
            </w:r>
            <w:r>
              <w:rPr>
                <w:noProof/>
                <w:webHidden/>
              </w:rPr>
              <w:tab/>
            </w:r>
            <w:r>
              <w:rPr>
                <w:noProof/>
                <w:webHidden/>
              </w:rPr>
              <w:fldChar w:fldCharType="begin"/>
            </w:r>
            <w:r>
              <w:rPr>
                <w:noProof/>
                <w:webHidden/>
              </w:rPr>
              <w:instrText xml:space="preserve"> PAGEREF _Toc235487966 \h </w:instrText>
            </w:r>
            <w:r>
              <w:rPr>
                <w:noProof/>
                <w:webHidden/>
              </w:rPr>
            </w:r>
            <w:r>
              <w:rPr>
                <w:noProof/>
                <w:webHidden/>
              </w:rPr>
              <w:fldChar w:fldCharType="separate"/>
            </w:r>
            <w:r w:rsidR="0006540D">
              <w:rPr>
                <w:noProof/>
                <w:webHidden/>
              </w:rPr>
              <w:t>3</w:t>
            </w:r>
            <w:r>
              <w:rPr>
                <w:noProof/>
                <w:webHidden/>
              </w:rPr>
              <w:fldChar w:fldCharType="end"/>
            </w:r>
          </w:hyperlink>
        </w:p>
        <w:p w14:paraId="58BE1ED4" w14:textId="54DB219E" w:rsidR="002D3B12" w:rsidRDefault="002D3B12">
          <w:pPr>
            <w:pStyle w:val="TOC1"/>
            <w:tabs>
              <w:tab w:val="right" w:leader="dot" w:pos="9016"/>
            </w:tabs>
            <w:rPr>
              <w:noProof/>
            </w:rPr>
          </w:pPr>
          <w:hyperlink w:anchor="_Toc235487967" w:history="1">
            <w:r>
              <w:rPr>
                <w:rStyle w:val="Hyperlink"/>
                <w:noProof/>
              </w:rPr>
              <w:t>Element 2: Application – Stakeholder Engagement Strategies</w:t>
            </w:r>
            <w:r>
              <w:rPr>
                <w:noProof/>
                <w:webHidden/>
              </w:rPr>
              <w:tab/>
            </w:r>
            <w:r>
              <w:rPr>
                <w:noProof/>
                <w:webHidden/>
              </w:rPr>
              <w:fldChar w:fldCharType="begin"/>
            </w:r>
            <w:r>
              <w:rPr>
                <w:noProof/>
                <w:webHidden/>
              </w:rPr>
              <w:instrText xml:space="preserve"> PAGEREF _Toc235487967 \h </w:instrText>
            </w:r>
            <w:r>
              <w:rPr>
                <w:noProof/>
                <w:webHidden/>
              </w:rPr>
            </w:r>
            <w:r>
              <w:rPr>
                <w:noProof/>
                <w:webHidden/>
              </w:rPr>
              <w:fldChar w:fldCharType="separate"/>
            </w:r>
            <w:r w:rsidR="0006540D">
              <w:rPr>
                <w:noProof/>
                <w:webHidden/>
              </w:rPr>
              <w:t>4</w:t>
            </w:r>
            <w:r>
              <w:rPr>
                <w:noProof/>
                <w:webHidden/>
              </w:rPr>
              <w:fldChar w:fldCharType="end"/>
            </w:r>
          </w:hyperlink>
        </w:p>
        <w:p w14:paraId="10B1980A" w14:textId="2EF0DEE0" w:rsidR="002D3B12" w:rsidRDefault="002D3B12">
          <w:pPr>
            <w:pStyle w:val="TOC2"/>
            <w:tabs>
              <w:tab w:val="right" w:leader="dot" w:pos="9016"/>
            </w:tabs>
            <w:rPr>
              <w:noProof/>
            </w:rPr>
          </w:pPr>
          <w:hyperlink w:anchor="_Toc235487968" w:history="1">
            <w:r>
              <w:rPr>
                <w:rStyle w:val="Hyperlink"/>
                <w:noProof/>
              </w:rPr>
              <w:t>2.1 Power, Interest and Influence Table</w:t>
            </w:r>
            <w:r>
              <w:rPr>
                <w:noProof/>
                <w:webHidden/>
              </w:rPr>
              <w:tab/>
            </w:r>
            <w:r>
              <w:rPr>
                <w:noProof/>
                <w:webHidden/>
              </w:rPr>
              <w:fldChar w:fldCharType="begin"/>
            </w:r>
            <w:r>
              <w:rPr>
                <w:noProof/>
                <w:webHidden/>
              </w:rPr>
              <w:instrText xml:space="preserve"> PAGEREF _Toc235487968 \h </w:instrText>
            </w:r>
            <w:r>
              <w:rPr>
                <w:noProof/>
                <w:webHidden/>
              </w:rPr>
            </w:r>
            <w:r>
              <w:rPr>
                <w:noProof/>
                <w:webHidden/>
              </w:rPr>
              <w:fldChar w:fldCharType="separate"/>
            </w:r>
            <w:r w:rsidR="0006540D">
              <w:rPr>
                <w:noProof/>
                <w:webHidden/>
              </w:rPr>
              <w:t>4</w:t>
            </w:r>
            <w:r>
              <w:rPr>
                <w:noProof/>
                <w:webHidden/>
              </w:rPr>
              <w:fldChar w:fldCharType="end"/>
            </w:r>
          </w:hyperlink>
        </w:p>
        <w:p w14:paraId="08227620" w14:textId="43A91D1A" w:rsidR="002D3B12" w:rsidRDefault="002D3B12">
          <w:pPr>
            <w:pStyle w:val="TOC2"/>
            <w:tabs>
              <w:tab w:val="right" w:leader="dot" w:pos="9016"/>
            </w:tabs>
            <w:rPr>
              <w:noProof/>
            </w:rPr>
          </w:pPr>
          <w:hyperlink w:anchor="_Toc235487969" w:history="1">
            <w:r>
              <w:rPr>
                <w:rStyle w:val="Hyperlink"/>
                <w:noProof/>
              </w:rPr>
              <w:t>2.2 Stakeholder Map</w:t>
            </w:r>
            <w:r>
              <w:rPr>
                <w:noProof/>
                <w:webHidden/>
              </w:rPr>
              <w:tab/>
            </w:r>
            <w:r>
              <w:rPr>
                <w:noProof/>
                <w:webHidden/>
              </w:rPr>
              <w:fldChar w:fldCharType="begin"/>
            </w:r>
            <w:r>
              <w:rPr>
                <w:noProof/>
                <w:webHidden/>
              </w:rPr>
              <w:instrText xml:space="preserve"> PAGEREF _Toc235487969 \h </w:instrText>
            </w:r>
            <w:r>
              <w:rPr>
                <w:noProof/>
                <w:webHidden/>
              </w:rPr>
            </w:r>
            <w:r>
              <w:rPr>
                <w:noProof/>
                <w:webHidden/>
              </w:rPr>
              <w:fldChar w:fldCharType="separate"/>
            </w:r>
            <w:r w:rsidR="0006540D">
              <w:rPr>
                <w:noProof/>
                <w:webHidden/>
              </w:rPr>
              <w:t>5</w:t>
            </w:r>
            <w:r>
              <w:rPr>
                <w:noProof/>
                <w:webHidden/>
              </w:rPr>
              <w:fldChar w:fldCharType="end"/>
            </w:r>
          </w:hyperlink>
        </w:p>
        <w:p w14:paraId="2D1A6FD6" w14:textId="1354AEB0" w:rsidR="002D3B12" w:rsidRDefault="002D3B12">
          <w:pPr>
            <w:pStyle w:val="TOC2"/>
            <w:tabs>
              <w:tab w:val="right" w:leader="dot" w:pos="9016"/>
            </w:tabs>
            <w:rPr>
              <w:noProof/>
            </w:rPr>
          </w:pPr>
          <w:hyperlink w:anchor="_Toc235487970" w:history="1">
            <w:r>
              <w:rPr>
                <w:rStyle w:val="Hyperlink"/>
                <w:noProof/>
              </w:rPr>
              <w:t>2.3 Communication Plan and Consultation Strategy</w:t>
            </w:r>
            <w:r>
              <w:rPr>
                <w:noProof/>
                <w:webHidden/>
              </w:rPr>
              <w:tab/>
            </w:r>
            <w:r>
              <w:rPr>
                <w:noProof/>
                <w:webHidden/>
              </w:rPr>
              <w:fldChar w:fldCharType="begin"/>
            </w:r>
            <w:r>
              <w:rPr>
                <w:noProof/>
                <w:webHidden/>
              </w:rPr>
              <w:instrText xml:space="preserve"> PAGEREF _Toc235487970 \h </w:instrText>
            </w:r>
            <w:r>
              <w:rPr>
                <w:noProof/>
                <w:webHidden/>
              </w:rPr>
            </w:r>
            <w:r>
              <w:rPr>
                <w:noProof/>
                <w:webHidden/>
              </w:rPr>
              <w:fldChar w:fldCharType="separate"/>
            </w:r>
            <w:r w:rsidR="0006540D">
              <w:rPr>
                <w:noProof/>
                <w:webHidden/>
              </w:rPr>
              <w:t>6</w:t>
            </w:r>
            <w:r>
              <w:rPr>
                <w:noProof/>
                <w:webHidden/>
              </w:rPr>
              <w:fldChar w:fldCharType="end"/>
            </w:r>
          </w:hyperlink>
        </w:p>
        <w:p w14:paraId="6A411FC9" w14:textId="186D640A" w:rsidR="002D3B12" w:rsidRDefault="002D3B12">
          <w:pPr>
            <w:pStyle w:val="TOC1"/>
            <w:tabs>
              <w:tab w:val="right" w:leader="dot" w:pos="9016"/>
            </w:tabs>
            <w:rPr>
              <w:noProof/>
            </w:rPr>
          </w:pPr>
          <w:hyperlink w:anchor="_Toc235487971" w:history="1">
            <w:r>
              <w:rPr>
                <w:rStyle w:val="Hyperlink"/>
                <w:noProof/>
              </w:rPr>
              <w:t>Element 3: Ethical Consideration in Stakeholder Consultation, Participation and Feedback</w:t>
            </w:r>
            <w:r>
              <w:rPr>
                <w:noProof/>
                <w:webHidden/>
              </w:rPr>
              <w:tab/>
            </w:r>
            <w:r>
              <w:rPr>
                <w:noProof/>
                <w:webHidden/>
              </w:rPr>
              <w:fldChar w:fldCharType="begin"/>
            </w:r>
            <w:r>
              <w:rPr>
                <w:noProof/>
                <w:webHidden/>
              </w:rPr>
              <w:instrText xml:space="preserve"> PAGEREF _Toc235487971 \h </w:instrText>
            </w:r>
            <w:r>
              <w:rPr>
                <w:noProof/>
                <w:webHidden/>
              </w:rPr>
            </w:r>
            <w:r>
              <w:rPr>
                <w:noProof/>
                <w:webHidden/>
              </w:rPr>
              <w:fldChar w:fldCharType="separate"/>
            </w:r>
            <w:r w:rsidR="0006540D">
              <w:rPr>
                <w:noProof/>
                <w:webHidden/>
              </w:rPr>
              <w:t>8</w:t>
            </w:r>
            <w:r>
              <w:rPr>
                <w:noProof/>
                <w:webHidden/>
              </w:rPr>
              <w:fldChar w:fldCharType="end"/>
            </w:r>
          </w:hyperlink>
        </w:p>
        <w:p w14:paraId="5F6D40F4" w14:textId="3BB1B56A" w:rsidR="002D3B12" w:rsidRDefault="002D3B12">
          <w:pPr>
            <w:pStyle w:val="TOC1"/>
            <w:tabs>
              <w:tab w:val="right" w:leader="dot" w:pos="9016"/>
            </w:tabs>
            <w:rPr>
              <w:noProof/>
            </w:rPr>
          </w:pPr>
          <w:hyperlink w:anchor="_Toc235487972" w:history="1">
            <w:r>
              <w:rPr>
                <w:rStyle w:val="Hyperlink"/>
                <w:noProof/>
              </w:rPr>
              <w:t>Element 4: Conclusion and Reflection</w:t>
            </w:r>
            <w:r>
              <w:rPr>
                <w:noProof/>
                <w:webHidden/>
              </w:rPr>
              <w:tab/>
            </w:r>
            <w:r>
              <w:rPr>
                <w:noProof/>
                <w:webHidden/>
              </w:rPr>
              <w:fldChar w:fldCharType="begin"/>
            </w:r>
            <w:r>
              <w:rPr>
                <w:noProof/>
                <w:webHidden/>
              </w:rPr>
              <w:instrText xml:space="preserve"> PAGEREF _Toc235487972 \h </w:instrText>
            </w:r>
            <w:r>
              <w:rPr>
                <w:noProof/>
                <w:webHidden/>
              </w:rPr>
            </w:r>
            <w:r>
              <w:rPr>
                <w:noProof/>
                <w:webHidden/>
              </w:rPr>
              <w:fldChar w:fldCharType="separate"/>
            </w:r>
            <w:r w:rsidR="0006540D">
              <w:rPr>
                <w:noProof/>
                <w:webHidden/>
              </w:rPr>
              <w:t>9</w:t>
            </w:r>
            <w:r>
              <w:rPr>
                <w:noProof/>
                <w:webHidden/>
              </w:rPr>
              <w:fldChar w:fldCharType="end"/>
            </w:r>
          </w:hyperlink>
        </w:p>
        <w:p w14:paraId="7D61AFCC" w14:textId="581B7A65" w:rsidR="002D3B12" w:rsidRDefault="002D3B12">
          <w:pPr>
            <w:pStyle w:val="TOC2"/>
            <w:tabs>
              <w:tab w:val="right" w:leader="dot" w:pos="9016"/>
            </w:tabs>
            <w:rPr>
              <w:noProof/>
            </w:rPr>
          </w:pPr>
          <w:hyperlink w:anchor="_Toc235487973" w:history="1">
            <w:r>
              <w:rPr>
                <w:rStyle w:val="Hyperlink"/>
                <w:noProof/>
              </w:rPr>
              <w:t>4.1 Conclusion</w:t>
            </w:r>
            <w:r>
              <w:rPr>
                <w:noProof/>
                <w:webHidden/>
              </w:rPr>
              <w:tab/>
            </w:r>
            <w:r>
              <w:rPr>
                <w:noProof/>
                <w:webHidden/>
              </w:rPr>
              <w:fldChar w:fldCharType="begin"/>
            </w:r>
            <w:r>
              <w:rPr>
                <w:noProof/>
                <w:webHidden/>
              </w:rPr>
              <w:instrText xml:space="preserve"> PAGEREF _Toc235487973 \h </w:instrText>
            </w:r>
            <w:r>
              <w:rPr>
                <w:noProof/>
                <w:webHidden/>
              </w:rPr>
            </w:r>
            <w:r>
              <w:rPr>
                <w:noProof/>
                <w:webHidden/>
              </w:rPr>
              <w:fldChar w:fldCharType="separate"/>
            </w:r>
            <w:r w:rsidR="0006540D">
              <w:rPr>
                <w:noProof/>
                <w:webHidden/>
              </w:rPr>
              <w:t>9</w:t>
            </w:r>
            <w:r>
              <w:rPr>
                <w:noProof/>
                <w:webHidden/>
              </w:rPr>
              <w:fldChar w:fldCharType="end"/>
            </w:r>
          </w:hyperlink>
        </w:p>
        <w:p w14:paraId="27A2192D" w14:textId="249F6F2C" w:rsidR="002D3B12" w:rsidRDefault="002D3B12">
          <w:pPr>
            <w:pStyle w:val="TOC2"/>
            <w:tabs>
              <w:tab w:val="right" w:leader="dot" w:pos="9016"/>
            </w:tabs>
            <w:rPr>
              <w:noProof/>
            </w:rPr>
          </w:pPr>
          <w:hyperlink w:anchor="_Toc235487974" w:history="1">
            <w:r>
              <w:rPr>
                <w:rStyle w:val="Hyperlink"/>
                <w:noProof/>
              </w:rPr>
              <w:t>4.2 Reflection</w:t>
            </w:r>
            <w:r>
              <w:rPr>
                <w:noProof/>
                <w:webHidden/>
              </w:rPr>
              <w:tab/>
            </w:r>
            <w:r>
              <w:rPr>
                <w:noProof/>
                <w:webHidden/>
              </w:rPr>
              <w:fldChar w:fldCharType="begin"/>
            </w:r>
            <w:r>
              <w:rPr>
                <w:noProof/>
                <w:webHidden/>
              </w:rPr>
              <w:instrText xml:space="preserve"> PAGEREF _Toc235487974 \h </w:instrText>
            </w:r>
            <w:r>
              <w:rPr>
                <w:noProof/>
                <w:webHidden/>
              </w:rPr>
            </w:r>
            <w:r>
              <w:rPr>
                <w:noProof/>
                <w:webHidden/>
              </w:rPr>
              <w:fldChar w:fldCharType="separate"/>
            </w:r>
            <w:r w:rsidR="0006540D">
              <w:rPr>
                <w:noProof/>
                <w:webHidden/>
              </w:rPr>
              <w:t>10</w:t>
            </w:r>
            <w:r>
              <w:rPr>
                <w:noProof/>
                <w:webHidden/>
              </w:rPr>
              <w:fldChar w:fldCharType="end"/>
            </w:r>
          </w:hyperlink>
        </w:p>
        <w:p w14:paraId="10AC94C3" w14:textId="4603568F" w:rsidR="002D3B12" w:rsidRDefault="002D3B12">
          <w:pPr>
            <w:pStyle w:val="TOC1"/>
            <w:tabs>
              <w:tab w:val="right" w:leader="dot" w:pos="9016"/>
            </w:tabs>
            <w:rPr>
              <w:noProof/>
            </w:rPr>
          </w:pPr>
          <w:hyperlink w:anchor="_Toc235487975" w:history="1">
            <w:r>
              <w:rPr>
                <w:rStyle w:val="Hyperlink"/>
                <w:noProof/>
              </w:rPr>
              <w:t>References</w:t>
            </w:r>
            <w:r>
              <w:rPr>
                <w:noProof/>
                <w:webHidden/>
              </w:rPr>
              <w:tab/>
            </w:r>
            <w:r>
              <w:rPr>
                <w:noProof/>
                <w:webHidden/>
              </w:rPr>
              <w:fldChar w:fldCharType="begin"/>
            </w:r>
            <w:r>
              <w:rPr>
                <w:noProof/>
                <w:webHidden/>
              </w:rPr>
              <w:instrText xml:space="preserve"> PAGEREF _Toc235487975 \h </w:instrText>
            </w:r>
            <w:r>
              <w:rPr>
                <w:noProof/>
                <w:webHidden/>
              </w:rPr>
            </w:r>
            <w:r>
              <w:rPr>
                <w:noProof/>
                <w:webHidden/>
              </w:rPr>
              <w:fldChar w:fldCharType="separate"/>
            </w:r>
            <w:r w:rsidR="0006540D">
              <w:rPr>
                <w:noProof/>
                <w:webHidden/>
              </w:rPr>
              <w:t>12</w:t>
            </w:r>
            <w:r>
              <w:rPr>
                <w:noProof/>
                <w:webHidden/>
              </w:rPr>
              <w:fldChar w:fldCharType="end"/>
            </w:r>
          </w:hyperlink>
        </w:p>
        <w:p w14:paraId="28E07E89" w14:textId="4386A009" w:rsidR="002D3B12" w:rsidRDefault="002D3B12">
          <w:r>
            <w:rPr>
              <w:b/>
              <w:bCs/>
              <w:noProof/>
            </w:rPr>
            <w:fldChar w:fldCharType="end"/>
          </w:r>
        </w:p>
      </w:sdtContent>
    </w:sdt>
    <w:p w14:paraId="5EB872C3" w14:textId="77777777" w:rsidR="002D3B12" w:rsidRDefault="002D3B12" w:rsidP="002D3B12">
      <w:pPr>
        <w:pStyle w:val="Title"/>
      </w:pPr>
    </w:p>
    <w:p w14:paraId="54F3C465" w14:textId="77777777" w:rsidR="002D3B12" w:rsidRDefault="002D3B12" w:rsidP="002D3B12">
      <w:pPr>
        <w:pStyle w:val="Title"/>
      </w:pPr>
    </w:p>
    <w:p w14:paraId="030060C1" w14:textId="77777777" w:rsidR="002D3B12" w:rsidRDefault="002D3B12" w:rsidP="002D3B12">
      <w:pPr>
        <w:pStyle w:val="Title"/>
      </w:pPr>
    </w:p>
    <w:p w14:paraId="695811E8" w14:textId="77777777" w:rsidR="002D3B12" w:rsidRDefault="002D3B12" w:rsidP="002D3B12">
      <w:pPr>
        <w:pStyle w:val="Title"/>
      </w:pPr>
    </w:p>
    <w:p w14:paraId="79D9EF85" w14:textId="77777777" w:rsidR="002D3B12" w:rsidRDefault="002D3B12" w:rsidP="002D3B12">
      <w:pPr>
        <w:pStyle w:val="Title"/>
      </w:pPr>
    </w:p>
    <w:p w14:paraId="3C795760" w14:textId="77777777" w:rsidR="002D3B12" w:rsidRDefault="002D3B12" w:rsidP="002D3B12">
      <w:pPr>
        <w:pStyle w:val="Title"/>
      </w:pPr>
    </w:p>
    <w:p w14:paraId="75421E02" w14:textId="77777777" w:rsidR="002D3B12" w:rsidRDefault="002D3B12" w:rsidP="002D3B12">
      <w:pPr>
        <w:pStyle w:val="Title"/>
      </w:pPr>
    </w:p>
    <w:p w14:paraId="29152063" w14:textId="77777777" w:rsidR="002D3B12" w:rsidRDefault="002D3B12" w:rsidP="002D3B12">
      <w:pPr>
        <w:pStyle w:val="Title"/>
      </w:pPr>
    </w:p>
    <w:p w14:paraId="493C9116" w14:textId="77777777" w:rsidR="002D3B12" w:rsidRDefault="002D3B12" w:rsidP="002D3B12">
      <w:pPr>
        <w:pStyle w:val="Title"/>
      </w:pPr>
    </w:p>
    <w:p w14:paraId="3DACD555" w14:textId="77777777" w:rsidR="002D3B12" w:rsidRDefault="002D3B12" w:rsidP="002D3B12">
      <w:pPr>
        <w:pStyle w:val="Title"/>
      </w:pPr>
    </w:p>
    <w:p w14:paraId="323BAD8A" w14:textId="77777777" w:rsidR="002D3B12" w:rsidRDefault="002D3B12" w:rsidP="002D3B12">
      <w:pPr>
        <w:pStyle w:val="Title"/>
      </w:pPr>
    </w:p>
    <w:p w14:paraId="03515E62" w14:textId="77777777" w:rsidR="002D3B12" w:rsidRDefault="002D3B12" w:rsidP="002D3B12">
      <w:pPr>
        <w:pStyle w:val="Title"/>
      </w:pPr>
    </w:p>
    <w:p w14:paraId="5342BE58" w14:textId="77777777" w:rsidR="002D3B12" w:rsidRDefault="002D3B12" w:rsidP="002D3B12">
      <w:pPr>
        <w:pStyle w:val="Title"/>
      </w:pPr>
    </w:p>
    <w:p w14:paraId="222764E8" w14:textId="639E8435" w:rsidR="002D3B12" w:rsidRDefault="002D3B12" w:rsidP="002D3B12">
      <w:pPr>
        <w:pStyle w:val="Title"/>
      </w:pPr>
      <w:r>
        <w:lastRenderedPageBreak/>
        <w:t>Stakeholder Management Plan: New Public Park</w:t>
      </w:r>
    </w:p>
    <w:p w14:paraId="6591B707" w14:textId="77777777" w:rsidR="002D3B12" w:rsidRDefault="002D3B12">
      <w:pPr>
        <w:pStyle w:val="Heading1"/>
        <w:spacing w:before="360" w:after="240" w:line="360" w:lineRule="auto"/>
        <w:rPr>
          <w:b/>
          <w:bCs/>
        </w:rPr>
      </w:pPr>
    </w:p>
    <w:p w14:paraId="6F731356" w14:textId="68D8F090" w:rsidR="00402B16" w:rsidRPr="002D3B12" w:rsidRDefault="001C2906" w:rsidP="002D3B12">
      <w:pPr>
        <w:pStyle w:val="Heading1"/>
      </w:pPr>
      <w:bookmarkStart w:id="0" w:name="_Toc235487966"/>
      <w:r>
        <w:t>Element 1: Introduction</w:t>
      </w:r>
      <w:bookmarkEnd w:id="0"/>
    </w:p>
    <w:p w14:paraId="470533B8" w14:textId="00C69250" w:rsidR="002C490E" w:rsidRDefault="002C490E" w:rsidP="002C490E">
      <w:pPr>
        <w:spacing w:after="120" w:line="360" w:lineRule="auto"/>
        <w:jc w:val="both"/>
      </w:pPr>
      <w:r>
        <w:t>I am the Junior Stakeholder Manager in our consultancy team․ We were commissioned by our local Council to create a Stakeholder Management Plan for a New Public Park on an area of underutilised open space․ The area is a fragmented and poorly maintained patch work of green space in the mixed residential and light industrial Meadowgate Ward of a mid-sized town in the UK․ The area is a high priority for the Council as part of an urban greening and community wellbeing strategy․</w:t>
      </w:r>
    </w:p>
    <w:p w14:paraId="2D9DEBAB" w14:textId="77777777" w:rsidR="002C490E" w:rsidRDefault="002C490E" w:rsidP="002C490E">
      <w:pPr>
        <w:spacing w:after="120" w:line="360" w:lineRule="auto"/>
        <w:jc w:val="both"/>
      </w:pPr>
      <w:r>
        <w:t>It also has social and environmental benefits; a high quality green space is good for people's physical health‚ mental wellbeing and community cohesion․ The benefits to local people are especially valuable in a ward that has little green public space‚ and it also helps to meet some of the council's objectives in biodiversity net gain and climate resilience․ The project Cheshire East has achieved this through native tree planting and sustainable drainage․ It is intended that it will be a civic space used to encourage informal interaction and social mixing between different generations and people with different backgrounds and also be supportive of a wider regeneration of the surrounding area․</w:t>
      </w:r>
    </w:p>
    <w:p w14:paraId="307C3834" w14:textId="0955C7B1" w:rsidR="00402B16" w:rsidRDefault="002C490E" w:rsidP="002C490E">
      <w:pPr>
        <w:spacing w:after="120" w:line="360" w:lineRule="auto"/>
        <w:jc w:val="both"/>
      </w:pPr>
      <w:r>
        <w:t xml:space="preserve">In order to deliver the New Public </w:t>
      </w:r>
      <w:proofErr w:type="spellStart"/>
      <w:r>
        <w:t>Park‚it</w:t>
      </w:r>
      <w:proofErr w:type="spellEnd"/>
      <w:r>
        <w:t xml:space="preserve"> is necessary to identify and engage with a wide variety of stakeholders with different levels of interest and power in relation to the proposal․ At least six groups of stakeholders have been identified‚ along with the benefits that the New Public Park would provide for them (Freeman‚ 1984)․Local people living adjacent to, or within reasonable walking distance of, the proposed site benefit from additional recreational and social space, opportunities for outdoor exercise and improved amenity in their area.</w:t>
      </w:r>
    </w:p>
    <w:p w14:paraId="69C694A6" w14:textId="16C1F706" w:rsidR="002C490E" w:rsidRDefault="002C490E" w:rsidP="002C490E">
      <w:pPr>
        <w:pStyle w:val="ListParagraph"/>
        <w:numPr>
          <w:ilvl w:val="0"/>
          <w:numId w:val="4"/>
        </w:numPr>
        <w:spacing w:after="100" w:line="360" w:lineRule="auto"/>
        <w:jc w:val="both"/>
      </w:pPr>
      <w:r>
        <w:t>The local authority's Planning and Parks &amp; Leisure departments are also interested as it contributes toward their green-space and public health targets‚ and gives them an opportunity to visibly invest in local infrastructure․</w:t>
      </w:r>
    </w:p>
    <w:p w14:paraId="024191DB" w14:textId="4F8F15E6" w:rsidR="002C490E" w:rsidRDefault="002C490E" w:rsidP="002C490E">
      <w:pPr>
        <w:pStyle w:val="ListParagraph"/>
        <w:numPr>
          <w:ilvl w:val="0"/>
          <w:numId w:val="4"/>
        </w:numPr>
        <w:spacing w:after="100" w:line="360" w:lineRule="auto"/>
        <w:jc w:val="both"/>
      </w:pPr>
      <w:r>
        <w:t>Local schools‚ whose pupils and staff are able to access and benefit from safe‚ outdoor learning and play space․</w:t>
      </w:r>
    </w:p>
    <w:p w14:paraId="2885211A" w14:textId="483326F5" w:rsidR="002C490E" w:rsidRDefault="002C490E" w:rsidP="002C490E">
      <w:pPr>
        <w:pStyle w:val="ListParagraph"/>
        <w:numPr>
          <w:ilvl w:val="0"/>
          <w:numId w:val="4"/>
        </w:numPr>
        <w:spacing w:after="100" w:line="360" w:lineRule="auto"/>
        <w:jc w:val="both"/>
      </w:pPr>
      <w:r>
        <w:lastRenderedPageBreak/>
        <w:t>Older and disabled residents‚ represented in part by local accessibility and community support groups such as Age UK and the local Disability Forum‚ who benefit from step-free access‚ seating and other features that reduce social isolation․</w:t>
      </w:r>
    </w:p>
    <w:p w14:paraId="1653B22D" w14:textId="1850FD57" w:rsidR="002C490E" w:rsidRDefault="002C490E" w:rsidP="002C490E">
      <w:pPr>
        <w:pStyle w:val="ListParagraph"/>
        <w:numPr>
          <w:ilvl w:val="0"/>
          <w:numId w:val="4"/>
        </w:numPr>
        <w:spacing w:after="100" w:line="360" w:lineRule="auto"/>
        <w:jc w:val="both"/>
      </w:pPr>
      <w:r>
        <w:t>Businesses such as independent cafes and other small retail outlets in the vicinity of the site who would benefit from the increase in footfall resulting from visitors to the park‚ with the associated rise in trade expected to support local employment; although evidence from wider UK regeneration programmes cautions that increases in area-level economic activity do not always translate into improved employment outcomes for existing local residents‚ so this benefit should be monitored rather than assumed (Gibbons‚ Overman and Sarvimäki‚ 2021)․</w:t>
      </w:r>
    </w:p>
    <w:p w14:paraId="23E716A8" w14:textId="6B783E0E" w:rsidR="002C490E" w:rsidRDefault="002C490E" w:rsidP="002C490E">
      <w:pPr>
        <w:pStyle w:val="ListParagraph"/>
        <w:numPr>
          <w:ilvl w:val="0"/>
          <w:numId w:val="4"/>
        </w:numPr>
        <w:spacing w:after="100" w:line="360" w:lineRule="auto"/>
        <w:jc w:val="both"/>
      </w:pPr>
      <w:r>
        <w:t>Environmental and conservation organisations‚ such as the local Wildlife Trust‚ which benefit from new habitat creation and community-led conservation activity․</w:t>
      </w:r>
    </w:p>
    <w:p w14:paraId="735CE83F" w14:textId="16562D2F" w:rsidR="002C490E" w:rsidRDefault="002C490E" w:rsidP="002C490E">
      <w:pPr>
        <w:pStyle w:val="ListParagraph"/>
        <w:numPr>
          <w:ilvl w:val="0"/>
          <w:numId w:val="4"/>
        </w:numPr>
        <w:spacing w:after="100" w:line="360" w:lineRule="auto"/>
        <w:jc w:val="both"/>
      </w:pPr>
      <w:r>
        <w:t>External funding agencies (notably the central government regeneration grants) have an interest in its delivery as a successful flagship community project reflects well on their policy direction and credibility․</w:t>
      </w:r>
    </w:p>
    <w:p w14:paraId="1E0AAF60" w14:textId="77777777" w:rsidR="002C490E" w:rsidRDefault="002C490E" w:rsidP="002C490E">
      <w:pPr>
        <w:spacing w:after="100" w:line="360" w:lineRule="auto"/>
        <w:jc w:val="both"/>
      </w:pPr>
      <w:r>
        <w:t>This‚ then‚ has painted in broad strokes the project's context‚ aims‚ and stakeholders‚ next we will examine in detail how the landscape is applied to specific engagement tools and strategies․</w:t>
      </w:r>
    </w:p>
    <w:p w14:paraId="24C38E5A" w14:textId="0310293D" w:rsidR="00402B16" w:rsidRDefault="001C2906" w:rsidP="002D3B12">
      <w:pPr>
        <w:pStyle w:val="Heading1"/>
      </w:pPr>
      <w:bookmarkStart w:id="1" w:name="_Toc235487967"/>
      <w:r>
        <w:t>Element 2: Application – Stakeholder Engagement Strategies</w:t>
      </w:r>
      <w:bookmarkEnd w:id="1"/>
    </w:p>
    <w:p w14:paraId="7D38E5DD" w14:textId="3D8E840D" w:rsidR="00402B16" w:rsidRDefault="002C490E">
      <w:pPr>
        <w:spacing w:after="120" w:line="360" w:lineRule="auto"/>
        <w:jc w:val="both"/>
      </w:pPr>
      <w:r>
        <w:t>On the basis of identifying the project stakeholders in Element 1‚ Element 2 addresses tools and techniques for stakeholder analysis and categorization‚ plotting stakeholder positions on a matrix and identifying their need for communication and consultation․ The fundamental tool for stakeholder analysis used in the chapters is Mendelow's (1991) power-interest matrix․ Its simple and practical approach makes it the most widely used and accessible method for stakeholder prioritisation when engaging stakeholders in the project (Bourne‚ 2009)․</w:t>
      </w:r>
    </w:p>
    <w:p w14:paraId="0AD740F4" w14:textId="77777777" w:rsidR="00402B16" w:rsidRPr="002D3B12" w:rsidRDefault="001C2906" w:rsidP="002D3B12">
      <w:pPr>
        <w:pStyle w:val="Heading2"/>
      </w:pPr>
      <w:bookmarkStart w:id="2" w:name="_Toc235487968"/>
      <w:r>
        <w:t>2.1 Power, Interest and Influence Table</w:t>
      </w:r>
      <w:bookmarkEnd w:id="2"/>
    </w:p>
    <w:p w14:paraId="7EE3993E" w14:textId="308B28B8" w:rsidR="00402B16" w:rsidRDefault="00CA659D">
      <w:pPr>
        <w:spacing w:after="120" w:line="360" w:lineRule="auto"/>
        <w:jc w:val="both"/>
      </w:pPr>
      <w:r>
        <w:t>In this paper‚ stakeholder power is defined as the ability to influence the decision-making and distribution of resources‚ stakeholder interest is defined as the extent to which the result of the project is of personal or organisational interest‚ and the stakeholder's influence can be defined as the ability to shape other stakeholders' views and activities (Freeman‚ 1984; Eskerod and Jepsen‚ 2013)․ The stakeholders' views of the three dimensions are categorised in Table 1 as high‚ medium or low․</w:t>
      </w:r>
    </w:p>
    <w:tbl>
      <w:tblPr>
        <w:tblW w:w="10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4A0" w:firstRow="1" w:lastRow="0" w:firstColumn="1" w:lastColumn="0" w:noHBand="0" w:noVBand="1"/>
      </w:tblPr>
      <w:tblGrid>
        <w:gridCol w:w="3600"/>
        <w:gridCol w:w="1800"/>
        <w:gridCol w:w="1800"/>
        <w:gridCol w:w="1800"/>
      </w:tblGrid>
      <w:tr w:rsidR="00402B16" w14:paraId="04536A70" w14:textId="77777777">
        <w:trPr>
          <w:tblHeader/>
        </w:trPr>
        <w:tc>
          <w:tcPr>
            <w:tcW w:w="3600" w:type="dxa"/>
            <w:shd w:val="clear" w:color="auto" w:fill="D9D9D9"/>
          </w:tcPr>
          <w:p w14:paraId="7C7AE019" w14:textId="77777777" w:rsidR="00402B16" w:rsidRDefault="001C2906">
            <w:pPr>
              <w:spacing w:before="40" w:after="40" w:line="300" w:lineRule="auto"/>
            </w:pPr>
            <w:r>
              <w:rPr>
                <w:b/>
                <w:bCs/>
                <w:sz w:val="22"/>
                <w:szCs w:val="22"/>
              </w:rPr>
              <w:lastRenderedPageBreak/>
              <w:t>Stakeholder</w:t>
            </w:r>
          </w:p>
        </w:tc>
        <w:tc>
          <w:tcPr>
            <w:tcW w:w="1800" w:type="dxa"/>
            <w:shd w:val="clear" w:color="auto" w:fill="D9D9D9"/>
          </w:tcPr>
          <w:p w14:paraId="10F41399" w14:textId="77777777" w:rsidR="00402B16" w:rsidRDefault="001C2906">
            <w:pPr>
              <w:spacing w:before="40" w:after="40" w:line="300" w:lineRule="auto"/>
              <w:jc w:val="center"/>
            </w:pPr>
            <w:r>
              <w:rPr>
                <w:b/>
                <w:bCs/>
                <w:sz w:val="22"/>
                <w:szCs w:val="22"/>
              </w:rPr>
              <w:t>Power</w:t>
            </w:r>
          </w:p>
        </w:tc>
        <w:tc>
          <w:tcPr>
            <w:tcW w:w="1800" w:type="dxa"/>
            <w:shd w:val="clear" w:color="auto" w:fill="D9D9D9"/>
          </w:tcPr>
          <w:p w14:paraId="7EA09970" w14:textId="77777777" w:rsidR="00402B16" w:rsidRDefault="001C2906">
            <w:pPr>
              <w:spacing w:before="40" w:after="40" w:line="300" w:lineRule="auto"/>
              <w:jc w:val="center"/>
            </w:pPr>
            <w:r>
              <w:rPr>
                <w:b/>
                <w:bCs/>
                <w:sz w:val="22"/>
                <w:szCs w:val="22"/>
              </w:rPr>
              <w:t>Interest</w:t>
            </w:r>
          </w:p>
        </w:tc>
        <w:tc>
          <w:tcPr>
            <w:tcW w:w="1800" w:type="dxa"/>
            <w:shd w:val="clear" w:color="auto" w:fill="D9D9D9"/>
          </w:tcPr>
          <w:p w14:paraId="722B5B1D" w14:textId="77777777" w:rsidR="00402B16" w:rsidRDefault="001C2906">
            <w:pPr>
              <w:spacing w:before="40" w:after="40" w:line="300" w:lineRule="auto"/>
              <w:jc w:val="center"/>
            </w:pPr>
            <w:r>
              <w:rPr>
                <w:b/>
                <w:bCs/>
                <w:sz w:val="22"/>
                <w:szCs w:val="22"/>
              </w:rPr>
              <w:t>Influence</w:t>
            </w:r>
          </w:p>
        </w:tc>
      </w:tr>
      <w:tr w:rsidR="00402B16" w14:paraId="533A0AFA" w14:textId="77777777">
        <w:tc>
          <w:tcPr>
            <w:tcW w:w="3600" w:type="dxa"/>
          </w:tcPr>
          <w:p w14:paraId="0F270AC1" w14:textId="77777777" w:rsidR="00402B16" w:rsidRDefault="001C2906">
            <w:pPr>
              <w:spacing w:before="40" w:after="40" w:line="300" w:lineRule="auto"/>
            </w:pPr>
            <w:r>
              <w:rPr>
                <w:sz w:val="22"/>
                <w:szCs w:val="22"/>
              </w:rPr>
              <w:t>Local residents</w:t>
            </w:r>
          </w:p>
        </w:tc>
        <w:tc>
          <w:tcPr>
            <w:tcW w:w="1800" w:type="dxa"/>
          </w:tcPr>
          <w:p w14:paraId="67D44D33" w14:textId="77777777" w:rsidR="00402B16" w:rsidRDefault="001C2906">
            <w:pPr>
              <w:spacing w:before="40" w:after="40" w:line="300" w:lineRule="auto"/>
              <w:jc w:val="center"/>
            </w:pPr>
            <w:r>
              <w:rPr>
                <w:sz w:val="22"/>
                <w:szCs w:val="22"/>
              </w:rPr>
              <w:t>Medium</w:t>
            </w:r>
          </w:p>
        </w:tc>
        <w:tc>
          <w:tcPr>
            <w:tcW w:w="1800" w:type="dxa"/>
          </w:tcPr>
          <w:p w14:paraId="56A29B7B" w14:textId="77777777" w:rsidR="00402B16" w:rsidRDefault="001C2906">
            <w:pPr>
              <w:spacing w:before="40" w:after="40" w:line="300" w:lineRule="auto"/>
              <w:jc w:val="center"/>
            </w:pPr>
            <w:r>
              <w:rPr>
                <w:sz w:val="22"/>
                <w:szCs w:val="22"/>
              </w:rPr>
              <w:t>High</w:t>
            </w:r>
          </w:p>
        </w:tc>
        <w:tc>
          <w:tcPr>
            <w:tcW w:w="1800" w:type="dxa"/>
          </w:tcPr>
          <w:p w14:paraId="3733A47C" w14:textId="77777777" w:rsidR="00402B16" w:rsidRDefault="001C2906">
            <w:pPr>
              <w:spacing w:before="40" w:after="40" w:line="300" w:lineRule="auto"/>
              <w:jc w:val="center"/>
            </w:pPr>
            <w:r>
              <w:rPr>
                <w:sz w:val="22"/>
                <w:szCs w:val="22"/>
              </w:rPr>
              <w:t>Medium</w:t>
            </w:r>
          </w:p>
        </w:tc>
      </w:tr>
      <w:tr w:rsidR="00402B16" w14:paraId="16E3F8F2" w14:textId="77777777">
        <w:tc>
          <w:tcPr>
            <w:tcW w:w="3600" w:type="dxa"/>
          </w:tcPr>
          <w:p w14:paraId="74C4022B" w14:textId="77777777" w:rsidR="00402B16" w:rsidRDefault="001C2906">
            <w:pPr>
              <w:spacing w:before="40" w:after="40" w:line="300" w:lineRule="auto"/>
            </w:pPr>
            <w:r>
              <w:rPr>
                <w:sz w:val="22"/>
                <w:szCs w:val="22"/>
              </w:rPr>
              <w:t>Local authority (Planning &amp; Parks)</w:t>
            </w:r>
          </w:p>
        </w:tc>
        <w:tc>
          <w:tcPr>
            <w:tcW w:w="1800" w:type="dxa"/>
          </w:tcPr>
          <w:p w14:paraId="1E94144C" w14:textId="77777777" w:rsidR="00402B16" w:rsidRDefault="001C2906">
            <w:pPr>
              <w:spacing w:before="40" w:after="40" w:line="300" w:lineRule="auto"/>
              <w:jc w:val="center"/>
            </w:pPr>
            <w:r>
              <w:rPr>
                <w:sz w:val="22"/>
                <w:szCs w:val="22"/>
              </w:rPr>
              <w:t>High</w:t>
            </w:r>
          </w:p>
        </w:tc>
        <w:tc>
          <w:tcPr>
            <w:tcW w:w="1800" w:type="dxa"/>
          </w:tcPr>
          <w:p w14:paraId="31DB7802" w14:textId="77777777" w:rsidR="00402B16" w:rsidRDefault="001C2906">
            <w:pPr>
              <w:spacing w:before="40" w:after="40" w:line="300" w:lineRule="auto"/>
              <w:jc w:val="center"/>
            </w:pPr>
            <w:r>
              <w:rPr>
                <w:sz w:val="22"/>
                <w:szCs w:val="22"/>
              </w:rPr>
              <w:t>High</w:t>
            </w:r>
          </w:p>
        </w:tc>
        <w:tc>
          <w:tcPr>
            <w:tcW w:w="1800" w:type="dxa"/>
          </w:tcPr>
          <w:p w14:paraId="4B97BABE" w14:textId="77777777" w:rsidR="00402B16" w:rsidRDefault="001C2906">
            <w:pPr>
              <w:spacing w:before="40" w:after="40" w:line="300" w:lineRule="auto"/>
              <w:jc w:val="center"/>
            </w:pPr>
            <w:r>
              <w:rPr>
                <w:sz w:val="22"/>
                <w:szCs w:val="22"/>
              </w:rPr>
              <w:t>High</w:t>
            </w:r>
          </w:p>
        </w:tc>
      </w:tr>
      <w:tr w:rsidR="00402B16" w14:paraId="60AD2C87" w14:textId="77777777">
        <w:tc>
          <w:tcPr>
            <w:tcW w:w="3600" w:type="dxa"/>
          </w:tcPr>
          <w:p w14:paraId="42D2214C" w14:textId="77777777" w:rsidR="00402B16" w:rsidRDefault="001C2906">
            <w:pPr>
              <w:spacing w:before="40" w:after="40" w:line="300" w:lineRule="auto"/>
            </w:pPr>
            <w:r>
              <w:rPr>
                <w:sz w:val="22"/>
                <w:szCs w:val="22"/>
              </w:rPr>
              <w:t>Local schools</w:t>
            </w:r>
          </w:p>
        </w:tc>
        <w:tc>
          <w:tcPr>
            <w:tcW w:w="1800" w:type="dxa"/>
          </w:tcPr>
          <w:p w14:paraId="12544218" w14:textId="77777777" w:rsidR="00402B16" w:rsidRDefault="001C2906">
            <w:pPr>
              <w:spacing w:before="40" w:after="40" w:line="300" w:lineRule="auto"/>
              <w:jc w:val="center"/>
            </w:pPr>
            <w:r>
              <w:rPr>
                <w:sz w:val="22"/>
                <w:szCs w:val="22"/>
              </w:rPr>
              <w:t>Low</w:t>
            </w:r>
          </w:p>
        </w:tc>
        <w:tc>
          <w:tcPr>
            <w:tcW w:w="1800" w:type="dxa"/>
          </w:tcPr>
          <w:p w14:paraId="45785242" w14:textId="77777777" w:rsidR="00402B16" w:rsidRDefault="001C2906">
            <w:pPr>
              <w:spacing w:before="40" w:after="40" w:line="300" w:lineRule="auto"/>
              <w:jc w:val="center"/>
            </w:pPr>
            <w:r>
              <w:rPr>
                <w:sz w:val="22"/>
                <w:szCs w:val="22"/>
              </w:rPr>
              <w:t>Medium</w:t>
            </w:r>
          </w:p>
        </w:tc>
        <w:tc>
          <w:tcPr>
            <w:tcW w:w="1800" w:type="dxa"/>
          </w:tcPr>
          <w:p w14:paraId="33F88904" w14:textId="77777777" w:rsidR="00402B16" w:rsidRDefault="001C2906">
            <w:pPr>
              <w:spacing w:before="40" w:after="40" w:line="300" w:lineRule="auto"/>
              <w:jc w:val="center"/>
            </w:pPr>
            <w:r>
              <w:rPr>
                <w:sz w:val="22"/>
                <w:szCs w:val="22"/>
              </w:rPr>
              <w:t>Low</w:t>
            </w:r>
          </w:p>
        </w:tc>
      </w:tr>
      <w:tr w:rsidR="00402B16" w14:paraId="7A55FE12" w14:textId="77777777">
        <w:tc>
          <w:tcPr>
            <w:tcW w:w="3600" w:type="dxa"/>
          </w:tcPr>
          <w:p w14:paraId="6E921B38" w14:textId="77777777" w:rsidR="00402B16" w:rsidRDefault="001C2906">
            <w:pPr>
              <w:spacing w:before="40" w:after="40" w:line="300" w:lineRule="auto"/>
            </w:pPr>
            <w:r>
              <w:rPr>
                <w:sz w:val="22"/>
                <w:szCs w:val="22"/>
              </w:rPr>
              <w:t>Elderly/disabled residents &amp; advocacy groups</w:t>
            </w:r>
          </w:p>
        </w:tc>
        <w:tc>
          <w:tcPr>
            <w:tcW w:w="1800" w:type="dxa"/>
          </w:tcPr>
          <w:p w14:paraId="762B2DEC" w14:textId="77777777" w:rsidR="00402B16" w:rsidRDefault="001C2906">
            <w:pPr>
              <w:spacing w:before="40" w:after="40" w:line="300" w:lineRule="auto"/>
              <w:jc w:val="center"/>
            </w:pPr>
            <w:r>
              <w:rPr>
                <w:sz w:val="22"/>
                <w:szCs w:val="22"/>
              </w:rPr>
              <w:t>Low</w:t>
            </w:r>
          </w:p>
        </w:tc>
        <w:tc>
          <w:tcPr>
            <w:tcW w:w="1800" w:type="dxa"/>
          </w:tcPr>
          <w:p w14:paraId="718DBD3A" w14:textId="77777777" w:rsidR="00402B16" w:rsidRDefault="001C2906">
            <w:pPr>
              <w:spacing w:before="40" w:after="40" w:line="300" w:lineRule="auto"/>
              <w:jc w:val="center"/>
            </w:pPr>
            <w:r>
              <w:rPr>
                <w:sz w:val="22"/>
                <w:szCs w:val="22"/>
              </w:rPr>
              <w:t>High</w:t>
            </w:r>
          </w:p>
        </w:tc>
        <w:tc>
          <w:tcPr>
            <w:tcW w:w="1800" w:type="dxa"/>
          </w:tcPr>
          <w:p w14:paraId="65A15C12" w14:textId="77777777" w:rsidR="00402B16" w:rsidRDefault="001C2906">
            <w:pPr>
              <w:spacing w:before="40" w:after="40" w:line="300" w:lineRule="auto"/>
              <w:jc w:val="center"/>
            </w:pPr>
            <w:r>
              <w:rPr>
                <w:sz w:val="22"/>
                <w:szCs w:val="22"/>
              </w:rPr>
              <w:t>Medium</w:t>
            </w:r>
          </w:p>
        </w:tc>
      </w:tr>
      <w:tr w:rsidR="00402B16" w14:paraId="393CA01A" w14:textId="77777777">
        <w:tc>
          <w:tcPr>
            <w:tcW w:w="3600" w:type="dxa"/>
          </w:tcPr>
          <w:p w14:paraId="5000E915" w14:textId="77777777" w:rsidR="00402B16" w:rsidRDefault="001C2906">
            <w:pPr>
              <w:spacing w:before="40" w:after="40" w:line="300" w:lineRule="auto"/>
            </w:pPr>
            <w:r>
              <w:rPr>
                <w:sz w:val="22"/>
                <w:szCs w:val="22"/>
              </w:rPr>
              <w:t>Local businesses</w:t>
            </w:r>
          </w:p>
        </w:tc>
        <w:tc>
          <w:tcPr>
            <w:tcW w:w="1800" w:type="dxa"/>
          </w:tcPr>
          <w:p w14:paraId="4DFA9DE0" w14:textId="77777777" w:rsidR="00402B16" w:rsidRDefault="001C2906">
            <w:pPr>
              <w:spacing w:before="40" w:after="40" w:line="300" w:lineRule="auto"/>
              <w:jc w:val="center"/>
            </w:pPr>
            <w:r>
              <w:rPr>
                <w:sz w:val="22"/>
                <w:szCs w:val="22"/>
              </w:rPr>
              <w:t>Medium</w:t>
            </w:r>
          </w:p>
        </w:tc>
        <w:tc>
          <w:tcPr>
            <w:tcW w:w="1800" w:type="dxa"/>
          </w:tcPr>
          <w:p w14:paraId="22876CA6" w14:textId="77777777" w:rsidR="00402B16" w:rsidRDefault="001C2906">
            <w:pPr>
              <w:spacing w:before="40" w:after="40" w:line="300" w:lineRule="auto"/>
              <w:jc w:val="center"/>
            </w:pPr>
            <w:r>
              <w:rPr>
                <w:sz w:val="22"/>
                <w:szCs w:val="22"/>
              </w:rPr>
              <w:t>Medium</w:t>
            </w:r>
          </w:p>
        </w:tc>
        <w:tc>
          <w:tcPr>
            <w:tcW w:w="1800" w:type="dxa"/>
          </w:tcPr>
          <w:p w14:paraId="405FE0B7" w14:textId="77777777" w:rsidR="00402B16" w:rsidRDefault="001C2906">
            <w:pPr>
              <w:spacing w:before="40" w:after="40" w:line="300" w:lineRule="auto"/>
              <w:jc w:val="center"/>
            </w:pPr>
            <w:r>
              <w:rPr>
                <w:sz w:val="22"/>
                <w:szCs w:val="22"/>
              </w:rPr>
              <w:t>Low</w:t>
            </w:r>
          </w:p>
        </w:tc>
      </w:tr>
      <w:tr w:rsidR="00402B16" w14:paraId="493D558E" w14:textId="77777777">
        <w:tc>
          <w:tcPr>
            <w:tcW w:w="3600" w:type="dxa"/>
          </w:tcPr>
          <w:p w14:paraId="65D6D431" w14:textId="77777777" w:rsidR="00402B16" w:rsidRDefault="001C2906">
            <w:pPr>
              <w:spacing w:before="40" w:after="40" w:line="300" w:lineRule="auto"/>
            </w:pPr>
            <w:r>
              <w:rPr>
                <w:sz w:val="22"/>
                <w:szCs w:val="22"/>
              </w:rPr>
              <w:t>Environmental/conservation organisation</w:t>
            </w:r>
          </w:p>
        </w:tc>
        <w:tc>
          <w:tcPr>
            <w:tcW w:w="1800" w:type="dxa"/>
          </w:tcPr>
          <w:p w14:paraId="7D975854" w14:textId="77777777" w:rsidR="00402B16" w:rsidRDefault="001C2906">
            <w:pPr>
              <w:spacing w:before="40" w:after="40" w:line="300" w:lineRule="auto"/>
              <w:jc w:val="center"/>
            </w:pPr>
            <w:r>
              <w:rPr>
                <w:sz w:val="22"/>
                <w:szCs w:val="22"/>
              </w:rPr>
              <w:t>Medium</w:t>
            </w:r>
          </w:p>
        </w:tc>
        <w:tc>
          <w:tcPr>
            <w:tcW w:w="1800" w:type="dxa"/>
          </w:tcPr>
          <w:p w14:paraId="32248A60" w14:textId="77777777" w:rsidR="00402B16" w:rsidRDefault="001C2906">
            <w:pPr>
              <w:spacing w:before="40" w:after="40" w:line="300" w:lineRule="auto"/>
              <w:jc w:val="center"/>
            </w:pPr>
            <w:r>
              <w:rPr>
                <w:sz w:val="22"/>
                <w:szCs w:val="22"/>
              </w:rPr>
              <w:t>High</w:t>
            </w:r>
          </w:p>
        </w:tc>
        <w:tc>
          <w:tcPr>
            <w:tcW w:w="1800" w:type="dxa"/>
          </w:tcPr>
          <w:p w14:paraId="3EDD4218" w14:textId="77777777" w:rsidR="00402B16" w:rsidRDefault="001C2906">
            <w:pPr>
              <w:spacing w:before="40" w:after="40" w:line="300" w:lineRule="auto"/>
              <w:jc w:val="center"/>
            </w:pPr>
            <w:r>
              <w:rPr>
                <w:sz w:val="22"/>
                <w:szCs w:val="22"/>
              </w:rPr>
              <w:t>Medium</w:t>
            </w:r>
          </w:p>
        </w:tc>
      </w:tr>
      <w:tr w:rsidR="00402B16" w14:paraId="0C823D1E" w14:textId="77777777">
        <w:tc>
          <w:tcPr>
            <w:tcW w:w="3600" w:type="dxa"/>
          </w:tcPr>
          <w:p w14:paraId="51080353" w14:textId="77777777" w:rsidR="00402B16" w:rsidRDefault="001C2906">
            <w:pPr>
              <w:spacing w:before="40" w:after="40" w:line="300" w:lineRule="auto"/>
            </w:pPr>
            <w:r>
              <w:rPr>
                <w:sz w:val="22"/>
                <w:szCs w:val="22"/>
              </w:rPr>
              <w:t>Funding body (central government scheme)</w:t>
            </w:r>
          </w:p>
        </w:tc>
        <w:tc>
          <w:tcPr>
            <w:tcW w:w="1800" w:type="dxa"/>
          </w:tcPr>
          <w:p w14:paraId="3B745FB8" w14:textId="77777777" w:rsidR="00402B16" w:rsidRDefault="001C2906">
            <w:pPr>
              <w:spacing w:before="40" w:after="40" w:line="300" w:lineRule="auto"/>
              <w:jc w:val="center"/>
            </w:pPr>
            <w:r>
              <w:rPr>
                <w:sz w:val="22"/>
                <w:szCs w:val="22"/>
              </w:rPr>
              <w:t>High</w:t>
            </w:r>
          </w:p>
        </w:tc>
        <w:tc>
          <w:tcPr>
            <w:tcW w:w="1800" w:type="dxa"/>
          </w:tcPr>
          <w:p w14:paraId="7A88E424" w14:textId="77777777" w:rsidR="00402B16" w:rsidRDefault="001C2906">
            <w:pPr>
              <w:spacing w:before="40" w:after="40" w:line="300" w:lineRule="auto"/>
              <w:jc w:val="center"/>
            </w:pPr>
            <w:r>
              <w:rPr>
                <w:sz w:val="22"/>
                <w:szCs w:val="22"/>
              </w:rPr>
              <w:t>Medium</w:t>
            </w:r>
          </w:p>
        </w:tc>
        <w:tc>
          <w:tcPr>
            <w:tcW w:w="1800" w:type="dxa"/>
          </w:tcPr>
          <w:p w14:paraId="70A53229" w14:textId="77777777" w:rsidR="00402B16" w:rsidRDefault="001C2906">
            <w:pPr>
              <w:spacing w:before="40" w:after="40" w:line="300" w:lineRule="auto"/>
              <w:jc w:val="center"/>
            </w:pPr>
            <w:r>
              <w:rPr>
                <w:sz w:val="22"/>
                <w:szCs w:val="22"/>
              </w:rPr>
              <w:t>High</w:t>
            </w:r>
          </w:p>
        </w:tc>
      </w:tr>
    </w:tbl>
    <w:p w14:paraId="7B6F62DD" w14:textId="77777777" w:rsidR="00402B16" w:rsidRDefault="001C2906">
      <w:pPr>
        <w:spacing w:before="80" w:after="240" w:line="360" w:lineRule="auto"/>
        <w:jc w:val="center"/>
      </w:pPr>
      <w:r>
        <w:rPr>
          <w:i/>
          <w:iCs/>
          <w:sz w:val="22"/>
          <w:szCs w:val="22"/>
        </w:rPr>
        <w:t>Table 1: Power, interest and influence positions of key stakeholders.</w:t>
      </w:r>
    </w:p>
    <w:p w14:paraId="7B30B69C" w14:textId="4011E39D" w:rsidR="00402B16" w:rsidRDefault="00CA659D">
      <w:pPr>
        <w:spacing w:after="120" w:line="360" w:lineRule="auto"/>
        <w:jc w:val="both"/>
      </w:pPr>
      <w:r>
        <w:t>The local authority has both power and interest rated highly․ They have the power and the budget to approve or deny the project; they are also directly concerned with the delivery of the policy outcomes․ The funding organization is rated highly for power and influence‚ and comparatively low in interest‚ as they only care about the achievement of milestones and progress information‚ not the design decision․ Local residents and environmental group have high interest and medium power‚ as they will be affected by the project regularly‚ but are not part of its decision-making ․Local schools and local businesses have low power and interest in the project as it will have an indirect impact on them․ The elderly and disabled in the locality have low power but high interest since the accessibility of the park is of concern to them․</w:t>
      </w:r>
    </w:p>
    <w:p w14:paraId="16DA8878" w14:textId="77777777" w:rsidR="00402B16" w:rsidRPr="002D3B12" w:rsidRDefault="001C2906" w:rsidP="002D3B12">
      <w:pPr>
        <w:pStyle w:val="Heading2"/>
      </w:pPr>
      <w:bookmarkStart w:id="3" w:name="_Toc235487969"/>
      <w:r>
        <w:t>2.2 Stakeholder Map</w:t>
      </w:r>
      <w:bookmarkEnd w:id="3"/>
    </w:p>
    <w:p w14:paraId="58B21891" w14:textId="3545185F" w:rsidR="00402B16" w:rsidRDefault="00CA659D">
      <w:pPr>
        <w:spacing w:after="120" w:line="360" w:lineRule="auto"/>
        <w:jc w:val="both"/>
      </w:pPr>
      <w:r>
        <w:t>Using Mendelow's (1991) power-interest grid‚ the participants can be placed into one of four quadrants‚ where each quadrant indicates the optimum general approach to their respective engagement: Manage Closely‚ Keep Satisfied‚ Keep Informed‚ and Monitor (see Table 2 for explanation of each quadrant)․</w:t>
      </w:r>
    </w:p>
    <w:tbl>
      <w:tblPr>
        <w:tblW w:w="10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4A0" w:firstRow="1" w:lastRow="0" w:firstColumn="1" w:lastColumn="0" w:noHBand="0" w:noVBand="1"/>
      </w:tblPr>
      <w:tblGrid>
        <w:gridCol w:w="2600"/>
        <w:gridCol w:w="3000"/>
        <w:gridCol w:w="3400"/>
      </w:tblGrid>
      <w:tr w:rsidR="00402B16" w14:paraId="50D235C6" w14:textId="77777777">
        <w:trPr>
          <w:tblHeader/>
        </w:trPr>
        <w:tc>
          <w:tcPr>
            <w:tcW w:w="2600" w:type="dxa"/>
            <w:shd w:val="clear" w:color="auto" w:fill="D9D9D9"/>
          </w:tcPr>
          <w:p w14:paraId="43655CA0" w14:textId="77777777" w:rsidR="00402B16" w:rsidRDefault="001C2906">
            <w:pPr>
              <w:spacing w:before="40" w:after="40" w:line="300" w:lineRule="auto"/>
            </w:pPr>
            <w:r>
              <w:rPr>
                <w:b/>
                <w:bCs/>
                <w:sz w:val="22"/>
                <w:szCs w:val="22"/>
              </w:rPr>
              <w:t>Quadrant</w:t>
            </w:r>
          </w:p>
        </w:tc>
        <w:tc>
          <w:tcPr>
            <w:tcW w:w="3000" w:type="dxa"/>
            <w:shd w:val="clear" w:color="auto" w:fill="D9D9D9"/>
          </w:tcPr>
          <w:p w14:paraId="229F39D2" w14:textId="77777777" w:rsidR="00402B16" w:rsidRDefault="001C2906">
            <w:pPr>
              <w:spacing w:before="40" w:after="40" w:line="300" w:lineRule="auto"/>
            </w:pPr>
            <w:r>
              <w:rPr>
                <w:b/>
                <w:bCs/>
                <w:sz w:val="22"/>
                <w:szCs w:val="22"/>
              </w:rPr>
              <w:t>Stakeholder(s)</w:t>
            </w:r>
          </w:p>
        </w:tc>
        <w:tc>
          <w:tcPr>
            <w:tcW w:w="3400" w:type="dxa"/>
            <w:shd w:val="clear" w:color="auto" w:fill="D9D9D9"/>
          </w:tcPr>
          <w:p w14:paraId="517A0302" w14:textId="77777777" w:rsidR="00402B16" w:rsidRDefault="001C2906">
            <w:pPr>
              <w:spacing w:before="40" w:after="40" w:line="300" w:lineRule="auto"/>
            </w:pPr>
            <w:r>
              <w:rPr>
                <w:b/>
                <w:bCs/>
                <w:sz w:val="22"/>
                <w:szCs w:val="22"/>
              </w:rPr>
              <w:t>Justification</w:t>
            </w:r>
          </w:p>
        </w:tc>
      </w:tr>
      <w:tr w:rsidR="00402B16" w14:paraId="14066AB4" w14:textId="77777777">
        <w:tc>
          <w:tcPr>
            <w:tcW w:w="2600" w:type="dxa"/>
          </w:tcPr>
          <w:p w14:paraId="2B65C2CD" w14:textId="77777777" w:rsidR="00402B16" w:rsidRDefault="001C2906">
            <w:pPr>
              <w:spacing w:before="40" w:after="40" w:line="300" w:lineRule="auto"/>
            </w:pPr>
            <w:r>
              <w:rPr>
                <w:sz w:val="22"/>
                <w:szCs w:val="22"/>
              </w:rPr>
              <w:t>Manage Closely (high power, high interest)</w:t>
            </w:r>
          </w:p>
        </w:tc>
        <w:tc>
          <w:tcPr>
            <w:tcW w:w="3000" w:type="dxa"/>
          </w:tcPr>
          <w:p w14:paraId="79EEEC17" w14:textId="77777777" w:rsidR="00402B16" w:rsidRDefault="001C2906">
            <w:pPr>
              <w:spacing w:before="40" w:after="40" w:line="300" w:lineRule="auto"/>
            </w:pPr>
            <w:r>
              <w:rPr>
                <w:sz w:val="22"/>
                <w:szCs w:val="22"/>
              </w:rPr>
              <w:t>Local authority (Planning &amp; Parks)</w:t>
            </w:r>
          </w:p>
        </w:tc>
        <w:tc>
          <w:tcPr>
            <w:tcW w:w="3400" w:type="dxa"/>
          </w:tcPr>
          <w:p w14:paraId="5DE42258" w14:textId="77777777" w:rsidR="00402B16" w:rsidRDefault="001C2906">
            <w:pPr>
              <w:spacing w:before="40" w:after="40" w:line="300" w:lineRule="auto"/>
            </w:pPr>
            <w:r>
              <w:rPr>
                <w:sz w:val="22"/>
                <w:szCs w:val="22"/>
              </w:rPr>
              <w:t>Holds ultimate decision-making authority and is directly affected by project success, requiring the most intensive and frequent engagement.</w:t>
            </w:r>
          </w:p>
        </w:tc>
      </w:tr>
      <w:tr w:rsidR="00402B16" w14:paraId="36E179A4" w14:textId="77777777">
        <w:tc>
          <w:tcPr>
            <w:tcW w:w="2600" w:type="dxa"/>
          </w:tcPr>
          <w:p w14:paraId="553841F9" w14:textId="77777777" w:rsidR="00402B16" w:rsidRDefault="001C2906">
            <w:pPr>
              <w:spacing w:before="40" w:after="40" w:line="300" w:lineRule="auto"/>
            </w:pPr>
            <w:r>
              <w:rPr>
                <w:sz w:val="22"/>
                <w:szCs w:val="22"/>
              </w:rPr>
              <w:t>Keep Satisfied (high power, lower interest)</w:t>
            </w:r>
          </w:p>
        </w:tc>
        <w:tc>
          <w:tcPr>
            <w:tcW w:w="3000" w:type="dxa"/>
          </w:tcPr>
          <w:p w14:paraId="6A47CB57" w14:textId="77777777" w:rsidR="00402B16" w:rsidRDefault="001C2906">
            <w:pPr>
              <w:spacing w:before="40" w:after="40" w:line="300" w:lineRule="auto"/>
            </w:pPr>
            <w:r>
              <w:rPr>
                <w:sz w:val="22"/>
                <w:szCs w:val="22"/>
              </w:rPr>
              <w:t>Funding body</w:t>
            </w:r>
          </w:p>
        </w:tc>
        <w:tc>
          <w:tcPr>
            <w:tcW w:w="3400" w:type="dxa"/>
          </w:tcPr>
          <w:p w14:paraId="5F50B94C" w14:textId="77777777" w:rsidR="00402B16" w:rsidRDefault="001C2906">
            <w:pPr>
              <w:spacing w:before="40" w:after="40" w:line="300" w:lineRule="auto"/>
            </w:pPr>
            <w:r>
              <w:rPr>
                <w:sz w:val="22"/>
                <w:szCs w:val="22"/>
              </w:rPr>
              <w:t>Controls essential financial resources but engages primarily at milestone points rather than in ongoing project detail.</w:t>
            </w:r>
          </w:p>
        </w:tc>
      </w:tr>
      <w:tr w:rsidR="00402B16" w14:paraId="6F9FDE02" w14:textId="77777777">
        <w:tc>
          <w:tcPr>
            <w:tcW w:w="2600" w:type="dxa"/>
          </w:tcPr>
          <w:p w14:paraId="03046B0A" w14:textId="77777777" w:rsidR="00402B16" w:rsidRDefault="001C2906">
            <w:pPr>
              <w:spacing w:before="40" w:after="40" w:line="300" w:lineRule="auto"/>
            </w:pPr>
            <w:r>
              <w:rPr>
                <w:sz w:val="22"/>
                <w:szCs w:val="22"/>
              </w:rPr>
              <w:lastRenderedPageBreak/>
              <w:t>Keep Informed (lower power, high interest)</w:t>
            </w:r>
          </w:p>
        </w:tc>
        <w:tc>
          <w:tcPr>
            <w:tcW w:w="3000" w:type="dxa"/>
          </w:tcPr>
          <w:p w14:paraId="5B8B05AB" w14:textId="77777777" w:rsidR="00402B16" w:rsidRDefault="001C2906">
            <w:pPr>
              <w:spacing w:before="40" w:after="40" w:line="300" w:lineRule="auto"/>
            </w:pPr>
            <w:r>
              <w:rPr>
                <w:sz w:val="22"/>
                <w:szCs w:val="22"/>
              </w:rPr>
              <w:t>Local residents; elderly/disabled advocacy groups; environmental organisation</w:t>
            </w:r>
          </w:p>
        </w:tc>
        <w:tc>
          <w:tcPr>
            <w:tcW w:w="3400" w:type="dxa"/>
          </w:tcPr>
          <w:p w14:paraId="7F656350" w14:textId="77777777" w:rsidR="00402B16" w:rsidRDefault="001C2906">
            <w:pPr>
              <w:spacing w:before="40" w:after="40" w:line="300" w:lineRule="auto"/>
            </w:pPr>
            <w:r>
              <w:rPr>
                <w:sz w:val="22"/>
                <w:szCs w:val="22"/>
              </w:rPr>
              <w:t>Strongly affected by the project's outcome and design, but without formal authority to approve or amend decisions; regular, accessible information reduces the risk of disengagement or objection.</w:t>
            </w:r>
          </w:p>
        </w:tc>
      </w:tr>
      <w:tr w:rsidR="00402B16" w14:paraId="6BF743EA" w14:textId="77777777">
        <w:tc>
          <w:tcPr>
            <w:tcW w:w="2600" w:type="dxa"/>
          </w:tcPr>
          <w:p w14:paraId="6314ECEF" w14:textId="77777777" w:rsidR="00402B16" w:rsidRDefault="001C2906">
            <w:pPr>
              <w:spacing w:before="40" w:after="40" w:line="300" w:lineRule="auto"/>
            </w:pPr>
            <w:r>
              <w:rPr>
                <w:sz w:val="22"/>
                <w:szCs w:val="22"/>
              </w:rPr>
              <w:t>Monitor (lower power, lower interest)</w:t>
            </w:r>
          </w:p>
        </w:tc>
        <w:tc>
          <w:tcPr>
            <w:tcW w:w="3000" w:type="dxa"/>
          </w:tcPr>
          <w:p w14:paraId="34D2708E" w14:textId="77777777" w:rsidR="00402B16" w:rsidRDefault="001C2906">
            <w:pPr>
              <w:spacing w:before="40" w:after="40" w:line="300" w:lineRule="auto"/>
            </w:pPr>
            <w:r>
              <w:rPr>
                <w:sz w:val="22"/>
                <w:szCs w:val="22"/>
              </w:rPr>
              <w:t>Local schools; local businesses</w:t>
            </w:r>
          </w:p>
        </w:tc>
        <w:tc>
          <w:tcPr>
            <w:tcW w:w="3400" w:type="dxa"/>
          </w:tcPr>
          <w:p w14:paraId="0834C85D" w14:textId="77777777" w:rsidR="00402B16" w:rsidRDefault="001C2906">
            <w:pPr>
              <w:spacing w:before="40" w:after="40" w:line="300" w:lineRule="auto"/>
            </w:pPr>
            <w:r>
              <w:rPr>
                <w:sz w:val="22"/>
                <w:szCs w:val="22"/>
              </w:rPr>
              <w:t>Affected only indirectly by the project; periodic, low-intensity updates are sufficient to maintain awareness without over-committing engagement resources.</w:t>
            </w:r>
          </w:p>
        </w:tc>
      </w:tr>
    </w:tbl>
    <w:p w14:paraId="07F567B0" w14:textId="77777777" w:rsidR="00402B16" w:rsidRDefault="001C2906">
      <w:pPr>
        <w:spacing w:before="80" w:after="240" w:line="360" w:lineRule="auto"/>
        <w:jc w:val="center"/>
      </w:pPr>
      <w:r>
        <w:rPr>
          <w:i/>
          <w:iCs/>
          <w:sz w:val="22"/>
          <w:szCs w:val="22"/>
        </w:rPr>
        <w:t>Table 2: Stakeholder positions mapped against Mendelow's (1991) power-interest grid.</w:t>
      </w:r>
    </w:p>
    <w:p w14:paraId="6C979231" w14:textId="3DD99B6C" w:rsidR="00402B16" w:rsidRDefault="00CA659D">
      <w:pPr>
        <w:spacing w:after="120" w:line="360" w:lineRule="auto"/>
        <w:jc w:val="both"/>
      </w:pPr>
      <w:r>
        <w:t>This mapping is not fixed․ As a project moves through its design‚ construction and delivery phases‚ stakeholders may move quadrants․ Local businesses‚ for example‚ may be more likely to move to Keep Informed during construction when disruption to footfall is more pressing (Bourne‚ 2009)․</w:t>
      </w:r>
    </w:p>
    <w:p w14:paraId="0DD0580B" w14:textId="77777777" w:rsidR="00402B16" w:rsidRPr="002D3B12" w:rsidRDefault="001C2906" w:rsidP="002D3B12">
      <w:pPr>
        <w:pStyle w:val="Heading2"/>
      </w:pPr>
      <w:bookmarkStart w:id="4" w:name="_Toc235487970"/>
      <w:r>
        <w:t>2.3 Communication Plan and Consultation Strategy</w:t>
      </w:r>
      <w:bookmarkEnd w:id="4"/>
    </w:p>
    <w:p w14:paraId="0CCE4364" w14:textId="18891B28" w:rsidR="00402B16" w:rsidRDefault="00CA659D">
      <w:pPr>
        <w:spacing w:after="120" w:line="360" w:lineRule="auto"/>
        <w:jc w:val="both"/>
      </w:pPr>
      <w:r>
        <w:t>The stakeholder communication plan (Table 5) translates the stakeholder map into corresponding engagement activities․ It uses the IAP2 (2018) spectrum of public participation to define the depth of engagement corresponding to a stakeholder quadrant and PMI (2021) to reflect the three constitutive principles of a stakeholder communication plan: what information to share‚ and when and via which medium․</w:t>
      </w:r>
    </w:p>
    <w:tbl>
      <w:tblPr>
        <w:tblW w:w="10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4A0" w:firstRow="1" w:lastRow="0" w:firstColumn="1" w:lastColumn="0" w:noHBand="0" w:noVBand="1"/>
      </w:tblPr>
      <w:tblGrid>
        <w:gridCol w:w="1700"/>
        <w:gridCol w:w="1900"/>
        <w:gridCol w:w="1600"/>
        <w:gridCol w:w="1800"/>
        <w:gridCol w:w="2000"/>
      </w:tblGrid>
      <w:tr w:rsidR="00402B16" w14:paraId="6ACB302C" w14:textId="77777777">
        <w:trPr>
          <w:tblHeader/>
        </w:trPr>
        <w:tc>
          <w:tcPr>
            <w:tcW w:w="1700" w:type="dxa"/>
            <w:shd w:val="clear" w:color="auto" w:fill="D9D9D9"/>
          </w:tcPr>
          <w:p w14:paraId="5FFBF8F1" w14:textId="77777777" w:rsidR="00402B16" w:rsidRDefault="001C2906">
            <w:pPr>
              <w:spacing w:before="40" w:after="40" w:line="300" w:lineRule="auto"/>
            </w:pPr>
            <w:r>
              <w:rPr>
                <w:b/>
                <w:bCs/>
                <w:sz w:val="22"/>
                <w:szCs w:val="22"/>
              </w:rPr>
              <w:t>Stakeholder</w:t>
            </w:r>
          </w:p>
        </w:tc>
        <w:tc>
          <w:tcPr>
            <w:tcW w:w="1900" w:type="dxa"/>
            <w:shd w:val="clear" w:color="auto" w:fill="D9D9D9"/>
          </w:tcPr>
          <w:p w14:paraId="608A166E" w14:textId="77777777" w:rsidR="00402B16" w:rsidRDefault="001C2906">
            <w:pPr>
              <w:spacing w:before="40" w:after="40" w:line="300" w:lineRule="auto"/>
            </w:pPr>
            <w:r>
              <w:rPr>
                <w:b/>
                <w:bCs/>
                <w:sz w:val="22"/>
                <w:szCs w:val="22"/>
              </w:rPr>
              <w:t>Information shared</w:t>
            </w:r>
          </w:p>
        </w:tc>
        <w:tc>
          <w:tcPr>
            <w:tcW w:w="1600" w:type="dxa"/>
            <w:shd w:val="clear" w:color="auto" w:fill="D9D9D9"/>
          </w:tcPr>
          <w:p w14:paraId="2C8B74D8" w14:textId="77777777" w:rsidR="00402B16" w:rsidRDefault="001C2906">
            <w:pPr>
              <w:spacing w:before="40" w:after="40" w:line="300" w:lineRule="auto"/>
            </w:pPr>
            <w:r>
              <w:rPr>
                <w:b/>
                <w:bCs/>
                <w:sz w:val="22"/>
                <w:szCs w:val="22"/>
              </w:rPr>
              <w:t>Timing</w:t>
            </w:r>
          </w:p>
        </w:tc>
        <w:tc>
          <w:tcPr>
            <w:tcW w:w="1800" w:type="dxa"/>
            <w:shd w:val="clear" w:color="auto" w:fill="D9D9D9"/>
          </w:tcPr>
          <w:p w14:paraId="7D0E581C" w14:textId="77777777" w:rsidR="00402B16" w:rsidRDefault="001C2906">
            <w:pPr>
              <w:spacing w:before="40" w:after="40" w:line="300" w:lineRule="auto"/>
            </w:pPr>
            <w:r>
              <w:rPr>
                <w:b/>
                <w:bCs/>
                <w:sz w:val="22"/>
                <w:szCs w:val="22"/>
              </w:rPr>
              <w:t>Medium</w:t>
            </w:r>
          </w:p>
        </w:tc>
        <w:tc>
          <w:tcPr>
            <w:tcW w:w="2000" w:type="dxa"/>
            <w:shd w:val="clear" w:color="auto" w:fill="D9D9D9"/>
          </w:tcPr>
          <w:p w14:paraId="2A571B9D" w14:textId="77777777" w:rsidR="00402B16" w:rsidRDefault="001C2906">
            <w:pPr>
              <w:spacing w:before="40" w:after="40" w:line="300" w:lineRule="auto"/>
            </w:pPr>
            <w:r>
              <w:rPr>
                <w:b/>
                <w:bCs/>
                <w:sz w:val="22"/>
                <w:szCs w:val="22"/>
              </w:rPr>
              <w:t>Justification</w:t>
            </w:r>
          </w:p>
        </w:tc>
      </w:tr>
      <w:tr w:rsidR="00402B16" w14:paraId="0CF7DCDA" w14:textId="77777777">
        <w:tc>
          <w:tcPr>
            <w:tcW w:w="1700" w:type="dxa"/>
          </w:tcPr>
          <w:p w14:paraId="1003F588" w14:textId="77777777" w:rsidR="00402B16" w:rsidRDefault="001C2906">
            <w:pPr>
              <w:spacing w:before="40" w:after="40" w:line="300" w:lineRule="auto"/>
            </w:pPr>
            <w:r>
              <w:rPr>
                <w:sz w:val="22"/>
                <w:szCs w:val="22"/>
              </w:rPr>
              <w:t>Local authority</w:t>
            </w:r>
          </w:p>
        </w:tc>
        <w:tc>
          <w:tcPr>
            <w:tcW w:w="1900" w:type="dxa"/>
          </w:tcPr>
          <w:p w14:paraId="02EF2B77" w14:textId="77777777" w:rsidR="00402B16" w:rsidRDefault="001C2906">
            <w:pPr>
              <w:spacing w:before="40" w:after="40" w:line="300" w:lineRule="auto"/>
            </w:pPr>
            <w:r>
              <w:rPr>
                <w:sz w:val="22"/>
                <w:szCs w:val="22"/>
              </w:rPr>
              <w:t>Detailed plans, budget and risk updates</w:t>
            </w:r>
          </w:p>
        </w:tc>
        <w:tc>
          <w:tcPr>
            <w:tcW w:w="1600" w:type="dxa"/>
          </w:tcPr>
          <w:p w14:paraId="2C632B87" w14:textId="77777777" w:rsidR="00402B16" w:rsidRDefault="001C2906">
            <w:pPr>
              <w:spacing w:before="40" w:after="40" w:line="300" w:lineRule="auto"/>
            </w:pPr>
            <w:r>
              <w:rPr>
                <w:sz w:val="22"/>
                <w:szCs w:val="22"/>
              </w:rPr>
              <w:t>Ongoing / monthly</w:t>
            </w:r>
          </w:p>
        </w:tc>
        <w:tc>
          <w:tcPr>
            <w:tcW w:w="1800" w:type="dxa"/>
          </w:tcPr>
          <w:p w14:paraId="7389B5D4" w14:textId="77777777" w:rsidR="00402B16" w:rsidRDefault="001C2906">
            <w:pPr>
              <w:spacing w:before="40" w:after="40" w:line="300" w:lineRule="auto"/>
            </w:pPr>
            <w:r>
              <w:rPr>
                <w:sz w:val="22"/>
                <w:szCs w:val="22"/>
              </w:rPr>
              <w:t>Formal meetings, written reports, email</w:t>
            </w:r>
          </w:p>
        </w:tc>
        <w:tc>
          <w:tcPr>
            <w:tcW w:w="2000" w:type="dxa"/>
          </w:tcPr>
          <w:p w14:paraId="05118A6B" w14:textId="77777777" w:rsidR="00402B16" w:rsidRDefault="001C2906">
            <w:pPr>
              <w:spacing w:before="40" w:after="40" w:line="300" w:lineRule="auto"/>
            </w:pPr>
            <w:r>
              <w:rPr>
                <w:sz w:val="22"/>
                <w:szCs w:val="22"/>
              </w:rPr>
              <w:t>High power and interest require close, frequent, detailed engagement to maintain decision-making alignment.</w:t>
            </w:r>
          </w:p>
        </w:tc>
      </w:tr>
      <w:tr w:rsidR="00402B16" w14:paraId="274E0BDA" w14:textId="77777777">
        <w:tc>
          <w:tcPr>
            <w:tcW w:w="1700" w:type="dxa"/>
          </w:tcPr>
          <w:p w14:paraId="1BE05098" w14:textId="77777777" w:rsidR="00402B16" w:rsidRDefault="001C2906">
            <w:pPr>
              <w:spacing w:before="40" w:after="40" w:line="300" w:lineRule="auto"/>
            </w:pPr>
            <w:r>
              <w:rPr>
                <w:sz w:val="22"/>
                <w:szCs w:val="22"/>
              </w:rPr>
              <w:t>Funding body</w:t>
            </w:r>
          </w:p>
        </w:tc>
        <w:tc>
          <w:tcPr>
            <w:tcW w:w="1900" w:type="dxa"/>
          </w:tcPr>
          <w:p w14:paraId="07808FF1" w14:textId="77777777" w:rsidR="00402B16" w:rsidRDefault="001C2906">
            <w:pPr>
              <w:spacing w:before="40" w:after="40" w:line="300" w:lineRule="auto"/>
            </w:pPr>
            <w:r>
              <w:rPr>
                <w:sz w:val="22"/>
                <w:szCs w:val="22"/>
              </w:rPr>
              <w:t>Milestone and KPI progress, financial reporting</w:t>
            </w:r>
          </w:p>
        </w:tc>
        <w:tc>
          <w:tcPr>
            <w:tcW w:w="1600" w:type="dxa"/>
          </w:tcPr>
          <w:p w14:paraId="6A1ED748" w14:textId="77777777" w:rsidR="00402B16" w:rsidRDefault="001C2906">
            <w:pPr>
              <w:spacing w:before="40" w:after="40" w:line="300" w:lineRule="auto"/>
            </w:pPr>
            <w:r>
              <w:rPr>
                <w:sz w:val="22"/>
                <w:szCs w:val="22"/>
              </w:rPr>
              <w:t>Quarterly / at agreed milestones</w:t>
            </w:r>
          </w:p>
        </w:tc>
        <w:tc>
          <w:tcPr>
            <w:tcW w:w="1800" w:type="dxa"/>
          </w:tcPr>
          <w:p w14:paraId="3C35D0FB" w14:textId="77777777" w:rsidR="00402B16" w:rsidRDefault="001C2906">
            <w:pPr>
              <w:spacing w:before="40" w:after="40" w:line="300" w:lineRule="auto"/>
            </w:pPr>
            <w:r>
              <w:rPr>
                <w:sz w:val="22"/>
                <w:szCs w:val="22"/>
              </w:rPr>
              <w:t>Formal written reports, scheduled review meetings</w:t>
            </w:r>
          </w:p>
        </w:tc>
        <w:tc>
          <w:tcPr>
            <w:tcW w:w="2000" w:type="dxa"/>
          </w:tcPr>
          <w:p w14:paraId="779EEF44" w14:textId="77777777" w:rsidR="00402B16" w:rsidRDefault="001C2906">
            <w:pPr>
              <w:spacing w:before="40" w:after="40" w:line="300" w:lineRule="auto"/>
            </w:pPr>
            <w:r>
              <w:rPr>
                <w:sz w:val="22"/>
                <w:szCs w:val="22"/>
              </w:rPr>
              <w:t xml:space="preserve">High power but moderate interest is best served through structured, less frequent reporting that satisfies </w:t>
            </w:r>
            <w:r>
              <w:rPr>
                <w:sz w:val="22"/>
                <w:szCs w:val="22"/>
              </w:rPr>
              <w:lastRenderedPageBreak/>
              <w:t>accountability requirements.</w:t>
            </w:r>
          </w:p>
        </w:tc>
      </w:tr>
      <w:tr w:rsidR="00402B16" w14:paraId="0C297CED" w14:textId="77777777">
        <w:tc>
          <w:tcPr>
            <w:tcW w:w="1700" w:type="dxa"/>
          </w:tcPr>
          <w:p w14:paraId="78295F51" w14:textId="77777777" w:rsidR="00402B16" w:rsidRDefault="001C2906">
            <w:pPr>
              <w:spacing w:before="40" w:after="40" w:line="300" w:lineRule="auto"/>
            </w:pPr>
            <w:r>
              <w:rPr>
                <w:sz w:val="22"/>
                <w:szCs w:val="22"/>
              </w:rPr>
              <w:lastRenderedPageBreak/>
              <w:t>Local residents</w:t>
            </w:r>
          </w:p>
        </w:tc>
        <w:tc>
          <w:tcPr>
            <w:tcW w:w="1900" w:type="dxa"/>
          </w:tcPr>
          <w:p w14:paraId="663A9E4F" w14:textId="77777777" w:rsidR="00402B16" w:rsidRDefault="001C2906">
            <w:pPr>
              <w:spacing w:before="40" w:after="40" w:line="300" w:lineRule="auto"/>
            </w:pPr>
            <w:r>
              <w:rPr>
                <w:sz w:val="22"/>
                <w:szCs w:val="22"/>
              </w:rPr>
              <w:t>Design proposals, timelines, construction disruption</w:t>
            </w:r>
          </w:p>
        </w:tc>
        <w:tc>
          <w:tcPr>
            <w:tcW w:w="1600" w:type="dxa"/>
          </w:tcPr>
          <w:p w14:paraId="71D82E83" w14:textId="77777777" w:rsidR="00402B16" w:rsidRDefault="001C2906">
            <w:pPr>
              <w:spacing w:before="40" w:after="40" w:line="300" w:lineRule="auto"/>
            </w:pPr>
            <w:r>
              <w:rPr>
                <w:sz w:val="22"/>
                <w:szCs w:val="22"/>
              </w:rPr>
              <w:t>Pre-construction, during works, and post-completion</w:t>
            </w:r>
          </w:p>
        </w:tc>
        <w:tc>
          <w:tcPr>
            <w:tcW w:w="1800" w:type="dxa"/>
          </w:tcPr>
          <w:p w14:paraId="0D7D546C" w14:textId="77777777" w:rsidR="00402B16" w:rsidRDefault="001C2906">
            <w:pPr>
              <w:spacing w:before="40" w:after="40" w:line="300" w:lineRule="auto"/>
            </w:pPr>
            <w:r>
              <w:rPr>
                <w:sz w:val="22"/>
                <w:szCs w:val="22"/>
              </w:rPr>
              <w:t>Public consultation events, letters/leaflets, project website and social media</w:t>
            </w:r>
          </w:p>
        </w:tc>
        <w:tc>
          <w:tcPr>
            <w:tcW w:w="2000" w:type="dxa"/>
          </w:tcPr>
          <w:p w14:paraId="1C1C7E64" w14:textId="77777777" w:rsidR="00402B16" w:rsidRDefault="001C2906">
            <w:pPr>
              <w:spacing w:before="40" w:after="40" w:line="300" w:lineRule="auto"/>
            </w:pPr>
            <w:r>
              <w:rPr>
                <w:sz w:val="22"/>
                <w:szCs w:val="22"/>
              </w:rPr>
              <w:t>High interest but limited formal power calls for accessible, ongoing, two-way communication that builds trust and reduces objection.</w:t>
            </w:r>
          </w:p>
        </w:tc>
      </w:tr>
      <w:tr w:rsidR="00402B16" w14:paraId="1455F7C8" w14:textId="77777777">
        <w:tc>
          <w:tcPr>
            <w:tcW w:w="1700" w:type="dxa"/>
          </w:tcPr>
          <w:p w14:paraId="2EAA4539" w14:textId="77777777" w:rsidR="00402B16" w:rsidRDefault="001C2906">
            <w:pPr>
              <w:spacing w:before="40" w:after="40" w:line="300" w:lineRule="auto"/>
            </w:pPr>
            <w:r>
              <w:rPr>
                <w:sz w:val="22"/>
                <w:szCs w:val="22"/>
              </w:rPr>
              <w:t>Elderly/disabled advocacy groups</w:t>
            </w:r>
          </w:p>
        </w:tc>
        <w:tc>
          <w:tcPr>
            <w:tcW w:w="1900" w:type="dxa"/>
          </w:tcPr>
          <w:p w14:paraId="552E6D3A" w14:textId="77777777" w:rsidR="00402B16" w:rsidRDefault="001C2906">
            <w:pPr>
              <w:spacing w:before="40" w:after="40" w:line="300" w:lineRule="auto"/>
            </w:pPr>
            <w:r>
              <w:rPr>
                <w:sz w:val="22"/>
                <w:szCs w:val="22"/>
              </w:rPr>
              <w:t>Accessibility design details; opportunity to comment</w:t>
            </w:r>
          </w:p>
        </w:tc>
        <w:tc>
          <w:tcPr>
            <w:tcW w:w="1600" w:type="dxa"/>
          </w:tcPr>
          <w:p w14:paraId="71213BE2" w14:textId="77777777" w:rsidR="00402B16" w:rsidRDefault="001C2906">
            <w:pPr>
              <w:spacing w:before="40" w:after="40" w:line="300" w:lineRule="auto"/>
            </w:pPr>
            <w:r>
              <w:rPr>
                <w:sz w:val="22"/>
                <w:szCs w:val="22"/>
              </w:rPr>
              <w:t>Design and consultation phase</w:t>
            </w:r>
          </w:p>
        </w:tc>
        <w:tc>
          <w:tcPr>
            <w:tcW w:w="1800" w:type="dxa"/>
          </w:tcPr>
          <w:p w14:paraId="230349EF" w14:textId="77777777" w:rsidR="00402B16" w:rsidRDefault="001C2906">
            <w:pPr>
              <w:spacing w:before="40" w:after="40" w:line="300" w:lineRule="auto"/>
            </w:pPr>
            <w:r>
              <w:rPr>
                <w:sz w:val="22"/>
                <w:szCs w:val="22"/>
              </w:rPr>
              <w:t>In-person accessible meetings, easy-read materials, telephone contact</w:t>
            </w:r>
          </w:p>
        </w:tc>
        <w:tc>
          <w:tcPr>
            <w:tcW w:w="2000" w:type="dxa"/>
          </w:tcPr>
          <w:p w14:paraId="503820FA" w14:textId="77777777" w:rsidR="00402B16" w:rsidRDefault="001C2906">
            <w:pPr>
              <w:spacing w:before="40" w:after="40" w:line="300" w:lineRule="auto"/>
            </w:pPr>
            <w:r>
              <w:rPr>
                <w:sz w:val="22"/>
                <w:szCs w:val="22"/>
              </w:rPr>
              <w:t>Ensures DEI considerations are addressed through inclusive formats rather than digital-only channels.</w:t>
            </w:r>
          </w:p>
        </w:tc>
      </w:tr>
      <w:tr w:rsidR="00402B16" w14:paraId="5C41276C" w14:textId="77777777">
        <w:tc>
          <w:tcPr>
            <w:tcW w:w="1700" w:type="dxa"/>
          </w:tcPr>
          <w:p w14:paraId="410F68C8" w14:textId="77777777" w:rsidR="00402B16" w:rsidRDefault="001C2906">
            <w:pPr>
              <w:spacing w:before="40" w:after="40" w:line="300" w:lineRule="auto"/>
            </w:pPr>
            <w:r>
              <w:rPr>
                <w:sz w:val="22"/>
                <w:szCs w:val="22"/>
              </w:rPr>
              <w:t>Environmental organisation</w:t>
            </w:r>
          </w:p>
        </w:tc>
        <w:tc>
          <w:tcPr>
            <w:tcW w:w="1900" w:type="dxa"/>
          </w:tcPr>
          <w:p w14:paraId="0733922F" w14:textId="77777777" w:rsidR="00402B16" w:rsidRDefault="001C2906">
            <w:pPr>
              <w:spacing w:before="40" w:after="40" w:line="300" w:lineRule="auto"/>
            </w:pPr>
            <w:r>
              <w:rPr>
                <w:sz w:val="22"/>
                <w:szCs w:val="22"/>
              </w:rPr>
              <w:t>Ecological survey findings, habitat and planting plans</w:t>
            </w:r>
          </w:p>
        </w:tc>
        <w:tc>
          <w:tcPr>
            <w:tcW w:w="1600" w:type="dxa"/>
          </w:tcPr>
          <w:p w14:paraId="607BBA29" w14:textId="77777777" w:rsidR="00402B16" w:rsidRDefault="001C2906">
            <w:pPr>
              <w:spacing w:before="40" w:after="40" w:line="300" w:lineRule="auto"/>
            </w:pPr>
            <w:r>
              <w:rPr>
                <w:sz w:val="22"/>
                <w:szCs w:val="22"/>
              </w:rPr>
              <w:t>Design and delivery phases</w:t>
            </w:r>
          </w:p>
        </w:tc>
        <w:tc>
          <w:tcPr>
            <w:tcW w:w="1800" w:type="dxa"/>
          </w:tcPr>
          <w:p w14:paraId="05A1B3BB" w14:textId="77777777" w:rsidR="00402B16" w:rsidRDefault="001C2906">
            <w:pPr>
              <w:spacing w:before="40" w:after="40" w:line="300" w:lineRule="auto"/>
            </w:pPr>
            <w:r>
              <w:rPr>
                <w:sz w:val="22"/>
                <w:szCs w:val="22"/>
              </w:rPr>
              <w:t>Joint meetings, site visits, email</w:t>
            </w:r>
          </w:p>
        </w:tc>
        <w:tc>
          <w:tcPr>
            <w:tcW w:w="2000" w:type="dxa"/>
          </w:tcPr>
          <w:p w14:paraId="2778B193" w14:textId="77777777" w:rsidR="00402B16" w:rsidRDefault="001C2906">
            <w:pPr>
              <w:spacing w:before="40" w:after="40" w:line="300" w:lineRule="auto"/>
            </w:pPr>
            <w:r>
              <w:rPr>
                <w:sz w:val="22"/>
                <w:szCs w:val="22"/>
              </w:rPr>
              <w:t>High interest and relevant technical expertise justify closer, collaborative involvement than a purely informational approach.</w:t>
            </w:r>
          </w:p>
        </w:tc>
      </w:tr>
      <w:tr w:rsidR="00402B16" w14:paraId="51989E3E" w14:textId="77777777">
        <w:tc>
          <w:tcPr>
            <w:tcW w:w="1700" w:type="dxa"/>
          </w:tcPr>
          <w:p w14:paraId="4A923DF7" w14:textId="77777777" w:rsidR="00402B16" w:rsidRDefault="001C2906">
            <w:pPr>
              <w:spacing w:before="40" w:after="40" w:line="300" w:lineRule="auto"/>
            </w:pPr>
            <w:r>
              <w:rPr>
                <w:sz w:val="22"/>
                <w:szCs w:val="22"/>
              </w:rPr>
              <w:t>Local schools</w:t>
            </w:r>
          </w:p>
        </w:tc>
        <w:tc>
          <w:tcPr>
            <w:tcW w:w="1900" w:type="dxa"/>
          </w:tcPr>
          <w:p w14:paraId="675FFD80" w14:textId="77777777" w:rsidR="00402B16" w:rsidRDefault="001C2906">
            <w:pPr>
              <w:spacing w:before="40" w:after="40" w:line="300" w:lineRule="auto"/>
            </w:pPr>
            <w:r>
              <w:rPr>
                <w:sz w:val="22"/>
                <w:szCs w:val="22"/>
              </w:rPr>
              <w:t>Opportunities for pupil involvement; safety information</w:t>
            </w:r>
          </w:p>
        </w:tc>
        <w:tc>
          <w:tcPr>
            <w:tcW w:w="1600" w:type="dxa"/>
          </w:tcPr>
          <w:p w14:paraId="688D105B" w14:textId="77777777" w:rsidR="00402B16" w:rsidRDefault="001C2906">
            <w:pPr>
              <w:spacing w:before="40" w:after="40" w:line="300" w:lineRule="auto"/>
            </w:pPr>
            <w:r>
              <w:rPr>
                <w:sz w:val="22"/>
                <w:szCs w:val="22"/>
              </w:rPr>
              <w:t>Pre-opening and periodically thereafter</w:t>
            </w:r>
          </w:p>
        </w:tc>
        <w:tc>
          <w:tcPr>
            <w:tcW w:w="1800" w:type="dxa"/>
          </w:tcPr>
          <w:p w14:paraId="06B972BD" w14:textId="77777777" w:rsidR="00402B16" w:rsidRDefault="001C2906">
            <w:pPr>
              <w:spacing w:before="40" w:after="40" w:line="300" w:lineRule="auto"/>
            </w:pPr>
            <w:r>
              <w:rPr>
                <w:sz w:val="22"/>
                <w:szCs w:val="22"/>
              </w:rPr>
              <w:t>Letters to school, assemblies, project website</w:t>
            </w:r>
          </w:p>
        </w:tc>
        <w:tc>
          <w:tcPr>
            <w:tcW w:w="2000" w:type="dxa"/>
          </w:tcPr>
          <w:p w14:paraId="137383EC" w14:textId="77777777" w:rsidR="00402B16" w:rsidRDefault="001C2906">
            <w:pPr>
              <w:spacing w:before="40" w:after="40" w:line="300" w:lineRule="auto"/>
            </w:pPr>
            <w:r>
              <w:rPr>
                <w:sz w:val="22"/>
                <w:szCs w:val="22"/>
              </w:rPr>
              <w:t>Indirect stakeholder requiring periodic, low-intensity updates sufficient to maintain awareness.</w:t>
            </w:r>
          </w:p>
        </w:tc>
      </w:tr>
      <w:tr w:rsidR="00402B16" w14:paraId="26AD80FA" w14:textId="77777777">
        <w:tc>
          <w:tcPr>
            <w:tcW w:w="1700" w:type="dxa"/>
          </w:tcPr>
          <w:p w14:paraId="66FBA27D" w14:textId="77777777" w:rsidR="00402B16" w:rsidRDefault="001C2906">
            <w:pPr>
              <w:spacing w:before="40" w:after="40" w:line="300" w:lineRule="auto"/>
            </w:pPr>
            <w:r>
              <w:rPr>
                <w:sz w:val="22"/>
                <w:szCs w:val="22"/>
              </w:rPr>
              <w:t>Local businesses</w:t>
            </w:r>
          </w:p>
        </w:tc>
        <w:tc>
          <w:tcPr>
            <w:tcW w:w="1900" w:type="dxa"/>
          </w:tcPr>
          <w:p w14:paraId="5E9579D0" w14:textId="77777777" w:rsidR="00402B16" w:rsidRDefault="001C2906">
            <w:pPr>
              <w:spacing w:before="40" w:after="40" w:line="300" w:lineRule="auto"/>
            </w:pPr>
            <w:r>
              <w:rPr>
                <w:sz w:val="22"/>
                <w:szCs w:val="22"/>
              </w:rPr>
              <w:t>Access/footfall disruption; launch event details</w:t>
            </w:r>
          </w:p>
        </w:tc>
        <w:tc>
          <w:tcPr>
            <w:tcW w:w="1600" w:type="dxa"/>
          </w:tcPr>
          <w:p w14:paraId="276F09B0" w14:textId="77777777" w:rsidR="00402B16" w:rsidRDefault="001C2906">
            <w:pPr>
              <w:spacing w:before="40" w:after="40" w:line="300" w:lineRule="auto"/>
            </w:pPr>
            <w:r>
              <w:rPr>
                <w:sz w:val="22"/>
                <w:szCs w:val="22"/>
              </w:rPr>
              <w:t>Construction phase and launch</w:t>
            </w:r>
          </w:p>
        </w:tc>
        <w:tc>
          <w:tcPr>
            <w:tcW w:w="1800" w:type="dxa"/>
          </w:tcPr>
          <w:p w14:paraId="69D378B5" w14:textId="77777777" w:rsidR="00402B16" w:rsidRDefault="001C2906">
            <w:pPr>
              <w:spacing w:before="40" w:after="40" w:line="300" w:lineRule="auto"/>
            </w:pPr>
            <w:r>
              <w:rPr>
                <w:sz w:val="22"/>
                <w:szCs w:val="22"/>
              </w:rPr>
              <w:t>Business forum, email bulletin, local press</w:t>
            </w:r>
          </w:p>
        </w:tc>
        <w:tc>
          <w:tcPr>
            <w:tcW w:w="2000" w:type="dxa"/>
          </w:tcPr>
          <w:p w14:paraId="70CA9470" w14:textId="77777777" w:rsidR="00402B16" w:rsidRDefault="001C2906">
            <w:pPr>
              <w:spacing w:before="40" w:after="40" w:line="300" w:lineRule="auto"/>
            </w:pPr>
            <w:r>
              <w:rPr>
                <w:sz w:val="22"/>
                <w:szCs w:val="22"/>
              </w:rPr>
              <w:t>Indirect stakeholder; brief, practical updates minimise disruption to trading relationships without over-committing engagement resources.</w:t>
            </w:r>
          </w:p>
        </w:tc>
      </w:tr>
    </w:tbl>
    <w:p w14:paraId="6939CD10" w14:textId="77777777" w:rsidR="00402B16" w:rsidRDefault="001C2906">
      <w:pPr>
        <w:spacing w:before="80" w:after="240" w:line="360" w:lineRule="auto"/>
        <w:jc w:val="center"/>
      </w:pPr>
      <w:r>
        <w:rPr>
          <w:i/>
          <w:iCs/>
          <w:sz w:val="22"/>
          <w:szCs w:val="22"/>
        </w:rPr>
        <w:t>Table 3: Communication plan and consultation strategy.</w:t>
      </w:r>
    </w:p>
    <w:p w14:paraId="697CBB46" w14:textId="3ADA99FB" w:rsidR="00402B16" w:rsidRDefault="00CA659D">
      <w:pPr>
        <w:spacing w:after="120" w:line="360" w:lineRule="auto"/>
        <w:jc w:val="both"/>
      </w:pPr>
      <w:r>
        <w:t xml:space="preserve">Together the power-interest </w:t>
      </w:r>
      <w:proofErr w:type="spellStart"/>
      <w:r>
        <w:t>analysis‚stakeholder</w:t>
      </w:r>
      <w:proofErr w:type="spellEnd"/>
      <w:r>
        <w:t xml:space="preserve"> map and communication plan provide justification for communicating with‚ and to an appropriate level‚ the identified stakeholders </w:t>
      </w:r>
      <w:r>
        <w:lastRenderedPageBreak/>
        <w:t>given their stake in the New Public Park project and provide an ethical and reflexive basis for the remainder of this portfolio․</w:t>
      </w:r>
    </w:p>
    <w:p w14:paraId="3BEBA41C" w14:textId="77777777" w:rsidR="002D3B12" w:rsidRDefault="002D3B12">
      <w:pPr>
        <w:spacing w:after="120" w:line="360" w:lineRule="auto"/>
        <w:jc w:val="both"/>
      </w:pPr>
    </w:p>
    <w:p w14:paraId="71294BD0" w14:textId="77777777" w:rsidR="00402B16" w:rsidRPr="002D3B12" w:rsidRDefault="001C2906" w:rsidP="002D3B12">
      <w:pPr>
        <w:pStyle w:val="Heading1"/>
      </w:pPr>
      <w:bookmarkStart w:id="5" w:name="_Toc235487971"/>
      <w:r>
        <w:t>Element 3: Ethical Consideration in Stakeholder Consultation, Participation and Feedback</w:t>
      </w:r>
      <w:bookmarkEnd w:id="5"/>
    </w:p>
    <w:p w14:paraId="6E681971" w14:textId="15537082" w:rsidR="002D3B12" w:rsidRDefault="002D3B12" w:rsidP="002D3B12">
      <w:pPr>
        <w:spacing w:after="120" w:line="360" w:lineRule="auto"/>
        <w:jc w:val="both"/>
      </w:pPr>
      <w:r>
        <w:t>A mixed-method approach was used for the New Public Park consultation which allows for both breadth and depth of consultation․ For breadth‚ the public were consulted through an online survey posted on the council's project website‚ distributed by letter to all people who live within the ward area‚ on community noticeboards‚ and via local social media groups․ Qualitative depth is achieved through public consultations at the community centre‚ public focus groups with under-represented residents and individual interviews with accessibility‚ environmental and business stakeholder representatives․ This network of experts forms a 'ladder' of community involvement‚ reflecting Arnstein's (1969) 'ladder of citizen participation'‚ which moves away from the tokenistic informing‚ towards consultation‚ and where possible partnership․</w:t>
      </w:r>
    </w:p>
    <w:p w14:paraId="2AA4F917" w14:textId="6F52135D" w:rsidR="002D3B12" w:rsidRDefault="002D3B12" w:rsidP="002D3B12">
      <w:pPr>
        <w:spacing w:after="120" w:line="360" w:lineRule="auto"/>
        <w:jc w:val="both"/>
      </w:pPr>
      <w:r>
        <w:t>Ethical considerations also apply to all steps in the consultation process‚ and written informed consent is obtained at the beginning of every focus group or interview․ Plain-language participant information sheets summarise the purpose of the project‚ how their responses will be used‚ and their right to withdraw from participation at any time (Bryman‚ 2016)․ Survey and event data returned to the project will be treated in accordance with the UK General Data Protection Regulation (UK GDPR) and the Data Protection Act 2018․A data controller employed by the council is responsible for data entry‚ access‚ storage and secure disposal․ Participant data is anonymised at the point of analysis․ In the published report for the consultation‚ no personal data is included unless the participant gives explicit written consent (Information Commissioner's Office‚ 2023)․</w:t>
      </w:r>
    </w:p>
    <w:p w14:paraId="15F4B6B5" w14:textId="77777777" w:rsidR="002D3B12" w:rsidRDefault="002D3B12" w:rsidP="002D3B12">
      <w:pPr>
        <w:spacing w:after="120" w:line="360" w:lineRule="auto"/>
        <w:jc w:val="both"/>
      </w:pPr>
      <w:r>
        <w:t xml:space="preserve">Bias is a well-known risk of community consultation․ Strategies for avoiding bias include reducing selection bias (i․e․‚ when only the loudest and most confident members of the community respond) by consulting through community leaders‚ schools and faith groups‚ and scheduling consultation events in the evenings and at weekends for the benefit of shift workers‚ the self-employed‚ carers and others who may not be able to attend during the working day (Reed‚ 2008)․ Confirmation bias‚ whereby each member of a design team is subconsciously biased in favour of their design objectives‚ is counteracted at public events by the use of at least two independent facilitators‚ and in writing consultation reports requiring the reporting of </w:t>
      </w:r>
      <w:r>
        <w:lastRenderedPageBreak/>
        <w:t>all major issues raised‚ and not just those in favour of the design team's objectives․ Online survey response bias is counteracted with careful wording of survey questions‚ tested with a small pilot survey group‚ and by the provision of a paper survey at the community center․</w:t>
      </w:r>
    </w:p>
    <w:p w14:paraId="6811FEF0" w14:textId="77777777" w:rsidR="002D3B12" w:rsidRDefault="002D3B12" w:rsidP="002D3B12">
      <w:pPr>
        <w:spacing w:after="120" w:line="360" w:lineRule="auto"/>
        <w:jc w:val="both"/>
      </w:pPr>
      <w:r>
        <w:t>DEI and consultation materials to be provided in other languages as well as English where appropriate as these are the predominant languages spoken within the ward․ Easy read and large print on request in line with the Equality Act 2010․ (Government Equalities Office‚ 2022)․ People can attend in person where venues are fully step-free and have hearing loops․ Quiet areas are also available․ Childcare was provided during the two main community events to try to reduce the barriers parents might face in attending the event‚ and older and disabled people who cannot attend in person are offered a telephone consultation slot․ The consultation reference group includes a liaison from the local Wildlife Trust and the disability and deaf advocacy forum to inform design from the outset (IAP2‚ 2018)․</w:t>
      </w:r>
    </w:p>
    <w:p w14:paraId="25A205F6" w14:textId="156E3E71" w:rsidR="00402B16" w:rsidRDefault="002D3B12" w:rsidP="002D3B12">
      <w:pPr>
        <w:spacing w:after="120" w:line="360" w:lineRule="auto"/>
        <w:jc w:val="both"/>
      </w:pPr>
      <w:r>
        <w:t>The feedback process is closed loop․ All consultation feedback from surveys‚ events‚ interviews and written submissions are thematically coded by two members of the consultancy team and reconciled․ This provides a simple inter-rater check on the interpretation of the feedback and a summary report is published on the project website within eight weeks of the close of each engagement phase in "You Said‚ We Did" format‚ retrospectively linking participant view to design and explaining when and why ideas were not taken forward (Bourne‚ 2009)․ If a strong‚ common theme emerges‚ meaningful enough to change the design‚ then a second consultation period is used rather than the change being absorbed into an updated plan․ This iterative‚ transparent process acknowledges‚ protects and preserves the integrity of the process and the goodwill of all those whose continuing support is essential to the project succeeding and becoming sustainable․</w:t>
      </w:r>
    </w:p>
    <w:p w14:paraId="53CB806A" w14:textId="77777777" w:rsidR="00402B16" w:rsidRPr="002D3B12" w:rsidRDefault="001C2906" w:rsidP="002D3B12">
      <w:pPr>
        <w:pStyle w:val="Heading1"/>
      </w:pPr>
      <w:bookmarkStart w:id="6" w:name="_Toc235487972"/>
      <w:r>
        <w:t>Element 4: Conclusion and Reflection</w:t>
      </w:r>
      <w:bookmarkEnd w:id="6"/>
    </w:p>
    <w:p w14:paraId="410A3860" w14:textId="77777777" w:rsidR="00402B16" w:rsidRPr="002D3B12" w:rsidRDefault="001C2906" w:rsidP="002D3B12">
      <w:pPr>
        <w:pStyle w:val="Heading2"/>
      </w:pPr>
      <w:bookmarkStart w:id="7" w:name="_Toc235487973"/>
      <w:r>
        <w:t>4.1 Conclusion</w:t>
      </w:r>
      <w:bookmarkEnd w:id="7"/>
    </w:p>
    <w:p w14:paraId="79C90F90" w14:textId="6026B43F" w:rsidR="002D3B12" w:rsidRDefault="002D3B12" w:rsidP="002D3B12">
      <w:pPr>
        <w:spacing w:after="120" w:line="360" w:lineRule="auto"/>
        <w:jc w:val="both"/>
      </w:pPr>
      <w:r>
        <w:t xml:space="preserve">An evidence-based Stakeholder Management Plan has been created proportionate to the proposed New Public Park in Meadowgate Ward‚ for stakeholders that include the council and central government funder‚ residents‚ schools‚ businesses‚ environmental partners and people delivering services to the elderly and disabled‚ as identified in Element 1․ The relative power‚ interest and influence of these stakeholders were assessed in Element 2 using Mendelow's (1991) power-interest grid based on Freeman's (1984) stakeholder theory․ This was translated into a differentiated communication and consultation strategy based on IAP2 (2018) spectrum of participation and PMI (2021) stakeholder communication planning․ Element 3 addressed </w:t>
      </w:r>
      <w:r>
        <w:lastRenderedPageBreak/>
        <w:t>ethics and compliance with the UK GDPR‚ active mitigation of selection‚ confirmation and response bias and embedding of diversity‚ equity and inclusion in the consultation program's venue choice‚ materials‚ and reference-groups․</w:t>
      </w:r>
    </w:p>
    <w:p w14:paraId="643EB78C" w14:textId="3ABDC72E" w:rsidR="00402B16" w:rsidRDefault="002D3B12" w:rsidP="002D3B12">
      <w:pPr>
        <w:spacing w:after="120" w:line="360" w:lineRule="auto"/>
        <w:jc w:val="both"/>
      </w:pPr>
      <w:r>
        <w:t xml:space="preserve">Together the principles show that effective engagement with stakeholders is not a tick box exercise but should be an active and organised process from project outset‚ through the design‚ implementation and post-delivery evaluation phases․ Where effective‚ proportionate‚ transparent and </w:t>
      </w:r>
      <w:proofErr w:type="spellStart"/>
      <w:r>
        <w:t>inclusive‚stakeholder</w:t>
      </w:r>
      <w:proofErr w:type="spellEnd"/>
      <w:r>
        <w:t xml:space="preserve"> engagement is more likely to result in the project being delivered on time and to budget and at the standard required by the funder and the community․ Where these features are ignored or performative‚ projects of this kind have often been met with opposition at planning‚ obstructed during construction‚ and then underused after opening‚ weakening both the immediate delivery and the council's longer-term investment in green infrastructure (Eskerod and Jepsen‚ 2013)․</w:t>
      </w:r>
    </w:p>
    <w:p w14:paraId="55145697" w14:textId="77777777" w:rsidR="00402B16" w:rsidRPr="002D3B12" w:rsidRDefault="001C2906" w:rsidP="002D3B12">
      <w:pPr>
        <w:pStyle w:val="Heading2"/>
      </w:pPr>
      <w:bookmarkStart w:id="8" w:name="_Toc235487974"/>
      <w:r>
        <w:t>4.2 Reflection</w:t>
      </w:r>
      <w:bookmarkEnd w:id="8"/>
    </w:p>
    <w:p w14:paraId="797AB344" w14:textId="637F99B8" w:rsidR="002D3B12" w:rsidRDefault="002D3B12" w:rsidP="002D3B12">
      <w:pPr>
        <w:spacing w:after="120" w:line="360" w:lineRule="auto"/>
        <w:jc w:val="both"/>
      </w:pPr>
      <w:r>
        <w:t>As such‚ the following reflection will use Gibbs' (1988) reflective cycle to suggest how I might move from description‚ through feelings to future action․</w:t>
      </w:r>
    </w:p>
    <w:p w14:paraId="733C38A7" w14:textId="77777777" w:rsidR="002D3B12" w:rsidRDefault="002D3B12" w:rsidP="002D3B12">
      <w:pPr>
        <w:spacing w:after="120" w:line="360" w:lineRule="auto"/>
        <w:jc w:val="both"/>
      </w:pPr>
      <w:r>
        <w:t>Description and feelings․ Working through this portfolio‚ I imagined what it would be like to be a Junior Stakeholder Manager working on a live community project‚ rather than simply considering the documents as models․ At the time it seemed clear who the stakeholders were‚ but less clear how to differentiate between engagement strategies once you have a large list․ I had the misapprehension that stakeholder management was just about conveying information to stakeholders․ In fact‚ a lot of it is knowing what not to do‚ and avoiding the temptation to communicate everything to everyone․</w:t>
      </w:r>
    </w:p>
    <w:p w14:paraId="68564FBC" w14:textId="77777777" w:rsidR="002D3B12" w:rsidRDefault="002D3B12" w:rsidP="002D3B12">
      <w:pPr>
        <w:spacing w:after="120" w:line="360" w:lineRule="auto"/>
        <w:jc w:val="both"/>
      </w:pPr>
      <w:r>
        <w:t>Evaluation and analysis․ The best part of the process‚ for me‚ was translating my power-interest grid into a tailored communication plan․ Once I'd forced the players to choose a quadrant for each group‚ the level and frequency of communication almost suggested themselves․ That reinforced how practically useful classical models such as Mendelow's remain if applied with discipline․ The hardest part was Element 3․ I thought of ethics and DEI as compliance requirements and approval checkboxes‚ not as design decisions on how good the consultation would be for the people involved․ Reed (2008)‚ and a re-examination of Arnstein's (1969) ladder of public participation‚ made me realise that consultation can look complete on a page and yet fail structurally quieter groups‚ and it's the plan's job to design that failure out from the beginning․</w:t>
      </w:r>
    </w:p>
    <w:p w14:paraId="523DBCE2" w14:textId="77777777" w:rsidR="002D3B12" w:rsidRDefault="002D3B12" w:rsidP="002D3B12">
      <w:pPr>
        <w:spacing w:after="120" w:line="360" w:lineRule="auto"/>
        <w:jc w:val="both"/>
      </w:pPr>
      <w:r>
        <w:lastRenderedPageBreak/>
        <w:t>In conclusion‚ I have come to see stakeholder engagement as much a sustainability issue as a delivery issue․ If the new park is poorly engaged despite being well constructed‚ it could be underused‚ contested or blamed for broader complaints about the ward․ When a public consultation process is meaningful‚ it creates a sense of ownership for the residents‚ which supports acceptability‚ maintenance‚ safe use‚ and extending the investment over time‚ consistent with Bourne's (2009) contention that stakeholder relationships‚ not stakeholder registers‚ are what determine long-term project value․</w:t>
      </w:r>
    </w:p>
    <w:p w14:paraId="2F1B3D1D" w14:textId="1D8EF4DF" w:rsidR="00402B16" w:rsidRDefault="002D3B12" w:rsidP="002D3B12">
      <w:pPr>
        <w:spacing w:after="120" w:line="360" w:lineRule="auto"/>
        <w:jc w:val="both"/>
      </w:pPr>
      <w:r>
        <w:t xml:space="preserve">Action plan․ If I had to lead a similar project in practice‚ three commitments would guide me․ First‚ I would plan the consultation architecture - venues‚ formats‚ languages‚ timings - before writing the consultation communications‚ so that inclusion is built in from the start‚ rather than bolted </w:t>
      </w:r>
      <w:proofErr w:type="spellStart"/>
      <w:r>
        <w:t>on․Second</w:t>
      </w:r>
      <w:proofErr w:type="spellEnd"/>
      <w:r>
        <w:t>‚ I would agree the "You Said‚ We Did" reporting format with stakeholders before consultation begins‚ so that transparency is agreed from day one․ Third‚ I would build in a mid-project stakeholder review point at which quadrant positions are re-tested‚ on the basis that power and interest are dynamic and a plan written at beginning will not survive contact with a full construction phase without revision․ These commitments‚ together with the analytical grounding developed in this module‚ will be the professional foundation upon which I aspire to build in future roles․</w:t>
      </w:r>
    </w:p>
    <w:p w14:paraId="43044EF0" w14:textId="77777777" w:rsidR="00402B16" w:rsidRDefault="001C2906">
      <w:r>
        <w:br w:type="page"/>
      </w:r>
    </w:p>
    <w:p w14:paraId="17551905" w14:textId="77777777" w:rsidR="00402B16" w:rsidRPr="002D3B12" w:rsidRDefault="001C2906" w:rsidP="002D3B12">
      <w:pPr>
        <w:pStyle w:val="Heading1"/>
      </w:pPr>
      <w:bookmarkStart w:id="9" w:name="_Toc235487975"/>
      <w:r>
        <w:lastRenderedPageBreak/>
        <w:t>References</w:t>
      </w:r>
      <w:bookmarkEnd w:id="9"/>
    </w:p>
    <w:p w14:paraId="36AD8166" w14:textId="77777777" w:rsidR="00402B16" w:rsidRDefault="001C2906">
      <w:pPr>
        <w:spacing w:after="160" w:line="360" w:lineRule="auto"/>
        <w:ind w:left="720" w:hanging="720"/>
      </w:pPr>
      <w:r>
        <w:t>Arnstein, S.R. (1969) 'A ladder of citizen participation', Journal of the American Institute of Planners, 35(4), pp. 216–224.</w:t>
      </w:r>
    </w:p>
    <w:p w14:paraId="394A02D1" w14:textId="77777777" w:rsidR="00402B16" w:rsidRDefault="001C2906">
      <w:pPr>
        <w:spacing w:after="160" w:line="360" w:lineRule="auto"/>
        <w:ind w:left="720" w:hanging="720"/>
      </w:pPr>
      <w:r>
        <w:t>Bourne, L. (2009) Stakeholder Relationship Management: A Maturity Model for Organisational Implementation. Farnham: Gower Publishing.</w:t>
      </w:r>
    </w:p>
    <w:p w14:paraId="675AE0D1" w14:textId="77777777" w:rsidR="00402B16" w:rsidRDefault="001C2906">
      <w:pPr>
        <w:spacing w:after="160" w:line="360" w:lineRule="auto"/>
        <w:ind w:left="720" w:hanging="720"/>
      </w:pPr>
      <w:r>
        <w:t>Bryman, A. (2016) Social Research Methods. 5th edn. Oxford: Oxford University Press.</w:t>
      </w:r>
    </w:p>
    <w:p w14:paraId="246FAA6A" w14:textId="77777777" w:rsidR="00402B16" w:rsidRDefault="001C2906">
      <w:pPr>
        <w:spacing w:after="160" w:line="360" w:lineRule="auto"/>
        <w:ind w:left="720" w:hanging="720"/>
      </w:pPr>
      <w:r>
        <w:t>Eskerod, P. and Jepsen, A.L. (2013) Project Stakeholder Management. Farnham: Gower Publishing.</w:t>
      </w:r>
    </w:p>
    <w:p w14:paraId="6AE95AFA" w14:textId="77777777" w:rsidR="00402B16" w:rsidRDefault="001C2906">
      <w:pPr>
        <w:spacing w:after="160" w:line="360" w:lineRule="auto"/>
        <w:ind w:left="720" w:hanging="720"/>
      </w:pPr>
      <w:r>
        <w:t>Freeman, R.E. (1984) Strategic Management: A Stakeholder Approach. Boston: Pitman.</w:t>
      </w:r>
    </w:p>
    <w:p w14:paraId="15542B0D" w14:textId="77777778" w:rsidR="00402B16" w:rsidRDefault="001C2906">
      <w:pPr>
        <w:spacing w:after="160" w:line="360" w:lineRule="auto"/>
        <w:ind w:left="720" w:hanging="720"/>
      </w:pPr>
      <w:r>
        <w:t>Gibbons, S., Overman, H.G. and Sarvimäki, M. (2021) 'The local economic impacts of regeneration projects: evidence from UK's Single Regeneration Budget', Journal of Urban Economics, 122, 103315.</w:t>
      </w:r>
    </w:p>
    <w:p w14:paraId="15542B0C" w14:textId="77777777" w:rsidR="00402B16" w:rsidRDefault="001C2906">
      <w:pPr>
        <w:spacing w:after="160" w:line="360" w:lineRule="auto"/>
        <w:ind w:left="720" w:hanging="720"/>
      </w:pPr>
      <w:r>
        <w:t>Gibbs, G. (1988) Learning by Doing: A Guide to Teaching and Learning Methods. Oxford: Further Education Unit, Oxford Polytechnic.</w:t>
      </w:r>
    </w:p>
    <w:p w14:paraId="59043982" w14:textId="77777777" w:rsidR="00402B16" w:rsidRDefault="001C2906">
      <w:pPr>
        <w:spacing w:after="160" w:line="360" w:lineRule="auto"/>
        <w:ind w:left="720" w:hanging="720"/>
      </w:pPr>
      <w:r>
        <w:t>Government Equalities Office (2022) Equality Act 2010: Guidance. London: HM Government. Available at: https://www.gov.uk/guidance/equality-act-2010-guidance (Accessed: 20 July 2026).</w:t>
      </w:r>
    </w:p>
    <w:p w14:paraId="121F1B61" w14:textId="77777777" w:rsidR="00402B16" w:rsidRDefault="001C2906">
      <w:pPr>
        <w:spacing w:after="160" w:line="360" w:lineRule="auto"/>
        <w:ind w:left="720" w:hanging="720"/>
      </w:pPr>
      <w:r>
        <w:t>IAP2 (International Association for Public Participation) (2018) IAP2 Spectrum of Public Participation. Denver: IAP2.</w:t>
      </w:r>
    </w:p>
    <w:p w14:paraId="4E6A01F9" w14:textId="77777777" w:rsidR="00402B16" w:rsidRDefault="001C2906">
      <w:pPr>
        <w:spacing w:after="160" w:line="360" w:lineRule="auto"/>
        <w:ind w:left="720" w:hanging="720"/>
      </w:pPr>
      <w:r>
        <w:t>Information Commissioner's Office (2023) Guide to the UK General Data Protection Regulation (UK GDPR). Wilmslow: ICO. Available at: https://ico.org.uk/for-organisations/uk-gdpr-guidance-and-resources/ (Accessed: 20 July 2026).</w:t>
      </w:r>
    </w:p>
    <w:p w14:paraId="53DA8DF7" w14:textId="77777777" w:rsidR="00402B16" w:rsidRDefault="001C2906">
      <w:pPr>
        <w:spacing w:after="160" w:line="360" w:lineRule="auto"/>
        <w:ind w:left="720" w:hanging="720"/>
      </w:pPr>
      <w:r>
        <w:t>Mendelow, A. (1991) 'Stakeholder mapping', Proceedings of the 2nd International Conference on Information Systems, Cambridge, MA.</w:t>
      </w:r>
    </w:p>
    <w:p w14:paraId="028514C6" w14:textId="77777777" w:rsidR="00402B16" w:rsidRDefault="001C2906">
      <w:pPr>
        <w:spacing w:after="160" w:line="360" w:lineRule="auto"/>
        <w:ind w:left="720" w:hanging="720"/>
      </w:pPr>
      <w:r>
        <w:t>PMI (Project Management Institute) (2021) A Guide to the Project Management Body of Knowledge (PMBOK Guide). 7th edn. Newtown Square: PMI.</w:t>
      </w:r>
    </w:p>
    <w:p w14:paraId="467AB3D1" w14:textId="77777777" w:rsidR="00402B16" w:rsidRDefault="001C2906">
      <w:pPr>
        <w:spacing w:after="160" w:line="360" w:lineRule="auto"/>
        <w:ind w:left="720" w:hanging="720"/>
      </w:pPr>
      <w:r>
        <w:t>Reed, M.S. (2008) 'Stakeholder participation for environmental management: a literature review', Biological Conservation, 141(10), pp. 2417–2431.</w:t>
      </w:r>
    </w:p>
    <w:sectPr w:rsidR="00402B1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0EBDC" w14:textId="77777777" w:rsidR="00CD3955" w:rsidRDefault="00CD3955">
      <w:r>
        <w:separator/>
      </w:r>
    </w:p>
  </w:endnote>
  <w:endnote w:type="continuationSeparator" w:id="0">
    <w:p w14:paraId="2D4A40C8" w14:textId="77777777" w:rsidR="00CD3955" w:rsidRDefault="00CD3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06EDC" w14:textId="77777777" w:rsidR="00A90FD5" w:rsidRDefault="00A90F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917E0E" w14:textId="77777777" w:rsidR="00402B16" w:rsidRDefault="001C2906">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Pr>
        <w:noProof/>
        <w:sz w:val="20"/>
        <w:szCs w:val="20"/>
      </w:rPr>
      <w:t>2</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73E93" w14:textId="77777777" w:rsidR="00A90FD5" w:rsidRDefault="00A90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CC166" w14:textId="77777777" w:rsidR="00CD3955" w:rsidRDefault="00CD3955">
      <w:r>
        <w:separator/>
      </w:r>
    </w:p>
  </w:footnote>
  <w:footnote w:type="continuationSeparator" w:id="0">
    <w:p w14:paraId="1A1CE7B1" w14:textId="77777777" w:rsidR="00CD3955" w:rsidRDefault="00CD39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1FAE9" w14:textId="77777777" w:rsidR="00A90FD5" w:rsidRDefault="00A90F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922E9" w14:textId="77777777" w:rsidR="00A90FD5" w:rsidRDefault="00A90F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0FE7D" w14:textId="77777777" w:rsidR="00A90FD5" w:rsidRDefault="00A90F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71F75"/>
    <w:multiLevelType w:val="hybridMultilevel"/>
    <w:tmpl w:val="1A00CD4E"/>
    <w:lvl w:ilvl="0" w:tplc="B80AE840">
      <w:start w:val="1"/>
      <w:numFmt w:val="bullet"/>
      <w:lvlText w:val="•"/>
      <w:lvlJc w:val="left"/>
      <w:pPr>
        <w:ind w:left="720" w:hanging="360"/>
      </w:pPr>
    </w:lvl>
    <w:lvl w:ilvl="1" w:tplc="83B8BFB4">
      <w:numFmt w:val="decimal"/>
      <w:lvlText w:val=""/>
      <w:lvlJc w:val="left"/>
    </w:lvl>
    <w:lvl w:ilvl="2" w:tplc="019C20EE">
      <w:numFmt w:val="decimal"/>
      <w:lvlText w:val=""/>
      <w:lvlJc w:val="left"/>
    </w:lvl>
    <w:lvl w:ilvl="3" w:tplc="9E861EF0">
      <w:numFmt w:val="decimal"/>
      <w:lvlText w:val=""/>
      <w:lvlJc w:val="left"/>
    </w:lvl>
    <w:lvl w:ilvl="4" w:tplc="2F1EDC5C">
      <w:numFmt w:val="decimal"/>
      <w:lvlText w:val=""/>
      <w:lvlJc w:val="left"/>
    </w:lvl>
    <w:lvl w:ilvl="5" w:tplc="746AA360">
      <w:numFmt w:val="decimal"/>
      <w:lvlText w:val=""/>
      <w:lvlJc w:val="left"/>
    </w:lvl>
    <w:lvl w:ilvl="6" w:tplc="0C48AA08">
      <w:numFmt w:val="decimal"/>
      <w:lvlText w:val=""/>
      <w:lvlJc w:val="left"/>
    </w:lvl>
    <w:lvl w:ilvl="7" w:tplc="7A0EDEA6">
      <w:numFmt w:val="decimal"/>
      <w:lvlText w:val=""/>
      <w:lvlJc w:val="left"/>
    </w:lvl>
    <w:lvl w:ilvl="8" w:tplc="2E4C813E">
      <w:numFmt w:val="decimal"/>
      <w:lvlText w:val=""/>
      <w:lvlJc w:val="left"/>
    </w:lvl>
  </w:abstractNum>
  <w:abstractNum w:abstractNumId="1" w15:restartNumberingAfterBreak="0">
    <w:nsid w:val="3E156FFB"/>
    <w:multiLevelType w:val="hybridMultilevel"/>
    <w:tmpl w:val="CBE828F4"/>
    <w:lvl w:ilvl="0" w:tplc="0809000B">
      <w:start w:val="1"/>
      <w:numFmt w:val="bullet"/>
      <w:lvlText w:val=""/>
      <w:lvlJc w:val="left"/>
      <w:pPr>
        <w:ind w:left="720" w:hanging="360"/>
      </w:pPr>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7ED518CE"/>
    <w:multiLevelType w:val="hybridMultilevel"/>
    <w:tmpl w:val="256A9892"/>
    <w:lvl w:ilvl="0" w:tplc="C48A56D2">
      <w:start w:val="1"/>
      <w:numFmt w:val="bullet"/>
      <w:lvlText w:val="●"/>
      <w:lvlJc w:val="left"/>
      <w:pPr>
        <w:ind w:left="720" w:hanging="360"/>
      </w:pPr>
    </w:lvl>
    <w:lvl w:ilvl="1" w:tplc="33386A04">
      <w:start w:val="1"/>
      <w:numFmt w:val="bullet"/>
      <w:lvlText w:val="○"/>
      <w:lvlJc w:val="left"/>
      <w:pPr>
        <w:ind w:left="1440" w:hanging="360"/>
      </w:pPr>
    </w:lvl>
    <w:lvl w:ilvl="2" w:tplc="A6745DB8">
      <w:start w:val="1"/>
      <w:numFmt w:val="bullet"/>
      <w:lvlText w:val="■"/>
      <w:lvlJc w:val="left"/>
      <w:pPr>
        <w:ind w:left="2160" w:hanging="360"/>
      </w:pPr>
    </w:lvl>
    <w:lvl w:ilvl="3" w:tplc="F47245DE">
      <w:start w:val="1"/>
      <w:numFmt w:val="bullet"/>
      <w:lvlText w:val="●"/>
      <w:lvlJc w:val="left"/>
      <w:pPr>
        <w:ind w:left="2880" w:hanging="360"/>
      </w:pPr>
    </w:lvl>
    <w:lvl w:ilvl="4" w:tplc="CAC2EF36">
      <w:start w:val="1"/>
      <w:numFmt w:val="bullet"/>
      <w:lvlText w:val="○"/>
      <w:lvlJc w:val="left"/>
      <w:pPr>
        <w:ind w:left="3600" w:hanging="360"/>
      </w:pPr>
    </w:lvl>
    <w:lvl w:ilvl="5" w:tplc="B3C05446">
      <w:start w:val="1"/>
      <w:numFmt w:val="bullet"/>
      <w:lvlText w:val="■"/>
      <w:lvlJc w:val="left"/>
      <w:pPr>
        <w:ind w:left="4320" w:hanging="360"/>
      </w:pPr>
    </w:lvl>
    <w:lvl w:ilvl="6" w:tplc="9B3A99AA">
      <w:start w:val="1"/>
      <w:numFmt w:val="bullet"/>
      <w:lvlText w:val="●"/>
      <w:lvlJc w:val="left"/>
      <w:pPr>
        <w:ind w:left="5040" w:hanging="360"/>
      </w:pPr>
    </w:lvl>
    <w:lvl w:ilvl="7" w:tplc="84088E36">
      <w:start w:val="1"/>
      <w:numFmt w:val="bullet"/>
      <w:lvlText w:val="●"/>
      <w:lvlJc w:val="left"/>
      <w:pPr>
        <w:ind w:left="5760" w:hanging="360"/>
      </w:pPr>
    </w:lvl>
    <w:lvl w:ilvl="8" w:tplc="1BF0381A">
      <w:start w:val="1"/>
      <w:numFmt w:val="bullet"/>
      <w:lvlText w:val="●"/>
      <w:lvlJc w:val="left"/>
      <w:pPr>
        <w:ind w:left="6480" w:hanging="360"/>
      </w:pPr>
    </w:lvl>
  </w:abstractNum>
  <w:num w:numId="1" w16cid:durableId="1107038524">
    <w:abstractNumId w:val="2"/>
    <w:lvlOverride w:ilvl="0">
      <w:startOverride w:val="1"/>
    </w:lvlOverride>
  </w:num>
  <w:num w:numId="2" w16cid:durableId="617951234">
    <w:abstractNumId w:val="0"/>
    <w:lvlOverride w:ilvl="0">
      <w:startOverride w:val="1"/>
    </w:lvlOverride>
  </w:num>
  <w:num w:numId="3" w16cid:durableId="1535076724">
    <w:abstractNumId w:val="0"/>
  </w:num>
  <w:num w:numId="4" w16cid:durableId="1024550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B16"/>
    <w:rsid w:val="0006540D"/>
    <w:rsid w:val="00180CF6"/>
    <w:rsid w:val="001A7EE9"/>
    <w:rsid w:val="001C2906"/>
    <w:rsid w:val="00210907"/>
    <w:rsid w:val="00210F03"/>
    <w:rsid w:val="00266F8E"/>
    <w:rsid w:val="002C422D"/>
    <w:rsid w:val="002C490E"/>
    <w:rsid w:val="002D3B12"/>
    <w:rsid w:val="00402B16"/>
    <w:rsid w:val="005E29A1"/>
    <w:rsid w:val="006B66F5"/>
    <w:rsid w:val="006D58F0"/>
    <w:rsid w:val="00741A11"/>
    <w:rsid w:val="009027C7"/>
    <w:rsid w:val="00A90FD5"/>
    <w:rsid w:val="00AF44C0"/>
    <w:rsid w:val="00B10CF8"/>
    <w:rsid w:val="00B44B23"/>
    <w:rsid w:val="00BB4587"/>
    <w:rsid w:val="00CA659D"/>
    <w:rsid w:val="00CB69C9"/>
    <w:rsid w:val="00CD3955"/>
    <w:rsid w:val="00D26B0E"/>
    <w:rsid w:val="00D7478D"/>
    <w:rsid w:val="00DA0D4D"/>
    <w:rsid w:val="00E452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84C5B"/>
  <w15:docId w15:val="{9A94CAF1-6F73-44A1-9CB7-C92FD6A81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7C7"/>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2D3B12"/>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2D3B12"/>
    <w:pPr>
      <w:spacing w:after="100"/>
    </w:pPr>
  </w:style>
  <w:style w:type="paragraph" w:styleId="TOC2">
    <w:name w:val="toc 2"/>
    <w:basedOn w:val="Normal"/>
    <w:next w:val="Normal"/>
    <w:autoRedefine/>
    <w:uiPriority w:val="39"/>
    <w:unhideWhenUsed/>
    <w:rsid w:val="002D3B12"/>
    <w:pPr>
      <w:spacing w:after="100"/>
      <w:ind w:left="240"/>
    </w:pPr>
  </w:style>
  <w:style w:type="paragraph" w:styleId="Header">
    <w:name w:val="header"/>
    <w:basedOn w:val="Normal"/>
    <w:link w:val="HeaderChar"/>
    <w:uiPriority w:val="99"/>
    <w:unhideWhenUsed/>
    <w:rsid w:val="00A90FD5"/>
    <w:pPr>
      <w:tabs>
        <w:tab w:val="center" w:pos="4513"/>
        <w:tab w:val="right" w:pos="9026"/>
      </w:tabs>
    </w:pPr>
  </w:style>
  <w:style w:type="character" w:customStyle="1" w:styleId="HeaderChar">
    <w:name w:val="Header Char"/>
    <w:basedOn w:val="DefaultParagraphFont"/>
    <w:link w:val="Header"/>
    <w:uiPriority w:val="99"/>
    <w:rsid w:val="00A90FD5"/>
  </w:style>
  <w:style w:type="paragraph" w:styleId="Footer">
    <w:name w:val="footer"/>
    <w:basedOn w:val="Normal"/>
    <w:link w:val="FooterChar"/>
    <w:uiPriority w:val="99"/>
    <w:unhideWhenUsed/>
    <w:rsid w:val="00A90FD5"/>
    <w:pPr>
      <w:tabs>
        <w:tab w:val="center" w:pos="4513"/>
        <w:tab w:val="right" w:pos="9026"/>
      </w:tabs>
    </w:pPr>
  </w:style>
  <w:style w:type="character" w:customStyle="1" w:styleId="FooterChar">
    <w:name w:val="Footer Char"/>
    <w:basedOn w:val="DefaultParagraphFont"/>
    <w:link w:val="Footer"/>
    <w:uiPriority w:val="99"/>
    <w:rsid w:val="00A90FD5"/>
  </w:style>
  <w:style w:type="paragraph" w:styleId="NoSpacing">
    <w:name w:val="No Spacing"/>
    <w:link w:val="NoSpacingChar"/>
    <w:uiPriority w:val="1"/>
    <w:qFormat/>
    <w:rsid w:val="009027C7"/>
    <w:rPr>
      <w:rFonts w:asciiTheme="minorHAnsi" w:eastAsiaTheme="minorEastAsia" w:hAnsiTheme="minorHAnsi" w:cstheme="minorBidi"/>
      <w:sz w:val="20"/>
      <w:szCs w:val="20"/>
      <w:lang w:eastAsia="en-US"/>
    </w:rPr>
  </w:style>
  <w:style w:type="character" w:customStyle="1" w:styleId="NoSpacingChar">
    <w:name w:val="No Spacing Char"/>
    <w:basedOn w:val="DefaultParagraphFont"/>
    <w:link w:val="NoSpacing"/>
    <w:uiPriority w:val="1"/>
    <w:rsid w:val="009027C7"/>
    <w:rPr>
      <w:rFonts w:asciiTheme="minorHAnsi" w:eastAsiaTheme="minorEastAsia" w:hAnsiTheme="minorHAnsi" w:cstheme="minorBidi"/>
      <w:sz w:val="20"/>
      <w:szCs w:val="20"/>
      <w:lang w:eastAsia="en-US"/>
    </w:rPr>
  </w:style>
  <w:style w:type="character" w:styleId="CommentReference">
    <w:name w:val="annotation reference"/>
    <w:basedOn w:val="DefaultParagraphFont"/>
    <w:uiPriority w:val="99"/>
    <w:semiHidden/>
    <w:unhideWhenUsed/>
    <w:rsid w:val="006B66F5"/>
    <w:rPr>
      <w:sz w:val="16"/>
      <w:szCs w:val="16"/>
    </w:rPr>
  </w:style>
  <w:style w:type="paragraph" w:styleId="CommentText">
    <w:name w:val="annotation text"/>
    <w:basedOn w:val="Normal"/>
    <w:link w:val="CommentTextChar"/>
    <w:uiPriority w:val="99"/>
    <w:unhideWhenUsed/>
    <w:rsid w:val="006B66F5"/>
    <w:rPr>
      <w:sz w:val="20"/>
      <w:szCs w:val="20"/>
    </w:rPr>
  </w:style>
  <w:style w:type="character" w:customStyle="1" w:styleId="CommentTextChar">
    <w:name w:val="Comment Text Char"/>
    <w:basedOn w:val="DefaultParagraphFont"/>
    <w:link w:val="CommentText"/>
    <w:uiPriority w:val="99"/>
    <w:rsid w:val="006B66F5"/>
    <w:rPr>
      <w:sz w:val="20"/>
      <w:szCs w:val="20"/>
    </w:rPr>
  </w:style>
  <w:style w:type="paragraph" w:styleId="CommentSubject">
    <w:name w:val="annotation subject"/>
    <w:basedOn w:val="CommentText"/>
    <w:next w:val="CommentText"/>
    <w:link w:val="CommentSubjectChar"/>
    <w:uiPriority w:val="99"/>
    <w:semiHidden/>
    <w:unhideWhenUsed/>
    <w:rsid w:val="006B66F5"/>
    <w:rPr>
      <w:b/>
      <w:bCs/>
    </w:rPr>
  </w:style>
  <w:style w:type="character" w:customStyle="1" w:styleId="CommentSubjectChar">
    <w:name w:val="Comment Subject Char"/>
    <w:basedOn w:val="CommentTextChar"/>
    <w:link w:val="CommentSubject"/>
    <w:uiPriority w:val="99"/>
    <w:semiHidden/>
    <w:rsid w:val="006B66F5"/>
    <w:rPr>
      <w:b/>
      <w:bCs/>
      <w:sz w:val="20"/>
      <w:szCs w:val="20"/>
    </w:rPr>
  </w:style>
  <w:style w:type="character" w:styleId="UnresolvedMention">
    <w:name w:val="Unresolved Mention"/>
    <w:basedOn w:val="DefaultParagraphFont"/>
    <w:uiPriority w:val="99"/>
    <w:semiHidden/>
    <w:unhideWhenUsed/>
    <w:rsid w:val="006B66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616E9209B9E4F5D940E6500779A2188"/>
        <w:category>
          <w:name w:val="General"/>
          <w:gallery w:val="placeholder"/>
        </w:category>
        <w:types>
          <w:type w:val="bbPlcHdr"/>
        </w:types>
        <w:behaviors>
          <w:behavior w:val="content"/>
        </w:behaviors>
        <w:guid w:val="{03303E58-BDD8-4F8C-9C27-2399BBFB7C3F}"/>
      </w:docPartPr>
      <w:docPartBody>
        <w:p w:rsidR="00F765B9" w:rsidRDefault="006B34DC" w:rsidP="006B34DC">
          <w:pPr>
            <w:pStyle w:val="0616E9209B9E4F5D940E6500779A218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4DC"/>
    <w:rsid w:val="000D6F8D"/>
    <w:rsid w:val="001D5181"/>
    <w:rsid w:val="00210907"/>
    <w:rsid w:val="005E29A1"/>
    <w:rsid w:val="006B34DC"/>
    <w:rsid w:val="006D58F0"/>
    <w:rsid w:val="00741A11"/>
    <w:rsid w:val="00DF234C"/>
    <w:rsid w:val="00F319EA"/>
    <w:rsid w:val="00F765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16E9209B9E4F5D940E6500779A2188">
    <w:name w:val="0616E9209B9E4F5D940E6500779A2188"/>
    <w:rsid w:val="006B34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D9246-7869-49E1-843F-25DCB2BB5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3414</Words>
  <Characters>19461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LCBB4013 Stakeholder Engagement Portfolio</vt:lpstr>
    </vt:vector>
  </TitlesOfParts>
  <Company/>
  <LinksUpToDate>false</LinksUpToDate>
  <CharactersWithSpaces>22830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LCBB4013 Stakeholder Engagement Portfolio</dc:title>
  <dc:creator>Monila Kitova</dc:creator>
  <cp:lastModifiedBy>Cex Worksop</cp:lastModifiedBy>
  <cp:revision>4</cp:revision>
  <dcterms:created xsi:type="dcterms:W3CDTF">2026-08-12T22:42:00Z</dcterms:created>
  <dcterms:modified xsi:type="dcterms:W3CDTF">2026-08-13T09:37:00Z</dcterms:modified>
</cp:coreProperties>
</file>