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A4A41D" wp14:paraId="5E5787A5" wp14:noSpellErr="1" wp14:textId="62F34085">
      <w:pPr>
        <w:rPr>
          <w:rFonts w:ascii="Arial Nova" w:hAnsi="Arial Nova" w:eastAsia="Arial Nova" w:cs="Arial Nova"/>
          <w:sz w:val="28"/>
          <w:szCs w:val="28"/>
        </w:rPr>
      </w:pPr>
      <w:r w:rsidRPr="2E8BE990" w:rsidR="69D0D6C3">
        <w:rPr>
          <w:rFonts w:ascii="Arial Nova" w:hAnsi="Arial Nova" w:eastAsia="Arial Nova" w:cs="Arial Nova"/>
        </w:rPr>
        <w:t xml:space="preserve">                                   </w:t>
      </w:r>
      <w:r w:rsidRPr="2E8BE990" w:rsidR="519D4548">
        <w:rPr>
          <w:rFonts w:ascii="Arial Nova" w:hAnsi="Arial Nova" w:eastAsia="Arial Nova" w:cs="Arial Nova"/>
        </w:rPr>
        <w:t xml:space="preserve">  </w:t>
      </w:r>
      <w:r w:rsidRPr="2E8BE990" w:rsidR="69D0D6C3">
        <w:rPr>
          <w:rFonts w:ascii="Arial Nova" w:hAnsi="Arial Nova" w:eastAsia="Arial Nova" w:cs="Arial Nova"/>
        </w:rPr>
        <w:t xml:space="preserve">       </w:t>
      </w:r>
      <w:r w:rsidRPr="2E8BE990" w:rsidR="69D0D6C3">
        <w:rPr>
          <w:rFonts w:ascii="Arial Nova" w:hAnsi="Arial Nova" w:eastAsia="Arial Nova" w:cs="Arial Nova"/>
          <w:sz w:val="28"/>
          <w:szCs w:val="28"/>
        </w:rPr>
        <w:t xml:space="preserve">Aleia Younis </w:t>
      </w:r>
    </w:p>
    <w:p w:rsidR="69D0D6C3" w:rsidP="54A4A41D" w:rsidRDefault="69D0D6C3" w14:paraId="4A10D1DB" w14:noSpellErr="1" w14:textId="19DFC209">
      <w:pPr>
        <w:rPr>
          <w:rFonts w:ascii="Arial Nova" w:hAnsi="Arial Nova" w:eastAsia="Arial Nova" w:cs="Arial Nova"/>
          <w:sz w:val="28"/>
          <w:szCs w:val="28"/>
        </w:rPr>
      </w:pPr>
      <w:r w:rsidRPr="2E8BE990" w:rsidR="69D0D6C3">
        <w:rPr>
          <w:rFonts w:ascii="Arial Nova" w:hAnsi="Arial Nova" w:eastAsia="Arial Nova" w:cs="Arial Nova"/>
          <w:sz w:val="28"/>
          <w:szCs w:val="28"/>
        </w:rPr>
        <w:t xml:space="preserve">                                </w:t>
      </w:r>
      <w:r w:rsidRPr="2E8BE990" w:rsidR="41169D36">
        <w:rPr>
          <w:rFonts w:ascii="Arial Nova" w:hAnsi="Arial Nova" w:eastAsia="Arial Nova" w:cs="Arial Nova"/>
          <w:sz w:val="28"/>
          <w:szCs w:val="28"/>
        </w:rPr>
        <w:t xml:space="preserve">  </w:t>
      </w:r>
      <w:r w:rsidRPr="2E8BE990" w:rsidR="69D0D6C3">
        <w:rPr>
          <w:rFonts w:ascii="Arial Nova" w:hAnsi="Arial Nova" w:eastAsia="Arial Nova" w:cs="Arial Nova"/>
          <w:sz w:val="28"/>
          <w:szCs w:val="28"/>
        </w:rPr>
        <w:t xml:space="preserve">    </w:t>
      </w:r>
      <w:r w:rsidRPr="2E8BE990" w:rsidR="2A3524D9">
        <w:rPr>
          <w:rFonts w:ascii="Arial Nova" w:hAnsi="Arial Nova" w:eastAsia="Arial Nova" w:cs="Arial Nova"/>
          <w:sz w:val="28"/>
          <w:szCs w:val="28"/>
        </w:rPr>
        <w:t xml:space="preserve"> </w:t>
      </w:r>
      <w:r w:rsidRPr="2E8BE990" w:rsidR="69D0D6C3">
        <w:rPr>
          <w:rFonts w:ascii="Arial Nova" w:hAnsi="Arial Nova" w:eastAsia="Arial Nova" w:cs="Arial Nova"/>
          <w:sz w:val="28"/>
          <w:szCs w:val="28"/>
        </w:rPr>
        <w:t xml:space="preserve"> 2219526</w:t>
      </w:r>
      <w:r w:rsidRPr="2E8BE990" w:rsidR="4F6AC896">
        <w:rPr>
          <w:rFonts w:ascii="Arial Nova" w:hAnsi="Arial Nova" w:eastAsia="Arial Nova" w:cs="Arial Nova"/>
          <w:sz w:val="28"/>
          <w:szCs w:val="28"/>
        </w:rPr>
        <w:t xml:space="preserve">  </w:t>
      </w:r>
    </w:p>
    <w:p w:rsidR="4F6AC896" w:rsidP="54A4A41D" w:rsidRDefault="4F6AC896" w14:paraId="44AA6C31" w14:noSpellErr="1" w14:textId="744ED1A3">
      <w:pPr>
        <w:rPr>
          <w:rFonts w:ascii="Arial Nova" w:hAnsi="Arial Nova" w:eastAsia="Arial Nova" w:cs="Arial Nova"/>
          <w:sz w:val="28"/>
          <w:szCs w:val="28"/>
        </w:rPr>
      </w:pPr>
      <w:r w:rsidRPr="2E8BE990" w:rsidR="4F6AC896">
        <w:rPr>
          <w:rFonts w:ascii="Arial Nova" w:hAnsi="Arial Nova" w:eastAsia="Arial Nova" w:cs="Arial Nova"/>
          <w:sz w:val="28"/>
          <w:szCs w:val="28"/>
        </w:rPr>
        <w:t xml:space="preserve">              </w:t>
      </w:r>
      <w:r w:rsidRPr="2E8BE990" w:rsidR="27625694">
        <w:rPr>
          <w:rFonts w:ascii="Arial Nova" w:hAnsi="Arial Nova" w:eastAsia="Arial Nova" w:cs="Arial Nova"/>
          <w:sz w:val="28"/>
          <w:szCs w:val="28"/>
        </w:rPr>
        <w:t xml:space="preserve"> </w:t>
      </w:r>
      <w:r w:rsidRPr="2E8BE990" w:rsidR="4F6AC896">
        <w:rPr>
          <w:rFonts w:ascii="Arial Nova" w:hAnsi="Arial Nova" w:eastAsia="Arial Nova" w:cs="Arial Nova"/>
          <w:sz w:val="28"/>
          <w:szCs w:val="28"/>
        </w:rPr>
        <w:t xml:space="preserve"> </w:t>
      </w:r>
      <w:r w:rsidRPr="2E8BE990" w:rsidR="21C42DC0">
        <w:rPr>
          <w:rFonts w:ascii="Arial Nova" w:hAnsi="Arial Nova" w:eastAsia="Arial Nova" w:cs="Arial Nova"/>
          <w:sz w:val="28"/>
          <w:szCs w:val="28"/>
        </w:rPr>
        <w:t xml:space="preserve">    </w:t>
      </w:r>
      <w:r w:rsidRPr="2E8BE990" w:rsidR="4F6AC896">
        <w:rPr>
          <w:rFonts w:ascii="Arial Nova" w:hAnsi="Arial Nova" w:eastAsia="Arial Nova" w:cs="Arial Nova"/>
          <w:sz w:val="28"/>
          <w:szCs w:val="28"/>
        </w:rPr>
        <w:t xml:space="preserve"> Health Wellbeing and Sustainable Development</w:t>
      </w:r>
      <w:r w:rsidRPr="2E8BE990" w:rsidR="69D0D6C3">
        <w:rPr>
          <w:rFonts w:ascii="Arial Nova" w:hAnsi="Arial Nova" w:eastAsia="Arial Nova" w:cs="Arial Nova"/>
          <w:sz w:val="28"/>
          <w:szCs w:val="28"/>
        </w:rPr>
        <w:t xml:space="preserve"> </w:t>
      </w:r>
    </w:p>
    <w:p w:rsidR="620F09F6" w:rsidP="54A4A41D" w:rsidRDefault="620F09F6" w14:paraId="7263CC25" w14:noSpellErr="1" w14:textId="46B74491">
      <w:pPr>
        <w:rPr>
          <w:rFonts w:ascii="Arial Nova" w:hAnsi="Arial Nova" w:eastAsia="Arial Nova" w:cs="Arial Nova"/>
          <w:sz w:val="28"/>
          <w:szCs w:val="28"/>
        </w:rPr>
      </w:pPr>
      <w:r w:rsidRPr="2E8BE990" w:rsidR="620F09F6">
        <w:rPr>
          <w:rFonts w:ascii="Arial Nova" w:hAnsi="Arial Nova" w:eastAsia="Arial Nova" w:cs="Arial Nova"/>
          <w:sz w:val="28"/>
          <w:szCs w:val="28"/>
        </w:rPr>
        <w:t xml:space="preserve">                                  </w:t>
      </w:r>
      <w:r w:rsidRPr="2E8BE990" w:rsidR="69EB5479">
        <w:rPr>
          <w:rFonts w:ascii="Arial Nova" w:hAnsi="Arial Nova" w:eastAsia="Arial Nova" w:cs="Arial Nova"/>
          <w:sz w:val="28"/>
          <w:szCs w:val="28"/>
        </w:rPr>
        <w:t xml:space="preserve">  </w:t>
      </w:r>
      <w:r w:rsidRPr="2E8BE990" w:rsidR="620F09F6">
        <w:rPr>
          <w:rFonts w:ascii="Arial Nova" w:hAnsi="Arial Nova" w:eastAsia="Arial Nova" w:cs="Arial Nova"/>
          <w:sz w:val="28"/>
          <w:szCs w:val="28"/>
        </w:rPr>
        <w:t xml:space="preserve">    BMHP6030 </w:t>
      </w:r>
    </w:p>
    <w:p w:rsidR="620F09F6" w:rsidP="54A4A41D" w:rsidRDefault="620F09F6" w14:paraId="0D743914" w14:noSpellErr="1" w14:textId="03DD2D11">
      <w:pPr>
        <w:rPr>
          <w:rFonts w:ascii="Arial Nova" w:hAnsi="Arial Nova" w:eastAsia="Arial Nova" w:cs="Arial Nova"/>
          <w:sz w:val="28"/>
          <w:szCs w:val="28"/>
        </w:rPr>
      </w:pPr>
      <w:r w:rsidRPr="2E8BE990" w:rsidR="620F09F6">
        <w:rPr>
          <w:rFonts w:ascii="Arial Nova" w:hAnsi="Arial Nova" w:eastAsia="Arial Nova" w:cs="Arial Nova"/>
          <w:sz w:val="28"/>
          <w:szCs w:val="28"/>
        </w:rPr>
        <w:t xml:space="preserve">                                  </w:t>
      </w:r>
      <w:r w:rsidRPr="2E8BE990" w:rsidR="326F20B7">
        <w:rPr>
          <w:rFonts w:ascii="Arial Nova" w:hAnsi="Arial Nova" w:eastAsia="Arial Nova" w:cs="Arial Nova"/>
          <w:sz w:val="28"/>
          <w:szCs w:val="28"/>
        </w:rPr>
        <w:t xml:space="preserve"> </w:t>
      </w:r>
      <w:r w:rsidRPr="2E8BE990" w:rsidR="620F09F6">
        <w:rPr>
          <w:rFonts w:ascii="Arial Nova" w:hAnsi="Arial Nova" w:eastAsia="Arial Nova" w:cs="Arial Nova"/>
          <w:sz w:val="28"/>
          <w:szCs w:val="28"/>
        </w:rPr>
        <w:t xml:space="preserve">   </w:t>
      </w:r>
      <w:r w:rsidRPr="2E8BE990" w:rsidR="620F09F6">
        <w:rPr>
          <w:rFonts w:ascii="Arial Nova" w:hAnsi="Arial Nova" w:eastAsia="Arial Nova" w:cs="Arial Nova"/>
          <w:sz w:val="28"/>
          <w:szCs w:val="28"/>
        </w:rPr>
        <w:t>Component</w:t>
      </w:r>
      <w:r w:rsidRPr="2E8BE990" w:rsidR="620F09F6">
        <w:rPr>
          <w:rFonts w:ascii="Arial Nova" w:hAnsi="Arial Nova" w:eastAsia="Arial Nova" w:cs="Arial Nova"/>
          <w:sz w:val="28"/>
          <w:szCs w:val="28"/>
        </w:rPr>
        <w:t xml:space="preserve"> 2</w:t>
      </w:r>
      <w:r w:rsidRPr="2E8BE990" w:rsidR="761A3A19">
        <w:rPr>
          <w:rFonts w:ascii="Arial Nova" w:hAnsi="Arial Nova" w:eastAsia="Arial Nova" w:cs="Arial Nova"/>
          <w:sz w:val="28"/>
          <w:szCs w:val="28"/>
        </w:rPr>
        <w:t xml:space="preserve">     </w:t>
      </w:r>
    </w:p>
    <w:p w:rsidR="54A4A41D" w:rsidP="54A4A41D" w:rsidRDefault="54A4A41D" w14:paraId="5316DC1E" w14:textId="64689128">
      <w:pPr>
        <w:rPr>
          <w:rFonts w:ascii="Arial Nova" w:hAnsi="Arial Nova" w:eastAsia="Arial Nova" w:cs="Arial Nova"/>
          <w:sz w:val="28"/>
          <w:szCs w:val="28"/>
        </w:rPr>
      </w:pPr>
    </w:p>
    <w:p w:rsidR="54A4A41D" w:rsidP="54A4A41D" w:rsidRDefault="54A4A41D" w14:paraId="47DA04CA" w14:textId="4C991D54">
      <w:pPr>
        <w:rPr>
          <w:rFonts w:ascii="Arial Nova" w:hAnsi="Arial Nova" w:eastAsia="Arial Nova" w:cs="Arial Nova"/>
          <w:sz w:val="28"/>
          <w:szCs w:val="28"/>
        </w:rPr>
      </w:pPr>
    </w:p>
    <w:p w:rsidR="54A4A41D" w:rsidP="54A4A41D" w:rsidRDefault="54A4A41D" w14:paraId="534FD27B" w14:textId="58F3CE6A">
      <w:pPr>
        <w:rPr>
          <w:rFonts w:ascii="Arial Nova" w:hAnsi="Arial Nova" w:eastAsia="Arial Nova" w:cs="Arial Nova"/>
          <w:sz w:val="28"/>
          <w:szCs w:val="28"/>
        </w:rPr>
      </w:pPr>
    </w:p>
    <w:p w:rsidR="54A4A41D" w:rsidP="54A4A41D" w:rsidRDefault="54A4A41D" w14:paraId="3CBCD0D5" w14:textId="143CC8F2">
      <w:pPr>
        <w:rPr>
          <w:rFonts w:ascii="Arial Nova" w:hAnsi="Arial Nova" w:eastAsia="Arial Nova" w:cs="Arial Nova"/>
          <w:sz w:val="28"/>
          <w:szCs w:val="28"/>
        </w:rPr>
      </w:pPr>
    </w:p>
    <w:p w:rsidR="54A4A41D" w:rsidP="54A4A41D" w:rsidRDefault="54A4A41D" w14:paraId="51840E86" w14:textId="5B5D6A36">
      <w:pPr>
        <w:rPr>
          <w:rFonts w:ascii="Arial Nova" w:hAnsi="Arial Nova" w:eastAsia="Arial Nova" w:cs="Arial Nova"/>
          <w:sz w:val="28"/>
          <w:szCs w:val="28"/>
        </w:rPr>
      </w:pPr>
    </w:p>
    <w:p w:rsidR="54A4A41D" w:rsidP="54A4A41D" w:rsidRDefault="54A4A41D" w14:paraId="092A8BBC" w14:textId="6F12B260">
      <w:pPr>
        <w:rPr>
          <w:rFonts w:ascii="Arial Nova" w:hAnsi="Arial Nova" w:eastAsia="Arial Nova" w:cs="Arial Nova"/>
          <w:sz w:val="28"/>
          <w:szCs w:val="28"/>
        </w:rPr>
      </w:pPr>
    </w:p>
    <w:p w:rsidR="54A4A41D" w:rsidP="54A4A41D" w:rsidRDefault="54A4A41D" w14:paraId="18DD234B" w14:textId="63F197BA">
      <w:pPr>
        <w:rPr>
          <w:rFonts w:ascii="Arial Nova" w:hAnsi="Arial Nova" w:eastAsia="Arial Nova" w:cs="Arial Nova"/>
          <w:sz w:val="28"/>
          <w:szCs w:val="28"/>
        </w:rPr>
      </w:pPr>
    </w:p>
    <w:p w:rsidR="54A4A41D" w:rsidP="54A4A41D" w:rsidRDefault="54A4A41D" w14:paraId="3581E8B8" w14:textId="384DC77E">
      <w:pPr>
        <w:rPr>
          <w:rFonts w:ascii="Arial Nova" w:hAnsi="Arial Nova" w:eastAsia="Arial Nova" w:cs="Arial Nova"/>
          <w:sz w:val="28"/>
          <w:szCs w:val="28"/>
        </w:rPr>
      </w:pPr>
    </w:p>
    <w:p w:rsidR="54A4A41D" w:rsidP="54A4A41D" w:rsidRDefault="54A4A41D" w14:paraId="12C736BB" w14:textId="2B242648">
      <w:pPr>
        <w:rPr>
          <w:rFonts w:ascii="Arial Nova" w:hAnsi="Arial Nova" w:eastAsia="Arial Nova" w:cs="Arial Nova"/>
          <w:sz w:val="28"/>
          <w:szCs w:val="28"/>
        </w:rPr>
      </w:pPr>
    </w:p>
    <w:p w:rsidR="54A4A41D" w:rsidP="54A4A41D" w:rsidRDefault="54A4A41D" w14:paraId="66613EEE" w14:textId="2B263C46">
      <w:pPr>
        <w:rPr>
          <w:rFonts w:ascii="Arial Nova" w:hAnsi="Arial Nova" w:eastAsia="Arial Nova" w:cs="Arial Nova"/>
          <w:sz w:val="28"/>
          <w:szCs w:val="28"/>
        </w:rPr>
      </w:pPr>
    </w:p>
    <w:p w:rsidR="54A4A41D" w:rsidP="54A4A41D" w:rsidRDefault="54A4A41D" w14:paraId="26BAF14C" w14:textId="500D7ECE">
      <w:pPr>
        <w:rPr>
          <w:rFonts w:ascii="Arial Nova" w:hAnsi="Arial Nova" w:eastAsia="Arial Nova" w:cs="Arial Nova"/>
          <w:sz w:val="28"/>
          <w:szCs w:val="28"/>
        </w:rPr>
      </w:pPr>
    </w:p>
    <w:p w:rsidR="54A4A41D" w:rsidP="54A4A41D" w:rsidRDefault="54A4A41D" w14:paraId="3A86E55A" w14:textId="1F18998E">
      <w:pPr>
        <w:rPr>
          <w:rFonts w:ascii="Arial Nova" w:hAnsi="Arial Nova" w:eastAsia="Arial Nova" w:cs="Arial Nova"/>
          <w:sz w:val="28"/>
          <w:szCs w:val="28"/>
        </w:rPr>
      </w:pPr>
    </w:p>
    <w:p w:rsidR="54A4A41D" w:rsidP="54A4A41D" w:rsidRDefault="54A4A41D" w14:paraId="351C9F6C" w14:textId="22356A96">
      <w:pPr>
        <w:rPr>
          <w:rFonts w:ascii="Arial Nova" w:hAnsi="Arial Nova" w:eastAsia="Arial Nova" w:cs="Arial Nova"/>
          <w:sz w:val="28"/>
          <w:szCs w:val="28"/>
        </w:rPr>
      </w:pPr>
    </w:p>
    <w:p w:rsidR="54A4A41D" w:rsidP="54A4A41D" w:rsidRDefault="54A4A41D" w14:paraId="38928F49" w14:textId="3F75513D">
      <w:pPr>
        <w:rPr>
          <w:rFonts w:ascii="Arial Nova" w:hAnsi="Arial Nova" w:eastAsia="Arial Nova" w:cs="Arial Nova"/>
          <w:sz w:val="28"/>
          <w:szCs w:val="28"/>
        </w:rPr>
      </w:pPr>
    </w:p>
    <w:p w:rsidR="54A4A41D" w:rsidP="54A4A41D" w:rsidRDefault="54A4A41D" w14:paraId="2059550F" w14:textId="291F4811">
      <w:pPr>
        <w:rPr>
          <w:rFonts w:ascii="Arial Nova" w:hAnsi="Arial Nova" w:eastAsia="Arial Nova" w:cs="Arial Nova"/>
          <w:sz w:val="28"/>
          <w:szCs w:val="28"/>
        </w:rPr>
      </w:pPr>
    </w:p>
    <w:p w:rsidR="54A4A41D" w:rsidP="54A4A41D" w:rsidRDefault="54A4A41D" w14:paraId="40331F6B" w14:textId="0CF16762">
      <w:pPr>
        <w:rPr>
          <w:rFonts w:ascii="Arial Nova" w:hAnsi="Arial Nova" w:eastAsia="Arial Nova" w:cs="Arial Nova"/>
          <w:sz w:val="28"/>
          <w:szCs w:val="28"/>
        </w:rPr>
      </w:pPr>
    </w:p>
    <w:p w:rsidR="54A4A41D" w:rsidP="54A4A41D" w:rsidRDefault="54A4A41D" w14:paraId="69323F59" w14:textId="6E40F98A">
      <w:pPr>
        <w:rPr>
          <w:rFonts w:ascii="Arial Nova" w:hAnsi="Arial Nova" w:eastAsia="Arial Nova" w:cs="Arial Nova"/>
          <w:sz w:val="28"/>
          <w:szCs w:val="28"/>
        </w:rPr>
      </w:pPr>
    </w:p>
    <w:p w:rsidR="54A4A41D" w:rsidP="54A4A41D" w:rsidRDefault="54A4A41D" w14:paraId="57371516" w14:textId="2FA82C76">
      <w:pPr>
        <w:rPr>
          <w:rFonts w:ascii="Arial Nova" w:hAnsi="Arial Nova" w:eastAsia="Arial Nova" w:cs="Arial Nova"/>
          <w:sz w:val="28"/>
          <w:szCs w:val="28"/>
        </w:rPr>
      </w:pPr>
    </w:p>
    <w:p w:rsidR="54A4A41D" w:rsidP="54A4A41D" w:rsidRDefault="54A4A41D" w14:paraId="207F66AA" w14:textId="3A5F2031">
      <w:pPr>
        <w:rPr>
          <w:rFonts w:ascii="Arial Nova" w:hAnsi="Arial Nova" w:eastAsia="Arial Nova" w:cs="Arial Nova"/>
          <w:sz w:val="28"/>
          <w:szCs w:val="28"/>
        </w:rPr>
      </w:pPr>
    </w:p>
    <w:p w:rsidR="54A4A41D" w:rsidP="54A4A41D" w:rsidRDefault="54A4A41D" w14:paraId="05E86846" w14:textId="5B302B83">
      <w:pPr>
        <w:rPr>
          <w:rFonts w:ascii="Arial Nova" w:hAnsi="Arial Nova" w:eastAsia="Arial Nova" w:cs="Arial Nova"/>
          <w:sz w:val="28"/>
          <w:szCs w:val="28"/>
        </w:rPr>
      </w:pPr>
    </w:p>
    <w:p w:rsidR="761A3A19" w:rsidP="54A4A41D" w:rsidRDefault="761A3A19" w14:paraId="189FA7E8" w14:textId="7BAB41C0">
      <w:pPr>
        <w:rPr>
          <w:rFonts w:ascii="Arial Nova" w:hAnsi="Arial Nova" w:eastAsia="Arial Nova" w:cs="Arial Nova"/>
          <w:sz w:val="28"/>
          <w:szCs w:val="28"/>
        </w:rPr>
      </w:pPr>
      <w:r w:rsidRPr="54A4A41D" w:rsidR="761A3A19">
        <w:rPr>
          <w:rFonts w:ascii="Arial Nova" w:hAnsi="Arial Nova" w:eastAsia="Arial Nova" w:cs="Arial Nova"/>
          <w:sz w:val="28"/>
          <w:szCs w:val="28"/>
        </w:rPr>
        <w:t xml:space="preserve">Content Page </w:t>
      </w:r>
    </w:p>
    <w:p w:rsidR="5CD952F2" w:rsidP="54A4A41D" w:rsidRDefault="5CD952F2" w14:paraId="3B0A039F" w14:textId="49A380D4">
      <w:pPr>
        <w:rPr>
          <w:rFonts w:ascii="Arial Nova" w:hAnsi="Arial Nova" w:eastAsia="Arial Nova" w:cs="Arial Nova"/>
          <w:sz w:val="22"/>
          <w:szCs w:val="22"/>
        </w:rPr>
      </w:pPr>
      <w:r w:rsidRPr="54A4A41D" w:rsidR="5CD952F2">
        <w:rPr>
          <w:rFonts w:ascii="Arial Nova" w:hAnsi="Arial Nova" w:eastAsia="Arial Nova" w:cs="Arial Nova"/>
          <w:sz w:val="24"/>
          <w:szCs w:val="24"/>
        </w:rPr>
        <w:t>Introduction</w:t>
      </w:r>
      <w:r w:rsidRPr="54A4A41D" w:rsidR="5CD952F2">
        <w:rPr>
          <w:rFonts w:ascii="Arial Nova" w:hAnsi="Arial Nova" w:eastAsia="Arial Nova" w:cs="Arial Nova"/>
          <w:sz w:val="22"/>
          <w:szCs w:val="22"/>
        </w:rPr>
        <w:t>...................................</w:t>
      </w:r>
      <w:r w:rsidRPr="54A4A41D" w:rsidR="6BFC5DAD">
        <w:rPr>
          <w:rFonts w:ascii="Arial Nova" w:hAnsi="Arial Nova" w:eastAsia="Arial Nova" w:cs="Arial Nova"/>
          <w:sz w:val="22"/>
          <w:szCs w:val="22"/>
        </w:rPr>
        <w:t>......................</w:t>
      </w:r>
      <w:r w:rsidRPr="54A4A41D" w:rsidR="5CD952F2">
        <w:rPr>
          <w:rFonts w:ascii="Arial Nova" w:hAnsi="Arial Nova" w:eastAsia="Arial Nova" w:cs="Arial Nova"/>
          <w:sz w:val="22"/>
          <w:szCs w:val="22"/>
        </w:rPr>
        <w:t xml:space="preserve">.............................................................p,3 </w:t>
      </w:r>
    </w:p>
    <w:p w:rsidR="2EACE344" w:rsidP="54A4A41D" w:rsidRDefault="2EACE344" w14:paraId="1A13BDB5" w14:textId="5CAD58E8">
      <w:pPr>
        <w:rPr>
          <w:rFonts w:ascii="Arial Nova" w:hAnsi="Arial Nova" w:eastAsia="Arial Nova" w:cs="Arial Nova"/>
          <w:sz w:val="22"/>
          <w:szCs w:val="22"/>
        </w:rPr>
      </w:pPr>
      <w:r w:rsidRPr="54A4A41D" w:rsidR="2EACE344">
        <w:rPr>
          <w:rFonts w:ascii="Arial Nova" w:hAnsi="Arial Nova" w:eastAsia="Arial Nova" w:cs="Arial Nova"/>
          <w:sz w:val="24"/>
          <w:szCs w:val="24"/>
        </w:rPr>
        <w:t>SDG 3 Good Health and Wellbeing</w:t>
      </w:r>
      <w:r w:rsidRPr="54A4A41D" w:rsidR="1C0DE71E">
        <w:rPr>
          <w:rFonts w:ascii="Arial Nova" w:hAnsi="Arial Nova" w:eastAsia="Arial Nova" w:cs="Arial Nova"/>
          <w:sz w:val="22"/>
          <w:szCs w:val="22"/>
        </w:rPr>
        <w:t>..........................................................................</w:t>
      </w:r>
      <w:r w:rsidRPr="54A4A41D" w:rsidR="379BFC35">
        <w:rPr>
          <w:rFonts w:ascii="Arial Nova" w:hAnsi="Arial Nova" w:eastAsia="Arial Nova" w:cs="Arial Nova"/>
          <w:sz w:val="22"/>
          <w:szCs w:val="22"/>
        </w:rPr>
        <w:t xml:space="preserve">p,3,4,5,6 </w:t>
      </w:r>
    </w:p>
    <w:p w:rsidR="379BFC35" w:rsidP="54A4A41D" w:rsidRDefault="379BFC35" w14:paraId="15E40C69" w14:noSpellErr="1" w14:textId="60CDD195">
      <w:pPr>
        <w:rPr>
          <w:rFonts w:ascii="Arial Nova" w:hAnsi="Arial Nova" w:eastAsia="Arial Nova" w:cs="Arial Nova"/>
          <w:sz w:val="22"/>
          <w:szCs w:val="22"/>
        </w:rPr>
      </w:pPr>
      <w:r w:rsidRPr="2E8BE990" w:rsidR="379BFC35">
        <w:rPr>
          <w:rFonts w:ascii="Arial Nova" w:hAnsi="Arial Nova" w:eastAsia="Arial Nova" w:cs="Arial Nova"/>
          <w:sz w:val="24"/>
          <w:szCs w:val="24"/>
        </w:rPr>
        <w:t>SDG 13 Climate Action</w:t>
      </w:r>
      <w:r w:rsidRPr="2E8BE990" w:rsidR="379BFC35">
        <w:rPr>
          <w:rFonts w:ascii="Arial Nova" w:hAnsi="Arial Nova" w:eastAsia="Arial Nova" w:cs="Arial Nova"/>
          <w:sz w:val="22"/>
          <w:szCs w:val="22"/>
        </w:rPr>
        <w:t>.................................................................................................p,6,7,8,</w:t>
      </w:r>
    </w:p>
    <w:p w:rsidR="528061DD" w:rsidP="54A4A41D" w:rsidRDefault="528061DD" w14:paraId="61C487EA" w14:noSpellErr="1" w14:textId="7B4D664B">
      <w:pPr>
        <w:rPr>
          <w:rFonts w:ascii="Arial Nova" w:hAnsi="Arial Nova" w:eastAsia="Arial Nova" w:cs="Arial Nova"/>
          <w:sz w:val="22"/>
          <w:szCs w:val="22"/>
        </w:rPr>
      </w:pPr>
      <w:r w:rsidRPr="2E8BE990" w:rsidR="528061DD">
        <w:rPr>
          <w:rFonts w:ascii="Arial Nova" w:hAnsi="Arial Nova" w:eastAsia="Arial Nova" w:cs="Arial Nova"/>
          <w:sz w:val="24"/>
          <w:szCs w:val="24"/>
        </w:rPr>
        <w:t>Conclusion</w:t>
      </w:r>
      <w:r w:rsidRPr="2E8BE990" w:rsidR="528061DD">
        <w:rPr>
          <w:rFonts w:ascii="Arial Nova" w:hAnsi="Arial Nova" w:eastAsia="Arial Nova" w:cs="Arial Nova"/>
          <w:sz w:val="22"/>
          <w:szCs w:val="22"/>
        </w:rPr>
        <w:t>........................................................................................................................p,</w:t>
      </w:r>
      <w:r w:rsidRPr="2E8BE990" w:rsidR="2ED83C0B">
        <w:rPr>
          <w:rFonts w:ascii="Arial Nova" w:hAnsi="Arial Nova" w:eastAsia="Arial Nova" w:cs="Arial Nova"/>
          <w:sz w:val="22"/>
          <w:szCs w:val="22"/>
        </w:rPr>
        <w:t>8,9</w:t>
      </w:r>
    </w:p>
    <w:p w:rsidR="528061DD" w:rsidP="54A4A41D" w:rsidRDefault="528061DD" w14:paraId="5D8A6860" w14:noSpellErr="1" w14:textId="03A288D8">
      <w:pPr>
        <w:rPr>
          <w:rFonts w:ascii="Arial Nova" w:hAnsi="Arial Nova" w:eastAsia="Arial Nova" w:cs="Arial Nova"/>
          <w:sz w:val="22"/>
          <w:szCs w:val="22"/>
        </w:rPr>
      </w:pPr>
      <w:r w:rsidRPr="2E8BE990" w:rsidR="528061DD">
        <w:rPr>
          <w:rFonts w:ascii="Arial Nova" w:hAnsi="Arial Nova" w:eastAsia="Arial Nova" w:cs="Arial Nova"/>
          <w:sz w:val="24"/>
          <w:szCs w:val="24"/>
        </w:rPr>
        <w:t>Reference</w:t>
      </w:r>
      <w:r w:rsidRPr="2E8BE990" w:rsidR="528061DD">
        <w:rPr>
          <w:rFonts w:ascii="Arial Nova" w:hAnsi="Arial Nova" w:eastAsia="Arial Nova" w:cs="Arial Nova"/>
          <w:sz w:val="22"/>
          <w:szCs w:val="22"/>
        </w:rPr>
        <w:t>......................................................................................................................p,1</w:t>
      </w:r>
      <w:r w:rsidRPr="2E8BE990" w:rsidR="3B46210C">
        <w:rPr>
          <w:rFonts w:ascii="Arial Nova" w:hAnsi="Arial Nova" w:eastAsia="Arial Nova" w:cs="Arial Nova"/>
          <w:sz w:val="22"/>
          <w:szCs w:val="22"/>
        </w:rPr>
        <w:t>0,11,12</w:t>
      </w:r>
      <w:r w:rsidRPr="2E8BE990" w:rsidR="373D9F1C">
        <w:rPr>
          <w:rFonts w:ascii="Arial Nova" w:hAnsi="Arial Nova" w:eastAsia="Arial Nova" w:cs="Arial Nova"/>
          <w:sz w:val="22"/>
          <w:szCs w:val="22"/>
        </w:rPr>
        <w:t>,13</w:t>
      </w:r>
    </w:p>
    <w:p w:rsidR="54A4A41D" w:rsidP="54A4A41D" w:rsidRDefault="54A4A41D" w14:paraId="35A8291D" w14:textId="4167B3BB">
      <w:pPr>
        <w:rPr>
          <w:rFonts w:ascii="Arial Nova" w:hAnsi="Arial Nova" w:eastAsia="Arial Nova" w:cs="Arial Nova"/>
          <w:sz w:val="28"/>
          <w:szCs w:val="28"/>
        </w:rPr>
      </w:pPr>
    </w:p>
    <w:p w:rsidR="54A4A41D" w:rsidP="54A4A41D" w:rsidRDefault="54A4A41D" w14:paraId="344EA78C" w14:textId="2AD3ACE9">
      <w:pPr>
        <w:rPr>
          <w:rFonts w:ascii="Arial Nova" w:hAnsi="Arial Nova" w:eastAsia="Arial Nova" w:cs="Arial Nova"/>
          <w:sz w:val="28"/>
          <w:szCs w:val="28"/>
        </w:rPr>
      </w:pPr>
    </w:p>
    <w:p w:rsidR="54A4A41D" w:rsidP="54A4A41D" w:rsidRDefault="54A4A41D" w14:paraId="26B20D1F" w14:textId="49B52D6F">
      <w:pPr>
        <w:rPr>
          <w:rFonts w:ascii="Arial Nova" w:hAnsi="Arial Nova" w:eastAsia="Arial Nova" w:cs="Arial Nova"/>
          <w:sz w:val="28"/>
          <w:szCs w:val="28"/>
        </w:rPr>
      </w:pPr>
    </w:p>
    <w:p w:rsidR="54A4A41D" w:rsidP="54A4A41D" w:rsidRDefault="54A4A41D" w14:paraId="0BA2648C" w14:textId="19FCBA2A">
      <w:pPr>
        <w:rPr>
          <w:rFonts w:ascii="Arial Nova" w:hAnsi="Arial Nova" w:eastAsia="Arial Nova" w:cs="Arial Nova"/>
          <w:sz w:val="28"/>
          <w:szCs w:val="28"/>
        </w:rPr>
      </w:pPr>
    </w:p>
    <w:p w:rsidR="54A4A41D" w:rsidP="54A4A41D" w:rsidRDefault="54A4A41D" w14:paraId="01B0E69A" w14:textId="780D6DEE">
      <w:pPr>
        <w:rPr>
          <w:rFonts w:ascii="Arial Nova" w:hAnsi="Arial Nova" w:eastAsia="Arial Nova" w:cs="Arial Nova"/>
          <w:sz w:val="28"/>
          <w:szCs w:val="28"/>
        </w:rPr>
      </w:pPr>
    </w:p>
    <w:p w:rsidR="54A4A41D" w:rsidP="54A4A41D" w:rsidRDefault="54A4A41D" w14:paraId="382C175A" w14:textId="39A67227">
      <w:pPr>
        <w:rPr>
          <w:rFonts w:ascii="Arial Nova" w:hAnsi="Arial Nova" w:eastAsia="Arial Nova" w:cs="Arial Nova"/>
          <w:sz w:val="28"/>
          <w:szCs w:val="28"/>
        </w:rPr>
      </w:pPr>
    </w:p>
    <w:p w:rsidR="54A4A41D" w:rsidP="54A4A41D" w:rsidRDefault="54A4A41D" w14:paraId="423AA3FC" w14:textId="28526100">
      <w:pPr>
        <w:rPr>
          <w:rFonts w:ascii="Arial Nova" w:hAnsi="Arial Nova" w:eastAsia="Arial Nova" w:cs="Arial Nova"/>
          <w:sz w:val="28"/>
          <w:szCs w:val="28"/>
        </w:rPr>
      </w:pPr>
    </w:p>
    <w:p w:rsidR="54A4A41D" w:rsidP="54A4A41D" w:rsidRDefault="54A4A41D" w14:paraId="5A146524" w14:textId="5DA1644C">
      <w:pPr>
        <w:rPr>
          <w:rFonts w:ascii="Arial Nova" w:hAnsi="Arial Nova" w:eastAsia="Arial Nova" w:cs="Arial Nova"/>
          <w:sz w:val="28"/>
          <w:szCs w:val="28"/>
        </w:rPr>
      </w:pPr>
    </w:p>
    <w:p w:rsidR="54A4A41D" w:rsidP="54A4A41D" w:rsidRDefault="54A4A41D" w14:paraId="2637A69C" w14:textId="7388AD6A">
      <w:pPr>
        <w:rPr>
          <w:rFonts w:ascii="Arial Nova" w:hAnsi="Arial Nova" w:eastAsia="Arial Nova" w:cs="Arial Nova"/>
          <w:sz w:val="28"/>
          <w:szCs w:val="28"/>
        </w:rPr>
      </w:pPr>
    </w:p>
    <w:p w:rsidR="54A4A41D" w:rsidP="54A4A41D" w:rsidRDefault="54A4A41D" w14:paraId="051046B9" w14:textId="7398C0E8">
      <w:pPr>
        <w:rPr>
          <w:rFonts w:ascii="Arial Nova" w:hAnsi="Arial Nova" w:eastAsia="Arial Nova" w:cs="Arial Nova"/>
          <w:sz w:val="28"/>
          <w:szCs w:val="28"/>
        </w:rPr>
      </w:pPr>
    </w:p>
    <w:p w:rsidR="54A4A41D" w:rsidP="54A4A41D" w:rsidRDefault="54A4A41D" w14:paraId="4B7739AE" w14:textId="167BFD3B">
      <w:pPr>
        <w:rPr>
          <w:rFonts w:ascii="Arial Nova" w:hAnsi="Arial Nova" w:eastAsia="Arial Nova" w:cs="Arial Nova"/>
          <w:sz w:val="28"/>
          <w:szCs w:val="28"/>
        </w:rPr>
      </w:pPr>
    </w:p>
    <w:p w:rsidR="54A4A41D" w:rsidP="54A4A41D" w:rsidRDefault="54A4A41D" w14:paraId="3D8C90FF" w14:textId="68FEED07">
      <w:pPr>
        <w:rPr>
          <w:rFonts w:ascii="Arial Nova" w:hAnsi="Arial Nova" w:eastAsia="Arial Nova" w:cs="Arial Nova"/>
          <w:sz w:val="28"/>
          <w:szCs w:val="28"/>
        </w:rPr>
      </w:pPr>
    </w:p>
    <w:p w:rsidR="54A4A41D" w:rsidP="54A4A41D" w:rsidRDefault="54A4A41D" w14:paraId="1B7D06D3" w14:textId="5372F618">
      <w:pPr>
        <w:rPr>
          <w:rFonts w:ascii="Arial Nova" w:hAnsi="Arial Nova" w:eastAsia="Arial Nova" w:cs="Arial Nova"/>
          <w:sz w:val="28"/>
          <w:szCs w:val="28"/>
        </w:rPr>
      </w:pPr>
    </w:p>
    <w:p w:rsidR="54A4A41D" w:rsidP="54A4A41D" w:rsidRDefault="54A4A41D" w14:paraId="2D45A4AA" w14:textId="2F71A59E">
      <w:pPr>
        <w:rPr>
          <w:rFonts w:ascii="Arial Nova" w:hAnsi="Arial Nova" w:eastAsia="Arial Nova" w:cs="Arial Nova"/>
          <w:sz w:val="28"/>
          <w:szCs w:val="28"/>
        </w:rPr>
      </w:pPr>
    </w:p>
    <w:p w:rsidR="54A4A41D" w:rsidP="54A4A41D" w:rsidRDefault="54A4A41D" w14:paraId="6A226818" w14:textId="1354E48A">
      <w:pPr>
        <w:rPr>
          <w:rFonts w:ascii="Arial Nova" w:hAnsi="Arial Nova" w:eastAsia="Arial Nova" w:cs="Arial Nova"/>
          <w:sz w:val="28"/>
          <w:szCs w:val="28"/>
        </w:rPr>
      </w:pPr>
    </w:p>
    <w:p w:rsidR="54A4A41D" w:rsidP="54A4A41D" w:rsidRDefault="54A4A41D" w14:paraId="29441FB9" w14:textId="4964BE5A">
      <w:pPr>
        <w:rPr>
          <w:rFonts w:ascii="Arial Nova" w:hAnsi="Arial Nova" w:eastAsia="Arial Nova" w:cs="Arial Nova"/>
          <w:sz w:val="28"/>
          <w:szCs w:val="28"/>
        </w:rPr>
      </w:pPr>
    </w:p>
    <w:p w:rsidR="54A4A41D" w:rsidP="54A4A41D" w:rsidRDefault="54A4A41D" w14:paraId="5DB4E01F" w14:textId="4A056AB2">
      <w:pPr>
        <w:rPr>
          <w:rFonts w:ascii="Arial Nova" w:hAnsi="Arial Nova" w:eastAsia="Arial Nova" w:cs="Arial Nova"/>
          <w:sz w:val="28"/>
          <w:szCs w:val="28"/>
        </w:rPr>
      </w:pPr>
    </w:p>
    <w:p w:rsidR="54A4A41D" w:rsidP="54A4A41D" w:rsidRDefault="54A4A41D" w14:paraId="29715D21" w14:textId="60B54A1D">
      <w:pPr>
        <w:rPr>
          <w:rFonts w:ascii="Arial Nova" w:hAnsi="Arial Nova" w:eastAsia="Arial Nova" w:cs="Arial Nova"/>
          <w:sz w:val="28"/>
          <w:szCs w:val="28"/>
        </w:rPr>
      </w:pPr>
    </w:p>
    <w:p w:rsidR="54A4A41D" w:rsidP="54A4A41D" w:rsidRDefault="54A4A41D" w14:paraId="3828C22D" w14:textId="35B3D484">
      <w:pPr>
        <w:rPr>
          <w:rFonts w:ascii="Arial Nova" w:hAnsi="Arial Nova" w:eastAsia="Arial Nova" w:cs="Arial Nova"/>
          <w:sz w:val="28"/>
          <w:szCs w:val="28"/>
        </w:rPr>
      </w:pPr>
    </w:p>
    <w:p w:rsidR="54A4A41D" w:rsidP="54A4A41D" w:rsidRDefault="54A4A41D" w14:paraId="5229D413" w14:textId="18759A20">
      <w:pPr>
        <w:pStyle w:val="Normal"/>
        <w:rPr>
          <w:rFonts w:ascii="Arial Nova" w:hAnsi="Arial Nova" w:eastAsia="Arial Nova" w:cs="Arial Nova"/>
          <w:b w:val="1"/>
          <w:bCs w:val="1"/>
          <w:sz w:val="24"/>
          <w:szCs w:val="24"/>
        </w:rPr>
      </w:pPr>
    </w:p>
    <w:p w:rsidR="2058B33F" w:rsidP="54A4A41D" w:rsidRDefault="2058B33F" w14:paraId="2A8AE2F9" w14:textId="68C1A21B">
      <w:pPr>
        <w:pStyle w:val="Normal"/>
        <w:rPr>
          <w:rFonts w:ascii="Arial Nova" w:hAnsi="Arial Nova" w:eastAsia="Arial Nova" w:cs="Arial Nova"/>
          <w:sz w:val="28"/>
          <w:szCs w:val="28"/>
        </w:rPr>
      </w:pPr>
      <w:r w:rsidRPr="2E8BE990" w:rsidR="2058B33F">
        <w:rPr>
          <w:rFonts w:ascii="Arial Nova" w:hAnsi="Arial Nova" w:eastAsia="Arial Nova" w:cs="Arial Nova"/>
          <w:b w:val="1"/>
          <w:bCs w:val="1"/>
          <w:sz w:val="24"/>
          <w:szCs w:val="24"/>
        </w:rPr>
        <w:t xml:space="preserve">Introduction </w:t>
      </w:r>
    </w:p>
    <w:p w:rsidR="69A36633" w:rsidP="2E8BE990" w:rsidRDefault="69A36633" w14:paraId="50567EDF" w14:textId="71BB15BF">
      <w:pPr>
        <w:spacing w:before="240" w:beforeAutospacing="off" w:after="240" w:afterAutospacing="off" w:line="360" w:lineRule="auto"/>
        <w:rPr>
          <w:rFonts w:ascii="Arial Nova" w:hAnsi="Arial Nova" w:eastAsia="Arial Nova" w:cs="Arial Nova"/>
          <w:b w:val="0"/>
          <w:bCs w:val="0"/>
          <w:noProof w:val="0"/>
          <w:sz w:val="22"/>
          <w:szCs w:val="22"/>
          <w:lang w:val="en-GB"/>
        </w:rPr>
      </w:pPr>
      <w:r w:rsidRPr="2E8BE990" w:rsidR="5D1BBB96">
        <w:rPr>
          <w:rFonts w:ascii="Arial Nova" w:hAnsi="Arial Nova" w:eastAsia="Arial Nova" w:cs="Arial Nova"/>
          <w:b w:val="0"/>
          <w:bCs w:val="0"/>
          <w:noProof w:val="0"/>
          <w:sz w:val="22"/>
          <w:szCs w:val="22"/>
          <w:lang w:val="en-GB"/>
        </w:rPr>
        <w:t xml:space="preserve">The United Nations’ </w:t>
      </w:r>
      <w:r w:rsidRPr="2E8BE990" w:rsidR="5D1BBB96">
        <w:rPr>
          <w:rFonts w:ascii="Arial Nova" w:hAnsi="Arial Nova" w:eastAsia="Arial Nova" w:cs="Arial Nova"/>
          <w:b w:val="0"/>
          <w:bCs w:val="0"/>
          <w:i w:val="1"/>
          <w:iCs w:val="1"/>
          <w:noProof w:val="0"/>
          <w:sz w:val="22"/>
          <w:szCs w:val="22"/>
          <w:lang w:val="en-GB"/>
        </w:rPr>
        <w:t>2030 Agenda for Sustainable Development</w:t>
      </w:r>
      <w:r w:rsidRPr="2E8BE990" w:rsidR="5D1BBB96">
        <w:rPr>
          <w:rFonts w:ascii="Arial Nova" w:hAnsi="Arial Nova" w:eastAsia="Arial Nova" w:cs="Arial Nova"/>
          <w:b w:val="0"/>
          <w:bCs w:val="0"/>
          <w:noProof w:val="0"/>
          <w:sz w:val="22"/>
          <w:szCs w:val="22"/>
          <w:lang w:val="en-GB"/>
        </w:rPr>
        <w:t xml:space="preserve"> </w:t>
      </w:r>
      <w:r w:rsidRPr="2E8BE990" w:rsidR="5D1BBB96">
        <w:rPr>
          <w:rFonts w:ascii="Arial Nova" w:hAnsi="Arial Nova" w:eastAsia="Arial Nova" w:cs="Arial Nova"/>
          <w:b w:val="0"/>
          <w:bCs w:val="0"/>
          <w:noProof w:val="0"/>
          <w:sz w:val="22"/>
          <w:szCs w:val="22"/>
          <w:lang w:val="en-GB"/>
        </w:rPr>
        <w:t>established</w:t>
      </w:r>
      <w:r w:rsidRPr="2E8BE990" w:rsidR="5D1BBB96">
        <w:rPr>
          <w:rFonts w:ascii="Arial Nova" w:hAnsi="Arial Nova" w:eastAsia="Arial Nova" w:cs="Arial Nova"/>
          <w:b w:val="0"/>
          <w:bCs w:val="0"/>
          <w:noProof w:val="0"/>
          <w:sz w:val="22"/>
          <w:szCs w:val="22"/>
          <w:lang w:val="en-GB"/>
        </w:rPr>
        <w:t xml:space="preserve"> 17 Sustainable Development Goals (SDGs) to address global challenges of inequality, health, and environmental degradation (United Nations, 2015). Among these, SDG 3 – </w:t>
      </w:r>
      <w:r w:rsidRPr="2E8BE990" w:rsidR="5D1BBB96">
        <w:rPr>
          <w:rFonts w:ascii="Arial Nova" w:hAnsi="Arial Nova" w:eastAsia="Arial Nova" w:cs="Arial Nova"/>
          <w:b w:val="0"/>
          <w:bCs w:val="0"/>
          <w:i w:val="1"/>
          <w:iCs w:val="1"/>
          <w:noProof w:val="0"/>
          <w:sz w:val="22"/>
          <w:szCs w:val="22"/>
          <w:lang w:val="en-GB"/>
        </w:rPr>
        <w:t xml:space="preserve">Good Health and </w:t>
      </w:r>
      <w:r w:rsidRPr="2E8BE990" w:rsidR="5D1BBB96">
        <w:rPr>
          <w:rFonts w:ascii="Arial Nova" w:hAnsi="Arial Nova" w:eastAsia="Arial Nova" w:cs="Arial Nova"/>
          <w:b w:val="0"/>
          <w:bCs w:val="0"/>
          <w:i w:val="0"/>
          <w:iCs w:val="0"/>
          <w:noProof w:val="0"/>
          <w:sz w:val="22"/>
          <w:szCs w:val="22"/>
          <w:lang w:val="en-GB"/>
        </w:rPr>
        <w:t>Well-</w:t>
      </w:r>
      <w:r w:rsidRPr="2E8BE990" w:rsidR="13432885">
        <w:rPr>
          <w:rFonts w:ascii="Arial Nova" w:hAnsi="Arial Nova" w:eastAsia="Arial Nova" w:cs="Arial Nova"/>
          <w:b w:val="0"/>
          <w:bCs w:val="0"/>
          <w:i w:val="0"/>
          <w:iCs w:val="0"/>
          <w:noProof w:val="0"/>
          <w:sz w:val="22"/>
          <w:szCs w:val="22"/>
          <w:lang w:val="en-GB"/>
        </w:rPr>
        <w:t xml:space="preserve">being </w:t>
      </w:r>
      <w:r w:rsidRPr="2E8BE990" w:rsidR="13432885">
        <w:rPr>
          <w:rFonts w:ascii="Arial Nova" w:hAnsi="Arial Nova" w:eastAsia="Arial Nova" w:cs="Arial Nova"/>
          <w:b w:val="0"/>
          <w:bCs w:val="0"/>
          <w:i w:val="0"/>
          <w:iCs w:val="0"/>
          <w:noProof w:val="0"/>
          <w:sz w:val="22"/>
          <w:szCs w:val="22"/>
          <w:lang w:val="en-GB"/>
        </w:rPr>
        <w:t>aim</w:t>
      </w:r>
      <w:r w:rsidRPr="2E8BE990" w:rsidR="5D1BBB96">
        <w:rPr>
          <w:rFonts w:ascii="Arial Nova" w:hAnsi="Arial Nova" w:eastAsia="Arial Nova" w:cs="Arial Nova"/>
          <w:b w:val="0"/>
          <w:bCs w:val="0"/>
          <w:i w:val="0"/>
          <w:iCs w:val="0"/>
          <w:noProof w:val="0"/>
          <w:sz w:val="22"/>
          <w:szCs w:val="22"/>
          <w:lang w:val="en-GB"/>
        </w:rPr>
        <w:t xml:space="preserve"> to ensure healthy lives and promote well-being for all at all ages, while SDG 13 – Climate Action – seeks urgent measures to combat climate change and its impacts. These goals are inherently interconnected: environmental sustainability underpins population health, and improvements in health systems support climate resilience (Haines and Frumkin, 2021).</w:t>
      </w:r>
    </w:p>
    <w:p w:rsidR="69A36633" w:rsidP="2E8BE990" w:rsidRDefault="69A36633" w14:paraId="46C50D0E" w14:textId="5ACE5176">
      <w:pPr>
        <w:spacing w:before="240" w:beforeAutospacing="off" w:after="240" w:afterAutospacing="off" w:line="360" w:lineRule="auto"/>
        <w:rPr>
          <w:rFonts w:ascii="Arial Nova" w:hAnsi="Arial Nova" w:eastAsia="Arial Nova" w:cs="Arial Nova"/>
          <w:b w:val="0"/>
          <w:bCs w:val="0"/>
          <w:noProof w:val="0"/>
          <w:sz w:val="22"/>
          <w:szCs w:val="22"/>
          <w:lang w:val="en-GB"/>
        </w:rPr>
      </w:pPr>
      <w:r w:rsidRPr="2E8BE990" w:rsidR="5D1BBB96">
        <w:rPr>
          <w:rFonts w:ascii="Arial Nova" w:hAnsi="Arial Nova" w:eastAsia="Arial Nova" w:cs="Arial Nova"/>
          <w:b w:val="0"/>
          <w:bCs w:val="0"/>
          <w:noProof w:val="0"/>
          <w:sz w:val="22"/>
          <w:szCs w:val="22"/>
          <w:lang w:val="en-GB"/>
        </w:rPr>
        <w:t xml:space="preserve">This report critically examines how SDG 3 and SDG 13 influence health and well-being at the </w:t>
      </w:r>
      <w:r w:rsidRPr="2E8BE990" w:rsidR="5D1BBB96">
        <w:rPr>
          <w:rFonts w:ascii="Arial Nova" w:hAnsi="Arial Nova" w:eastAsia="Arial Nova" w:cs="Arial Nova"/>
          <w:b w:val="0"/>
          <w:bCs w:val="0"/>
          <w:noProof w:val="0"/>
          <w:sz w:val="22"/>
          <w:szCs w:val="22"/>
          <w:lang w:val="en-GB"/>
        </w:rPr>
        <w:t>global, national, and local levels</w:t>
      </w:r>
      <w:r w:rsidRPr="2E8BE990" w:rsidR="5D1BBB96">
        <w:rPr>
          <w:rFonts w:ascii="Arial Nova" w:hAnsi="Arial Nova" w:eastAsia="Arial Nova" w:cs="Arial Nova"/>
          <w:b w:val="0"/>
          <w:bCs w:val="0"/>
          <w:noProof w:val="0"/>
          <w:sz w:val="22"/>
          <w:szCs w:val="22"/>
          <w:lang w:val="en-GB"/>
        </w:rPr>
        <w:t>, with particular attention to the United Kingdom’s policy context. It evaluates key initiatives, such as NHS public-health programmes and climate-mitigation strategies, exploring both their achievements and their limitations. In doing so, it applies relevant theoretical perspectives –</w:t>
      </w:r>
      <w:r w:rsidRPr="2E8BE990" w:rsidR="5D1BBB96">
        <w:rPr>
          <w:rFonts w:ascii="Arial Nova" w:hAnsi="Arial Nova" w:eastAsia="Arial Nova" w:cs="Arial Nova"/>
          <w:b w:val="0"/>
          <w:bCs w:val="0"/>
          <w:i w:val="0"/>
          <w:iCs w:val="0"/>
          <w:noProof w:val="0"/>
          <w:sz w:val="22"/>
          <w:szCs w:val="22"/>
          <w:lang w:val="en-GB"/>
        </w:rPr>
        <w:t xml:space="preserve"> including the </w:t>
      </w:r>
      <w:r w:rsidRPr="2E8BE990" w:rsidR="5D1BBB96">
        <w:rPr>
          <w:rFonts w:ascii="Arial Nova" w:hAnsi="Arial Nova" w:eastAsia="Arial Nova" w:cs="Arial Nova"/>
          <w:b w:val="0"/>
          <w:bCs w:val="0"/>
          <w:i w:val="0"/>
          <w:iCs w:val="0"/>
          <w:noProof w:val="0"/>
          <w:sz w:val="22"/>
          <w:szCs w:val="22"/>
          <w:lang w:val="en-GB"/>
        </w:rPr>
        <w:t>Health Belief Model</w:t>
      </w:r>
      <w:r w:rsidRPr="2E8BE990" w:rsidR="5D1BBB96">
        <w:rPr>
          <w:rFonts w:ascii="Arial Nova" w:hAnsi="Arial Nova" w:eastAsia="Arial Nova" w:cs="Arial Nova"/>
          <w:b w:val="0"/>
          <w:bCs w:val="0"/>
          <w:noProof w:val="0"/>
          <w:sz w:val="22"/>
          <w:szCs w:val="22"/>
          <w:lang w:val="en-GB"/>
        </w:rPr>
        <w:t xml:space="preserve"> (Rosenstock, 1974) – to interpret behavioural and systemic dimensions of health promotion.</w:t>
      </w:r>
    </w:p>
    <w:p w:rsidR="69A36633" w:rsidP="2E8BE990" w:rsidRDefault="69A36633" w14:paraId="079FBE3E" w14:textId="7446AF7A">
      <w:pPr>
        <w:spacing w:before="240" w:beforeAutospacing="off" w:after="240" w:afterAutospacing="off" w:line="360" w:lineRule="auto"/>
        <w:rPr>
          <w:rFonts w:ascii="Arial Nova" w:hAnsi="Arial Nova" w:eastAsia="Arial Nova" w:cs="Arial Nova"/>
          <w:sz w:val="28"/>
          <w:szCs w:val="28"/>
        </w:rPr>
      </w:pPr>
      <w:r w:rsidRPr="2E8BE990" w:rsidR="5D1BBB96">
        <w:rPr>
          <w:rFonts w:ascii="Arial Nova" w:hAnsi="Arial Nova" w:eastAsia="Arial Nova" w:cs="Arial Nova"/>
          <w:b w:val="0"/>
          <w:bCs w:val="0"/>
          <w:noProof w:val="0"/>
          <w:sz w:val="22"/>
          <w:szCs w:val="22"/>
          <w:lang w:val="en-GB"/>
        </w:rPr>
        <w:t xml:space="preserve">The analysis highlights that while the UK </w:t>
      </w:r>
      <w:r w:rsidRPr="2E8BE990" w:rsidR="5D1BBB96">
        <w:rPr>
          <w:rFonts w:ascii="Arial Nova" w:hAnsi="Arial Nova" w:eastAsia="Arial Nova" w:cs="Arial Nova"/>
          <w:b w:val="0"/>
          <w:bCs w:val="0"/>
          <w:noProof w:val="0"/>
          <w:sz w:val="22"/>
          <w:szCs w:val="22"/>
          <w:lang w:val="en-GB"/>
        </w:rPr>
        <w:t>demonstrates</w:t>
      </w:r>
      <w:r w:rsidRPr="2E8BE990" w:rsidR="5D1BBB96">
        <w:rPr>
          <w:rFonts w:ascii="Arial Nova" w:hAnsi="Arial Nova" w:eastAsia="Arial Nova" w:cs="Arial Nova"/>
          <w:b w:val="0"/>
          <w:bCs w:val="0"/>
          <w:noProof w:val="0"/>
          <w:sz w:val="22"/>
          <w:szCs w:val="22"/>
          <w:lang w:val="en-GB"/>
        </w:rPr>
        <w:t xml:space="preserve"> strong legislative and institutional alignment with the SDGs, implementation </w:t>
      </w:r>
      <w:r w:rsidRPr="2E8BE990" w:rsidR="5D1BBB96">
        <w:rPr>
          <w:rFonts w:ascii="Arial Nova" w:hAnsi="Arial Nova" w:eastAsia="Arial Nova" w:cs="Arial Nova"/>
          <w:b w:val="0"/>
          <w:bCs w:val="0"/>
          <w:noProof w:val="0"/>
          <w:sz w:val="22"/>
          <w:szCs w:val="22"/>
          <w:lang w:val="en-GB"/>
        </w:rPr>
        <w:t>remains</w:t>
      </w:r>
      <w:r w:rsidRPr="2E8BE990" w:rsidR="5D1BBB96">
        <w:rPr>
          <w:rFonts w:ascii="Arial Nova" w:hAnsi="Arial Nova" w:eastAsia="Arial Nova" w:cs="Arial Nova"/>
          <w:b w:val="0"/>
          <w:bCs w:val="0"/>
          <w:noProof w:val="0"/>
          <w:sz w:val="22"/>
          <w:szCs w:val="22"/>
          <w:lang w:val="en-GB"/>
        </w:rPr>
        <w:t xml:space="preserve"> constrained by social inequality, governance fragmentation, and funding pressures. The report concludes by presenting evidence-based recommendations for enhancing integration between health and climate agendas to advance a sustainable, </w:t>
      </w:r>
      <w:r w:rsidRPr="2E8BE990" w:rsidR="5D1BBB96">
        <w:rPr>
          <w:rFonts w:ascii="Arial Nova" w:hAnsi="Arial Nova" w:eastAsia="Arial Nova" w:cs="Arial Nova"/>
          <w:b w:val="0"/>
          <w:bCs w:val="0"/>
          <w:noProof w:val="0"/>
          <w:sz w:val="22"/>
          <w:szCs w:val="22"/>
          <w:lang w:val="en-GB"/>
        </w:rPr>
        <w:t>equitable</w:t>
      </w:r>
      <w:r w:rsidRPr="2E8BE990" w:rsidR="5D1BBB96">
        <w:rPr>
          <w:rFonts w:ascii="Arial Nova" w:hAnsi="Arial Nova" w:eastAsia="Arial Nova" w:cs="Arial Nova"/>
          <w:b w:val="0"/>
          <w:bCs w:val="0"/>
          <w:noProof w:val="0"/>
          <w:sz w:val="22"/>
          <w:szCs w:val="22"/>
          <w:lang w:val="en-GB"/>
        </w:rPr>
        <w:t xml:space="preserve"> future.</w:t>
      </w:r>
      <w:r w:rsidRPr="2E8BE990" w:rsidR="78BFDBE3">
        <w:rPr>
          <w:rFonts w:ascii="Arial Nova" w:hAnsi="Arial Nova" w:eastAsia="Arial Nova" w:cs="Arial Nova"/>
          <w:b w:val="0"/>
          <w:bCs w:val="0"/>
          <w:noProof w:val="0"/>
          <w:sz w:val="22"/>
          <w:szCs w:val="22"/>
          <w:lang w:val="en-GB"/>
        </w:rPr>
        <w:t xml:space="preserve"> </w:t>
      </w:r>
    </w:p>
    <w:p w:rsidR="69A36633" w:rsidP="2E8BE990" w:rsidRDefault="69A36633" w14:paraId="482F45D1" w14:textId="13883C38">
      <w:pPr>
        <w:pStyle w:val="Normal"/>
        <w:spacing w:before="240" w:beforeAutospacing="off" w:after="240" w:afterAutospacing="off" w:line="360" w:lineRule="auto"/>
        <w:rPr>
          <w:rFonts w:ascii="Arial Nova" w:hAnsi="Arial Nova" w:eastAsia="Arial Nova" w:cs="Arial Nova"/>
          <w:sz w:val="28"/>
          <w:szCs w:val="28"/>
        </w:rPr>
      </w:pPr>
      <w:r w:rsidRPr="2E8BE990" w:rsidR="78BFDBE3">
        <w:rPr>
          <w:rFonts w:ascii="Arial Nova" w:hAnsi="Arial Nova" w:eastAsia="Arial Nova" w:cs="Arial Nova"/>
          <w:b w:val="1"/>
          <w:bCs w:val="1"/>
          <w:noProof w:val="0"/>
          <w:sz w:val="24"/>
          <w:szCs w:val="24"/>
          <w:lang w:val="en-GB"/>
        </w:rPr>
        <w:t xml:space="preserve">SDG 3 – Good Health and Well-being </w:t>
      </w:r>
      <w:r w:rsidRPr="2E8BE990" w:rsidR="69D0D6C3">
        <w:rPr>
          <w:rFonts w:ascii="Arial Nova" w:hAnsi="Arial Nova" w:eastAsia="Arial Nova" w:cs="Arial Nova"/>
          <w:sz w:val="28"/>
          <w:szCs w:val="28"/>
        </w:rPr>
        <w:t xml:space="preserve">  </w:t>
      </w:r>
    </w:p>
    <w:p w:rsidR="69A36633" w:rsidP="2E8BE990" w:rsidRDefault="69A36633" w14:paraId="77D10093" w14:textId="75152775">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Sustainable Development Goal 3 (SDG 3) aims to “ensure healthy lives and promote well-being for all at all ages” (United Nations, 2015). It encompasses a broad agenda that includes reducing maternal and child mortality, tackling communicable and non-communicable diseases, improving mental health, and achieving universal health coverage. Health is both a moral right and a precondition for sustainable development, underpinning social stability and economic growth (Marmot, 2020).</w:t>
      </w:r>
    </w:p>
    <w:p w:rsidR="69A36633" w:rsidP="2E8BE990" w:rsidRDefault="69A36633" w14:paraId="4EB0F0E1" w14:textId="04046ABC">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Despite its centrality, SDG 3 has faced criticism for its technocratic orientation. The focus on measurable indicators</w:t>
      </w:r>
      <w:r w:rsidRPr="2E8BE990" w:rsidR="1564085E">
        <w:rPr>
          <w:rFonts w:ascii="Arial Nova" w:hAnsi="Arial Nova" w:eastAsia="Arial Nova" w:cs="Arial Nova"/>
          <w:b w:val="0"/>
          <w:bCs w:val="0"/>
          <w:i w:val="0"/>
          <w:iCs w:val="0"/>
          <w:noProof w:val="0"/>
          <w:sz w:val="22"/>
          <w:szCs w:val="22"/>
          <w:lang w:val="en-GB"/>
        </w:rPr>
        <w:t xml:space="preserve"> </w:t>
      </w:r>
      <w:r w:rsidRPr="2E8BE990" w:rsidR="55B0BB64">
        <w:rPr>
          <w:rFonts w:ascii="Arial Nova" w:hAnsi="Arial Nova" w:eastAsia="Arial Nova" w:cs="Arial Nova"/>
          <w:b w:val="0"/>
          <w:bCs w:val="0"/>
          <w:i w:val="0"/>
          <w:iCs w:val="0"/>
          <w:noProof w:val="0"/>
          <w:sz w:val="22"/>
          <w:szCs w:val="22"/>
          <w:lang w:val="en-GB"/>
        </w:rPr>
        <w:t>such as mortality rates and vaccination coverage</w:t>
      </w:r>
      <w:r w:rsidRPr="2E8BE990" w:rsidR="7179A1A9">
        <w:rPr>
          <w:rFonts w:ascii="Arial Nova" w:hAnsi="Arial Nova" w:eastAsia="Arial Nova" w:cs="Arial Nova"/>
          <w:b w:val="0"/>
          <w:bCs w:val="0"/>
          <w:i w:val="0"/>
          <w:iCs w:val="0"/>
          <w:noProof w:val="0"/>
          <w:sz w:val="22"/>
          <w:szCs w:val="22"/>
          <w:lang w:val="en-GB"/>
        </w:rPr>
        <w:t xml:space="preserve"> </w:t>
      </w:r>
      <w:r w:rsidRPr="2E8BE990" w:rsidR="55B0BB64">
        <w:rPr>
          <w:rFonts w:ascii="Arial Nova" w:hAnsi="Arial Nova" w:eastAsia="Arial Nova" w:cs="Arial Nova"/>
          <w:b w:val="0"/>
          <w:bCs w:val="0"/>
          <w:i w:val="0"/>
          <w:iCs w:val="0"/>
          <w:noProof w:val="0"/>
          <w:sz w:val="22"/>
          <w:szCs w:val="22"/>
          <w:lang w:val="en-GB"/>
        </w:rPr>
        <w:t>can oversimplify complex social and environmental determinants of health (Fukuda-Parr and McNeill, 2019). Vandemoortele (2018) warns that such frameworks risk masking inequalities by prioritising statistical progress over structural reform. The COVID-19 pandemic exposed these weaknesses, showing that global health outcomes are shaped not only by disease but by inequities in governance, resources, and living conditions (Bambra et al., 2020). While SDG 3 has strengthened international cooperation, critics argue that it has not fully addressed the power dynamics that sustain global health disparities.</w:t>
      </w:r>
    </w:p>
    <w:p w:rsidR="69A36633" w:rsidP="2E8BE990" w:rsidRDefault="69A36633" w14:paraId="09653EE9" w14:textId="00B090DC">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 xml:space="preserve">At the </w:t>
      </w:r>
      <w:r w:rsidRPr="2E8BE990" w:rsidR="55B0BB64">
        <w:rPr>
          <w:rFonts w:ascii="Arial Nova" w:hAnsi="Arial Nova" w:eastAsia="Arial Nova" w:cs="Arial Nova"/>
          <w:b w:val="0"/>
          <w:bCs w:val="0"/>
          <w:i w:val="0"/>
          <w:iCs w:val="0"/>
          <w:noProof w:val="0"/>
          <w:sz w:val="22"/>
          <w:szCs w:val="22"/>
          <w:lang w:val="en-GB"/>
        </w:rPr>
        <w:t>global level</w:t>
      </w:r>
      <w:r w:rsidRPr="2E8BE990" w:rsidR="55B0BB64">
        <w:rPr>
          <w:rFonts w:ascii="Arial Nova" w:hAnsi="Arial Nova" w:eastAsia="Arial Nova" w:cs="Arial Nova"/>
          <w:b w:val="0"/>
          <w:bCs w:val="0"/>
          <w:i w:val="0"/>
          <w:iCs w:val="0"/>
          <w:noProof w:val="0"/>
          <w:sz w:val="22"/>
          <w:szCs w:val="22"/>
          <w:lang w:val="en-GB"/>
        </w:rPr>
        <w:t xml:space="preserve">, SDG 3 is promoted through multilateral efforts such as the </w:t>
      </w:r>
      <w:r w:rsidRPr="2E8BE990" w:rsidR="55B0BB64">
        <w:rPr>
          <w:rFonts w:ascii="Arial Nova" w:hAnsi="Arial Nova" w:eastAsia="Arial Nova" w:cs="Arial Nova"/>
          <w:b w:val="0"/>
          <w:bCs w:val="0"/>
          <w:i w:val="0"/>
          <w:iCs w:val="0"/>
          <w:noProof w:val="0"/>
          <w:sz w:val="22"/>
          <w:szCs w:val="22"/>
          <w:lang w:val="en-GB"/>
        </w:rPr>
        <w:t>World Health Organization’s Thirteenth General Programme of Work 2019–2025</w:t>
      </w:r>
      <w:r w:rsidRPr="2E8BE990" w:rsidR="55B0BB64">
        <w:rPr>
          <w:rFonts w:ascii="Arial Nova" w:hAnsi="Arial Nova" w:eastAsia="Arial Nova" w:cs="Arial Nova"/>
          <w:b w:val="0"/>
          <w:bCs w:val="0"/>
          <w:i w:val="0"/>
          <w:iCs w:val="0"/>
          <w:noProof w:val="0"/>
          <w:sz w:val="22"/>
          <w:szCs w:val="22"/>
          <w:lang w:val="en-GB"/>
        </w:rPr>
        <w:t xml:space="preserve"> and the </w:t>
      </w:r>
      <w:r w:rsidRPr="2E8BE990" w:rsidR="55B0BB64">
        <w:rPr>
          <w:rFonts w:ascii="Arial Nova" w:hAnsi="Arial Nova" w:eastAsia="Arial Nova" w:cs="Arial Nova"/>
          <w:b w:val="0"/>
          <w:bCs w:val="0"/>
          <w:i w:val="0"/>
          <w:iCs w:val="0"/>
          <w:noProof w:val="0"/>
          <w:sz w:val="22"/>
          <w:szCs w:val="22"/>
          <w:lang w:val="en-GB"/>
        </w:rPr>
        <w:t>Global Action Plan for Healthy Lives and Well-being for All</w:t>
      </w:r>
      <w:r w:rsidRPr="2E8BE990" w:rsidR="55B0BB64">
        <w:rPr>
          <w:rFonts w:ascii="Arial Nova" w:hAnsi="Arial Nova" w:eastAsia="Arial Nova" w:cs="Arial Nova"/>
          <w:b w:val="0"/>
          <w:bCs w:val="0"/>
          <w:i w:val="0"/>
          <w:iCs w:val="0"/>
          <w:noProof w:val="0"/>
          <w:sz w:val="22"/>
          <w:szCs w:val="22"/>
          <w:lang w:val="en-GB"/>
        </w:rPr>
        <w:t xml:space="preserve"> (WHO, 2019; WHO, 2020). These frameworks coordinate resources and accelerate health outcomes across nations. However, the global health landscape </w:t>
      </w:r>
      <w:r w:rsidRPr="2E8BE990" w:rsidR="55B0BB64">
        <w:rPr>
          <w:rFonts w:ascii="Arial Nova" w:hAnsi="Arial Nova" w:eastAsia="Arial Nova" w:cs="Arial Nova"/>
          <w:b w:val="0"/>
          <w:bCs w:val="0"/>
          <w:i w:val="0"/>
          <w:iCs w:val="0"/>
          <w:noProof w:val="0"/>
          <w:sz w:val="22"/>
          <w:szCs w:val="22"/>
          <w:lang w:val="en-GB"/>
        </w:rPr>
        <w:t>remains</w:t>
      </w:r>
      <w:r w:rsidRPr="2E8BE990" w:rsidR="55B0BB64">
        <w:rPr>
          <w:rFonts w:ascii="Arial Nova" w:hAnsi="Arial Nova" w:eastAsia="Arial Nova" w:cs="Arial Nova"/>
          <w:b w:val="0"/>
          <w:bCs w:val="0"/>
          <w:i w:val="0"/>
          <w:iCs w:val="0"/>
          <w:noProof w:val="0"/>
          <w:sz w:val="22"/>
          <w:szCs w:val="22"/>
          <w:lang w:val="en-GB"/>
        </w:rPr>
        <w:t xml:space="preserve"> fragmented, with overlapping mandates among WHO, UNICEF, and the World Bank leading to duplication and competition for funding (Kickbusch and Reddy, 2015). Disease-specific programmes achieve measurable outcomes but often neglect broader determinants of health (Storeng and </w:t>
      </w:r>
      <w:r w:rsidRPr="2E8BE990" w:rsidR="55B0BB64">
        <w:rPr>
          <w:rFonts w:ascii="Arial Nova" w:hAnsi="Arial Nova" w:eastAsia="Arial Nova" w:cs="Arial Nova"/>
          <w:b w:val="0"/>
          <w:bCs w:val="0"/>
          <w:i w:val="0"/>
          <w:iCs w:val="0"/>
          <w:noProof w:val="0"/>
          <w:sz w:val="22"/>
          <w:szCs w:val="22"/>
          <w:lang w:val="en-GB"/>
        </w:rPr>
        <w:t>Béhague</w:t>
      </w:r>
      <w:r w:rsidRPr="2E8BE990" w:rsidR="55B0BB64">
        <w:rPr>
          <w:rFonts w:ascii="Arial Nova" w:hAnsi="Arial Nova" w:eastAsia="Arial Nova" w:cs="Arial Nova"/>
          <w:b w:val="0"/>
          <w:bCs w:val="0"/>
          <w:i w:val="0"/>
          <w:iCs w:val="0"/>
          <w:noProof w:val="0"/>
          <w:sz w:val="22"/>
          <w:szCs w:val="22"/>
          <w:lang w:val="en-GB"/>
        </w:rPr>
        <w:t>, 2016). Furthermore, global reporting mechanisms rely on self-reported national data, limiting accountability and comparability (United Nations, 2023). The result is a gap between global ambition and practical implementation, particularly in low-income regions.</w:t>
      </w:r>
    </w:p>
    <w:p w:rsidR="69A36633" w:rsidP="2E8BE990" w:rsidRDefault="69A36633" w14:paraId="60611137" w14:textId="7724CB49">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 xml:space="preserve">At the </w:t>
      </w:r>
      <w:r w:rsidRPr="2E8BE990" w:rsidR="55B0BB64">
        <w:rPr>
          <w:rFonts w:ascii="Arial Nova" w:hAnsi="Arial Nova" w:eastAsia="Arial Nova" w:cs="Arial Nova"/>
          <w:b w:val="0"/>
          <w:bCs w:val="0"/>
          <w:i w:val="0"/>
          <w:iCs w:val="0"/>
          <w:noProof w:val="0"/>
          <w:sz w:val="22"/>
          <w:szCs w:val="22"/>
          <w:lang w:val="en-GB"/>
        </w:rPr>
        <w:t>national level</w:t>
      </w:r>
      <w:r w:rsidRPr="2E8BE990" w:rsidR="55B0BB64">
        <w:rPr>
          <w:rFonts w:ascii="Arial Nova" w:hAnsi="Arial Nova" w:eastAsia="Arial Nova" w:cs="Arial Nova"/>
          <w:b w:val="0"/>
          <w:bCs w:val="0"/>
          <w:i w:val="0"/>
          <w:iCs w:val="0"/>
          <w:noProof w:val="0"/>
          <w:sz w:val="22"/>
          <w:szCs w:val="22"/>
          <w:lang w:val="en-GB"/>
        </w:rPr>
        <w:t xml:space="preserve">, the United Kingdom aligns strongly with SDG 3 through policies promoting prevention, equity, and sustainability. The </w:t>
      </w:r>
      <w:r w:rsidRPr="2E8BE990" w:rsidR="55B0BB64">
        <w:rPr>
          <w:rFonts w:ascii="Arial Nova" w:hAnsi="Arial Nova" w:eastAsia="Arial Nova" w:cs="Arial Nova"/>
          <w:b w:val="0"/>
          <w:bCs w:val="0"/>
          <w:i w:val="0"/>
          <w:iCs w:val="0"/>
          <w:noProof w:val="0"/>
          <w:sz w:val="22"/>
          <w:szCs w:val="22"/>
          <w:lang w:val="en-GB"/>
        </w:rPr>
        <w:t>NHS Long Term Plan</w:t>
      </w:r>
      <w:r w:rsidRPr="2E8BE990" w:rsidR="55B0BB64">
        <w:rPr>
          <w:rFonts w:ascii="Arial Nova" w:hAnsi="Arial Nova" w:eastAsia="Arial Nova" w:cs="Arial Nova"/>
          <w:b w:val="0"/>
          <w:bCs w:val="0"/>
          <w:i w:val="0"/>
          <w:iCs w:val="0"/>
          <w:noProof w:val="0"/>
          <w:sz w:val="22"/>
          <w:szCs w:val="22"/>
          <w:lang w:val="en-GB"/>
        </w:rPr>
        <w:t xml:space="preserve"> (2019) and </w:t>
      </w:r>
      <w:r w:rsidRPr="2E8BE990" w:rsidR="55B0BB64">
        <w:rPr>
          <w:rFonts w:ascii="Arial Nova" w:hAnsi="Arial Nova" w:eastAsia="Arial Nova" w:cs="Arial Nova"/>
          <w:b w:val="0"/>
          <w:bCs w:val="0"/>
          <w:i w:val="0"/>
          <w:iCs w:val="0"/>
          <w:noProof w:val="0"/>
          <w:sz w:val="22"/>
          <w:szCs w:val="22"/>
          <w:lang w:val="en-GB"/>
        </w:rPr>
        <w:t>Well-being of Future Generations (Wales) Act</w:t>
      </w:r>
      <w:r w:rsidRPr="2E8BE990" w:rsidR="55B0BB64">
        <w:rPr>
          <w:rFonts w:ascii="Arial Nova" w:hAnsi="Arial Nova" w:eastAsia="Arial Nova" w:cs="Arial Nova"/>
          <w:b w:val="0"/>
          <w:bCs w:val="0"/>
          <w:i w:val="0"/>
          <w:iCs w:val="0"/>
          <w:noProof w:val="0"/>
          <w:sz w:val="22"/>
          <w:szCs w:val="22"/>
          <w:lang w:val="en-GB"/>
        </w:rPr>
        <w:t xml:space="preserve"> (2015) both emphasise health equity and community well-being. SDG 3 has also achieved tangible progress within the NHS: vaccination rates </w:t>
      </w:r>
      <w:r w:rsidRPr="2E8BE990" w:rsidR="55B0BB64">
        <w:rPr>
          <w:rFonts w:ascii="Arial Nova" w:hAnsi="Arial Nova" w:eastAsia="Arial Nova" w:cs="Arial Nova"/>
          <w:b w:val="0"/>
          <w:bCs w:val="0"/>
          <w:i w:val="0"/>
          <w:iCs w:val="0"/>
          <w:noProof w:val="0"/>
          <w:sz w:val="22"/>
          <w:szCs w:val="22"/>
          <w:lang w:val="en-GB"/>
        </w:rPr>
        <w:t>remain</w:t>
      </w:r>
      <w:r w:rsidRPr="2E8BE990" w:rsidR="55B0BB64">
        <w:rPr>
          <w:rFonts w:ascii="Arial Nova" w:hAnsi="Arial Nova" w:eastAsia="Arial Nova" w:cs="Arial Nova"/>
          <w:b w:val="0"/>
          <w:bCs w:val="0"/>
          <w:i w:val="0"/>
          <w:iCs w:val="0"/>
          <w:noProof w:val="0"/>
          <w:sz w:val="22"/>
          <w:szCs w:val="22"/>
          <w:lang w:val="en-GB"/>
        </w:rPr>
        <w:t xml:space="preserve"> above 90 percent, maternal mortality continues to decline, and the </w:t>
      </w:r>
      <w:r w:rsidRPr="2E8BE990" w:rsidR="55B0BB64">
        <w:rPr>
          <w:rFonts w:ascii="Arial Nova" w:hAnsi="Arial Nova" w:eastAsia="Arial Nova" w:cs="Arial Nova"/>
          <w:b w:val="0"/>
          <w:bCs w:val="0"/>
          <w:i w:val="0"/>
          <w:iCs w:val="0"/>
          <w:noProof w:val="0"/>
          <w:sz w:val="22"/>
          <w:szCs w:val="22"/>
          <w:lang w:val="en-GB"/>
        </w:rPr>
        <w:t>Greener NHS Programme</w:t>
      </w:r>
      <w:r w:rsidRPr="2E8BE990" w:rsidR="55B0BB64">
        <w:rPr>
          <w:rFonts w:ascii="Arial Nova" w:hAnsi="Arial Nova" w:eastAsia="Arial Nova" w:cs="Arial Nova"/>
          <w:b w:val="0"/>
          <w:bCs w:val="0"/>
          <w:i w:val="0"/>
          <w:iCs w:val="0"/>
          <w:noProof w:val="0"/>
          <w:sz w:val="22"/>
          <w:szCs w:val="22"/>
          <w:lang w:val="en-GB"/>
        </w:rPr>
        <w:t xml:space="preserve"> has reduced emissions by 30 percent since 2010 (NHS England, 2020). These outcomes show how global goals can translate into measurable improvements in health and sustainability. However, austerity measures and workforce shortages have constrained the NHS’s ability to deliver fully on preventive ambitions (British Medical Association, 2023). Persistent funding inequalities across regions also exacerbate health disparities (King’s Fund, 2023).</w:t>
      </w:r>
    </w:p>
    <w:p w:rsidR="69A36633" w:rsidP="2E8BE990" w:rsidRDefault="69A36633" w14:paraId="711B7778" w14:textId="1901A2D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Behavioural models help explain the mixed success of health interventions. The Health Belief Model (HBM) posits that individuals adopt healthy behaviours when they perceive personal susceptibility, severity of risk, benefits of action, and minimal barriers (Rosenstock, 1974). NHS public-health campaigns such as Better Health and Stoptober apply this model, using risk framing and self-efficacy messages to promote behavioural change. However, social determinants</w:t>
      </w:r>
      <w:r w:rsidRPr="2E8BE990" w:rsidR="58831252">
        <w:rPr>
          <w:rFonts w:ascii="Arial Nova" w:hAnsi="Arial Nova" w:eastAsia="Arial Nova" w:cs="Arial Nova"/>
          <w:b w:val="0"/>
          <w:bCs w:val="0"/>
          <w:i w:val="0"/>
          <w:iCs w:val="0"/>
          <w:noProof w:val="0"/>
          <w:sz w:val="22"/>
          <w:szCs w:val="22"/>
          <w:lang w:val="en-GB"/>
        </w:rPr>
        <w:t xml:space="preserve"> </w:t>
      </w:r>
      <w:r w:rsidRPr="2E8BE990" w:rsidR="55B0BB64">
        <w:rPr>
          <w:rFonts w:ascii="Arial Nova" w:hAnsi="Arial Nova" w:eastAsia="Arial Nova" w:cs="Arial Nova"/>
          <w:b w:val="0"/>
          <w:bCs w:val="0"/>
          <w:i w:val="0"/>
          <w:iCs w:val="0"/>
          <w:noProof w:val="0"/>
          <w:sz w:val="22"/>
          <w:szCs w:val="22"/>
          <w:lang w:val="en-GB"/>
        </w:rPr>
        <w:t>such as income, housing, and education</w:t>
      </w:r>
      <w:r w:rsidRPr="2E8BE990" w:rsidR="0A90E3C2">
        <w:rPr>
          <w:rFonts w:ascii="Arial Nova" w:hAnsi="Arial Nova" w:eastAsia="Arial Nova" w:cs="Arial Nova"/>
          <w:b w:val="0"/>
          <w:bCs w:val="0"/>
          <w:i w:val="0"/>
          <w:iCs w:val="0"/>
          <w:noProof w:val="0"/>
          <w:sz w:val="22"/>
          <w:szCs w:val="22"/>
          <w:lang w:val="en-GB"/>
        </w:rPr>
        <w:t xml:space="preserve"> </w:t>
      </w:r>
      <w:r w:rsidRPr="2E8BE990" w:rsidR="55B0BB64">
        <w:rPr>
          <w:rFonts w:ascii="Arial Nova" w:hAnsi="Arial Nova" w:eastAsia="Arial Nova" w:cs="Arial Nova"/>
          <w:b w:val="0"/>
          <w:bCs w:val="0"/>
          <w:i w:val="0"/>
          <w:iCs w:val="0"/>
          <w:noProof w:val="0"/>
          <w:sz w:val="22"/>
          <w:szCs w:val="22"/>
          <w:lang w:val="en-GB"/>
        </w:rPr>
        <w:t>limit the effectiveness of purely behaviour-based approaches. Marmot (2020) argues that structural inequality must be addressed alongside behaviour change, otherwise interventions risk blaming individuals for systemic failings. Integrating behavioural theory with equity-focused policy thus enhances SDG 3’s capacity to improve population health.</w:t>
      </w:r>
    </w:p>
    <w:p w:rsidR="69A36633" w:rsidP="2E8BE990" w:rsidRDefault="69A36633" w14:paraId="15958BA2" w14:textId="36C3580A">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 xml:space="preserve">At the </w:t>
      </w:r>
      <w:r w:rsidRPr="2E8BE990" w:rsidR="55B0BB64">
        <w:rPr>
          <w:rFonts w:ascii="Arial Nova" w:hAnsi="Arial Nova" w:eastAsia="Arial Nova" w:cs="Arial Nova"/>
          <w:b w:val="0"/>
          <w:bCs w:val="0"/>
          <w:i w:val="0"/>
          <w:iCs w:val="0"/>
          <w:noProof w:val="0"/>
          <w:sz w:val="22"/>
          <w:szCs w:val="22"/>
          <w:lang w:val="en-GB"/>
        </w:rPr>
        <w:t>local level</w:t>
      </w:r>
      <w:r w:rsidRPr="2E8BE990" w:rsidR="55B0BB64">
        <w:rPr>
          <w:rFonts w:ascii="Arial Nova" w:hAnsi="Arial Nova" w:eastAsia="Arial Nova" w:cs="Arial Nova"/>
          <w:b w:val="0"/>
          <w:bCs w:val="0"/>
          <w:i w:val="0"/>
          <w:iCs w:val="0"/>
          <w:noProof w:val="0"/>
          <w:sz w:val="22"/>
          <w:szCs w:val="22"/>
          <w:lang w:val="en-GB"/>
        </w:rPr>
        <w:t xml:space="preserve">, public-health delivery has shifted toward community-based and partnership approaches. Local authorities, health boards, and voluntary organisations collaborate through initiatives such as </w:t>
      </w:r>
      <w:r w:rsidRPr="2E8BE990" w:rsidR="55B0BB64">
        <w:rPr>
          <w:rFonts w:ascii="Arial Nova" w:hAnsi="Arial Nova" w:eastAsia="Arial Nova" w:cs="Arial Nova"/>
          <w:b w:val="0"/>
          <w:bCs w:val="0"/>
          <w:i w:val="0"/>
          <w:iCs w:val="0"/>
          <w:noProof w:val="0"/>
          <w:sz w:val="22"/>
          <w:szCs w:val="22"/>
          <w:lang w:val="en-GB"/>
        </w:rPr>
        <w:t>Integrated Well-being Networks</w:t>
      </w:r>
      <w:r w:rsidRPr="2E8BE990" w:rsidR="55B0BB64">
        <w:rPr>
          <w:rFonts w:ascii="Arial Nova" w:hAnsi="Arial Nova" w:eastAsia="Arial Nova" w:cs="Arial Nova"/>
          <w:b w:val="0"/>
          <w:bCs w:val="0"/>
          <w:i w:val="0"/>
          <w:iCs w:val="0"/>
          <w:noProof w:val="0"/>
          <w:sz w:val="22"/>
          <w:szCs w:val="22"/>
          <w:lang w:val="en-GB"/>
        </w:rPr>
        <w:t xml:space="preserve"> (Public Health Wales, 2021) and </w:t>
      </w:r>
      <w:r w:rsidRPr="2E8BE990" w:rsidR="55B0BB64">
        <w:rPr>
          <w:rFonts w:ascii="Arial Nova" w:hAnsi="Arial Nova" w:eastAsia="Arial Nova" w:cs="Arial Nova"/>
          <w:b w:val="0"/>
          <w:bCs w:val="0"/>
          <w:i w:val="0"/>
          <w:iCs w:val="0"/>
          <w:noProof w:val="0"/>
          <w:sz w:val="22"/>
          <w:szCs w:val="22"/>
          <w:lang w:val="en-GB"/>
        </w:rPr>
        <w:t>social prescribing</w:t>
      </w:r>
      <w:r w:rsidRPr="2E8BE990" w:rsidR="55B0BB64">
        <w:rPr>
          <w:rFonts w:ascii="Arial Nova" w:hAnsi="Arial Nova" w:eastAsia="Arial Nova" w:cs="Arial Nova"/>
          <w:b w:val="0"/>
          <w:bCs w:val="0"/>
          <w:i w:val="0"/>
          <w:iCs w:val="0"/>
          <w:noProof w:val="0"/>
          <w:sz w:val="22"/>
          <w:szCs w:val="22"/>
          <w:lang w:val="en-GB"/>
        </w:rPr>
        <w:t xml:space="preserve"> schemes that connect patients with physical activity, nutrition, and mental health support. These reflect the shift from reactive healthcare to proactive well-being promotion. However, funding reductions to local public-health budgets have undermined consistency, particularly in deprived areas (The King’s Fund, 2023). Community programmes often rely on short-term grants and lack rigorous evaluation, limiting sustainability (Southby et al., 2022).</w:t>
      </w:r>
    </w:p>
    <w:p w:rsidR="69A36633" w:rsidP="2E8BE990" w:rsidRDefault="69A36633" w14:paraId="78D0AE06" w14:textId="46EF32F5">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Critically, SDG 3 demonstrates strong political and institutional commitment but limited systemic coherence. Global frameworks articulate shared values but fail to account for inequality and governance gaps. Nationally, UK health policy aligns conceptually with SDG 3 yet faces fiscal and workforce constraints that impede implementation. Locally, innovation thrives but remains fragile without long-term investment. This “implementation paradox” (Fukuda-Parr and McNeill, 2019) highlights how global consensus can coexist with uneven local outcomes.</w:t>
      </w:r>
    </w:p>
    <w:p w:rsidR="69A36633" w:rsidP="2E8BE990" w:rsidRDefault="69A36633" w14:paraId="16B48E65" w14:textId="782A1CA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55B0BB64">
        <w:rPr>
          <w:rFonts w:ascii="Arial Nova" w:hAnsi="Arial Nova" w:eastAsia="Arial Nova" w:cs="Arial Nova"/>
          <w:b w:val="0"/>
          <w:bCs w:val="0"/>
          <w:i w:val="0"/>
          <w:iCs w:val="0"/>
          <w:noProof w:val="0"/>
          <w:sz w:val="22"/>
          <w:szCs w:val="22"/>
          <w:lang w:val="en-GB"/>
        </w:rPr>
        <w:t>To strengthen progress, several strategies are essential. Health should be embedded across all policy domains</w:t>
      </w:r>
      <w:r w:rsidRPr="2E8BE990" w:rsidR="06AA8449">
        <w:rPr>
          <w:rFonts w:ascii="Arial Nova" w:hAnsi="Arial Nova" w:eastAsia="Arial Nova" w:cs="Arial Nova"/>
          <w:b w:val="0"/>
          <w:bCs w:val="0"/>
          <w:i w:val="0"/>
          <w:iCs w:val="0"/>
          <w:noProof w:val="0"/>
          <w:sz w:val="22"/>
          <w:szCs w:val="22"/>
          <w:lang w:val="en-GB"/>
        </w:rPr>
        <w:t xml:space="preserve"> </w:t>
      </w:r>
      <w:r w:rsidRPr="2E8BE990" w:rsidR="55B0BB64">
        <w:rPr>
          <w:rFonts w:ascii="Arial Nova" w:hAnsi="Arial Nova" w:eastAsia="Arial Nova" w:cs="Arial Nova"/>
          <w:b w:val="0"/>
          <w:bCs w:val="0"/>
          <w:i w:val="0"/>
          <w:iCs w:val="0"/>
          <w:noProof w:val="0"/>
          <w:sz w:val="22"/>
          <w:szCs w:val="22"/>
          <w:lang w:val="en-GB"/>
        </w:rPr>
        <w:t>housing, education, and environment through Health in All Policies approaches. Reinvestment in prevention and early intervention is vital to reduce long-term costs and inequalities. Enhanced evaluation capacity at local levels would enable more consistent learning and accountability. Moreover, integrating behavioural models such as the HBM with structural reform would ensure that interventions are both evidence-based and socially just. Finally, continued alignment between SDG 3 and climate-related initiatives (such as the Greener NHS) will reinforce resilience and sustainability in public health.</w:t>
      </w:r>
      <w:r w:rsidRPr="2E8BE990" w:rsidR="2A3262D6">
        <w:rPr>
          <w:rFonts w:ascii="Arial Nova" w:hAnsi="Arial Nova" w:eastAsia="Arial Nova" w:cs="Arial Nova"/>
          <w:b w:val="0"/>
          <w:bCs w:val="0"/>
          <w:i w:val="0"/>
          <w:iCs w:val="0"/>
          <w:noProof w:val="0"/>
          <w:sz w:val="22"/>
          <w:szCs w:val="22"/>
          <w:lang w:val="en-GB"/>
        </w:rPr>
        <w:t xml:space="preserve"> </w:t>
      </w:r>
    </w:p>
    <w:p w:rsidR="69A36633" w:rsidP="2E8BE990" w:rsidRDefault="69A36633" w14:paraId="0EAF37AD" w14:textId="0F80397E">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E8BE990" w:rsidR="7C9EB044">
        <w:rPr>
          <w:rFonts w:ascii="Arial Nova" w:hAnsi="Arial Nova" w:eastAsia="Arial Nova" w:cs="Arial Nova"/>
          <w:b w:val="1"/>
          <w:bCs w:val="1"/>
          <w:noProof w:val="0"/>
          <w:sz w:val="24"/>
          <w:szCs w:val="24"/>
          <w:lang w:val="en-GB"/>
        </w:rPr>
        <w:t xml:space="preserve">SDG 13 – Climate Action </w:t>
      </w:r>
    </w:p>
    <w:p w:rsidR="69A36633" w:rsidP="2E8BE990" w:rsidRDefault="69A36633" w14:paraId="0D79E0D3" w14:textId="3B5C32A0">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 xml:space="preserve">Sustainable Development Goal 13 (SDG 13) calls for “urgent action to combat climate change and its impacts” (United Nations, 2015). The goal recognises that the climate crisis is not only an environmental issue but also a profound threat to global health, food security, and economic stability. Increasing temperatures, air pollution, and extreme weather events contribute directly to non-communicable diseases, respiratory conditions, and premature mortality (Haines and Frumkin, 2021). The </w:t>
      </w:r>
      <w:r w:rsidRPr="2E8BE990" w:rsidR="7C9EB044">
        <w:rPr>
          <w:rFonts w:ascii="Arial Nova" w:hAnsi="Arial Nova" w:eastAsia="Arial Nova" w:cs="Arial Nova"/>
          <w:b w:val="0"/>
          <w:bCs w:val="0"/>
          <w:i w:val="0"/>
          <w:iCs w:val="0"/>
          <w:noProof w:val="0"/>
          <w:sz w:val="22"/>
          <w:szCs w:val="22"/>
          <w:lang w:val="en-GB"/>
        </w:rPr>
        <w:t>Intergovernmental Panel on Climate Change</w:t>
      </w:r>
      <w:r w:rsidRPr="2E8BE990" w:rsidR="7C9EB044">
        <w:rPr>
          <w:rFonts w:ascii="Arial Nova" w:hAnsi="Arial Nova" w:eastAsia="Arial Nova" w:cs="Arial Nova"/>
          <w:b w:val="0"/>
          <w:bCs w:val="0"/>
          <w:i w:val="0"/>
          <w:iCs w:val="0"/>
          <w:noProof w:val="0"/>
          <w:sz w:val="22"/>
          <w:szCs w:val="22"/>
          <w:lang w:val="en-GB"/>
        </w:rPr>
        <w:t xml:space="preserve"> (IPCC, 2022) warns that without radical emissions reductions, these health and environmental consequences will intensify, undermining progress on SDG 3.</w:t>
      </w:r>
    </w:p>
    <w:p w:rsidR="69A36633" w:rsidP="2E8BE990" w:rsidRDefault="69A36633" w14:paraId="75BFC12C" w14:textId="2A512716">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 xml:space="preserve">At the global level, SDG 13 is primarily driven by the Paris Agreement (UNFCCC, 2015), which seeks to limit global temperature rise to below 2°C, preferably 1.5°C. However, progress </w:t>
      </w:r>
      <w:r w:rsidRPr="2E8BE990" w:rsidR="7C9EB044">
        <w:rPr>
          <w:rFonts w:ascii="Arial Nova" w:hAnsi="Arial Nova" w:eastAsia="Arial Nova" w:cs="Arial Nova"/>
          <w:b w:val="0"/>
          <w:bCs w:val="0"/>
          <w:i w:val="0"/>
          <w:iCs w:val="0"/>
          <w:noProof w:val="0"/>
          <w:sz w:val="22"/>
          <w:szCs w:val="22"/>
          <w:lang w:val="en-GB"/>
        </w:rPr>
        <w:t>remains</w:t>
      </w:r>
      <w:r w:rsidRPr="2E8BE990" w:rsidR="7C9EB044">
        <w:rPr>
          <w:rFonts w:ascii="Arial Nova" w:hAnsi="Arial Nova" w:eastAsia="Arial Nova" w:cs="Arial Nova"/>
          <w:b w:val="0"/>
          <w:bCs w:val="0"/>
          <w:i w:val="0"/>
          <w:iCs w:val="0"/>
          <w:noProof w:val="0"/>
          <w:sz w:val="22"/>
          <w:szCs w:val="22"/>
          <w:lang w:val="en-GB"/>
        </w:rPr>
        <w:t xml:space="preserve"> insufficient. The UN Environment Programme’s Emissions Gap Report (2023) shows that existing national pledges will lead to warming well above this threshold. Furthermore, global governance suffers from inequities between developed and developing countries, with wealthier nations responsible for </w:t>
      </w:r>
      <w:r w:rsidRPr="2E8BE990" w:rsidR="4D7FD756">
        <w:rPr>
          <w:rFonts w:ascii="Arial Nova" w:hAnsi="Arial Nova" w:eastAsia="Arial Nova" w:cs="Arial Nova"/>
          <w:b w:val="0"/>
          <w:bCs w:val="0"/>
          <w:i w:val="0"/>
          <w:iCs w:val="0"/>
          <w:noProof w:val="0"/>
          <w:sz w:val="22"/>
          <w:szCs w:val="22"/>
          <w:lang w:val="en-GB"/>
        </w:rPr>
        <w:t>most</w:t>
      </w:r>
      <w:r w:rsidRPr="2E8BE990" w:rsidR="7C9EB044">
        <w:rPr>
          <w:rFonts w:ascii="Arial Nova" w:hAnsi="Arial Nova" w:eastAsia="Arial Nova" w:cs="Arial Nova"/>
          <w:b w:val="0"/>
          <w:bCs w:val="0"/>
          <w:i w:val="0"/>
          <w:iCs w:val="0"/>
          <w:noProof w:val="0"/>
          <w:sz w:val="22"/>
          <w:szCs w:val="22"/>
          <w:lang w:val="en-GB"/>
        </w:rPr>
        <w:t xml:space="preserve"> emissions yet slower to deliver financial and technological support (Okereke and Dooley, 2010). Climate justice thus </w:t>
      </w:r>
      <w:r w:rsidRPr="2E8BE990" w:rsidR="7C9EB044">
        <w:rPr>
          <w:rFonts w:ascii="Arial Nova" w:hAnsi="Arial Nova" w:eastAsia="Arial Nova" w:cs="Arial Nova"/>
          <w:b w:val="0"/>
          <w:bCs w:val="0"/>
          <w:i w:val="0"/>
          <w:iCs w:val="0"/>
          <w:noProof w:val="0"/>
          <w:sz w:val="22"/>
          <w:szCs w:val="22"/>
          <w:lang w:val="en-GB"/>
        </w:rPr>
        <w:t>remains</w:t>
      </w:r>
      <w:r w:rsidRPr="2E8BE990" w:rsidR="7C9EB044">
        <w:rPr>
          <w:rFonts w:ascii="Arial Nova" w:hAnsi="Arial Nova" w:eastAsia="Arial Nova" w:cs="Arial Nova"/>
          <w:b w:val="0"/>
          <w:bCs w:val="0"/>
          <w:i w:val="0"/>
          <w:iCs w:val="0"/>
          <w:noProof w:val="0"/>
          <w:sz w:val="22"/>
          <w:szCs w:val="22"/>
          <w:lang w:val="en-GB"/>
        </w:rPr>
        <w:t xml:space="preserve"> a defining challenge: those least responsible for emissions face the gravest health and economic risks (United Nations Environment Programme, 2023).</w:t>
      </w:r>
    </w:p>
    <w:p w:rsidR="69A36633" w:rsidP="2E8BE990" w:rsidRDefault="69A36633" w14:paraId="7CBD4B45" w14:textId="00C4FD5B">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 xml:space="preserve">At the national level, the United Kingdom has long positioned itself as a climate leader. The Climate Change Act (2008) </w:t>
      </w:r>
      <w:r w:rsidRPr="2E8BE990" w:rsidR="7C9EB044">
        <w:rPr>
          <w:rFonts w:ascii="Arial Nova" w:hAnsi="Arial Nova" w:eastAsia="Arial Nova" w:cs="Arial Nova"/>
          <w:b w:val="0"/>
          <w:bCs w:val="0"/>
          <w:i w:val="0"/>
          <w:iCs w:val="0"/>
          <w:noProof w:val="0"/>
          <w:sz w:val="22"/>
          <w:szCs w:val="22"/>
          <w:lang w:val="en-GB"/>
        </w:rPr>
        <w:t>established</w:t>
      </w:r>
      <w:r w:rsidRPr="2E8BE990" w:rsidR="7C9EB044">
        <w:rPr>
          <w:rFonts w:ascii="Arial Nova" w:hAnsi="Arial Nova" w:eastAsia="Arial Nova" w:cs="Arial Nova"/>
          <w:b w:val="0"/>
          <w:bCs w:val="0"/>
          <w:i w:val="0"/>
          <w:iCs w:val="0"/>
          <w:noProof w:val="0"/>
          <w:sz w:val="22"/>
          <w:szCs w:val="22"/>
          <w:lang w:val="en-GB"/>
        </w:rPr>
        <w:t xml:space="preserve"> legally binding carbon budgets and the goal of net-zero emissions by 2050. This framework guides the Net Zero Strategy: Build Back Greener (Department for Business, </w:t>
      </w:r>
      <w:r w:rsidRPr="2E8BE990" w:rsidR="5B5A3124">
        <w:rPr>
          <w:rFonts w:ascii="Arial Nova" w:hAnsi="Arial Nova" w:eastAsia="Arial Nova" w:cs="Arial Nova"/>
          <w:b w:val="0"/>
          <w:bCs w:val="0"/>
          <w:i w:val="0"/>
          <w:iCs w:val="0"/>
          <w:noProof w:val="0"/>
          <w:sz w:val="22"/>
          <w:szCs w:val="22"/>
          <w:lang w:val="en-GB"/>
        </w:rPr>
        <w:t>Energy,</w:t>
      </w:r>
      <w:r w:rsidRPr="2E8BE990" w:rsidR="7C9EB044">
        <w:rPr>
          <w:rFonts w:ascii="Arial Nova" w:hAnsi="Arial Nova" w:eastAsia="Arial Nova" w:cs="Arial Nova"/>
          <w:b w:val="0"/>
          <w:bCs w:val="0"/>
          <w:i w:val="0"/>
          <w:iCs w:val="0"/>
          <w:noProof w:val="0"/>
          <w:sz w:val="22"/>
          <w:szCs w:val="22"/>
          <w:lang w:val="en-GB"/>
        </w:rPr>
        <w:t xml:space="preserve"> and Industrial Strategy, 2021), which outlines decarbonisation across energy, housing, and transport. The Environment Act (2021) sets new standards for air quality, waste, and biodiversity, while the Greener NHS Programme aims for a carbon-neutral health service by 2040 (NHS England, 2020). Together, these initiatives </w:t>
      </w:r>
      <w:r w:rsidRPr="2E8BE990" w:rsidR="7C9EB044">
        <w:rPr>
          <w:rFonts w:ascii="Arial Nova" w:hAnsi="Arial Nova" w:eastAsia="Arial Nova" w:cs="Arial Nova"/>
          <w:b w:val="0"/>
          <w:bCs w:val="0"/>
          <w:i w:val="0"/>
          <w:iCs w:val="0"/>
          <w:noProof w:val="0"/>
          <w:sz w:val="22"/>
          <w:szCs w:val="22"/>
          <w:lang w:val="en-GB"/>
        </w:rPr>
        <w:t>demonstrate</w:t>
      </w:r>
      <w:r w:rsidRPr="2E8BE990" w:rsidR="7C9EB044">
        <w:rPr>
          <w:rFonts w:ascii="Arial Nova" w:hAnsi="Arial Nova" w:eastAsia="Arial Nova" w:cs="Arial Nova"/>
          <w:b w:val="0"/>
          <w:bCs w:val="0"/>
          <w:i w:val="0"/>
          <w:iCs w:val="0"/>
          <w:noProof w:val="0"/>
          <w:sz w:val="22"/>
          <w:szCs w:val="22"/>
          <w:lang w:val="en-GB"/>
        </w:rPr>
        <w:t xml:space="preserve"> how environmental and health goals intersect, as reducing emissions delivers direct benefits for population well-being.</w:t>
      </w:r>
    </w:p>
    <w:p w:rsidR="69A36633" w:rsidP="2E8BE990" w:rsidRDefault="69A36633" w14:paraId="617C6A7D" w14:textId="5B4EFD68">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 xml:space="preserve">However, despite legislative ambition, the UK’s implementation record </w:t>
      </w:r>
      <w:r w:rsidRPr="2E8BE990" w:rsidR="7C9EB044">
        <w:rPr>
          <w:rFonts w:ascii="Arial Nova" w:hAnsi="Arial Nova" w:eastAsia="Arial Nova" w:cs="Arial Nova"/>
          <w:b w:val="0"/>
          <w:bCs w:val="0"/>
          <w:i w:val="0"/>
          <w:iCs w:val="0"/>
          <w:noProof w:val="0"/>
          <w:sz w:val="22"/>
          <w:szCs w:val="22"/>
          <w:lang w:val="en-GB"/>
        </w:rPr>
        <w:t>remains</w:t>
      </w:r>
      <w:r w:rsidRPr="2E8BE990" w:rsidR="7C9EB044">
        <w:rPr>
          <w:rFonts w:ascii="Arial Nova" w:hAnsi="Arial Nova" w:eastAsia="Arial Nova" w:cs="Arial Nova"/>
          <w:b w:val="0"/>
          <w:bCs w:val="0"/>
          <w:i w:val="0"/>
          <w:iCs w:val="0"/>
          <w:noProof w:val="0"/>
          <w:sz w:val="22"/>
          <w:szCs w:val="22"/>
          <w:lang w:val="en-GB"/>
        </w:rPr>
        <w:t xml:space="preserve"> mixed. The </w:t>
      </w:r>
      <w:r w:rsidRPr="2E8BE990" w:rsidR="7C9EB044">
        <w:rPr>
          <w:rFonts w:ascii="Arial Nova" w:hAnsi="Arial Nova" w:eastAsia="Arial Nova" w:cs="Arial Nova"/>
          <w:b w:val="0"/>
          <w:bCs w:val="0"/>
          <w:i w:val="0"/>
          <w:iCs w:val="0"/>
          <w:noProof w:val="0"/>
          <w:sz w:val="22"/>
          <w:szCs w:val="22"/>
          <w:lang w:val="en-GB"/>
        </w:rPr>
        <w:t>Climate Change Committee</w:t>
      </w:r>
      <w:r w:rsidRPr="2E8BE990" w:rsidR="7C9EB044">
        <w:rPr>
          <w:rFonts w:ascii="Arial Nova" w:hAnsi="Arial Nova" w:eastAsia="Arial Nova" w:cs="Arial Nova"/>
          <w:b w:val="0"/>
          <w:bCs w:val="0"/>
          <w:i w:val="0"/>
          <w:iCs w:val="0"/>
          <w:noProof w:val="0"/>
          <w:sz w:val="22"/>
          <w:szCs w:val="22"/>
          <w:lang w:val="en-GB"/>
        </w:rPr>
        <w:t xml:space="preserve"> (CCC, 2023) highlights that progress towards meeting interim carbon budgets is off-track, citing delays in home-insulation programmes and low-carbon transport investment. The </w:t>
      </w:r>
      <w:r w:rsidRPr="2E8BE990" w:rsidR="7C9EB044">
        <w:rPr>
          <w:rFonts w:ascii="Arial Nova" w:hAnsi="Arial Nova" w:eastAsia="Arial Nova" w:cs="Arial Nova"/>
          <w:b w:val="0"/>
          <w:bCs w:val="0"/>
          <w:i w:val="0"/>
          <w:iCs w:val="0"/>
          <w:noProof w:val="0"/>
          <w:sz w:val="22"/>
          <w:szCs w:val="22"/>
          <w:lang w:val="en-GB"/>
        </w:rPr>
        <w:t>National Audit Office</w:t>
      </w:r>
      <w:r w:rsidRPr="2E8BE990" w:rsidR="7C9EB044">
        <w:rPr>
          <w:rFonts w:ascii="Arial Nova" w:hAnsi="Arial Nova" w:eastAsia="Arial Nova" w:cs="Arial Nova"/>
          <w:b w:val="0"/>
          <w:bCs w:val="0"/>
          <w:i w:val="0"/>
          <w:iCs w:val="0"/>
          <w:noProof w:val="0"/>
          <w:sz w:val="22"/>
          <w:szCs w:val="22"/>
          <w:lang w:val="en-GB"/>
        </w:rPr>
        <w:t xml:space="preserve"> (2023) similarly </w:t>
      </w:r>
      <w:r w:rsidRPr="2E8BE990" w:rsidR="7C9EB044">
        <w:rPr>
          <w:rFonts w:ascii="Arial Nova" w:hAnsi="Arial Nova" w:eastAsia="Arial Nova" w:cs="Arial Nova"/>
          <w:b w:val="0"/>
          <w:bCs w:val="0"/>
          <w:i w:val="0"/>
          <w:iCs w:val="0"/>
          <w:noProof w:val="0"/>
          <w:sz w:val="22"/>
          <w:szCs w:val="22"/>
          <w:lang w:val="en-GB"/>
        </w:rPr>
        <w:t>identifies</w:t>
      </w:r>
      <w:r w:rsidRPr="2E8BE990" w:rsidR="7C9EB044">
        <w:rPr>
          <w:rFonts w:ascii="Arial Nova" w:hAnsi="Arial Nova" w:eastAsia="Arial Nova" w:cs="Arial Nova"/>
          <w:b w:val="0"/>
          <w:bCs w:val="0"/>
          <w:i w:val="0"/>
          <w:iCs w:val="0"/>
          <w:noProof w:val="0"/>
          <w:sz w:val="22"/>
          <w:szCs w:val="22"/>
          <w:lang w:val="en-GB"/>
        </w:rPr>
        <w:t xml:space="preserve"> fragmented governance between departments and insufficient long-term funding. Moreover, climate impacts continue to reproduce inequality: low-income communities are disproportionately affected by fuel poverty and pollution (Sheng et al., 2023). The social distribution of climate risk therefore mirrors the health inequities addressed under SDG 3, reinforcing the argument that sustainability and public health must be pursued together.</w:t>
      </w:r>
    </w:p>
    <w:p w:rsidR="69A36633" w:rsidP="2E8BE990" w:rsidRDefault="69A36633" w14:paraId="16F870B3" w14:textId="68D6BEF5">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At the local level, the UK has seen increasing action from councils and communities. Over 80 percent of local authorities have declared climate emergencies and implemented local decarbonisation plans (Local Government Association, 2023). A particularly notable case is the Birmingham Clean Air Zone, introduced in 2021. The policy charges high-emission vehicles entering the city centre to reduce nitrogen dioxide levels. Early evaluations report a</w:t>
      </w:r>
      <w:r w:rsidRPr="2E8BE990" w:rsidR="5EAFCBB1">
        <w:rPr>
          <w:rFonts w:ascii="Arial Nova" w:hAnsi="Arial Nova" w:eastAsia="Arial Nova" w:cs="Arial Nova"/>
          <w:b w:val="0"/>
          <w:bCs w:val="0"/>
          <w:i w:val="0"/>
          <w:iCs w:val="0"/>
          <w:noProof w:val="0"/>
          <w:sz w:val="22"/>
          <w:szCs w:val="22"/>
          <w:lang w:val="en-GB"/>
        </w:rPr>
        <w:t xml:space="preserve"> </w:t>
      </w:r>
      <w:r w:rsidRPr="2E8BE990" w:rsidR="7C9EB044">
        <w:rPr>
          <w:rFonts w:ascii="Arial Nova" w:hAnsi="Arial Nova" w:eastAsia="Arial Nova" w:cs="Arial Nova"/>
          <w:b w:val="0"/>
          <w:bCs w:val="0"/>
          <w:i w:val="0"/>
          <w:iCs w:val="0"/>
          <w:noProof w:val="0"/>
          <w:sz w:val="22"/>
          <w:szCs w:val="22"/>
          <w:lang w:val="en-GB"/>
        </w:rPr>
        <w:t xml:space="preserve">13 percent drop in traffic-related pollution, with measurable improvements in air quality and respiratory health outcomes (Department for Environment, Food and Rural Affairs, 2023). This initiative illustrates how climate mitigation can directly advance SDG 3 by addressing environmental determinants of health. However, concerns persist about economic fairness and the burden on low-income drivers, highlighting the importance of </w:t>
      </w:r>
      <w:r w:rsidRPr="2E8BE990" w:rsidR="7C9EB044">
        <w:rPr>
          <w:rFonts w:ascii="Arial Nova" w:hAnsi="Arial Nova" w:eastAsia="Arial Nova" w:cs="Arial Nova"/>
          <w:b w:val="0"/>
          <w:bCs w:val="0"/>
          <w:i w:val="0"/>
          <w:iCs w:val="0"/>
          <w:noProof w:val="0"/>
          <w:sz w:val="22"/>
          <w:szCs w:val="22"/>
          <w:lang w:val="en-GB"/>
        </w:rPr>
        <w:t>equitable</w:t>
      </w:r>
      <w:r w:rsidRPr="2E8BE990" w:rsidR="7C9EB044">
        <w:rPr>
          <w:rFonts w:ascii="Arial Nova" w:hAnsi="Arial Nova" w:eastAsia="Arial Nova" w:cs="Arial Nova"/>
          <w:b w:val="0"/>
          <w:bCs w:val="0"/>
          <w:i w:val="0"/>
          <w:iCs w:val="0"/>
          <w:noProof w:val="0"/>
          <w:sz w:val="22"/>
          <w:szCs w:val="22"/>
          <w:lang w:val="en-GB"/>
        </w:rPr>
        <w:t xml:space="preserve"> policy design (The King’s Fund, 2023).</w:t>
      </w:r>
    </w:p>
    <w:p w:rsidR="69A36633" w:rsidP="2E8BE990" w:rsidRDefault="69A36633" w14:paraId="6A3041C7" w14:textId="2F06C1D8">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 xml:space="preserve">Despite innovative local efforts, </w:t>
      </w:r>
      <w:r w:rsidRPr="2E8BE990" w:rsidR="7C9EB044">
        <w:rPr>
          <w:rFonts w:ascii="Arial Nova" w:hAnsi="Arial Nova" w:eastAsia="Arial Nova" w:cs="Arial Nova"/>
          <w:b w:val="0"/>
          <w:bCs w:val="0"/>
          <w:i w:val="0"/>
          <w:iCs w:val="0"/>
          <w:noProof w:val="0"/>
          <w:sz w:val="22"/>
          <w:szCs w:val="22"/>
          <w:lang w:val="en-GB"/>
        </w:rPr>
        <w:t xml:space="preserve">systemic challenges </w:t>
      </w:r>
      <w:r w:rsidRPr="2E8BE990" w:rsidR="7C9EB044">
        <w:rPr>
          <w:rFonts w:ascii="Arial Nova" w:hAnsi="Arial Nova" w:eastAsia="Arial Nova" w:cs="Arial Nova"/>
          <w:b w:val="0"/>
          <w:bCs w:val="0"/>
          <w:i w:val="0"/>
          <w:iCs w:val="0"/>
          <w:noProof w:val="0"/>
          <w:sz w:val="22"/>
          <w:szCs w:val="22"/>
          <w:lang w:val="en-GB"/>
        </w:rPr>
        <w:t>remain</w:t>
      </w:r>
      <w:r w:rsidRPr="2E8BE990" w:rsidR="7C9EB044">
        <w:rPr>
          <w:rFonts w:ascii="Arial Nova" w:hAnsi="Arial Nova" w:eastAsia="Arial Nova" w:cs="Arial Nova"/>
          <w:b w:val="0"/>
          <w:bCs w:val="0"/>
          <w:i w:val="0"/>
          <w:iCs w:val="0"/>
          <w:noProof w:val="0"/>
          <w:sz w:val="22"/>
          <w:szCs w:val="22"/>
          <w:lang w:val="en-GB"/>
        </w:rPr>
        <w:t xml:space="preserve">. Local authorities often lack the long-term funding and technical capacity needed for robust implementation (Local Government Association, 2023). Short-term grants and limited data-sharing between national and local levels constrain progress and evaluation (National Audit Office, 2023). Nevertheless, local initiatives </w:t>
      </w:r>
      <w:r w:rsidRPr="2E8BE990" w:rsidR="7C9EB044">
        <w:rPr>
          <w:rFonts w:ascii="Arial Nova" w:hAnsi="Arial Nova" w:eastAsia="Arial Nova" w:cs="Arial Nova"/>
          <w:b w:val="0"/>
          <w:bCs w:val="0"/>
          <w:i w:val="0"/>
          <w:iCs w:val="0"/>
          <w:noProof w:val="0"/>
          <w:sz w:val="22"/>
          <w:szCs w:val="22"/>
          <w:lang w:val="en-GB"/>
        </w:rPr>
        <w:t>demonstrate</w:t>
      </w:r>
      <w:r w:rsidRPr="2E8BE990" w:rsidR="7C9EB044">
        <w:rPr>
          <w:rFonts w:ascii="Arial Nova" w:hAnsi="Arial Nova" w:eastAsia="Arial Nova" w:cs="Arial Nova"/>
          <w:b w:val="0"/>
          <w:bCs w:val="0"/>
          <w:i w:val="0"/>
          <w:iCs w:val="0"/>
          <w:noProof w:val="0"/>
          <w:sz w:val="22"/>
          <w:szCs w:val="22"/>
          <w:lang w:val="en-GB"/>
        </w:rPr>
        <w:t xml:space="preserve"> strong community engagement and co-production, aligning with calls for participatory governance (Southby et al., 2022). Embedding these approaches nationally would strengthen accountability and resilience.</w:t>
      </w:r>
    </w:p>
    <w:p w:rsidR="69A36633" w:rsidP="2E8BE990" w:rsidRDefault="69A36633" w14:paraId="1D0353AD" w14:textId="03E9778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Overall, SDG 13 highlights the tension between ambition and delivery in UK sustainability policy. Legislative and institutional frameworks are robust, yet underinvestment and fragmented governance hinder real progress. Linking SDG 13 with SDG 3 offers powerful co-benefits: improved air quality, active travel, and low-carbon healthcare all reduce disease burdens and enhance well-being (Haines and Frumkin, 2021).</w:t>
      </w:r>
    </w:p>
    <w:p w:rsidR="69A36633" w:rsidP="2E8BE990" w:rsidRDefault="69A36633" w14:paraId="1310DB94" w14:textId="66DCC55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7C9EB044">
        <w:rPr>
          <w:rFonts w:ascii="Arial Nova" w:hAnsi="Arial Nova" w:eastAsia="Arial Nova" w:cs="Arial Nova"/>
          <w:b w:val="0"/>
          <w:bCs w:val="0"/>
          <w:i w:val="0"/>
          <w:iCs w:val="0"/>
          <w:noProof w:val="0"/>
          <w:sz w:val="22"/>
          <w:szCs w:val="22"/>
          <w:lang w:val="en-GB"/>
        </w:rPr>
        <w:t>To strengthen delivery, key actions include improving coordination between central and devolved governments to ensure accountability (Climate Change Committee, 2023); empowering local authorities with stable, long-term funding and comprehensive data systems (Local Government Association, 2023; The King’s Fund, 2023); and embedding health and equity considerations into all climate policies (Haines and Frumkin, 2021; United Nations, 2015). Finally, public participation should be prioritised through community engagement, ensuring climate action is both inclusive and effective (Southby et al., 2022). Through structural reform, cross-government collaboration, and local empowerment, the UK can transform climate ambition into tangible health and sustainability outcomes.</w:t>
      </w:r>
      <w:r w:rsidRPr="2E8BE990" w:rsidR="047F791D">
        <w:rPr>
          <w:rFonts w:ascii="Arial Nova" w:hAnsi="Arial Nova" w:eastAsia="Arial Nova" w:cs="Arial Nova"/>
          <w:b w:val="0"/>
          <w:bCs w:val="0"/>
          <w:i w:val="0"/>
          <w:iCs w:val="0"/>
          <w:noProof w:val="0"/>
          <w:sz w:val="22"/>
          <w:szCs w:val="22"/>
          <w:lang w:val="en-GB"/>
        </w:rPr>
        <w:t xml:space="preserve"> </w:t>
      </w:r>
    </w:p>
    <w:p w:rsidR="69A36633" w:rsidP="2E8BE990" w:rsidRDefault="69A36633" w14:paraId="3ABCDEF7" w14:textId="1387BC2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E8BE990" w:rsidR="0362663B">
        <w:rPr>
          <w:rFonts w:ascii="Arial Nova" w:hAnsi="Arial Nova" w:eastAsia="Arial Nova" w:cs="Arial Nova"/>
          <w:b w:val="1"/>
          <w:bCs w:val="1"/>
          <w:noProof w:val="0"/>
          <w:sz w:val="24"/>
          <w:szCs w:val="24"/>
          <w:lang w:val="en-GB"/>
        </w:rPr>
        <w:t xml:space="preserve">Conclusion </w:t>
      </w:r>
    </w:p>
    <w:p w:rsidR="69A36633" w:rsidP="2E8BE990" w:rsidRDefault="69A36633" w14:paraId="5A15E837" w14:textId="1147D015">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362663B">
        <w:rPr>
          <w:rFonts w:ascii="Arial Nova" w:hAnsi="Arial Nova" w:eastAsia="Arial Nova" w:cs="Arial Nova"/>
          <w:b w:val="0"/>
          <w:bCs w:val="0"/>
          <w:i w:val="0"/>
          <w:iCs w:val="0"/>
          <w:noProof w:val="0"/>
          <w:sz w:val="22"/>
          <w:szCs w:val="22"/>
          <w:lang w:val="en-GB"/>
        </w:rPr>
        <w:t>The interdependence of SDG 3 (</w:t>
      </w:r>
      <w:r w:rsidRPr="2E8BE990" w:rsidR="0362663B">
        <w:rPr>
          <w:rFonts w:ascii="Arial Nova" w:hAnsi="Arial Nova" w:eastAsia="Arial Nova" w:cs="Arial Nova"/>
          <w:b w:val="0"/>
          <w:bCs w:val="0"/>
          <w:i w:val="0"/>
          <w:iCs w:val="0"/>
          <w:noProof w:val="0"/>
          <w:sz w:val="22"/>
          <w:szCs w:val="22"/>
          <w:lang w:val="en-GB"/>
        </w:rPr>
        <w:t>Good Health and Well-being</w:t>
      </w:r>
      <w:r w:rsidRPr="2E8BE990" w:rsidR="0362663B">
        <w:rPr>
          <w:rFonts w:ascii="Arial Nova" w:hAnsi="Arial Nova" w:eastAsia="Arial Nova" w:cs="Arial Nova"/>
          <w:b w:val="0"/>
          <w:bCs w:val="0"/>
          <w:i w:val="0"/>
          <w:iCs w:val="0"/>
          <w:noProof w:val="0"/>
          <w:sz w:val="22"/>
          <w:szCs w:val="22"/>
          <w:lang w:val="en-GB"/>
        </w:rPr>
        <w:t>) and SDG 13 (</w:t>
      </w:r>
      <w:r w:rsidRPr="2E8BE990" w:rsidR="0362663B">
        <w:rPr>
          <w:rFonts w:ascii="Arial Nova" w:hAnsi="Arial Nova" w:eastAsia="Arial Nova" w:cs="Arial Nova"/>
          <w:b w:val="0"/>
          <w:bCs w:val="0"/>
          <w:i w:val="0"/>
          <w:iCs w:val="0"/>
          <w:noProof w:val="0"/>
          <w:sz w:val="22"/>
          <w:szCs w:val="22"/>
          <w:lang w:val="en-GB"/>
        </w:rPr>
        <w:t>Climate Action</w:t>
      </w:r>
      <w:r w:rsidRPr="2E8BE990" w:rsidR="0362663B">
        <w:rPr>
          <w:rFonts w:ascii="Arial Nova" w:hAnsi="Arial Nova" w:eastAsia="Arial Nova" w:cs="Arial Nova"/>
          <w:b w:val="0"/>
          <w:bCs w:val="0"/>
          <w:i w:val="0"/>
          <w:iCs w:val="0"/>
          <w:noProof w:val="0"/>
          <w:sz w:val="22"/>
          <w:szCs w:val="22"/>
          <w:lang w:val="en-GB"/>
        </w:rPr>
        <w:t xml:space="preserve">) highlights the inextricable link between population health and environmental sustainability. Both goals are essential pillars of the </w:t>
      </w:r>
      <w:r w:rsidRPr="2E8BE990" w:rsidR="0362663B">
        <w:rPr>
          <w:rFonts w:ascii="Arial Nova" w:hAnsi="Arial Nova" w:eastAsia="Arial Nova" w:cs="Arial Nova"/>
          <w:b w:val="0"/>
          <w:bCs w:val="0"/>
          <w:i w:val="0"/>
          <w:iCs w:val="0"/>
          <w:noProof w:val="0"/>
          <w:sz w:val="22"/>
          <w:szCs w:val="22"/>
          <w:lang w:val="en-GB"/>
        </w:rPr>
        <w:t>2030 Agenda for Sustainable Development</w:t>
      </w:r>
      <w:r w:rsidRPr="2E8BE990" w:rsidR="0362663B">
        <w:rPr>
          <w:rFonts w:ascii="Arial Nova" w:hAnsi="Arial Nova" w:eastAsia="Arial Nova" w:cs="Arial Nova"/>
          <w:b w:val="0"/>
          <w:bCs w:val="0"/>
          <w:i w:val="0"/>
          <w:iCs w:val="0"/>
          <w:noProof w:val="0"/>
          <w:sz w:val="22"/>
          <w:szCs w:val="22"/>
          <w:lang w:val="en-GB"/>
        </w:rPr>
        <w:t xml:space="preserve">, reflecting a shared recognition that planetary and human health are mutually reinforcing (United Nations, 2015). Yet, the challenge lies not in policy intent but in implementation. Global commitments such as the </w:t>
      </w:r>
      <w:r w:rsidRPr="2E8BE990" w:rsidR="0362663B">
        <w:rPr>
          <w:rFonts w:ascii="Arial Nova" w:hAnsi="Arial Nova" w:eastAsia="Arial Nova" w:cs="Arial Nova"/>
          <w:b w:val="0"/>
          <w:bCs w:val="0"/>
          <w:i w:val="0"/>
          <w:iCs w:val="0"/>
          <w:noProof w:val="0"/>
          <w:sz w:val="22"/>
          <w:szCs w:val="22"/>
          <w:lang w:val="en-GB"/>
        </w:rPr>
        <w:t>Paris Agreement</w:t>
      </w:r>
      <w:r w:rsidRPr="2E8BE990" w:rsidR="0362663B">
        <w:rPr>
          <w:rFonts w:ascii="Arial Nova" w:hAnsi="Arial Nova" w:eastAsia="Arial Nova" w:cs="Arial Nova"/>
          <w:b w:val="0"/>
          <w:bCs w:val="0"/>
          <w:i w:val="0"/>
          <w:iCs w:val="0"/>
          <w:noProof w:val="0"/>
          <w:sz w:val="22"/>
          <w:szCs w:val="22"/>
          <w:lang w:val="en-GB"/>
        </w:rPr>
        <w:t xml:space="preserve"> have catalysed political consensus, but progress </w:t>
      </w:r>
      <w:r w:rsidRPr="2E8BE990" w:rsidR="0362663B">
        <w:rPr>
          <w:rFonts w:ascii="Arial Nova" w:hAnsi="Arial Nova" w:eastAsia="Arial Nova" w:cs="Arial Nova"/>
          <w:b w:val="0"/>
          <w:bCs w:val="0"/>
          <w:i w:val="0"/>
          <w:iCs w:val="0"/>
          <w:noProof w:val="0"/>
          <w:sz w:val="22"/>
          <w:szCs w:val="22"/>
          <w:lang w:val="en-GB"/>
        </w:rPr>
        <w:t>remains</w:t>
      </w:r>
      <w:r w:rsidRPr="2E8BE990" w:rsidR="0362663B">
        <w:rPr>
          <w:rFonts w:ascii="Arial Nova" w:hAnsi="Arial Nova" w:eastAsia="Arial Nova" w:cs="Arial Nova"/>
          <w:b w:val="0"/>
          <w:bCs w:val="0"/>
          <w:i w:val="0"/>
          <w:iCs w:val="0"/>
          <w:noProof w:val="0"/>
          <w:sz w:val="22"/>
          <w:szCs w:val="22"/>
          <w:lang w:val="en-GB"/>
        </w:rPr>
        <w:t xml:space="preserve"> uneven due to economic disparities and the absence of binding enforcement mechanisms (UNFCCC, 2015). The gap between rhetoric and reality continues to limit transformative change, as wealthier nations often externalise environmental costs while poorer countries experience disproportionate health burdens (Okereke and Dooley, 2010).</w:t>
      </w:r>
    </w:p>
    <w:p w:rsidR="69A36633" w:rsidP="2E8BE990" w:rsidRDefault="69A36633" w14:paraId="6B80A1B5" w14:textId="5C82199F">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362663B">
        <w:rPr>
          <w:rFonts w:ascii="Arial Nova" w:hAnsi="Arial Nova" w:eastAsia="Arial Nova" w:cs="Arial Nova"/>
          <w:b w:val="0"/>
          <w:bCs w:val="0"/>
          <w:i w:val="0"/>
          <w:iCs w:val="0"/>
          <w:noProof w:val="0"/>
          <w:sz w:val="22"/>
          <w:szCs w:val="22"/>
          <w:lang w:val="en-GB"/>
        </w:rPr>
        <w:t xml:space="preserve">Within the United Kingdom, the institutional frameworks supporting both SDGs are well-established through legislation such as the Climate Change Act (2008) and the Net Zero Strategy (Department for Business, </w:t>
      </w:r>
      <w:r w:rsidRPr="2E8BE990" w:rsidR="0D47BB06">
        <w:rPr>
          <w:rFonts w:ascii="Arial Nova" w:hAnsi="Arial Nova" w:eastAsia="Arial Nova" w:cs="Arial Nova"/>
          <w:b w:val="0"/>
          <w:bCs w:val="0"/>
          <w:i w:val="0"/>
          <w:iCs w:val="0"/>
          <w:noProof w:val="0"/>
          <w:sz w:val="22"/>
          <w:szCs w:val="22"/>
          <w:lang w:val="en-GB"/>
        </w:rPr>
        <w:t>Energy,</w:t>
      </w:r>
      <w:r w:rsidRPr="2E8BE990" w:rsidR="0362663B">
        <w:rPr>
          <w:rFonts w:ascii="Arial Nova" w:hAnsi="Arial Nova" w:eastAsia="Arial Nova" w:cs="Arial Nova"/>
          <w:b w:val="0"/>
          <w:bCs w:val="0"/>
          <w:i w:val="0"/>
          <w:iCs w:val="0"/>
          <w:noProof w:val="0"/>
          <w:sz w:val="22"/>
          <w:szCs w:val="22"/>
          <w:lang w:val="en-GB"/>
        </w:rPr>
        <w:t xml:space="preserve"> and Industrial Strategy, 2021). The Greener NHS Programme illustrates how health systems can integrate sustainability principles while improving care quality, reducing emissions, and protecting population well-being (NHS England, 2020). However, the Climate Change Committee (2023) and The King’s Fund (2023) highlight persistent delivery gaps arising from short-term funding cycles, workforce shortages, and limited accountability. These issues </w:t>
      </w:r>
      <w:r w:rsidRPr="2E8BE990" w:rsidR="0362663B">
        <w:rPr>
          <w:rFonts w:ascii="Arial Nova" w:hAnsi="Arial Nova" w:eastAsia="Arial Nova" w:cs="Arial Nova"/>
          <w:b w:val="0"/>
          <w:bCs w:val="0"/>
          <w:i w:val="0"/>
          <w:iCs w:val="0"/>
          <w:noProof w:val="0"/>
          <w:sz w:val="22"/>
          <w:szCs w:val="22"/>
          <w:lang w:val="en-GB"/>
        </w:rPr>
        <w:t>demonstrate</w:t>
      </w:r>
      <w:r w:rsidRPr="2E8BE990" w:rsidR="0362663B">
        <w:rPr>
          <w:rFonts w:ascii="Arial Nova" w:hAnsi="Arial Nova" w:eastAsia="Arial Nova" w:cs="Arial Nova"/>
          <w:b w:val="0"/>
          <w:bCs w:val="0"/>
          <w:i w:val="0"/>
          <w:iCs w:val="0"/>
          <w:noProof w:val="0"/>
          <w:sz w:val="22"/>
          <w:szCs w:val="22"/>
          <w:lang w:val="en-GB"/>
        </w:rPr>
        <w:t xml:space="preserve"> that technical solutions alone cannot achieve sustainability without systemic reform. Health and climate policies must be interlinked through governance mechanisms that prioritise prevention, resilience, and equity.</w:t>
      </w:r>
    </w:p>
    <w:p w:rsidR="69A36633" w:rsidP="2E8BE990" w:rsidRDefault="69A36633" w14:paraId="47A7B564" w14:textId="1E8BF2EB">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362663B">
        <w:rPr>
          <w:rFonts w:ascii="Arial Nova" w:hAnsi="Arial Nova" w:eastAsia="Arial Nova" w:cs="Arial Nova"/>
          <w:b w:val="0"/>
          <w:bCs w:val="0"/>
          <w:i w:val="0"/>
          <w:iCs w:val="0"/>
          <w:noProof w:val="0"/>
          <w:sz w:val="22"/>
          <w:szCs w:val="22"/>
          <w:lang w:val="en-GB"/>
        </w:rPr>
        <w:t xml:space="preserve">At the local level, projects such as Birmingham’s Clean Air Zone (DEFRA, 2023) illustrate the tangible benefits of integrated climate-health interventions, showing measurable improvements in air quality and respiratory outcomes. Yet these initiatives also expose the social trade-offs inherent in sustainability transitions policies designed to protect health can inadvertently reinforce economic inequality if not designed with inclusivity in mind. </w:t>
      </w:r>
    </w:p>
    <w:p w:rsidR="69A36633" w:rsidP="2E8BE990" w:rsidRDefault="69A36633" w14:paraId="1EBD2F9B" w14:textId="26A7E9D2">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362663B">
        <w:rPr>
          <w:rFonts w:ascii="Arial Nova" w:hAnsi="Arial Nova" w:eastAsia="Arial Nova" w:cs="Arial Nova"/>
          <w:b w:val="0"/>
          <w:bCs w:val="0"/>
          <w:i w:val="0"/>
          <w:iCs w:val="0"/>
          <w:noProof w:val="0"/>
          <w:sz w:val="22"/>
          <w:szCs w:val="22"/>
          <w:lang w:val="en-GB"/>
        </w:rPr>
        <w:t xml:space="preserve">Critically, achieving both SDGs </w:t>
      </w:r>
      <w:r w:rsidRPr="2E8BE990" w:rsidR="0362663B">
        <w:rPr>
          <w:rFonts w:ascii="Arial Nova" w:hAnsi="Arial Nova" w:eastAsia="Arial Nova" w:cs="Arial Nova"/>
          <w:b w:val="0"/>
          <w:bCs w:val="0"/>
          <w:i w:val="0"/>
          <w:iCs w:val="0"/>
          <w:noProof w:val="0"/>
          <w:sz w:val="22"/>
          <w:szCs w:val="22"/>
          <w:lang w:val="en-GB"/>
        </w:rPr>
        <w:t>requires</w:t>
      </w:r>
      <w:r w:rsidRPr="2E8BE990" w:rsidR="0362663B">
        <w:rPr>
          <w:rFonts w:ascii="Arial Nova" w:hAnsi="Arial Nova" w:eastAsia="Arial Nova" w:cs="Arial Nova"/>
          <w:b w:val="0"/>
          <w:bCs w:val="0"/>
          <w:i w:val="0"/>
          <w:iCs w:val="0"/>
          <w:noProof w:val="0"/>
          <w:sz w:val="22"/>
          <w:szCs w:val="22"/>
          <w:lang w:val="en-GB"/>
        </w:rPr>
        <w:t xml:space="preserve"> merging structural and behavioural approaches. The </w:t>
      </w:r>
      <w:r w:rsidRPr="2E8BE990" w:rsidR="0362663B">
        <w:rPr>
          <w:rFonts w:ascii="Arial Nova" w:hAnsi="Arial Nova" w:eastAsia="Arial Nova" w:cs="Arial Nova"/>
          <w:b w:val="0"/>
          <w:bCs w:val="0"/>
          <w:i w:val="0"/>
          <w:iCs w:val="0"/>
          <w:noProof w:val="0"/>
          <w:sz w:val="22"/>
          <w:szCs w:val="22"/>
          <w:lang w:val="en-GB"/>
        </w:rPr>
        <w:t>Health Belief Model</w:t>
      </w:r>
      <w:r w:rsidRPr="2E8BE990" w:rsidR="0362663B">
        <w:rPr>
          <w:rFonts w:ascii="Arial Nova" w:hAnsi="Arial Nova" w:eastAsia="Arial Nova" w:cs="Arial Nova"/>
          <w:b w:val="0"/>
          <w:bCs w:val="0"/>
          <w:i w:val="0"/>
          <w:iCs w:val="0"/>
          <w:noProof w:val="0"/>
          <w:sz w:val="22"/>
          <w:szCs w:val="22"/>
          <w:lang w:val="en-GB"/>
        </w:rPr>
        <w:t xml:space="preserve"> (Rosenstock, 1974) helps explain individual motivation for change, but broader determinants such as income, housing, and education often override personal agency. Hence, the integration of behavioural science with social policy is vital to ensure interventions are both effective and fair.</w:t>
      </w:r>
    </w:p>
    <w:p w:rsidR="69A36633" w:rsidP="2E8BE990" w:rsidRDefault="69A36633" w14:paraId="4E463600" w14:textId="38ACAAF3">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15908423">
        <w:rPr>
          <w:rFonts w:ascii="Arial Nova" w:hAnsi="Arial Nova" w:eastAsia="Arial Nova" w:cs="Arial Nova"/>
          <w:b w:val="0"/>
          <w:bCs w:val="0"/>
          <w:i w:val="0"/>
          <w:iCs w:val="0"/>
          <w:noProof w:val="0"/>
          <w:sz w:val="22"/>
          <w:szCs w:val="22"/>
          <w:lang w:val="en-GB"/>
        </w:rPr>
        <w:t>The</w:t>
      </w:r>
      <w:r w:rsidRPr="2E8BE990" w:rsidR="0362663B">
        <w:rPr>
          <w:rFonts w:ascii="Arial Nova" w:hAnsi="Arial Nova" w:eastAsia="Arial Nova" w:cs="Arial Nova"/>
          <w:b w:val="0"/>
          <w:bCs w:val="0"/>
          <w:i w:val="0"/>
          <w:iCs w:val="0"/>
          <w:noProof w:val="0"/>
          <w:sz w:val="22"/>
          <w:szCs w:val="22"/>
          <w:lang w:val="en-GB"/>
        </w:rPr>
        <w:t xml:space="preserve"> success of SDG 3 and SDG 13 will depend on the UK’s ability to balance ambition with delivery. Stronger cross-government coordination, sustained investment, and community participation are essential for bridging the gap between vision and action. Embedding health within all sustainability policies will enable a “just transition” that advances both equity and resilience (Haines and Frumkin, 2021). By aligning national and local systems through an integrated governance framework, the UK can move from policy ambition to transformative practice creating a sustainable and healthy future for all</w:t>
      </w:r>
      <w:r w:rsidRPr="2E8BE990" w:rsidR="0362663B">
        <w:rPr>
          <w:rFonts w:ascii="Arial Nova" w:hAnsi="Arial Nova" w:eastAsia="Arial Nova" w:cs="Arial Nova"/>
          <w:b w:val="0"/>
          <w:bCs w:val="0"/>
          <w:i w:val="0"/>
          <w:iCs w:val="0"/>
          <w:noProof w:val="0"/>
          <w:sz w:val="22"/>
          <w:szCs w:val="22"/>
          <w:lang w:val="en-GB"/>
        </w:rPr>
        <w:t>.</w:t>
      </w:r>
      <w:r w:rsidRPr="2E8BE990" w:rsidR="0C42BB0F">
        <w:rPr>
          <w:rFonts w:ascii="Arial Nova" w:hAnsi="Arial Nova" w:eastAsia="Arial Nova" w:cs="Arial Nova"/>
          <w:b w:val="0"/>
          <w:bCs w:val="0"/>
          <w:i w:val="0"/>
          <w:iCs w:val="0"/>
          <w:noProof w:val="0"/>
          <w:sz w:val="22"/>
          <w:szCs w:val="22"/>
          <w:lang w:val="en-GB"/>
        </w:rPr>
        <w:t xml:space="preserve">  </w:t>
      </w:r>
      <w:r w:rsidRPr="2E8BE990" w:rsidR="0C42BB0F">
        <w:rPr>
          <w:rFonts w:ascii="Arial Nova" w:hAnsi="Arial Nova" w:eastAsia="Arial Nova" w:cs="Arial Nova"/>
          <w:b w:val="0"/>
          <w:bCs w:val="0"/>
          <w:i w:val="0"/>
          <w:iCs w:val="0"/>
          <w:noProof w:val="0"/>
          <w:sz w:val="22"/>
          <w:szCs w:val="22"/>
          <w:lang w:val="en-GB"/>
        </w:rPr>
        <w:t xml:space="preserve">  </w:t>
      </w:r>
    </w:p>
    <w:p w:rsidR="69A36633" w:rsidP="2E8BE990" w:rsidRDefault="69A36633" w14:paraId="347E08DA" w14:textId="704F2829">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p>
    <w:p w:rsidR="69A36633" w:rsidP="2E8BE990" w:rsidRDefault="69A36633" w14:paraId="604B4225" w14:textId="04782AB8">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p>
    <w:p w:rsidR="69A36633" w:rsidP="2E8BE990" w:rsidRDefault="69A36633" w14:paraId="7DB0DDAB" w14:textId="101F0FE9">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p>
    <w:p w:rsidR="69A36633" w:rsidP="2E8BE990" w:rsidRDefault="69A36633" w14:paraId="06251D60" w14:textId="0D50DACE">
      <w:pPr>
        <w:pStyle w:val="Normal"/>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C42BB0F">
        <w:rPr>
          <w:rFonts w:ascii="Arial Nova" w:hAnsi="Arial Nova" w:eastAsia="Arial Nova" w:cs="Arial Nova"/>
          <w:b w:val="1"/>
          <w:bCs w:val="1"/>
          <w:i w:val="0"/>
          <w:iCs w:val="0"/>
          <w:noProof w:val="0"/>
          <w:sz w:val="24"/>
          <w:szCs w:val="24"/>
          <w:lang w:val="en-GB"/>
        </w:rPr>
        <w:t xml:space="preserve">Reference List </w:t>
      </w:r>
    </w:p>
    <w:p w:rsidR="69A36633" w:rsidP="2E8BE990" w:rsidRDefault="69A36633" w14:paraId="10E4396A" w14:textId="7443E0B5">
      <w:pPr>
        <w:spacing w:before="240" w:beforeAutospacing="off" w:after="240" w:afterAutospacing="off"/>
      </w:pPr>
      <w:r w:rsidRPr="2E8BE990" w:rsidR="0C42BB0F">
        <w:rPr>
          <w:rFonts w:ascii="Arial Nova" w:hAnsi="Arial Nova" w:eastAsia="Arial Nova" w:cs="Arial Nova"/>
          <w:noProof w:val="0"/>
          <w:sz w:val="22"/>
          <w:szCs w:val="22"/>
          <w:lang w:val="en-GB"/>
        </w:rPr>
        <w:t xml:space="preserve">Audit Wales (2023) </w:t>
      </w:r>
      <w:r w:rsidRPr="2E8BE990" w:rsidR="0C42BB0F">
        <w:rPr>
          <w:rFonts w:ascii="Arial Nova" w:hAnsi="Arial Nova" w:eastAsia="Arial Nova" w:cs="Arial Nova"/>
          <w:i w:val="1"/>
          <w:iCs w:val="1"/>
          <w:noProof w:val="0"/>
          <w:sz w:val="22"/>
          <w:szCs w:val="22"/>
          <w:lang w:val="en-GB"/>
        </w:rPr>
        <w:t>Well-being of Future Generations Act: 2023 Progress Review.</w:t>
      </w:r>
      <w:r w:rsidRPr="2E8BE990" w:rsidR="0C42BB0F">
        <w:rPr>
          <w:rFonts w:ascii="Arial Nova" w:hAnsi="Arial Nova" w:eastAsia="Arial Nova" w:cs="Arial Nova"/>
          <w:noProof w:val="0"/>
          <w:sz w:val="22"/>
          <w:szCs w:val="22"/>
          <w:lang w:val="en-GB"/>
        </w:rPr>
        <w:t xml:space="preserve"> Cardiff: Audit Wales. Available at: </w:t>
      </w:r>
      <w:hyperlink r:id="R2c17f373d0a44533">
        <w:r w:rsidRPr="2E8BE990" w:rsidR="0C42BB0F">
          <w:rPr>
            <w:rStyle w:val="Hyperlink"/>
            <w:rFonts w:ascii="Arial Nova" w:hAnsi="Arial Nova" w:eastAsia="Arial Nova" w:cs="Arial Nova"/>
            <w:noProof w:val="0"/>
            <w:sz w:val="22"/>
            <w:szCs w:val="22"/>
            <w:lang w:val="en-GB"/>
          </w:rPr>
          <w:t>https://www.audit.wales/publications/well-being-future-generations-progress-review-2023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03CBA125" w14:textId="010E0A93">
      <w:pPr>
        <w:spacing w:before="240" w:beforeAutospacing="off" w:after="240" w:afterAutospacing="off"/>
      </w:pPr>
      <w:r w:rsidRPr="2E8BE990" w:rsidR="0C42BB0F">
        <w:rPr>
          <w:rFonts w:ascii="Arial Nova" w:hAnsi="Arial Nova" w:eastAsia="Arial Nova" w:cs="Arial Nova"/>
          <w:noProof w:val="0"/>
          <w:sz w:val="22"/>
          <w:szCs w:val="22"/>
          <w:lang w:val="en-GB"/>
        </w:rPr>
        <w:t xml:space="preserve">Bambra, C., Riordan, R., Ford, </w:t>
      </w:r>
      <w:bookmarkStart w:name="_Int_5i5lTu9N" w:id="1037231030"/>
      <w:r w:rsidRPr="2E8BE990" w:rsidR="0C42BB0F">
        <w:rPr>
          <w:rFonts w:ascii="Arial Nova" w:hAnsi="Arial Nova" w:eastAsia="Arial Nova" w:cs="Arial Nova"/>
          <w:noProof w:val="0"/>
          <w:sz w:val="22"/>
          <w:szCs w:val="22"/>
          <w:lang w:val="en-GB"/>
        </w:rPr>
        <w:t>J.</w:t>
      </w:r>
      <w:bookmarkEnd w:id="1037231030"/>
      <w:r w:rsidRPr="2E8BE990" w:rsidR="0C42BB0F">
        <w:rPr>
          <w:rFonts w:ascii="Arial Nova" w:hAnsi="Arial Nova" w:eastAsia="Arial Nova" w:cs="Arial Nova"/>
          <w:noProof w:val="0"/>
          <w:sz w:val="22"/>
          <w:szCs w:val="22"/>
          <w:lang w:val="en-GB"/>
        </w:rPr>
        <w:t xml:space="preserve"> and Matthews, F. (2020) ‘The COVID-19 pandemic and health inequalities’, </w:t>
      </w:r>
      <w:r w:rsidRPr="2E8BE990" w:rsidR="0C42BB0F">
        <w:rPr>
          <w:rFonts w:ascii="Arial Nova" w:hAnsi="Arial Nova" w:eastAsia="Arial Nova" w:cs="Arial Nova"/>
          <w:i w:val="1"/>
          <w:iCs w:val="1"/>
          <w:noProof w:val="0"/>
          <w:sz w:val="22"/>
          <w:szCs w:val="22"/>
          <w:lang w:val="en-GB"/>
        </w:rPr>
        <w:t>Journal of Epidemiology and Community Health</w:t>
      </w:r>
      <w:r w:rsidRPr="2E8BE990" w:rsidR="0C42BB0F">
        <w:rPr>
          <w:rFonts w:ascii="Arial Nova" w:hAnsi="Arial Nova" w:eastAsia="Arial Nova" w:cs="Arial Nova"/>
          <w:noProof w:val="0"/>
          <w:sz w:val="22"/>
          <w:szCs w:val="22"/>
          <w:lang w:val="en-GB"/>
        </w:rPr>
        <w:t xml:space="preserve">, 74(11), pp. 964–968. Available at: </w:t>
      </w:r>
      <w:hyperlink r:id="R9ab07073a1db4aa6">
        <w:r w:rsidRPr="2E8BE990" w:rsidR="0C42BB0F">
          <w:rPr>
            <w:rStyle w:val="Hyperlink"/>
            <w:rFonts w:ascii="Arial Nova" w:hAnsi="Arial Nova" w:eastAsia="Arial Nova" w:cs="Arial Nova"/>
            <w:noProof w:val="0"/>
            <w:sz w:val="22"/>
            <w:szCs w:val="22"/>
            <w:lang w:val="en-GB"/>
          </w:rPr>
          <w:t>https://jech.bmj.com/content/74/11/964</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05330BC" w14:textId="147102AA">
      <w:pPr>
        <w:spacing w:before="240" w:beforeAutospacing="off" w:after="240" w:afterAutospacing="off"/>
      </w:pPr>
      <w:r w:rsidRPr="2E8BE990" w:rsidR="0C42BB0F">
        <w:rPr>
          <w:rFonts w:ascii="Arial Nova" w:hAnsi="Arial Nova" w:eastAsia="Arial Nova" w:cs="Arial Nova"/>
          <w:noProof w:val="0"/>
          <w:sz w:val="22"/>
          <w:szCs w:val="22"/>
          <w:lang w:val="en-GB"/>
        </w:rPr>
        <w:t xml:space="preserve">British Medical Association (2023) </w:t>
      </w:r>
      <w:r w:rsidRPr="2E8BE990" w:rsidR="0C42BB0F">
        <w:rPr>
          <w:rFonts w:ascii="Arial Nova" w:hAnsi="Arial Nova" w:eastAsia="Arial Nova" w:cs="Arial Nova"/>
          <w:i w:val="1"/>
          <w:iCs w:val="1"/>
          <w:noProof w:val="0"/>
          <w:sz w:val="22"/>
          <w:szCs w:val="22"/>
          <w:lang w:val="en-GB"/>
        </w:rPr>
        <w:t>Funding for Public Health and Prevention: Analysis Briefing.</w:t>
      </w:r>
      <w:r w:rsidRPr="2E8BE990" w:rsidR="0C42BB0F">
        <w:rPr>
          <w:rFonts w:ascii="Arial Nova" w:hAnsi="Arial Nova" w:eastAsia="Arial Nova" w:cs="Arial Nova"/>
          <w:noProof w:val="0"/>
          <w:sz w:val="22"/>
          <w:szCs w:val="22"/>
          <w:lang w:val="en-GB"/>
        </w:rPr>
        <w:t xml:space="preserve"> London: BMA. Available at: </w:t>
      </w:r>
      <w:hyperlink r:id="R8d0a740f26d9435d">
        <w:r w:rsidRPr="2E8BE990" w:rsidR="0C42BB0F">
          <w:rPr>
            <w:rStyle w:val="Hyperlink"/>
            <w:rFonts w:ascii="Arial Nova" w:hAnsi="Arial Nova" w:eastAsia="Arial Nova" w:cs="Arial Nova"/>
            <w:noProof w:val="0"/>
            <w:sz w:val="22"/>
            <w:szCs w:val="22"/>
            <w:lang w:val="en-GB"/>
          </w:rPr>
          <w:t>https://www.bma.org.uk/advice-and-support/public-health/public-health-funding</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C6B651F" w14:textId="72A8C2F1">
      <w:pPr>
        <w:spacing w:before="240" w:beforeAutospacing="off" w:after="240" w:afterAutospacing="off"/>
      </w:pPr>
      <w:r w:rsidRPr="2E8BE990" w:rsidR="0C42BB0F">
        <w:rPr>
          <w:rFonts w:ascii="Arial Nova" w:hAnsi="Arial Nova" w:eastAsia="Arial Nova" w:cs="Arial Nova"/>
          <w:noProof w:val="0"/>
          <w:sz w:val="22"/>
          <w:szCs w:val="22"/>
          <w:lang w:val="en-GB"/>
        </w:rPr>
        <w:t xml:space="preserve">Climate Change Committee (CCC) (2023) </w:t>
      </w:r>
      <w:r w:rsidRPr="2E8BE990" w:rsidR="0C42BB0F">
        <w:rPr>
          <w:rFonts w:ascii="Arial Nova" w:hAnsi="Arial Nova" w:eastAsia="Arial Nova" w:cs="Arial Nova"/>
          <w:i w:val="1"/>
          <w:iCs w:val="1"/>
          <w:noProof w:val="0"/>
          <w:sz w:val="22"/>
          <w:szCs w:val="22"/>
          <w:lang w:val="en-GB"/>
        </w:rPr>
        <w:t>2023 Progress Report to Parliament.</w:t>
      </w:r>
      <w:r w:rsidRPr="2E8BE990" w:rsidR="0C42BB0F">
        <w:rPr>
          <w:rFonts w:ascii="Arial Nova" w:hAnsi="Arial Nova" w:eastAsia="Arial Nova" w:cs="Arial Nova"/>
          <w:noProof w:val="0"/>
          <w:sz w:val="22"/>
          <w:szCs w:val="22"/>
          <w:lang w:val="en-GB"/>
        </w:rPr>
        <w:t xml:space="preserve"> London: Climate Change Committee. Available at: </w:t>
      </w:r>
      <w:hyperlink r:id="Rbbf96035ace94498">
        <w:r w:rsidRPr="2E8BE990" w:rsidR="0C42BB0F">
          <w:rPr>
            <w:rStyle w:val="Hyperlink"/>
            <w:rFonts w:ascii="Arial Nova" w:hAnsi="Arial Nova" w:eastAsia="Arial Nova" w:cs="Arial Nova"/>
            <w:noProof w:val="0"/>
            <w:sz w:val="22"/>
            <w:szCs w:val="22"/>
            <w:lang w:val="en-GB"/>
          </w:rPr>
          <w:t>https://www.theccc.org.uk/publication/2023-progress-report-to-parliament/</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1E9D4A70" w14:textId="1E137AEA">
      <w:pPr>
        <w:spacing w:before="240" w:beforeAutospacing="off" w:after="240" w:afterAutospacing="off"/>
      </w:pPr>
      <w:r w:rsidRPr="2E8BE990" w:rsidR="0C42BB0F">
        <w:rPr>
          <w:rFonts w:ascii="Arial Nova" w:hAnsi="Arial Nova" w:eastAsia="Arial Nova" w:cs="Arial Nova"/>
          <w:noProof w:val="0"/>
          <w:sz w:val="22"/>
          <w:szCs w:val="22"/>
          <w:lang w:val="en-GB"/>
        </w:rPr>
        <w:t xml:space="preserve">Department for Business, </w:t>
      </w:r>
      <w:bookmarkStart w:name="_Int_UvWeRGOa" w:id="431763814"/>
      <w:r w:rsidRPr="2E8BE990" w:rsidR="0C42BB0F">
        <w:rPr>
          <w:rFonts w:ascii="Arial Nova" w:hAnsi="Arial Nova" w:eastAsia="Arial Nova" w:cs="Arial Nova"/>
          <w:noProof w:val="0"/>
          <w:sz w:val="22"/>
          <w:szCs w:val="22"/>
          <w:lang w:val="en-GB"/>
        </w:rPr>
        <w:t>Energy</w:t>
      </w:r>
      <w:bookmarkEnd w:id="431763814"/>
      <w:r w:rsidRPr="2E8BE990" w:rsidR="0C42BB0F">
        <w:rPr>
          <w:rFonts w:ascii="Arial Nova" w:hAnsi="Arial Nova" w:eastAsia="Arial Nova" w:cs="Arial Nova"/>
          <w:noProof w:val="0"/>
          <w:sz w:val="22"/>
          <w:szCs w:val="22"/>
          <w:lang w:val="en-GB"/>
        </w:rPr>
        <w:t xml:space="preserve"> and Industrial Strategy (2021) </w:t>
      </w:r>
      <w:r w:rsidRPr="2E8BE990" w:rsidR="0C42BB0F">
        <w:rPr>
          <w:rFonts w:ascii="Arial Nova" w:hAnsi="Arial Nova" w:eastAsia="Arial Nova" w:cs="Arial Nova"/>
          <w:i w:val="1"/>
          <w:iCs w:val="1"/>
          <w:noProof w:val="0"/>
          <w:sz w:val="22"/>
          <w:szCs w:val="22"/>
          <w:lang w:val="en-GB"/>
        </w:rPr>
        <w:t>Net Zero Strategy: Build Back Greener.</w:t>
      </w:r>
      <w:r w:rsidRPr="2E8BE990" w:rsidR="0C42BB0F">
        <w:rPr>
          <w:rFonts w:ascii="Arial Nova" w:hAnsi="Arial Nova" w:eastAsia="Arial Nova" w:cs="Arial Nova"/>
          <w:noProof w:val="0"/>
          <w:sz w:val="22"/>
          <w:szCs w:val="22"/>
          <w:lang w:val="en-GB"/>
        </w:rPr>
        <w:t xml:space="preserve"> London: HMSO. Available at: </w:t>
      </w:r>
      <w:hyperlink r:id="Rd5414e0846144273">
        <w:r w:rsidRPr="2E8BE990" w:rsidR="0C42BB0F">
          <w:rPr>
            <w:rStyle w:val="Hyperlink"/>
            <w:rFonts w:ascii="Arial Nova" w:hAnsi="Arial Nova" w:eastAsia="Arial Nova" w:cs="Arial Nova"/>
            <w:noProof w:val="0"/>
            <w:sz w:val="22"/>
            <w:szCs w:val="22"/>
            <w:lang w:val="en-GB"/>
          </w:rPr>
          <w:t>https://www.gov.uk/government/publications/net-zero-strategy</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087441D" w14:textId="013CB643">
      <w:pPr>
        <w:spacing w:before="240" w:beforeAutospacing="off" w:after="240" w:afterAutospacing="off"/>
      </w:pPr>
      <w:r w:rsidRPr="2E8BE990" w:rsidR="0C42BB0F">
        <w:rPr>
          <w:rFonts w:ascii="Arial Nova" w:hAnsi="Arial Nova" w:eastAsia="Arial Nova" w:cs="Arial Nova"/>
          <w:noProof w:val="0"/>
          <w:sz w:val="22"/>
          <w:szCs w:val="22"/>
          <w:lang w:val="en-GB"/>
        </w:rPr>
        <w:t xml:space="preserve">Department for Environment, Food and Rural Affairs (DEFRA) (2023) </w:t>
      </w:r>
      <w:r w:rsidRPr="2E8BE990" w:rsidR="0C42BB0F">
        <w:rPr>
          <w:rFonts w:ascii="Arial Nova" w:hAnsi="Arial Nova" w:eastAsia="Arial Nova" w:cs="Arial Nova"/>
          <w:i w:val="1"/>
          <w:iCs w:val="1"/>
          <w:noProof w:val="0"/>
          <w:sz w:val="22"/>
          <w:szCs w:val="22"/>
          <w:lang w:val="en-GB"/>
        </w:rPr>
        <w:t>Birmingham Clean Air Zone: Early Evaluation Report 2023.</w:t>
      </w:r>
      <w:r w:rsidRPr="2E8BE990" w:rsidR="0C42BB0F">
        <w:rPr>
          <w:rFonts w:ascii="Arial Nova" w:hAnsi="Arial Nova" w:eastAsia="Arial Nova" w:cs="Arial Nova"/>
          <w:noProof w:val="0"/>
          <w:sz w:val="22"/>
          <w:szCs w:val="22"/>
          <w:lang w:val="en-GB"/>
        </w:rPr>
        <w:t xml:space="preserve"> London: DEFRA. Available at: </w:t>
      </w:r>
      <w:hyperlink r:id="R6c4f6755e17643f2">
        <w:r w:rsidRPr="2E8BE990" w:rsidR="0C42BB0F">
          <w:rPr>
            <w:rStyle w:val="Hyperlink"/>
            <w:rFonts w:ascii="Arial Nova" w:hAnsi="Arial Nova" w:eastAsia="Arial Nova" w:cs="Arial Nova"/>
            <w:noProof w:val="0"/>
            <w:sz w:val="22"/>
            <w:szCs w:val="22"/>
            <w:lang w:val="en-GB"/>
          </w:rPr>
          <w:t>https://www.gov.uk/government/publications/birmingham-clean-air-zone-annual-report-2023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2335E489" w14:textId="2D3678AB">
      <w:pPr>
        <w:spacing w:before="240" w:beforeAutospacing="off" w:after="240" w:afterAutospacing="off"/>
      </w:pPr>
      <w:r w:rsidRPr="2E8BE990" w:rsidR="0C42BB0F">
        <w:rPr>
          <w:rFonts w:ascii="Arial Nova" w:hAnsi="Arial Nova" w:eastAsia="Arial Nova" w:cs="Arial Nova"/>
          <w:noProof w:val="0"/>
          <w:sz w:val="22"/>
          <w:szCs w:val="22"/>
          <w:lang w:val="en-GB"/>
        </w:rPr>
        <w:t xml:space="preserve">Fukuda-Parr, </w:t>
      </w:r>
      <w:bookmarkStart w:name="_Int_PPnWe7ng" w:id="1694674410"/>
      <w:r w:rsidRPr="2E8BE990" w:rsidR="0C42BB0F">
        <w:rPr>
          <w:rFonts w:ascii="Arial Nova" w:hAnsi="Arial Nova" w:eastAsia="Arial Nova" w:cs="Arial Nova"/>
          <w:noProof w:val="0"/>
          <w:sz w:val="22"/>
          <w:szCs w:val="22"/>
          <w:lang w:val="en-GB"/>
        </w:rPr>
        <w:t>S.</w:t>
      </w:r>
      <w:bookmarkEnd w:id="1694674410"/>
      <w:r w:rsidRPr="2E8BE990" w:rsidR="0C42BB0F">
        <w:rPr>
          <w:rFonts w:ascii="Arial Nova" w:hAnsi="Arial Nova" w:eastAsia="Arial Nova" w:cs="Arial Nova"/>
          <w:noProof w:val="0"/>
          <w:sz w:val="22"/>
          <w:szCs w:val="22"/>
          <w:lang w:val="en-GB"/>
        </w:rPr>
        <w:t xml:space="preserve"> and McNeill, D. (2019) ‘Knowledge and politics in setting and measuring the SDGs’, </w:t>
      </w:r>
      <w:r w:rsidRPr="2E8BE990" w:rsidR="0C42BB0F">
        <w:rPr>
          <w:rFonts w:ascii="Arial Nova" w:hAnsi="Arial Nova" w:eastAsia="Arial Nova" w:cs="Arial Nova"/>
          <w:i w:val="1"/>
          <w:iCs w:val="1"/>
          <w:noProof w:val="0"/>
          <w:sz w:val="22"/>
          <w:szCs w:val="22"/>
          <w:lang w:val="en-GB"/>
        </w:rPr>
        <w:t>Global Policy</w:t>
      </w:r>
      <w:r w:rsidRPr="2E8BE990" w:rsidR="0C42BB0F">
        <w:rPr>
          <w:rFonts w:ascii="Arial Nova" w:hAnsi="Arial Nova" w:eastAsia="Arial Nova" w:cs="Arial Nova"/>
          <w:noProof w:val="0"/>
          <w:sz w:val="22"/>
          <w:szCs w:val="22"/>
          <w:lang w:val="en-GB"/>
        </w:rPr>
        <w:t xml:space="preserve">, 10(S1), pp. 5–15. Available at: </w:t>
      </w:r>
      <w:hyperlink r:id="Rc1bfa9e6f5ce4a09">
        <w:r w:rsidRPr="2E8BE990" w:rsidR="0C42BB0F">
          <w:rPr>
            <w:rStyle w:val="Hyperlink"/>
            <w:rFonts w:ascii="Arial Nova" w:hAnsi="Arial Nova" w:eastAsia="Arial Nova" w:cs="Arial Nova"/>
            <w:noProof w:val="0"/>
            <w:sz w:val="22"/>
            <w:szCs w:val="22"/>
            <w:lang w:val="en-GB"/>
          </w:rPr>
          <w:t>https://onlinelibrary.wiley.com/doi/full/10.1111/1758-5899.12604</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8A96B67" w14:textId="60C3203B">
      <w:pPr>
        <w:spacing w:before="240" w:beforeAutospacing="off" w:after="240" w:afterAutospacing="off"/>
      </w:pPr>
      <w:r w:rsidRPr="2E8BE990" w:rsidR="0C42BB0F">
        <w:rPr>
          <w:rFonts w:ascii="Arial Nova" w:hAnsi="Arial Nova" w:eastAsia="Arial Nova" w:cs="Arial Nova"/>
          <w:noProof w:val="0"/>
          <w:sz w:val="22"/>
          <w:szCs w:val="22"/>
          <w:lang w:val="en-GB"/>
        </w:rPr>
        <w:t xml:space="preserve">Haines, A. and Frumkin, H. (2021) </w:t>
      </w:r>
      <w:r w:rsidRPr="2E8BE990" w:rsidR="0C42BB0F">
        <w:rPr>
          <w:rFonts w:ascii="Arial Nova" w:hAnsi="Arial Nova" w:eastAsia="Arial Nova" w:cs="Arial Nova"/>
          <w:i w:val="1"/>
          <w:iCs w:val="1"/>
          <w:noProof w:val="0"/>
          <w:sz w:val="22"/>
          <w:szCs w:val="22"/>
          <w:lang w:val="en-GB"/>
        </w:rPr>
        <w:t>Planetary Health: Safeguarding Human Health and the Environment in the Anthropocene.</w:t>
      </w:r>
      <w:r w:rsidRPr="2E8BE990" w:rsidR="0C42BB0F">
        <w:rPr>
          <w:rFonts w:ascii="Arial Nova" w:hAnsi="Arial Nova" w:eastAsia="Arial Nova" w:cs="Arial Nova"/>
          <w:noProof w:val="0"/>
          <w:sz w:val="22"/>
          <w:szCs w:val="22"/>
          <w:lang w:val="en-GB"/>
        </w:rPr>
        <w:t xml:space="preserve"> Cambridge: Cambridge University Press.</w:t>
      </w:r>
    </w:p>
    <w:p w:rsidR="69A36633" w:rsidP="2E8BE990" w:rsidRDefault="69A36633" w14:paraId="09C85E2A" w14:textId="22721CE2">
      <w:pPr>
        <w:spacing w:before="240" w:beforeAutospacing="off" w:after="240" w:afterAutospacing="off"/>
      </w:pPr>
      <w:r w:rsidRPr="2E8BE990" w:rsidR="0C42BB0F">
        <w:rPr>
          <w:rFonts w:ascii="Arial Nova" w:hAnsi="Arial Nova" w:eastAsia="Arial Nova" w:cs="Arial Nova"/>
          <w:noProof w:val="0"/>
          <w:sz w:val="22"/>
          <w:szCs w:val="22"/>
          <w:lang w:val="en-GB"/>
        </w:rPr>
        <w:t xml:space="preserve">Intergovernmental Panel on Climate Change (IPCC) (2022) </w:t>
      </w:r>
      <w:r w:rsidRPr="2E8BE990" w:rsidR="0C42BB0F">
        <w:rPr>
          <w:rFonts w:ascii="Arial Nova" w:hAnsi="Arial Nova" w:eastAsia="Arial Nova" w:cs="Arial Nova"/>
          <w:i w:val="1"/>
          <w:iCs w:val="1"/>
          <w:noProof w:val="0"/>
          <w:sz w:val="22"/>
          <w:szCs w:val="22"/>
          <w:lang w:val="en-GB"/>
        </w:rPr>
        <w:t>Climate Change 2022: Impacts, Adaptation and Vulnerability.</w:t>
      </w:r>
      <w:r w:rsidRPr="2E8BE990" w:rsidR="0C42BB0F">
        <w:rPr>
          <w:rFonts w:ascii="Arial Nova" w:hAnsi="Arial Nova" w:eastAsia="Arial Nova" w:cs="Arial Nova"/>
          <w:noProof w:val="0"/>
          <w:sz w:val="22"/>
          <w:szCs w:val="22"/>
          <w:lang w:val="en-GB"/>
        </w:rPr>
        <w:t xml:space="preserve"> Geneva: IPCC. Available at: </w:t>
      </w:r>
      <w:hyperlink r:id="Rbac2cf47e95f4775">
        <w:r w:rsidRPr="2E8BE990" w:rsidR="0C42BB0F">
          <w:rPr>
            <w:rStyle w:val="Hyperlink"/>
            <w:rFonts w:ascii="Arial Nova" w:hAnsi="Arial Nova" w:eastAsia="Arial Nova" w:cs="Arial Nova"/>
            <w:noProof w:val="0"/>
            <w:sz w:val="22"/>
            <w:szCs w:val="22"/>
            <w:lang w:val="en-GB"/>
          </w:rPr>
          <w:t>https://www.ipcc.ch/report/ar6-wg2/</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22530D36" w14:textId="148B62C1">
      <w:pPr>
        <w:spacing w:before="240" w:beforeAutospacing="off" w:after="240" w:afterAutospacing="off"/>
      </w:pPr>
      <w:r w:rsidRPr="2E8BE990" w:rsidR="0C42BB0F">
        <w:rPr>
          <w:rFonts w:ascii="Arial Nova" w:hAnsi="Arial Nova" w:eastAsia="Arial Nova" w:cs="Arial Nova"/>
          <w:noProof w:val="0"/>
          <w:sz w:val="22"/>
          <w:szCs w:val="22"/>
          <w:lang w:val="en-GB"/>
        </w:rPr>
        <w:t xml:space="preserve">Kickbusch, </w:t>
      </w:r>
      <w:bookmarkStart w:name="_Int_m4vEQ7St" w:id="104254716"/>
      <w:r w:rsidRPr="2E8BE990" w:rsidR="0C42BB0F">
        <w:rPr>
          <w:rFonts w:ascii="Arial Nova" w:hAnsi="Arial Nova" w:eastAsia="Arial Nova" w:cs="Arial Nova"/>
          <w:noProof w:val="0"/>
          <w:sz w:val="22"/>
          <w:szCs w:val="22"/>
          <w:lang w:val="en-GB"/>
        </w:rPr>
        <w:t>I.</w:t>
      </w:r>
      <w:bookmarkEnd w:id="104254716"/>
      <w:r w:rsidRPr="2E8BE990" w:rsidR="0C42BB0F">
        <w:rPr>
          <w:rFonts w:ascii="Arial Nova" w:hAnsi="Arial Nova" w:eastAsia="Arial Nova" w:cs="Arial Nova"/>
          <w:noProof w:val="0"/>
          <w:sz w:val="22"/>
          <w:szCs w:val="22"/>
          <w:lang w:val="en-GB"/>
        </w:rPr>
        <w:t xml:space="preserve"> and Reddy, K. S. (2015) ‘Global health governance – The next political revolution’, </w:t>
      </w:r>
      <w:r w:rsidRPr="2E8BE990" w:rsidR="0C42BB0F">
        <w:rPr>
          <w:rFonts w:ascii="Arial Nova" w:hAnsi="Arial Nova" w:eastAsia="Arial Nova" w:cs="Arial Nova"/>
          <w:i w:val="1"/>
          <w:iCs w:val="1"/>
          <w:noProof w:val="0"/>
          <w:sz w:val="22"/>
          <w:szCs w:val="22"/>
          <w:lang w:val="en-GB"/>
        </w:rPr>
        <w:t>Public Health</w:t>
      </w:r>
      <w:r w:rsidRPr="2E8BE990" w:rsidR="0C42BB0F">
        <w:rPr>
          <w:rFonts w:ascii="Arial Nova" w:hAnsi="Arial Nova" w:eastAsia="Arial Nova" w:cs="Arial Nova"/>
          <w:noProof w:val="0"/>
          <w:sz w:val="22"/>
          <w:szCs w:val="22"/>
          <w:lang w:val="en-GB"/>
        </w:rPr>
        <w:t xml:space="preserve">, 129(7), pp. 838–842. Available at: </w:t>
      </w:r>
      <w:hyperlink r:id="R02224b39fa8244e3">
        <w:r w:rsidRPr="2E8BE990" w:rsidR="0C42BB0F">
          <w:rPr>
            <w:rStyle w:val="Hyperlink"/>
            <w:rFonts w:ascii="Arial Nova" w:hAnsi="Arial Nova" w:eastAsia="Arial Nova" w:cs="Arial Nova"/>
            <w:noProof w:val="0"/>
            <w:sz w:val="22"/>
            <w:szCs w:val="22"/>
            <w:lang w:val="en-GB"/>
          </w:rPr>
          <w:t>https://doi.org/10.1016/j.puhe.2015.04.014</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60FD29D7" w14:textId="06E30C54">
      <w:pPr>
        <w:spacing w:before="240" w:beforeAutospacing="off" w:after="240" w:afterAutospacing="off"/>
      </w:pPr>
      <w:r w:rsidRPr="2E8BE990" w:rsidR="0C42BB0F">
        <w:rPr>
          <w:rFonts w:ascii="Arial Nova" w:hAnsi="Arial Nova" w:eastAsia="Arial Nova" w:cs="Arial Nova"/>
          <w:noProof w:val="0"/>
          <w:sz w:val="22"/>
          <w:szCs w:val="22"/>
          <w:lang w:val="en-GB"/>
        </w:rPr>
        <w:t xml:space="preserve">Local Government Association (2023) </w:t>
      </w:r>
      <w:r w:rsidRPr="2E8BE990" w:rsidR="0C42BB0F">
        <w:rPr>
          <w:rFonts w:ascii="Arial Nova" w:hAnsi="Arial Nova" w:eastAsia="Arial Nova" w:cs="Arial Nova"/>
          <w:i w:val="1"/>
          <w:iCs w:val="1"/>
          <w:noProof w:val="0"/>
          <w:sz w:val="22"/>
          <w:szCs w:val="22"/>
          <w:lang w:val="en-GB"/>
        </w:rPr>
        <w:t>Climate Change and Local Government.</w:t>
      </w:r>
      <w:r w:rsidRPr="2E8BE990" w:rsidR="0C42BB0F">
        <w:rPr>
          <w:rFonts w:ascii="Arial Nova" w:hAnsi="Arial Nova" w:eastAsia="Arial Nova" w:cs="Arial Nova"/>
          <w:noProof w:val="0"/>
          <w:sz w:val="22"/>
          <w:szCs w:val="22"/>
          <w:lang w:val="en-GB"/>
        </w:rPr>
        <w:t xml:space="preserve"> London: LGA. Available at: </w:t>
      </w:r>
      <w:hyperlink r:id="R95fd93d9bc8c41ba">
        <w:r w:rsidRPr="2E8BE990" w:rsidR="0C42BB0F">
          <w:rPr>
            <w:rStyle w:val="Hyperlink"/>
            <w:rFonts w:ascii="Arial Nova" w:hAnsi="Arial Nova" w:eastAsia="Arial Nova" w:cs="Arial Nova"/>
            <w:noProof w:val="0"/>
            <w:sz w:val="22"/>
            <w:szCs w:val="22"/>
            <w:lang w:val="en-GB"/>
          </w:rPr>
          <w:t>https://www.local.gov.uk/topics/environment-and-waste/climate-change</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69006FB8" w14:textId="72C02E13">
      <w:pPr>
        <w:spacing w:before="240" w:beforeAutospacing="off" w:after="240" w:afterAutospacing="off"/>
      </w:pPr>
      <w:r w:rsidRPr="2E8BE990" w:rsidR="0C42BB0F">
        <w:rPr>
          <w:rFonts w:ascii="Arial Nova" w:hAnsi="Arial Nova" w:eastAsia="Arial Nova" w:cs="Arial Nova"/>
          <w:noProof w:val="0"/>
          <w:sz w:val="22"/>
          <w:szCs w:val="22"/>
          <w:lang w:val="en-GB"/>
        </w:rPr>
        <w:t xml:space="preserve">Marmot, M. (2020) </w:t>
      </w:r>
      <w:r w:rsidRPr="2E8BE990" w:rsidR="0C42BB0F">
        <w:rPr>
          <w:rFonts w:ascii="Arial Nova" w:hAnsi="Arial Nova" w:eastAsia="Arial Nova" w:cs="Arial Nova"/>
          <w:i w:val="1"/>
          <w:iCs w:val="1"/>
          <w:noProof w:val="0"/>
          <w:sz w:val="22"/>
          <w:szCs w:val="22"/>
          <w:lang w:val="en-GB"/>
        </w:rPr>
        <w:t>Health Equity in England: The Marmot Review 10 Years On.</w:t>
      </w:r>
      <w:r w:rsidRPr="2E8BE990" w:rsidR="0C42BB0F">
        <w:rPr>
          <w:rFonts w:ascii="Arial Nova" w:hAnsi="Arial Nova" w:eastAsia="Arial Nova" w:cs="Arial Nova"/>
          <w:noProof w:val="0"/>
          <w:sz w:val="22"/>
          <w:szCs w:val="22"/>
          <w:lang w:val="en-GB"/>
        </w:rPr>
        <w:t xml:space="preserve"> London: Institute of Health Equity. Available at: </w:t>
      </w:r>
      <w:hyperlink r:id="R386012e0210748bf">
        <w:r w:rsidRPr="2E8BE990" w:rsidR="0C42BB0F">
          <w:rPr>
            <w:rStyle w:val="Hyperlink"/>
            <w:rFonts w:ascii="Arial Nova" w:hAnsi="Arial Nova" w:eastAsia="Arial Nova" w:cs="Arial Nova"/>
            <w:noProof w:val="0"/>
            <w:sz w:val="22"/>
            <w:szCs w:val="22"/>
            <w:lang w:val="en-GB"/>
          </w:rPr>
          <w:t>https://www.health.org.uk/publications/reports/the-marmot-review-10-years-on</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7A5F5010" w14:textId="2CF7DB6A">
      <w:pPr>
        <w:spacing w:before="240" w:beforeAutospacing="off" w:after="240" w:afterAutospacing="off"/>
      </w:pPr>
      <w:r w:rsidRPr="2E8BE990" w:rsidR="0C42BB0F">
        <w:rPr>
          <w:rFonts w:ascii="Arial Nova" w:hAnsi="Arial Nova" w:eastAsia="Arial Nova" w:cs="Arial Nova"/>
          <w:noProof w:val="0"/>
          <w:sz w:val="22"/>
          <w:szCs w:val="22"/>
          <w:lang w:val="en-GB"/>
        </w:rPr>
        <w:t xml:space="preserve">National Audit Office (2023) </w:t>
      </w:r>
      <w:r w:rsidRPr="2E8BE990" w:rsidR="0C42BB0F">
        <w:rPr>
          <w:rFonts w:ascii="Arial Nova" w:hAnsi="Arial Nova" w:eastAsia="Arial Nova" w:cs="Arial Nova"/>
          <w:i w:val="1"/>
          <w:iCs w:val="1"/>
          <w:noProof w:val="0"/>
          <w:sz w:val="22"/>
          <w:szCs w:val="22"/>
          <w:lang w:val="en-GB"/>
        </w:rPr>
        <w:t>Climate Change and Sustainability: Overview 2023.</w:t>
      </w:r>
      <w:r w:rsidRPr="2E8BE990" w:rsidR="0C42BB0F">
        <w:rPr>
          <w:rFonts w:ascii="Arial Nova" w:hAnsi="Arial Nova" w:eastAsia="Arial Nova" w:cs="Arial Nova"/>
          <w:noProof w:val="0"/>
          <w:sz w:val="22"/>
          <w:szCs w:val="22"/>
          <w:lang w:val="en-GB"/>
        </w:rPr>
        <w:t xml:space="preserve"> London: NAO. Available at: </w:t>
      </w:r>
      <w:hyperlink r:id="R1f74f59465d340df">
        <w:r w:rsidRPr="2E8BE990" w:rsidR="0C42BB0F">
          <w:rPr>
            <w:rStyle w:val="Hyperlink"/>
            <w:rFonts w:ascii="Arial Nova" w:hAnsi="Arial Nova" w:eastAsia="Arial Nova" w:cs="Arial Nova"/>
            <w:noProof w:val="0"/>
            <w:sz w:val="22"/>
            <w:szCs w:val="22"/>
            <w:lang w:val="en-GB"/>
          </w:rPr>
          <w:t>https://www.nao.org.uk/reports/climate-change-and-sustainability-overview-2023/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6DB977B6" w14:textId="4528BCAA">
      <w:pPr>
        <w:spacing w:before="240" w:beforeAutospacing="off" w:after="240" w:afterAutospacing="off"/>
      </w:pPr>
      <w:r w:rsidRPr="2E8BE990" w:rsidR="0C42BB0F">
        <w:rPr>
          <w:rFonts w:ascii="Arial Nova" w:hAnsi="Arial Nova" w:eastAsia="Arial Nova" w:cs="Arial Nova"/>
          <w:noProof w:val="0"/>
          <w:sz w:val="22"/>
          <w:szCs w:val="22"/>
          <w:lang w:val="en-GB"/>
        </w:rPr>
        <w:t xml:space="preserve">NHS England (2019) </w:t>
      </w:r>
      <w:r w:rsidRPr="2E8BE990" w:rsidR="0C42BB0F">
        <w:rPr>
          <w:rFonts w:ascii="Arial Nova" w:hAnsi="Arial Nova" w:eastAsia="Arial Nova" w:cs="Arial Nova"/>
          <w:i w:val="1"/>
          <w:iCs w:val="1"/>
          <w:noProof w:val="0"/>
          <w:sz w:val="22"/>
          <w:szCs w:val="22"/>
          <w:lang w:val="en-GB"/>
        </w:rPr>
        <w:t>The NHS Long Term Plan.</w:t>
      </w:r>
      <w:r w:rsidRPr="2E8BE990" w:rsidR="0C42BB0F">
        <w:rPr>
          <w:rFonts w:ascii="Arial Nova" w:hAnsi="Arial Nova" w:eastAsia="Arial Nova" w:cs="Arial Nova"/>
          <w:noProof w:val="0"/>
          <w:sz w:val="22"/>
          <w:szCs w:val="22"/>
          <w:lang w:val="en-GB"/>
        </w:rPr>
        <w:t xml:space="preserve"> London: NHS England. Available at: </w:t>
      </w:r>
      <w:hyperlink r:id="R3607440ddbda4998">
        <w:r w:rsidRPr="2E8BE990" w:rsidR="0C42BB0F">
          <w:rPr>
            <w:rStyle w:val="Hyperlink"/>
            <w:rFonts w:ascii="Arial Nova" w:hAnsi="Arial Nova" w:eastAsia="Arial Nova" w:cs="Arial Nova"/>
            <w:noProof w:val="0"/>
            <w:sz w:val="22"/>
            <w:szCs w:val="22"/>
            <w:lang w:val="en-GB"/>
          </w:rPr>
          <w:t>https://www.longtermplan.nhs.uk/</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0847C9F9" w14:textId="47E9699F">
      <w:pPr>
        <w:spacing w:before="240" w:beforeAutospacing="off" w:after="240" w:afterAutospacing="off"/>
      </w:pPr>
      <w:r w:rsidRPr="2E8BE990" w:rsidR="0C42BB0F">
        <w:rPr>
          <w:rFonts w:ascii="Arial Nova" w:hAnsi="Arial Nova" w:eastAsia="Arial Nova" w:cs="Arial Nova"/>
          <w:noProof w:val="0"/>
          <w:sz w:val="22"/>
          <w:szCs w:val="22"/>
          <w:lang w:val="en-GB"/>
        </w:rPr>
        <w:t xml:space="preserve">NHS England (2020) </w:t>
      </w:r>
      <w:r w:rsidRPr="2E8BE990" w:rsidR="0C42BB0F">
        <w:rPr>
          <w:rFonts w:ascii="Arial Nova" w:hAnsi="Arial Nova" w:eastAsia="Arial Nova" w:cs="Arial Nova"/>
          <w:i w:val="1"/>
          <w:iCs w:val="1"/>
          <w:noProof w:val="0"/>
          <w:sz w:val="22"/>
          <w:szCs w:val="22"/>
          <w:lang w:val="en-GB"/>
        </w:rPr>
        <w:t>Delivering a ‘Net Zero’ National Health Service.</w:t>
      </w:r>
      <w:r w:rsidRPr="2E8BE990" w:rsidR="0C42BB0F">
        <w:rPr>
          <w:rFonts w:ascii="Arial Nova" w:hAnsi="Arial Nova" w:eastAsia="Arial Nova" w:cs="Arial Nova"/>
          <w:noProof w:val="0"/>
          <w:sz w:val="22"/>
          <w:szCs w:val="22"/>
          <w:lang w:val="en-GB"/>
        </w:rPr>
        <w:t xml:space="preserve"> London: NHS England. Available at: </w:t>
      </w:r>
      <w:hyperlink r:id="Rafcbd53e8fd64a03">
        <w:r w:rsidRPr="2E8BE990" w:rsidR="0C42BB0F">
          <w:rPr>
            <w:rStyle w:val="Hyperlink"/>
            <w:rFonts w:ascii="Arial Nova" w:hAnsi="Arial Nova" w:eastAsia="Arial Nova" w:cs="Arial Nova"/>
            <w:noProof w:val="0"/>
            <w:sz w:val="22"/>
            <w:szCs w:val="22"/>
            <w:lang w:val="en-GB"/>
          </w:rPr>
          <w:t>https://www.england.nhs.uk/greenernhs/</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3A9AA898" w14:textId="429A8B10">
      <w:pPr>
        <w:spacing w:before="240" w:beforeAutospacing="off" w:after="240" w:afterAutospacing="off"/>
      </w:pPr>
      <w:r w:rsidRPr="2E8BE990" w:rsidR="0C42BB0F">
        <w:rPr>
          <w:rFonts w:ascii="Arial Nova" w:hAnsi="Arial Nova" w:eastAsia="Arial Nova" w:cs="Arial Nova"/>
          <w:noProof w:val="0"/>
          <w:sz w:val="22"/>
          <w:szCs w:val="22"/>
          <w:lang w:val="en-GB"/>
        </w:rPr>
        <w:t xml:space="preserve">Okereke, C. and Dooley, K. (2010) ‘Principles of justice in proposals and policy approaches to avoid deforestation: Towards a post-Kyoto climate agreement’, </w:t>
      </w:r>
      <w:r w:rsidRPr="2E8BE990" w:rsidR="0C42BB0F">
        <w:rPr>
          <w:rFonts w:ascii="Arial Nova" w:hAnsi="Arial Nova" w:eastAsia="Arial Nova" w:cs="Arial Nova"/>
          <w:i w:val="1"/>
          <w:iCs w:val="1"/>
          <w:noProof w:val="0"/>
          <w:sz w:val="22"/>
          <w:szCs w:val="22"/>
          <w:lang w:val="en-GB"/>
        </w:rPr>
        <w:t>Global Environmental Change</w:t>
      </w:r>
      <w:r w:rsidRPr="2E8BE990" w:rsidR="0C42BB0F">
        <w:rPr>
          <w:rFonts w:ascii="Arial Nova" w:hAnsi="Arial Nova" w:eastAsia="Arial Nova" w:cs="Arial Nova"/>
          <w:noProof w:val="0"/>
          <w:sz w:val="22"/>
          <w:szCs w:val="22"/>
          <w:lang w:val="en-GB"/>
        </w:rPr>
        <w:t xml:space="preserve">, 20(1), pp. 82–95. Available at: </w:t>
      </w:r>
      <w:hyperlink r:id="R00b35c1b98974d21">
        <w:r w:rsidRPr="2E8BE990" w:rsidR="0C42BB0F">
          <w:rPr>
            <w:rStyle w:val="Hyperlink"/>
            <w:rFonts w:ascii="Arial Nova" w:hAnsi="Arial Nova" w:eastAsia="Arial Nova" w:cs="Arial Nova"/>
            <w:noProof w:val="0"/>
            <w:sz w:val="22"/>
            <w:szCs w:val="22"/>
            <w:lang w:val="en-GB"/>
          </w:rPr>
          <w:t>https://doi.org/10.1016/j.gloenvcha.2009.08.004</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391CECC" w14:textId="2093A2C6">
      <w:pPr>
        <w:spacing w:before="240" w:beforeAutospacing="off" w:after="240" w:afterAutospacing="off"/>
      </w:pPr>
      <w:r w:rsidRPr="2E8BE990" w:rsidR="0C42BB0F">
        <w:rPr>
          <w:rFonts w:ascii="Arial Nova" w:hAnsi="Arial Nova" w:eastAsia="Arial Nova" w:cs="Arial Nova"/>
          <w:noProof w:val="0"/>
          <w:sz w:val="22"/>
          <w:szCs w:val="22"/>
          <w:lang w:val="en-GB"/>
        </w:rPr>
        <w:t xml:space="preserve">Public Health Wales (2021) </w:t>
      </w:r>
      <w:r w:rsidRPr="2E8BE990" w:rsidR="0C42BB0F">
        <w:rPr>
          <w:rFonts w:ascii="Arial Nova" w:hAnsi="Arial Nova" w:eastAsia="Arial Nova" w:cs="Arial Nova"/>
          <w:i w:val="1"/>
          <w:iCs w:val="1"/>
          <w:noProof w:val="0"/>
          <w:sz w:val="22"/>
          <w:szCs w:val="22"/>
          <w:lang w:val="en-GB"/>
        </w:rPr>
        <w:t>Integrated Well-being Networks: Annual Progress Report 2020–21.</w:t>
      </w:r>
      <w:r w:rsidRPr="2E8BE990" w:rsidR="0C42BB0F">
        <w:rPr>
          <w:rFonts w:ascii="Arial Nova" w:hAnsi="Arial Nova" w:eastAsia="Arial Nova" w:cs="Arial Nova"/>
          <w:noProof w:val="0"/>
          <w:sz w:val="22"/>
          <w:szCs w:val="22"/>
          <w:lang w:val="en-GB"/>
        </w:rPr>
        <w:t xml:space="preserve"> Cardiff: Public Health Wales. Available at: </w:t>
      </w:r>
      <w:hyperlink r:id="R14efd429df3d46c7">
        <w:r w:rsidRPr="2E8BE990" w:rsidR="0C42BB0F">
          <w:rPr>
            <w:rStyle w:val="Hyperlink"/>
            <w:rFonts w:ascii="Arial Nova" w:hAnsi="Arial Nova" w:eastAsia="Arial Nova" w:cs="Arial Nova"/>
            <w:noProof w:val="0"/>
            <w:sz w:val="22"/>
            <w:szCs w:val="22"/>
            <w:lang w:val="en-GB"/>
          </w:rPr>
          <w:t>https://phw.nhs.wales/topics/public-health-wales-reports-and-publications/</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2160B97B" w14:textId="1BDD861B">
      <w:pPr>
        <w:spacing w:before="240" w:beforeAutospacing="off" w:after="240" w:afterAutospacing="off"/>
      </w:pPr>
      <w:r w:rsidRPr="2E8BE990" w:rsidR="0C42BB0F">
        <w:rPr>
          <w:rFonts w:ascii="Arial Nova" w:hAnsi="Arial Nova" w:eastAsia="Arial Nova" w:cs="Arial Nova"/>
          <w:noProof w:val="0"/>
          <w:sz w:val="22"/>
          <w:szCs w:val="22"/>
          <w:lang w:val="en-GB"/>
        </w:rPr>
        <w:t xml:space="preserve">Rosenstock, I. M. (1974) ‘The Health Belief Model and Preventive Health Behavior’, </w:t>
      </w:r>
      <w:r w:rsidRPr="2E8BE990" w:rsidR="0C42BB0F">
        <w:rPr>
          <w:rFonts w:ascii="Arial Nova" w:hAnsi="Arial Nova" w:eastAsia="Arial Nova" w:cs="Arial Nova"/>
          <w:i w:val="1"/>
          <w:iCs w:val="1"/>
          <w:noProof w:val="0"/>
          <w:sz w:val="22"/>
          <w:szCs w:val="22"/>
          <w:lang w:val="en-GB"/>
        </w:rPr>
        <w:t>Health Education Monographs</w:t>
      </w:r>
      <w:r w:rsidRPr="2E8BE990" w:rsidR="0C42BB0F">
        <w:rPr>
          <w:rFonts w:ascii="Arial Nova" w:hAnsi="Arial Nova" w:eastAsia="Arial Nova" w:cs="Arial Nova"/>
          <w:noProof w:val="0"/>
          <w:sz w:val="22"/>
          <w:szCs w:val="22"/>
          <w:lang w:val="en-GB"/>
        </w:rPr>
        <w:t>, 2(4), pp. 354–386.</w:t>
      </w:r>
    </w:p>
    <w:p w:rsidR="69A36633" w:rsidP="2E8BE990" w:rsidRDefault="69A36633" w14:paraId="0DA5D32F" w14:textId="7A68574D">
      <w:pPr>
        <w:spacing w:before="240" w:beforeAutospacing="off" w:after="240" w:afterAutospacing="off"/>
      </w:pPr>
      <w:r w:rsidRPr="2E8BE990" w:rsidR="0C42BB0F">
        <w:rPr>
          <w:rFonts w:ascii="Arial Nova" w:hAnsi="Arial Nova" w:eastAsia="Arial Nova" w:cs="Arial Nova"/>
          <w:noProof w:val="0"/>
          <w:sz w:val="22"/>
          <w:szCs w:val="22"/>
          <w:lang w:val="en-GB"/>
        </w:rPr>
        <w:t xml:space="preserve">Sheng, X., Chisadza, C., Gupta, R. and Pierdzioch, C. (2023) ‘Climate shocks and wealth inequality in the UK: evidence from monthly data’, </w:t>
      </w:r>
      <w:r w:rsidRPr="2E8BE990" w:rsidR="0C42BB0F">
        <w:rPr>
          <w:rFonts w:ascii="Arial Nova" w:hAnsi="Arial Nova" w:eastAsia="Arial Nova" w:cs="Arial Nova"/>
          <w:i w:val="1"/>
          <w:iCs w:val="1"/>
          <w:noProof w:val="0"/>
          <w:sz w:val="22"/>
          <w:szCs w:val="22"/>
          <w:lang w:val="en-GB"/>
        </w:rPr>
        <w:t>Environmental Science and Pollution Research</w:t>
      </w:r>
      <w:r w:rsidRPr="2E8BE990" w:rsidR="0C42BB0F">
        <w:rPr>
          <w:rFonts w:ascii="Arial Nova" w:hAnsi="Arial Nova" w:eastAsia="Arial Nova" w:cs="Arial Nova"/>
          <w:noProof w:val="0"/>
          <w:sz w:val="22"/>
          <w:szCs w:val="22"/>
          <w:lang w:val="en-GB"/>
        </w:rPr>
        <w:t xml:space="preserve">, 30(53), pp. 16222–16241. Available at: </w:t>
      </w:r>
      <w:hyperlink r:id="Rcce3d0e580f9402c">
        <w:r w:rsidRPr="2E8BE990" w:rsidR="0C42BB0F">
          <w:rPr>
            <w:rStyle w:val="Hyperlink"/>
            <w:rFonts w:ascii="Arial Nova" w:hAnsi="Arial Nova" w:eastAsia="Arial Nova" w:cs="Arial Nova"/>
            <w:noProof w:val="0"/>
            <w:sz w:val="22"/>
            <w:szCs w:val="22"/>
            <w:lang w:val="en-GB"/>
          </w:rPr>
          <w:t>https://link.springer.com/article/10.1007/s11356-023-27342-1</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22CB7000" w14:textId="6DD3DE03">
      <w:pPr>
        <w:spacing w:before="240" w:beforeAutospacing="off" w:after="240" w:afterAutospacing="off"/>
      </w:pPr>
      <w:r w:rsidRPr="2E8BE990" w:rsidR="0C42BB0F">
        <w:rPr>
          <w:rFonts w:ascii="Arial Nova" w:hAnsi="Arial Nova" w:eastAsia="Arial Nova" w:cs="Arial Nova"/>
          <w:noProof w:val="0"/>
          <w:sz w:val="22"/>
          <w:szCs w:val="22"/>
          <w:lang w:val="en-GB"/>
        </w:rPr>
        <w:t xml:space="preserve">Southby, K., Coan, S., Rushworth, S., South, J., Bagnall, A.-M., Lam, T., Woodward, J. and Button, D. (2022) ‘The contribution of peer research in evaluating complex public health interventions: examples from two UK community empowerment projects’, </w:t>
      </w:r>
      <w:r w:rsidRPr="2E8BE990" w:rsidR="0C42BB0F">
        <w:rPr>
          <w:rFonts w:ascii="Arial Nova" w:hAnsi="Arial Nova" w:eastAsia="Arial Nova" w:cs="Arial Nova"/>
          <w:i w:val="1"/>
          <w:iCs w:val="1"/>
          <w:noProof w:val="0"/>
          <w:sz w:val="22"/>
          <w:szCs w:val="22"/>
          <w:lang w:val="en-GB"/>
        </w:rPr>
        <w:t>BMC Public Health</w:t>
      </w:r>
      <w:r w:rsidRPr="2E8BE990" w:rsidR="0C42BB0F">
        <w:rPr>
          <w:rFonts w:ascii="Arial Nova" w:hAnsi="Arial Nova" w:eastAsia="Arial Nova" w:cs="Arial Nova"/>
          <w:noProof w:val="0"/>
          <w:sz w:val="22"/>
          <w:szCs w:val="22"/>
          <w:lang w:val="en-GB"/>
        </w:rPr>
        <w:t xml:space="preserve">, 22(1), 2164. Available at: </w:t>
      </w:r>
      <w:hyperlink r:id="R3fb9ce81daaf48f0">
        <w:r w:rsidRPr="2E8BE990" w:rsidR="0C42BB0F">
          <w:rPr>
            <w:rStyle w:val="Hyperlink"/>
            <w:rFonts w:ascii="Arial Nova" w:hAnsi="Arial Nova" w:eastAsia="Arial Nova" w:cs="Arial Nova"/>
            <w:noProof w:val="0"/>
            <w:sz w:val="22"/>
            <w:szCs w:val="22"/>
            <w:lang w:val="en-GB"/>
          </w:rPr>
          <w:t>https://bmcpublichealth.biomedcentral.com/articles/10.1186/s12889-022-14465-2</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542B8AB" w14:textId="404C52DC">
      <w:pPr>
        <w:spacing w:before="240" w:beforeAutospacing="off" w:after="240" w:afterAutospacing="off"/>
      </w:pPr>
      <w:r w:rsidRPr="2E8BE990" w:rsidR="0C42BB0F">
        <w:rPr>
          <w:rFonts w:ascii="Arial Nova" w:hAnsi="Arial Nova" w:eastAsia="Arial Nova" w:cs="Arial Nova"/>
          <w:noProof w:val="0"/>
          <w:sz w:val="22"/>
          <w:szCs w:val="22"/>
          <w:lang w:val="en-GB"/>
        </w:rPr>
        <w:t xml:space="preserve">Storeng, K. T. and Béhague, D. P. (2016) ‘“Lives in the balance”: The politics of integration in the Partnership for Maternal, Newborn and Child Health’, </w:t>
      </w:r>
      <w:r w:rsidRPr="2E8BE990" w:rsidR="0C42BB0F">
        <w:rPr>
          <w:rFonts w:ascii="Arial Nova" w:hAnsi="Arial Nova" w:eastAsia="Arial Nova" w:cs="Arial Nova"/>
          <w:i w:val="1"/>
          <w:iCs w:val="1"/>
          <w:noProof w:val="0"/>
          <w:sz w:val="22"/>
          <w:szCs w:val="22"/>
          <w:lang w:val="en-GB"/>
        </w:rPr>
        <w:t>Health Policy and Planning</w:t>
      </w:r>
      <w:r w:rsidRPr="2E8BE990" w:rsidR="0C42BB0F">
        <w:rPr>
          <w:rFonts w:ascii="Arial Nova" w:hAnsi="Arial Nova" w:eastAsia="Arial Nova" w:cs="Arial Nova"/>
          <w:noProof w:val="0"/>
          <w:sz w:val="22"/>
          <w:szCs w:val="22"/>
          <w:lang w:val="en-GB"/>
        </w:rPr>
        <w:t xml:space="preserve">, 31(8), pp. 992–1000. Available at: </w:t>
      </w:r>
      <w:hyperlink r:id="R14ae7819bb4a497d">
        <w:r w:rsidRPr="2E8BE990" w:rsidR="0C42BB0F">
          <w:rPr>
            <w:rStyle w:val="Hyperlink"/>
            <w:rFonts w:ascii="Arial Nova" w:hAnsi="Arial Nova" w:eastAsia="Arial Nova" w:cs="Arial Nova"/>
            <w:noProof w:val="0"/>
            <w:sz w:val="22"/>
            <w:szCs w:val="22"/>
            <w:lang w:val="en-GB"/>
          </w:rPr>
          <w:t>https://doi.org/10.1093/heapol/czw036</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5DBC683" w14:textId="213E4622">
      <w:pPr>
        <w:spacing w:before="240" w:beforeAutospacing="off" w:after="240" w:afterAutospacing="off"/>
      </w:pPr>
      <w:r w:rsidRPr="2E8BE990" w:rsidR="0C42BB0F">
        <w:rPr>
          <w:rFonts w:ascii="Arial Nova" w:hAnsi="Arial Nova" w:eastAsia="Arial Nova" w:cs="Arial Nova"/>
          <w:noProof w:val="0"/>
          <w:sz w:val="22"/>
          <w:szCs w:val="22"/>
          <w:lang w:val="en-GB"/>
        </w:rPr>
        <w:t xml:space="preserve">The King’s Fund (2023) ‘Spending on public health’, </w:t>
      </w:r>
      <w:r w:rsidRPr="2E8BE990" w:rsidR="0C42BB0F">
        <w:rPr>
          <w:rFonts w:ascii="Arial Nova" w:hAnsi="Arial Nova" w:eastAsia="Arial Nova" w:cs="Arial Nova"/>
          <w:i w:val="1"/>
          <w:iCs w:val="1"/>
          <w:noProof w:val="0"/>
          <w:sz w:val="22"/>
          <w:szCs w:val="22"/>
          <w:lang w:val="en-GB"/>
        </w:rPr>
        <w:t>The King’s Fund.</w:t>
      </w:r>
      <w:r w:rsidRPr="2E8BE990" w:rsidR="0C42BB0F">
        <w:rPr>
          <w:rFonts w:ascii="Arial Nova" w:hAnsi="Arial Nova" w:eastAsia="Arial Nova" w:cs="Arial Nova"/>
          <w:noProof w:val="0"/>
          <w:sz w:val="22"/>
          <w:szCs w:val="22"/>
          <w:lang w:val="en-GB"/>
        </w:rPr>
        <w:t xml:space="preserve"> Available at: </w:t>
      </w:r>
      <w:hyperlink r:id="R7045076eb9d34eed">
        <w:r w:rsidRPr="2E8BE990" w:rsidR="0C42BB0F">
          <w:rPr>
            <w:rStyle w:val="Hyperlink"/>
            <w:rFonts w:ascii="Arial Nova" w:hAnsi="Arial Nova" w:eastAsia="Arial Nova" w:cs="Arial Nova"/>
            <w:noProof w:val="0"/>
            <w:sz w:val="22"/>
            <w:szCs w:val="22"/>
            <w:lang w:val="en-GB"/>
          </w:rPr>
          <w:t>https://www.kingsfund.org.uk/insight-and-analysis/data-and-charts/spending-public-health</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3905B8FF" w14:textId="6C29A296">
      <w:pPr>
        <w:spacing w:before="240" w:beforeAutospacing="off" w:after="240" w:afterAutospacing="off"/>
      </w:pPr>
      <w:r w:rsidRPr="2E8BE990" w:rsidR="0C42BB0F">
        <w:rPr>
          <w:rFonts w:ascii="Arial Nova" w:hAnsi="Arial Nova" w:eastAsia="Arial Nova" w:cs="Arial Nova"/>
          <w:noProof w:val="0"/>
          <w:sz w:val="22"/>
          <w:szCs w:val="22"/>
          <w:lang w:val="en-GB"/>
        </w:rPr>
        <w:t xml:space="preserve">United Nations (2015) </w:t>
      </w:r>
      <w:r w:rsidRPr="2E8BE990" w:rsidR="0C42BB0F">
        <w:rPr>
          <w:rFonts w:ascii="Arial Nova" w:hAnsi="Arial Nova" w:eastAsia="Arial Nova" w:cs="Arial Nova"/>
          <w:i w:val="1"/>
          <w:iCs w:val="1"/>
          <w:noProof w:val="0"/>
          <w:sz w:val="22"/>
          <w:szCs w:val="22"/>
          <w:lang w:val="en-GB"/>
        </w:rPr>
        <w:t>Transforming Our World: The 2030 Agenda for Sustainable Development.</w:t>
      </w:r>
      <w:r w:rsidRPr="2E8BE990" w:rsidR="0C42BB0F">
        <w:rPr>
          <w:rFonts w:ascii="Arial Nova" w:hAnsi="Arial Nova" w:eastAsia="Arial Nova" w:cs="Arial Nova"/>
          <w:noProof w:val="0"/>
          <w:sz w:val="22"/>
          <w:szCs w:val="22"/>
          <w:lang w:val="en-GB"/>
        </w:rPr>
        <w:t xml:space="preserve"> New York: United Nations. Available at: </w:t>
      </w:r>
      <w:hyperlink r:id="Rce6f594493564eb4">
        <w:r w:rsidRPr="2E8BE990" w:rsidR="0C42BB0F">
          <w:rPr>
            <w:rStyle w:val="Hyperlink"/>
            <w:rFonts w:ascii="Arial Nova" w:hAnsi="Arial Nova" w:eastAsia="Arial Nova" w:cs="Arial Nova"/>
            <w:noProof w:val="0"/>
            <w:sz w:val="22"/>
            <w:szCs w:val="22"/>
            <w:lang w:val="en-GB"/>
          </w:rPr>
          <w:t>https://sdgs.un.org/2030agenda</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765C8315" w14:textId="12EB72C2">
      <w:pPr>
        <w:spacing w:before="240" w:beforeAutospacing="off" w:after="240" w:afterAutospacing="off"/>
      </w:pPr>
      <w:r w:rsidRPr="2E8BE990" w:rsidR="0C42BB0F">
        <w:rPr>
          <w:rFonts w:ascii="Arial Nova" w:hAnsi="Arial Nova" w:eastAsia="Arial Nova" w:cs="Arial Nova"/>
          <w:noProof w:val="0"/>
          <w:sz w:val="22"/>
          <w:szCs w:val="22"/>
          <w:lang w:val="en-GB"/>
        </w:rPr>
        <w:t xml:space="preserve">United Nations (2023) </w:t>
      </w:r>
      <w:r w:rsidRPr="2E8BE990" w:rsidR="0C42BB0F">
        <w:rPr>
          <w:rFonts w:ascii="Arial Nova" w:hAnsi="Arial Nova" w:eastAsia="Arial Nova" w:cs="Arial Nova"/>
          <w:i w:val="1"/>
          <w:iCs w:val="1"/>
          <w:noProof w:val="0"/>
          <w:sz w:val="22"/>
          <w:szCs w:val="22"/>
          <w:lang w:val="en-GB"/>
        </w:rPr>
        <w:t>The Sustainable Development Goals Report 2023.</w:t>
      </w:r>
      <w:r w:rsidRPr="2E8BE990" w:rsidR="0C42BB0F">
        <w:rPr>
          <w:rFonts w:ascii="Arial Nova" w:hAnsi="Arial Nova" w:eastAsia="Arial Nova" w:cs="Arial Nova"/>
          <w:noProof w:val="0"/>
          <w:sz w:val="22"/>
          <w:szCs w:val="22"/>
          <w:lang w:val="en-GB"/>
        </w:rPr>
        <w:t xml:space="preserve"> New York: United Nations. Available at: </w:t>
      </w:r>
      <w:hyperlink r:id="R7c51eb086f5748e8">
        <w:r w:rsidRPr="2E8BE990" w:rsidR="0C42BB0F">
          <w:rPr>
            <w:rStyle w:val="Hyperlink"/>
            <w:rFonts w:ascii="Arial Nova" w:hAnsi="Arial Nova" w:eastAsia="Arial Nova" w:cs="Arial Nova"/>
            <w:noProof w:val="0"/>
            <w:sz w:val="22"/>
            <w:szCs w:val="22"/>
            <w:lang w:val="en-GB"/>
          </w:rPr>
          <w:t>https://unstats.un.org/sdgs/report/2023/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3AE9CA16" w14:textId="053D8813">
      <w:pPr>
        <w:spacing w:before="240" w:beforeAutospacing="off" w:after="240" w:afterAutospacing="off"/>
      </w:pPr>
      <w:r w:rsidRPr="2E8BE990" w:rsidR="0C42BB0F">
        <w:rPr>
          <w:rFonts w:ascii="Arial Nova" w:hAnsi="Arial Nova" w:eastAsia="Arial Nova" w:cs="Arial Nova"/>
          <w:noProof w:val="0"/>
          <w:sz w:val="22"/>
          <w:szCs w:val="22"/>
          <w:lang w:val="en-GB"/>
        </w:rPr>
        <w:t xml:space="preserve">United Nations Environment Programme (2023) </w:t>
      </w:r>
      <w:r w:rsidRPr="2E8BE990" w:rsidR="0C42BB0F">
        <w:rPr>
          <w:rFonts w:ascii="Arial Nova" w:hAnsi="Arial Nova" w:eastAsia="Arial Nova" w:cs="Arial Nova"/>
          <w:i w:val="1"/>
          <w:iCs w:val="1"/>
          <w:noProof w:val="0"/>
          <w:sz w:val="22"/>
          <w:szCs w:val="22"/>
          <w:lang w:val="en-GB"/>
        </w:rPr>
        <w:t>Emissions Gap Report 2023: Broken Record – Temperatures Hit New Highs.</w:t>
      </w:r>
      <w:r w:rsidRPr="2E8BE990" w:rsidR="0C42BB0F">
        <w:rPr>
          <w:rFonts w:ascii="Arial Nova" w:hAnsi="Arial Nova" w:eastAsia="Arial Nova" w:cs="Arial Nova"/>
          <w:noProof w:val="0"/>
          <w:sz w:val="22"/>
          <w:szCs w:val="22"/>
          <w:lang w:val="en-GB"/>
        </w:rPr>
        <w:t xml:space="preserve"> Nairobi: UNEP. Available at: </w:t>
      </w:r>
      <w:hyperlink r:id="Rdc113dad27cb48d2">
        <w:r w:rsidRPr="2E8BE990" w:rsidR="0C42BB0F">
          <w:rPr>
            <w:rStyle w:val="Hyperlink"/>
            <w:rFonts w:ascii="Arial Nova" w:hAnsi="Arial Nova" w:eastAsia="Arial Nova" w:cs="Arial Nova"/>
            <w:noProof w:val="0"/>
            <w:sz w:val="22"/>
            <w:szCs w:val="22"/>
            <w:lang w:val="en-GB"/>
          </w:rPr>
          <w:t>https://www.unep.org/resources/emissions-gap-report-2023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93556E7" w14:textId="6A0ECD3B">
      <w:pPr>
        <w:spacing w:before="240" w:beforeAutospacing="off" w:after="240" w:afterAutospacing="off"/>
      </w:pPr>
      <w:r w:rsidRPr="2E8BE990" w:rsidR="0C42BB0F">
        <w:rPr>
          <w:rFonts w:ascii="Arial Nova" w:hAnsi="Arial Nova" w:eastAsia="Arial Nova" w:cs="Arial Nova"/>
          <w:noProof w:val="0"/>
          <w:sz w:val="22"/>
          <w:szCs w:val="22"/>
          <w:lang w:val="en-GB"/>
        </w:rPr>
        <w:t xml:space="preserve">United Nations Framework Convention on Climate Change (UNFCCC) (2015) </w:t>
      </w:r>
      <w:r w:rsidRPr="2E8BE990" w:rsidR="0C42BB0F">
        <w:rPr>
          <w:rFonts w:ascii="Arial Nova" w:hAnsi="Arial Nova" w:eastAsia="Arial Nova" w:cs="Arial Nova"/>
          <w:i w:val="1"/>
          <w:iCs w:val="1"/>
          <w:noProof w:val="0"/>
          <w:sz w:val="22"/>
          <w:szCs w:val="22"/>
          <w:lang w:val="en-GB"/>
        </w:rPr>
        <w:t>Paris Agreement.</w:t>
      </w:r>
      <w:r w:rsidRPr="2E8BE990" w:rsidR="0C42BB0F">
        <w:rPr>
          <w:rFonts w:ascii="Arial Nova" w:hAnsi="Arial Nova" w:eastAsia="Arial Nova" w:cs="Arial Nova"/>
          <w:noProof w:val="0"/>
          <w:sz w:val="22"/>
          <w:szCs w:val="22"/>
          <w:lang w:val="en-GB"/>
        </w:rPr>
        <w:t xml:space="preserve"> Bonn: UNFCCC. Available at: </w:t>
      </w:r>
      <w:hyperlink r:id="R07611f82c6c5451e">
        <w:r w:rsidRPr="2E8BE990" w:rsidR="0C42BB0F">
          <w:rPr>
            <w:rStyle w:val="Hyperlink"/>
            <w:rFonts w:ascii="Arial Nova" w:hAnsi="Arial Nova" w:eastAsia="Arial Nova" w:cs="Arial Nova"/>
            <w:noProof w:val="0"/>
            <w:sz w:val="22"/>
            <w:szCs w:val="22"/>
            <w:lang w:val="en-GB"/>
          </w:rPr>
          <w:t>https://unfccc.int/process-and-meetings/the-paris-agreement/the-paris-agreement</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4C7076D" w14:textId="391704A7">
      <w:pPr>
        <w:spacing w:before="240" w:beforeAutospacing="off" w:after="240" w:afterAutospacing="off"/>
      </w:pPr>
      <w:r w:rsidRPr="2E8BE990" w:rsidR="0C42BB0F">
        <w:rPr>
          <w:rFonts w:ascii="Arial Nova" w:hAnsi="Arial Nova" w:eastAsia="Arial Nova" w:cs="Arial Nova"/>
          <w:noProof w:val="0"/>
          <w:sz w:val="22"/>
          <w:szCs w:val="22"/>
          <w:lang w:val="en-GB"/>
        </w:rPr>
        <w:t xml:space="preserve">Welsh Government (2015) </w:t>
      </w:r>
      <w:r w:rsidRPr="2E8BE990" w:rsidR="0C42BB0F">
        <w:rPr>
          <w:rFonts w:ascii="Arial Nova" w:hAnsi="Arial Nova" w:eastAsia="Arial Nova" w:cs="Arial Nova"/>
          <w:i w:val="1"/>
          <w:iCs w:val="1"/>
          <w:noProof w:val="0"/>
          <w:sz w:val="22"/>
          <w:szCs w:val="22"/>
          <w:lang w:val="en-GB"/>
        </w:rPr>
        <w:t>Well-being of Future Generations (Wales) Act 2015.</w:t>
      </w:r>
      <w:r w:rsidRPr="2E8BE990" w:rsidR="0C42BB0F">
        <w:rPr>
          <w:rFonts w:ascii="Arial Nova" w:hAnsi="Arial Nova" w:eastAsia="Arial Nova" w:cs="Arial Nova"/>
          <w:noProof w:val="0"/>
          <w:sz w:val="22"/>
          <w:szCs w:val="22"/>
          <w:lang w:val="en-GB"/>
        </w:rPr>
        <w:t xml:space="preserve"> Cardiff: Welsh Government. Available at: </w:t>
      </w:r>
      <w:hyperlink r:id="R8bf6e6870e6e4ccb">
        <w:r w:rsidRPr="2E8BE990" w:rsidR="0C42BB0F">
          <w:rPr>
            <w:rStyle w:val="Hyperlink"/>
            <w:rFonts w:ascii="Arial Nova" w:hAnsi="Arial Nova" w:eastAsia="Arial Nova" w:cs="Arial Nova"/>
            <w:noProof w:val="0"/>
            <w:sz w:val="22"/>
            <w:szCs w:val="22"/>
            <w:lang w:val="en-GB"/>
          </w:rPr>
          <w:t>https://www.futuregenerations.wales/about-us/future-generations-act/</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4104F0BB" w14:textId="4F4890B1">
      <w:pPr>
        <w:spacing w:before="240" w:beforeAutospacing="off" w:after="240" w:afterAutospacing="off"/>
      </w:pPr>
      <w:r w:rsidRPr="2E8BE990" w:rsidR="0C42BB0F">
        <w:rPr>
          <w:rFonts w:ascii="Arial Nova" w:hAnsi="Arial Nova" w:eastAsia="Arial Nova" w:cs="Arial Nova"/>
          <w:noProof w:val="0"/>
          <w:sz w:val="22"/>
          <w:szCs w:val="22"/>
          <w:lang w:val="en-GB"/>
        </w:rPr>
        <w:t xml:space="preserve">Welsh Government (2019) </w:t>
      </w:r>
      <w:r w:rsidRPr="2E8BE990" w:rsidR="0C42BB0F">
        <w:rPr>
          <w:rFonts w:ascii="Arial Nova" w:hAnsi="Arial Nova" w:eastAsia="Arial Nova" w:cs="Arial Nova"/>
          <w:i w:val="1"/>
          <w:iCs w:val="1"/>
          <w:noProof w:val="0"/>
          <w:sz w:val="22"/>
          <w:szCs w:val="22"/>
          <w:lang w:val="en-GB"/>
        </w:rPr>
        <w:t>Healthy Weight: Healthy Wales Strategy.</w:t>
      </w:r>
      <w:r w:rsidRPr="2E8BE990" w:rsidR="0C42BB0F">
        <w:rPr>
          <w:rFonts w:ascii="Arial Nova" w:hAnsi="Arial Nova" w:eastAsia="Arial Nova" w:cs="Arial Nova"/>
          <w:noProof w:val="0"/>
          <w:sz w:val="22"/>
          <w:szCs w:val="22"/>
          <w:lang w:val="en-GB"/>
        </w:rPr>
        <w:t xml:space="preserve"> Cardiff: Welsh Government. Available at: </w:t>
      </w:r>
      <w:hyperlink r:id="Rd2f5809de30f4fbe">
        <w:r w:rsidRPr="2E8BE990" w:rsidR="0C42BB0F">
          <w:rPr>
            <w:rStyle w:val="Hyperlink"/>
            <w:rFonts w:ascii="Arial Nova" w:hAnsi="Arial Nova" w:eastAsia="Arial Nova" w:cs="Arial Nova"/>
            <w:noProof w:val="0"/>
            <w:sz w:val="22"/>
            <w:szCs w:val="22"/>
            <w:lang w:val="en-GB"/>
          </w:rPr>
          <w:t>https://www.gov.wales/healthy-weight-healthy-wales-strategy</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2B172446" w14:textId="4E72CE4A">
      <w:pPr>
        <w:spacing w:before="240" w:beforeAutospacing="off" w:after="240" w:afterAutospacing="off"/>
      </w:pPr>
      <w:r w:rsidRPr="2E8BE990" w:rsidR="0C42BB0F">
        <w:rPr>
          <w:rFonts w:ascii="Arial Nova" w:hAnsi="Arial Nova" w:eastAsia="Arial Nova" w:cs="Arial Nova"/>
          <w:noProof w:val="0"/>
          <w:sz w:val="22"/>
          <w:szCs w:val="22"/>
          <w:lang w:val="en-GB"/>
        </w:rPr>
        <w:t xml:space="preserve">Welsh Government (2022) </w:t>
      </w:r>
      <w:r w:rsidRPr="2E8BE990" w:rsidR="0C42BB0F">
        <w:rPr>
          <w:rFonts w:ascii="Arial Nova" w:hAnsi="Arial Nova" w:eastAsia="Arial Nova" w:cs="Arial Nova"/>
          <w:i w:val="1"/>
          <w:iCs w:val="1"/>
          <w:noProof w:val="0"/>
          <w:sz w:val="22"/>
          <w:szCs w:val="22"/>
          <w:lang w:val="en-GB"/>
        </w:rPr>
        <w:t>Together for Mental Health Delivery Plan 2022–2025.</w:t>
      </w:r>
      <w:r w:rsidRPr="2E8BE990" w:rsidR="0C42BB0F">
        <w:rPr>
          <w:rFonts w:ascii="Arial Nova" w:hAnsi="Arial Nova" w:eastAsia="Arial Nova" w:cs="Arial Nova"/>
          <w:noProof w:val="0"/>
          <w:sz w:val="22"/>
          <w:szCs w:val="22"/>
          <w:lang w:val="en-GB"/>
        </w:rPr>
        <w:t xml:space="preserve"> Cardiff: Welsh Government. Available at: </w:t>
      </w:r>
      <w:hyperlink r:id="Rf8731aa8c1104c46">
        <w:r w:rsidRPr="2E8BE990" w:rsidR="0C42BB0F">
          <w:rPr>
            <w:rStyle w:val="Hyperlink"/>
            <w:rFonts w:ascii="Arial Nova" w:hAnsi="Arial Nova" w:eastAsia="Arial Nova" w:cs="Arial Nova"/>
            <w:noProof w:val="0"/>
            <w:sz w:val="22"/>
            <w:szCs w:val="22"/>
            <w:lang w:val="en-GB"/>
          </w:rPr>
          <w:t>https://www.gov.wales/together-mental-health-delivery-plan-2022-2025</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09143F27" w14:textId="0191F395">
      <w:pPr>
        <w:spacing w:before="240" w:beforeAutospacing="off" w:after="240" w:afterAutospacing="off"/>
      </w:pPr>
      <w:r w:rsidRPr="2E8BE990" w:rsidR="0C42BB0F">
        <w:rPr>
          <w:rFonts w:ascii="Arial Nova" w:hAnsi="Arial Nova" w:eastAsia="Arial Nova" w:cs="Arial Nova"/>
          <w:noProof w:val="0"/>
          <w:sz w:val="22"/>
          <w:szCs w:val="22"/>
          <w:lang w:val="en-GB"/>
        </w:rPr>
        <w:t xml:space="preserve">World Health Organization (2019) </w:t>
      </w:r>
      <w:r w:rsidRPr="2E8BE990" w:rsidR="0C42BB0F">
        <w:rPr>
          <w:rFonts w:ascii="Arial Nova" w:hAnsi="Arial Nova" w:eastAsia="Arial Nova" w:cs="Arial Nova"/>
          <w:i w:val="1"/>
          <w:iCs w:val="1"/>
          <w:noProof w:val="0"/>
          <w:sz w:val="22"/>
          <w:szCs w:val="22"/>
          <w:lang w:val="en-GB"/>
        </w:rPr>
        <w:t>Thirteenth General Programme of Work 2019–2025.</w:t>
      </w:r>
      <w:r w:rsidRPr="2E8BE990" w:rsidR="0C42BB0F">
        <w:rPr>
          <w:rFonts w:ascii="Arial Nova" w:hAnsi="Arial Nova" w:eastAsia="Arial Nova" w:cs="Arial Nova"/>
          <w:noProof w:val="0"/>
          <w:sz w:val="22"/>
          <w:szCs w:val="22"/>
          <w:lang w:val="en-GB"/>
        </w:rPr>
        <w:t xml:space="preserve"> Geneva: World Health Organization. Available at: </w:t>
      </w:r>
      <w:hyperlink r:id="R8b18afe5f4de4027">
        <w:r w:rsidRPr="2E8BE990" w:rsidR="0C42BB0F">
          <w:rPr>
            <w:rStyle w:val="Hyperlink"/>
            <w:rFonts w:ascii="Arial Nova" w:hAnsi="Arial Nova" w:eastAsia="Arial Nova" w:cs="Arial Nova"/>
            <w:noProof w:val="0"/>
            <w:sz w:val="22"/>
            <w:szCs w:val="22"/>
            <w:lang w:val="en-GB"/>
          </w:rPr>
          <w:t>https://www.who.int/about/what-we-do/thirteenth-general-programme-of-work-2019---2023</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4905106" w14:textId="648FD112">
      <w:pPr>
        <w:spacing w:before="240" w:beforeAutospacing="off" w:after="240" w:afterAutospacing="off"/>
      </w:pPr>
      <w:r w:rsidRPr="2E8BE990" w:rsidR="0C42BB0F">
        <w:rPr>
          <w:rFonts w:ascii="Arial Nova" w:hAnsi="Arial Nova" w:eastAsia="Arial Nova" w:cs="Arial Nova"/>
          <w:noProof w:val="0"/>
          <w:sz w:val="22"/>
          <w:szCs w:val="22"/>
          <w:lang w:val="en-GB"/>
        </w:rPr>
        <w:t xml:space="preserve">World Health Organization (2020) </w:t>
      </w:r>
      <w:r w:rsidRPr="2E8BE990" w:rsidR="0C42BB0F">
        <w:rPr>
          <w:rFonts w:ascii="Arial Nova" w:hAnsi="Arial Nova" w:eastAsia="Arial Nova" w:cs="Arial Nova"/>
          <w:i w:val="1"/>
          <w:iCs w:val="1"/>
          <w:noProof w:val="0"/>
          <w:sz w:val="22"/>
          <w:szCs w:val="22"/>
          <w:lang w:val="en-GB"/>
        </w:rPr>
        <w:t>Global Action Plan for Healthy Lives and Well-being for All.</w:t>
      </w:r>
      <w:r w:rsidRPr="2E8BE990" w:rsidR="0C42BB0F">
        <w:rPr>
          <w:rFonts w:ascii="Arial Nova" w:hAnsi="Arial Nova" w:eastAsia="Arial Nova" w:cs="Arial Nova"/>
          <w:noProof w:val="0"/>
          <w:sz w:val="22"/>
          <w:szCs w:val="22"/>
          <w:lang w:val="en-GB"/>
        </w:rPr>
        <w:t xml:space="preserve"> Geneva: World Health Organization. Available at: </w:t>
      </w:r>
      <w:hyperlink r:id="R912971c566e249de">
        <w:r w:rsidRPr="2E8BE990" w:rsidR="0C42BB0F">
          <w:rPr>
            <w:rStyle w:val="Hyperlink"/>
            <w:rFonts w:ascii="Arial Nova" w:hAnsi="Arial Nova" w:eastAsia="Arial Nova" w:cs="Arial Nova"/>
            <w:noProof w:val="0"/>
            <w:sz w:val="22"/>
            <w:szCs w:val="22"/>
            <w:lang w:val="en-GB"/>
          </w:rPr>
          <w:t>https://www.who.int/initiatives/sdg3-global-action-plan</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BADDDE2" w14:textId="3724FEE7">
      <w:pPr>
        <w:spacing w:before="240" w:beforeAutospacing="off" w:after="240" w:afterAutospacing="off"/>
      </w:pPr>
      <w:r w:rsidRPr="2E8BE990" w:rsidR="0C42BB0F">
        <w:rPr>
          <w:rFonts w:ascii="Arial Nova" w:hAnsi="Arial Nova" w:eastAsia="Arial Nova" w:cs="Arial Nova"/>
          <w:noProof w:val="0"/>
          <w:sz w:val="22"/>
          <w:szCs w:val="22"/>
          <w:lang w:val="en-GB"/>
        </w:rPr>
        <w:t xml:space="preserve">World Health Organization (2022) </w:t>
      </w:r>
      <w:r w:rsidRPr="2E8BE990" w:rsidR="0C42BB0F">
        <w:rPr>
          <w:rFonts w:ascii="Arial Nova" w:hAnsi="Arial Nova" w:eastAsia="Arial Nova" w:cs="Arial Nova"/>
          <w:i w:val="1"/>
          <w:iCs w:val="1"/>
          <w:noProof w:val="0"/>
          <w:sz w:val="22"/>
          <w:szCs w:val="22"/>
          <w:lang w:val="en-GB"/>
        </w:rPr>
        <w:t>Health and Climate Change Country Profiles.</w:t>
      </w:r>
      <w:r w:rsidRPr="2E8BE990" w:rsidR="0C42BB0F">
        <w:rPr>
          <w:rFonts w:ascii="Arial Nova" w:hAnsi="Arial Nova" w:eastAsia="Arial Nova" w:cs="Arial Nova"/>
          <w:noProof w:val="0"/>
          <w:sz w:val="22"/>
          <w:szCs w:val="22"/>
          <w:lang w:val="en-GB"/>
        </w:rPr>
        <w:t xml:space="preserve"> Geneva: World Health Organization. Available at: </w:t>
      </w:r>
      <w:hyperlink r:id="R1611d1b75c7345e1">
        <w:r w:rsidRPr="2E8BE990" w:rsidR="0C42BB0F">
          <w:rPr>
            <w:rStyle w:val="Hyperlink"/>
            <w:rFonts w:ascii="Arial Nova" w:hAnsi="Arial Nova" w:eastAsia="Arial Nova" w:cs="Arial Nova"/>
            <w:noProof w:val="0"/>
            <w:sz w:val="22"/>
            <w:szCs w:val="22"/>
            <w:lang w:val="en-GB"/>
          </w:rPr>
          <w:t>https://www.who.int/activities/health-and-climate-change-country-profiles</w:t>
        </w:r>
      </w:hyperlink>
      <w:r w:rsidRPr="2E8BE990" w:rsidR="0C42BB0F">
        <w:rPr>
          <w:rFonts w:ascii="Arial Nova" w:hAnsi="Arial Nova" w:eastAsia="Arial Nova" w:cs="Arial Nova"/>
          <w:noProof w:val="0"/>
          <w:sz w:val="22"/>
          <w:szCs w:val="22"/>
          <w:lang w:val="en-GB"/>
        </w:rPr>
        <w:t xml:space="preserve"> (Accessed: 7 November 2025).</w:t>
      </w:r>
    </w:p>
    <w:p w:rsidR="69A36633" w:rsidP="2E8BE990" w:rsidRDefault="69A36633" w14:paraId="591B9394" w14:textId="11560743">
      <w:pPr>
        <w:pStyle w:val="Normal"/>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C42BB0F">
        <w:rPr>
          <w:rFonts w:ascii="Arial Nova" w:hAnsi="Arial Nova" w:eastAsia="Arial Nova" w:cs="Arial Nova"/>
          <w:b w:val="0"/>
          <w:bCs w:val="0"/>
          <w:i w:val="0"/>
          <w:iCs w:val="0"/>
          <w:noProof w:val="0"/>
          <w:sz w:val="22"/>
          <w:szCs w:val="22"/>
          <w:lang w:val="en-GB"/>
        </w:rPr>
        <w:t xml:space="preserve"> </w:t>
      </w:r>
    </w:p>
    <w:p w:rsidR="69A36633" w:rsidP="2E8BE990" w:rsidRDefault="69A36633" w14:paraId="49FDF9F2" w14:textId="5814B042">
      <w:pPr>
        <w:pStyle w:val="Normal"/>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E8BE990" w:rsidR="0362663B">
        <w:rPr>
          <w:rFonts w:ascii="Arial Nova" w:hAnsi="Arial Nova" w:eastAsia="Arial Nova" w:cs="Arial Nova"/>
          <w:b w:val="0"/>
          <w:bCs w:val="0"/>
          <w:i w:val="0"/>
          <w:iCs w:val="0"/>
          <w:noProof w:val="0"/>
          <w:sz w:val="22"/>
          <w:szCs w:val="22"/>
          <w:lang w:val="en-GB"/>
        </w:rPr>
        <w:t xml:space="preserve"> </w:t>
      </w:r>
    </w:p>
    <w:p w:rsidR="69A36633" w:rsidP="2E8BE990" w:rsidRDefault="69A36633" w14:paraId="5B212FBD" w14:textId="0B50645F">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2E8BE990" w:rsidR="7C9EB044">
        <w:rPr>
          <w:rFonts w:ascii="Arial Nova" w:hAnsi="Arial Nova" w:eastAsia="Arial Nova" w:cs="Arial Nova"/>
          <w:b w:val="0"/>
          <w:bCs w:val="0"/>
          <w:noProof w:val="0"/>
          <w:sz w:val="22"/>
          <w:szCs w:val="22"/>
          <w:lang w:val="en-GB"/>
        </w:rPr>
        <w:t xml:space="preserve"> </w:t>
      </w:r>
    </w:p>
    <w:p w:rsidR="69A36633" w:rsidP="2E8BE990" w:rsidRDefault="69A36633" w14:paraId="6D6DA8EB" w14:textId="60DC062B">
      <w:pPr>
        <w:pStyle w:val="Normal"/>
        <w:spacing w:before="240" w:beforeAutospacing="off" w:after="240" w:afterAutospacing="off" w:line="360" w:lineRule="auto"/>
        <w:rPr>
          <w:rFonts w:ascii="Arial Nova" w:hAnsi="Arial Nova" w:eastAsia="Arial Nova" w:cs="Arial Nova"/>
          <w:b w:val="0"/>
          <w:bCs w:val="0"/>
          <w:i w:val="0"/>
          <w:iCs w:val="0"/>
          <w:sz w:val="22"/>
          <w:szCs w:val="22"/>
        </w:rPr>
      </w:pPr>
      <w:r w:rsidRPr="2E8BE990" w:rsidR="55B0BB64">
        <w:rPr>
          <w:rFonts w:ascii="Arial Nova" w:hAnsi="Arial Nova" w:eastAsia="Arial Nova" w:cs="Arial Nova"/>
          <w:b w:val="0"/>
          <w:bCs w:val="0"/>
          <w:i w:val="0"/>
          <w:iCs w:val="0"/>
          <w:sz w:val="22"/>
          <w:szCs w:val="22"/>
        </w:rPr>
        <w:t xml:space="preserve"> </w:t>
      </w:r>
      <w:r w:rsidRPr="2E8BE990" w:rsidR="69D0D6C3">
        <w:rPr>
          <w:rFonts w:ascii="Arial Nova" w:hAnsi="Arial Nova" w:eastAsia="Arial Nova" w:cs="Arial Nova"/>
          <w:b w:val="0"/>
          <w:bCs w:val="0"/>
          <w:i w:val="0"/>
          <w:i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wnzblLx/mgkkY" int2:id="pYqZVldn">
      <int2:state int2:type="spell" int2:value="Rejected"/>
    </int2:textHash>
    <int2:textHash int2:hashCode="mYzvPU7zGiR1l2" int2:id="SlX53BQ1">
      <int2:state int2:type="spell" int2:value="Rejected"/>
    </int2:textHash>
    <int2:textHash int2:hashCode="3DNM05BzWn4A/G" int2:id="TgcZ2RBJ">
      <int2:state int2:type="spell" int2:value="Rejected"/>
    </int2:textHash>
    <int2:textHash int2:hashCode="9Q9bUBIWQoCXLa" int2:id="xZUMug8r">
      <int2:state int2:type="spell" int2:value="Rejected"/>
    </int2:textHash>
    <int2:textHash int2:hashCode="rS28yYyE9XiYzL" int2:id="Bx3nvcIl">
      <int2:state int2:type="spell" int2:value="Rejected"/>
    </int2:textHash>
    <int2:textHash int2:hashCode="2lXrjvB0esiJEc" int2:id="822Ocz2j">
      <int2:state int2:type="spell" int2:value="Rejected"/>
    </int2:textHash>
    <int2:bookmark int2:bookmarkName="_Int_m4vEQ7St" int2:invalidationBookmarkName="" int2:hashCode="Grs+oG4VobY7g9" int2:id="FlwZHS6i">
      <int2:state int2:type="style" int2:value="Rejected"/>
    </int2:bookmark>
    <int2:bookmark int2:bookmarkName="_Int_PPnWe7ng" int2:invalidationBookmarkName="" int2:hashCode="5CqeB4RWgLiq2V" int2:id="ipr39ivG">
      <int2:state int2:type="style" int2:value="Rejected"/>
    </int2:bookmark>
    <int2:bookmark int2:bookmarkName="_Int_UvWeRGOa" int2:invalidationBookmarkName="" int2:hashCode="Q3vLFREnFdxzyz" int2:id="S4aB3l9Q">
      <int2:state int2:type="style" int2:value="Rejected"/>
    </int2:bookmark>
    <int2:bookmark int2:bookmarkName="_Int_5i5lTu9N" int2:invalidationBookmarkName="" int2:hashCode="Uzp5OH9w+wqWrK" int2:id="xvlyB6K0">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27101F"/>
    <w:rsid w:val="018BE4E8"/>
    <w:rsid w:val="03010AF3"/>
    <w:rsid w:val="031B7D6B"/>
    <w:rsid w:val="0362663B"/>
    <w:rsid w:val="047F791D"/>
    <w:rsid w:val="050AC7E7"/>
    <w:rsid w:val="06AA8449"/>
    <w:rsid w:val="09E751F0"/>
    <w:rsid w:val="0A4BF93A"/>
    <w:rsid w:val="0A90E3C2"/>
    <w:rsid w:val="0B2F7B93"/>
    <w:rsid w:val="0BCC7534"/>
    <w:rsid w:val="0C42BB0F"/>
    <w:rsid w:val="0D47BB06"/>
    <w:rsid w:val="0DF21325"/>
    <w:rsid w:val="0E20ACDD"/>
    <w:rsid w:val="0E590D00"/>
    <w:rsid w:val="0FDB93F7"/>
    <w:rsid w:val="107AA1D0"/>
    <w:rsid w:val="11DDB3E3"/>
    <w:rsid w:val="13216DF6"/>
    <w:rsid w:val="1327101F"/>
    <w:rsid w:val="13432885"/>
    <w:rsid w:val="14A5D41E"/>
    <w:rsid w:val="14AF40BB"/>
    <w:rsid w:val="1564085E"/>
    <w:rsid w:val="15908423"/>
    <w:rsid w:val="15E2FAD9"/>
    <w:rsid w:val="19C03163"/>
    <w:rsid w:val="1A91366B"/>
    <w:rsid w:val="1AB70598"/>
    <w:rsid w:val="1BCFDBE8"/>
    <w:rsid w:val="1C0DE71E"/>
    <w:rsid w:val="1C6FA9C6"/>
    <w:rsid w:val="1EC9EA57"/>
    <w:rsid w:val="2058B33F"/>
    <w:rsid w:val="21C42DC0"/>
    <w:rsid w:val="22B3C474"/>
    <w:rsid w:val="231C941A"/>
    <w:rsid w:val="240BDCBB"/>
    <w:rsid w:val="242BDCD4"/>
    <w:rsid w:val="2442DA32"/>
    <w:rsid w:val="26C49041"/>
    <w:rsid w:val="26DD2148"/>
    <w:rsid w:val="26EAFEC4"/>
    <w:rsid w:val="26F23B3F"/>
    <w:rsid w:val="27625694"/>
    <w:rsid w:val="29A919F2"/>
    <w:rsid w:val="2A3262D6"/>
    <w:rsid w:val="2A3524D9"/>
    <w:rsid w:val="2B75F94C"/>
    <w:rsid w:val="2BAC9819"/>
    <w:rsid w:val="2BD10ABF"/>
    <w:rsid w:val="2C5C0DDE"/>
    <w:rsid w:val="2CBFD7C4"/>
    <w:rsid w:val="2D96C86C"/>
    <w:rsid w:val="2DF787AA"/>
    <w:rsid w:val="2E8BE990"/>
    <w:rsid w:val="2EACE344"/>
    <w:rsid w:val="2ED83C0B"/>
    <w:rsid w:val="3050CC18"/>
    <w:rsid w:val="315FFCED"/>
    <w:rsid w:val="322D68CC"/>
    <w:rsid w:val="326F20B7"/>
    <w:rsid w:val="32EE0885"/>
    <w:rsid w:val="348B8151"/>
    <w:rsid w:val="34A88632"/>
    <w:rsid w:val="35207512"/>
    <w:rsid w:val="35386FF1"/>
    <w:rsid w:val="358B0F04"/>
    <w:rsid w:val="36198136"/>
    <w:rsid w:val="363123B9"/>
    <w:rsid w:val="36EF6A55"/>
    <w:rsid w:val="373D9F1C"/>
    <w:rsid w:val="379BFC35"/>
    <w:rsid w:val="37C9E94F"/>
    <w:rsid w:val="3AFE4546"/>
    <w:rsid w:val="3B46210C"/>
    <w:rsid w:val="3BBE6621"/>
    <w:rsid w:val="3C462A43"/>
    <w:rsid w:val="3CA57501"/>
    <w:rsid w:val="3DBB6D5F"/>
    <w:rsid w:val="3E3D0B9E"/>
    <w:rsid w:val="3E8D98FD"/>
    <w:rsid w:val="3E9A231C"/>
    <w:rsid w:val="41169D36"/>
    <w:rsid w:val="4160D582"/>
    <w:rsid w:val="41B08D7B"/>
    <w:rsid w:val="43833C5D"/>
    <w:rsid w:val="438CB87E"/>
    <w:rsid w:val="450C80D0"/>
    <w:rsid w:val="4733D86E"/>
    <w:rsid w:val="49A54654"/>
    <w:rsid w:val="4A949806"/>
    <w:rsid w:val="4B3D41C4"/>
    <w:rsid w:val="4C54F67D"/>
    <w:rsid w:val="4D651774"/>
    <w:rsid w:val="4D7FD756"/>
    <w:rsid w:val="4ED0D02D"/>
    <w:rsid w:val="4F6AC896"/>
    <w:rsid w:val="5113BD86"/>
    <w:rsid w:val="514777CA"/>
    <w:rsid w:val="519D4548"/>
    <w:rsid w:val="528061DD"/>
    <w:rsid w:val="52DDA75E"/>
    <w:rsid w:val="53FCFEA2"/>
    <w:rsid w:val="54A4A41D"/>
    <w:rsid w:val="55264426"/>
    <w:rsid w:val="55B0BB64"/>
    <w:rsid w:val="573D4206"/>
    <w:rsid w:val="574E5844"/>
    <w:rsid w:val="58831252"/>
    <w:rsid w:val="59DEB876"/>
    <w:rsid w:val="5A589B92"/>
    <w:rsid w:val="5B07D81C"/>
    <w:rsid w:val="5B5A3124"/>
    <w:rsid w:val="5C495B74"/>
    <w:rsid w:val="5CD952F2"/>
    <w:rsid w:val="5D1BBB96"/>
    <w:rsid w:val="5E9C0753"/>
    <w:rsid w:val="5EAFCBB1"/>
    <w:rsid w:val="5F1BB189"/>
    <w:rsid w:val="5F695477"/>
    <w:rsid w:val="5FD6F60E"/>
    <w:rsid w:val="604C0BFA"/>
    <w:rsid w:val="60F2D105"/>
    <w:rsid w:val="620F09F6"/>
    <w:rsid w:val="62E3A41A"/>
    <w:rsid w:val="643C2797"/>
    <w:rsid w:val="662C13A3"/>
    <w:rsid w:val="672D6401"/>
    <w:rsid w:val="6732780A"/>
    <w:rsid w:val="674E314C"/>
    <w:rsid w:val="6957557C"/>
    <w:rsid w:val="695CD816"/>
    <w:rsid w:val="69A36633"/>
    <w:rsid w:val="69D0D6C3"/>
    <w:rsid w:val="69EB5479"/>
    <w:rsid w:val="6A1D9263"/>
    <w:rsid w:val="6A29E079"/>
    <w:rsid w:val="6A319292"/>
    <w:rsid w:val="6B31DDA5"/>
    <w:rsid w:val="6B796114"/>
    <w:rsid w:val="6BFC5DAD"/>
    <w:rsid w:val="7045967E"/>
    <w:rsid w:val="70781033"/>
    <w:rsid w:val="7179A1A9"/>
    <w:rsid w:val="718E8492"/>
    <w:rsid w:val="72005CD5"/>
    <w:rsid w:val="72A65374"/>
    <w:rsid w:val="749EDC38"/>
    <w:rsid w:val="74E682B7"/>
    <w:rsid w:val="761A3A19"/>
    <w:rsid w:val="772D9D7C"/>
    <w:rsid w:val="78BFDBE3"/>
    <w:rsid w:val="78DF019A"/>
    <w:rsid w:val="7C9EB044"/>
    <w:rsid w:val="7CD8F8AE"/>
    <w:rsid w:val="7CEE50C6"/>
    <w:rsid w:val="7D265031"/>
    <w:rsid w:val="7E7CA2FC"/>
    <w:rsid w:val="7F4A9E92"/>
    <w:rsid w:val="7FDE1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7101F"/>
  <w15:chartTrackingRefBased/>
  <w15:docId w15:val="{19553CA4-FBE8-4D7B-BDCA-6BF0B576D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A4A41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70450a539f4421f" /><Relationship Type="http://schemas.openxmlformats.org/officeDocument/2006/relationships/hyperlink" Target="https://www.audit.wales/publications/well-being-future-generations-progress-review-2023" TargetMode="External" Id="R2c17f373d0a44533" /><Relationship Type="http://schemas.openxmlformats.org/officeDocument/2006/relationships/hyperlink" Target="https://jech.bmj.com/content/74/11/964" TargetMode="External" Id="R9ab07073a1db4aa6" /><Relationship Type="http://schemas.openxmlformats.org/officeDocument/2006/relationships/hyperlink" Target="https://www.bma.org.uk/advice-and-support/public-health/public-health-funding" TargetMode="External" Id="R8d0a740f26d9435d" /><Relationship Type="http://schemas.openxmlformats.org/officeDocument/2006/relationships/hyperlink" Target="https://www.theccc.org.uk/publication/2023-progress-report-to-parliament/" TargetMode="External" Id="Rbbf96035ace94498" /><Relationship Type="http://schemas.openxmlformats.org/officeDocument/2006/relationships/hyperlink" Target="https://www.gov.uk/government/publications/net-zero-strategy" TargetMode="External" Id="Rd5414e0846144273" /><Relationship Type="http://schemas.openxmlformats.org/officeDocument/2006/relationships/hyperlink" Target="https://www.gov.uk/government/publications/birmingham-clean-air-zone-annual-report-2023" TargetMode="External" Id="R6c4f6755e17643f2" /><Relationship Type="http://schemas.openxmlformats.org/officeDocument/2006/relationships/hyperlink" Target="https://onlinelibrary.wiley.com/doi/full/10.1111/1758-5899.12604" TargetMode="External" Id="Rc1bfa9e6f5ce4a09" /><Relationship Type="http://schemas.openxmlformats.org/officeDocument/2006/relationships/hyperlink" Target="https://www.ipcc.ch/report/ar6-wg2/" TargetMode="External" Id="Rbac2cf47e95f4775" /><Relationship Type="http://schemas.openxmlformats.org/officeDocument/2006/relationships/hyperlink" Target="https://doi.org/10.1016/j.puhe.2015.04.014" TargetMode="External" Id="R02224b39fa8244e3" /><Relationship Type="http://schemas.openxmlformats.org/officeDocument/2006/relationships/hyperlink" Target="https://www.local.gov.uk/topics/environment-and-waste/climate-change" TargetMode="External" Id="R95fd93d9bc8c41ba" /><Relationship Type="http://schemas.openxmlformats.org/officeDocument/2006/relationships/hyperlink" Target="https://www.health.org.uk/publications/reports/the-marmot-review-10-years-on" TargetMode="External" Id="R386012e0210748bf" /><Relationship Type="http://schemas.openxmlformats.org/officeDocument/2006/relationships/hyperlink" Target="https://www.nao.org.uk/reports/climate-change-and-sustainability-overview-2023/" TargetMode="External" Id="R1f74f59465d340df" /><Relationship Type="http://schemas.openxmlformats.org/officeDocument/2006/relationships/hyperlink" Target="https://www.longtermplan.nhs.uk/" TargetMode="External" Id="R3607440ddbda4998" /><Relationship Type="http://schemas.openxmlformats.org/officeDocument/2006/relationships/hyperlink" Target="https://www.england.nhs.uk/greenernhs/" TargetMode="External" Id="Rafcbd53e8fd64a03" /><Relationship Type="http://schemas.openxmlformats.org/officeDocument/2006/relationships/hyperlink" Target="https://doi.org/10.1016/j.gloenvcha.2009.08.004" TargetMode="External" Id="R00b35c1b98974d21" /><Relationship Type="http://schemas.openxmlformats.org/officeDocument/2006/relationships/hyperlink" Target="https://phw.nhs.wales/topics/public-health-wales-reports-and-publications/" TargetMode="External" Id="R14efd429df3d46c7" /><Relationship Type="http://schemas.openxmlformats.org/officeDocument/2006/relationships/hyperlink" Target="https://link.springer.com/article/10.1007/s11356-023-27342-1?utm_source=chatgpt.com" TargetMode="External" Id="Rcce3d0e580f9402c" /><Relationship Type="http://schemas.openxmlformats.org/officeDocument/2006/relationships/hyperlink" Target="https://bmcpublichealth.biomedcentral.com/articles/10.1186/s12889-022-14465-2?utm_source=chatgpt.com" TargetMode="External" Id="R3fb9ce81daaf48f0" /><Relationship Type="http://schemas.openxmlformats.org/officeDocument/2006/relationships/hyperlink" Target="https://doi.org/10.1093/heapol/czw036" TargetMode="External" Id="R14ae7819bb4a497d" /><Relationship Type="http://schemas.openxmlformats.org/officeDocument/2006/relationships/hyperlink" Target="https://www.kingsfund.org.uk/insight-and-analysis/data-and-charts/spending-public-health?utm_source=chatgpt.com" TargetMode="External" Id="R7045076eb9d34eed" /><Relationship Type="http://schemas.openxmlformats.org/officeDocument/2006/relationships/hyperlink" Target="https://sdgs.un.org/2030agenda" TargetMode="External" Id="Rce6f594493564eb4" /><Relationship Type="http://schemas.openxmlformats.org/officeDocument/2006/relationships/hyperlink" Target="https://unstats.un.org/sdgs/report/2023/" TargetMode="External" Id="R7c51eb086f5748e8" /><Relationship Type="http://schemas.openxmlformats.org/officeDocument/2006/relationships/hyperlink" Target="https://www.unep.org/resources/emissions-gap-report-2023" TargetMode="External" Id="Rdc113dad27cb48d2" /><Relationship Type="http://schemas.openxmlformats.org/officeDocument/2006/relationships/hyperlink" Target="https://unfccc.int/process-and-meetings/the-paris-agreement/the-paris-agreement" TargetMode="External" Id="R07611f82c6c5451e" /><Relationship Type="http://schemas.openxmlformats.org/officeDocument/2006/relationships/hyperlink" Target="https://www.futuregenerations.wales/about-us/future-generations-act/" TargetMode="External" Id="R8bf6e6870e6e4ccb" /><Relationship Type="http://schemas.openxmlformats.org/officeDocument/2006/relationships/hyperlink" Target="https://www.gov.wales/healthy-weight-healthy-wales-strategy" TargetMode="External" Id="Rd2f5809de30f4fbe" /><Relationship Type="http://schemas.openxmlformats.org/officeDocument/2006/relationships/hyperlink" Target="https://www.gov.wales/together-mental-health-delivery-plan-2022-2025" TargetMode="External" Id="Rf8731aa8c1104c46" /><Relationship Type="http://schemas.openxmlformats.org/officeDocument/2006/relationships/hyperlink" Target="https://www.who.int/about/what-we-do/thirteenth-general-programme-of-work-2019---2023" TargetMode="External" Id="R8b18afe5f4de4027" /><Relationship Type="http://schemas.openxmlformats.org/officeDocument/2006/relationships/hyperlink" Target="https://www.who.int/initiatives/sdg3-global-action-plan" TargetMode="External" Id="R912971c566e249de" /><Relationship Type="http://schemas.openxmlformats.org/officeDocument/2006/relationships/hyperlink" Target="https://www.who.int/activities/health-and-climate-change-country-profiles" TargetMode="External" Id="R1611d1b75c7345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4</revision>
  <dcterms:created xsi:type="dcterms:W3CDTF">2025-11-07T18:33:24.7077935Z</dcterms:created>
  <dcterms:modified xsi:type="dcterms:W3CDTF">2025-11-10T17:56:28.4351106Z</dcterms:modified>
</coreProperties>
</file>