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74B847" w14:textId="77777777" w:rsidR="007539C2" w:rsidRDefault="00C62737" w:rsidP="007539C2">
      <w:pPr>
        <w:tabs>
          <w:tab w:val="left" w:pos="1421"/>
        </w:tabs>
        <w:rPr>
          <w:rFonts w:asciiTheme="majorBidi" w:eastAsiaTheme="majorEastAsia" w:hAnsiTheme="majorBidi" w:cstheme="majorBidi"/>
          <w:b/>
          <w:bCs/>
          <w:color w:val="000000" w:themeColor="text1"/>
          <w:kern w:val="0"/>
          <w:sz w:val="32"/>
          <w:szCs w:val="32"/>
          <w14:ligatures w14:val="none"/>
        </w:rPr>
      </w:pPr>
      <w:r>
        <w:rPr>
          <w:noProof/>
        </w:rPr>
        <w:drawing>
          <wp:inline distT="0" distB="0" distL="0" distR="0" wp14:anchorId="23366473" wp14:editId="12D9636B">
            <wp:extent cx="2152650" cy="1147777"/>
            <wp:effectExtent l="0" t="0" r="0" b="0"/>
            <wp:docPr id="4"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88034" cy="1166643"/>
                    </a:xfrm>
                    <a:prstGeom prst="rect">
                      <a:avLst/>
                    </a:prstGeom>
                    <a:noFill/>
                    <a:ln>
                      <a:noFill/>
                    </a:ln>
                  </pic:spPr>
                </pic:pic>
              </a:graphicData>
            </a:graphic>
          </wp:inline>
        </w:drawing>
      </w:r>
    </w:p>
    <w:p w14:paraId="0CC58550" w14:textId="4CEBBA41" w:rsidR="003D0F6C" w:rsidRPr="007539C2" w:rsidRDefault="003D0F6C" w:rsidP="00C62737">
      <w:pPr>
        <w:tabs>
          <w:tab w:val="left" w:pos="1421"/>
        </w:tabs>
        <w:spacing w:after="0" w:line="360" w:lineRule="auto"/>
        <w:jc w:val="center"/>
        <w:rPr>
          <w:rFonts w:asciiTheme="majorBidi" w:eastAsiaTheme="majorEastAsia" w:hAnsiTheme="majorBidi" w:cstheme="majorBidi"/>
          <w:b/>
          <w:bCs/>
          <w:color w:val="000000" w:themeColor="text1"/>
          <w:kern w:val="0"/>
          <w:sz w:val="28"/>
          <w:szCs w:val="28"/>
          <w14:ligatures w14:val="none"/>
        </w:rPr>
      </w:pPr>
      <w:r w:rsidRPr="007539C2">
        <w:rPr>
          <w:rFonts w:asciiTheme="majorBidi" w:eastAsiaTheme="majorEastAsia" w:hAnsiTheme="majorBidi" w:cstheme="majorBidi"/>
          <w:b/>
          <w:bCs/>
          <w:color w:val="000000" w:themeColor="text1"/>
          <w:kern w:val="0"/>
          <w:sz w:val="36"/>
          <w:szCs w:val="36"/>
          <w14:ligatures w14:val="none"/>
        </w:rPr>
        <w:t>Program</w:t>
      </w:r>
      <w:r w:rsidR="007539C2" w:rsidRPr="007539C2">
        <w:rPr>
          <w:rFonts w:asciiTheme="majorBidi" w:eastAsiaTheme="majorEastAsia" w:hAnsiTheme="majorBidi" w:cstheme="majorBidi"/>
          <w:b/>
          <w:bCs/>
          <w:color w:val="000000" w:themeColor="text1"/>
          <w:kern w:val="0"/>
          <w:sz w:val="36"/>
          <w:szCs w:val="36"/>
          <w14:ligatures w14:val="none"/>
        </w:rPr>
        <w:t>me Name</w:t>
      </w:r>
      <w:r w:rsidRPr="007539C2">
        <w:rPr>
          <w:rFonts w:asciiTheme="majorBidi" w:eastAsiaTheme="majorEastAsia" w:hAnsiTheme="majorBidi" w:cstheme="majorBidi"/>
          <w:b/>
          <w:bCs/>
          <w:color w:val="000000" w:themeColor="text1"/>
          <w:kern w:val="0"/>
          <w:sz w:val="36"/>
          <w:szCs w:val="36"/>
          <w14:ligatures w14:val="none"/>
        </w:rPr>
        <w:t>: Master of Business Administration</w:t>
      </w:r>
    </w:p>
    <w:p w14:paraId="030F7891" w14:textId="3E058D7D" w:rsidR="007539C2" w:rsidRPr="007539C2" w:rsidRDefault="007539C2" w:rsidP="007539C2">
      <w:pPr>
        <w:tabs>
          <w:tab w:val="left" w:pos="1421"/>
        </w:tabs>
        <w:spacing w:after="0" w:line="360" w:lineRule="auto"/>
        <w:jc w:val="center"/>
        <w:rPr>
          <w:rFonts w:asciiTheme="majorBidi" w:eastAsiaTheme="majorEastAsia" w:hAnsiTheme="majorBidi" w:cstheme="majorBidi"/>
          <w:b/>
          <w:bCs/>
          <w:color w:val="000000" w:themeColor="text1"/>
          <w:kern w:val="0"/>
          <w:sz w:val="36"/>
          <w:szCs w:val="36"/>
          <w14:ligatures w14:val="none"/>
        </w:rPr>
      </w:pPr>
      <w:r w:rsidRPr="007539C2">
        <w:rPr>
          <w:rFonts w:asciiTheme="majorBidi" w:eastAsiaTheme="majorEastAsia" w:hAnsiTheme="majorBidi" w:cstheme="majorBidi"/>
          <w:b/>
          <w:bCs/>
          <w:color w:val="000000" w:themeColor="text1"/>
          <w:kern w:val="0"/>
          <w:sz w:val="36"/>
          <w:szCs w:val="36"/>
          <w14:ligatures w14:val="none"/>
        </w:rPr>
        <w:t>Module: Human Capital Management</w:t>
      </w:r>
    </w:p>
    <w:p w14:paraId="4EF736B6" w14:textId="78D67EB6" w:rsidR="003D0F6C" w:rsidRDefault="003D0F6C" w:rsidP="000247C7">
      <w:pPr>
        <w:pBdr>
          <w:bottom w:val="single" w:sz="4" w:space="1" w:color="auto"/>
        </w:pBdr>
        <w:tabs>
          <w:tab w:val="left" w:pos="1421"/>
        </w:tabs>
        <w:spacing w:after="0" w:line="360" w:lineRule="auto"/>
        <w:jc w:val="center"/>
        <w:rPr>
          <w:rFonts w:asciiTheme="majorBidi" w:eastAsiaTheme="majorEastAsia" w:hAnsiTheme="majorBidi" w:cstheme="majorBidi"/>
          <w:b/>
          <w:bCs/>
          <w:color w:val="000000" w:themeColor="text1"/>
          <w:kern w:val="0"/>
          <w:sz w:val="36"/>
          <w:szCs w:val="36"/>
          <w14:ligatures w14:val="none"/>
        </w:rPr>
      </w:pPr>
      <w:r w:rsidRPr="007539C2">
        <w:rPr>
          <w:rFonts w:asciiTheme="majorBidi" w:eastAsiaTheme="majorEastAsia" w:hAnsiTheme="majorBidi" w:cstheme="majorBidi"/>
          <w:b/>
          <w:bCs/>
          <w:color w:val="000000" w:themeColor="text1"/>
          <w:kern w:val="0"/>
          <w:sz w:val="36"/>
          <w:szCs w:val="36"/>
          <w14:ligatures w14:val="none"/>
        </w:rPr>
        <w:t>Module Code: LCMB7023</w:t>
      </w:r>
    </w:p>
    <w:p w14:paraId="57C807AC" w14:textId="3A34383D" w:rsidR="007F2694" w:rsidRDefault="007F2694" w:rsidP="000247C7">
      <w:pPr>
        <w:pBdr>
          <w:bottom w:val="single" w:sz="4" w:space="1" w:color="auto"/>
        </w:pBdr>
        <w:tabs>
          <w:tab w:val="left" w:pos="1421"/>
        </w:tabs>
        <w:spacing w:after="0" w:line="360" w:lineRule="auto"/>
        <w:jc w:val="center"/>
        <w:rPr>
          <w:rFonts w:asciiTheme="majorBidi" w:eastAsiaTheme="majorEastAsia" w:hAnsiTheme="majorBidi" w:cstheme="majorBidi"/>
          <w:b/>
          <w:bCs/>
          <w:color w:val="000000" w:themeColor="text1"/>
          <w:kern w:val="0"/>
          <w:sz w:val="36"/>
          <w:szCs w:val="36"/>
          <w14:ligatures w14:val="none"/>
        </w:rPr>
      </w:pPr>
    </w:p>
    <w:p w14:paraId="005E5554" w14:textId="09EA2105" w:rsidR="007F2694" w:rsidRPr="007F2694" w:rsidRDefault="007F2694" w:rsidP="00CF17E9">
      <w:pPr>
        <w:pBdr>
          <w:bottom w:val="single" w:sz="4" w:space="1" w:color="auto"/>
        </w:pBdr>
        <w:tabs>
          <w:tab w:val="left" w:pos="1421"/>
        </w:tabs>
        <w:spacing w:after="0" w:line="240" w:lineRule="auto"/>
        <w:jc w:val="center"/>
        <w:rPr>
          <w:rFonts w:asciiTheme="majorBidi" w:eastAsiaTheme="majorEastAsia" w:hAnsiTheme="majorBidi" w:cstheme="majorBidi"/>
          <w:b/>
          <w:bCs/>
          <w:i/>
          <w:iCs/>
          <w:color w:val="002060"/>
          <w:kern w:val="0"/>
          <w:sz w:val="36"/>
          <w:szCs w:val="36"/>
          <w14:ligatures w14:val="none"/>
        </w:rPr>
      </w:pPr>
      <w:r w:rsidRPr="00CF17E9">
        <w:rPr>
          <w:b/>
          <w:bCs/>
          <w:i/>
          <w:iCs/>
          <w:color w:val="002060"/>
          <w:sz w:val="28"/>
          <w:szCs w:val="28"/>
        </w:rPr>
        <w:t>Strategic Human Capital Management: Innovative Working Practices, Talent Development and the Strategic Use of Artificial Intelligence at NHSX</w:t>
      </w:r>
    </w:p>
    <w:p w14:paraId="2A9D6FD9" w14:textId="77777777" w:rsidR="000247C7" w:rsidRDefault="000247C7" w:rsidP="007539C2">
      <w:pPr>
        <w:tabs>
          <w:tab w:val="left" w:pos="1421"/>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6D5346CC" w14:textId="77777777" w:rsidR="000247C7" w:rsidRDefault="000247C7" w:rsidP="007539C2">
      <w:pPr>
        <w:tabs>
          <w:tab w:val="left" w:pos="1421"/>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0843D2DD" w14:textId="77777777" w:rsidR="00CF17E9" w:rsidRDefault="00CF17E9" w:rsidP="007539C2">
      <w:pPr>
        <w:tabs>
          <w:tab w:val="left" w:pos="1421"/>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29DBAE19" w14:textId="2542A1BF" w:rsidR="003D0F6C" w:rsidRPr="007539C2" w:rsidRDefault="007539C2" w:rsidP="007539C2">
      <w:pPr>
        <w:tabs>
          <w:tab w:val="left" w:pos="1421"/>
        </w:tabs>
        <w:spacing w:after="0" w:line="360" w:lineRule="auto"/>
        <w:jc w:val="center"/>
        <w:rPr>
          <w:rFonts w:asciiTheme="majorBidi" w:eastAsiaTheme="majorEastAsia" w:hAnsiTheme="majorBidi" w:cstheme="majorBidi"/>
          <w:b/>
          <w:bCs/>
          <w:color w:val="000000" w:themeColor="text1"/>
          <w:kern w:val="0"/>
          <w:sz w:val="28"/>
          <w:szCs w:val="28"/>
          <w14:ligatures w14:val="none"/>
        </w:rPr>
      </w:pPr>
      <w:r w:rsidRPr="007539C2">
        <w:rPr>
          <w:rFonts w:asciiTheme="majorBidi" w:eastAsiaTheme="majorEastAsia" w:hAnsiTheme="majorBidi" w:cstheme="majorBidi"/>
          <w:b/>
          <w:bCs/>
          <w:color w:val="000000" w:themeColor="text1"/>
          <w:kern w:val="0"/>
          <w:sz w:val="28"/>
          <w:szCs w:val="28"/>
          <w14:ligatures w14:val="none"/>
        </w:rPr>
        <w:t xml:space="preserve">Lecturer Name: </w:t>
      </w:r>
      <w:proofErr w:type="spellStart"/>
      <w:r w:rsidRPr="007539C2">
        <w:rPr>
          <w:rFonts w:asciiTheme="majorBidi" w:eastAsiaTheme="majorEastAsia" w:hAnsiTheme="majorBidi" w:cstheme="majorBidi"/>
          <w:b/>
          <w:bCs/>
          <w:color w:val="000000" w:themeColor="text1"/>
          <w:kern w:val="0"/>
          <w:sz w:val="28"/>
          <w:szCs w:val="28"/>
          <w14:ligatures w14:val="none"/>
        </w:rPr>
        <w:t>Eno</w:t>
      </w:r>
      <w:proofErr w:type="spellEnd"/>
      <w:r w:rsidRPr="007539C2">
        <w:rPr>
          <w:rFonts w:asciiTheme="majorBidi" w:eastAsiaTheme="majorEastAsia" w:hAnsiTheme="majorBidi" w:cstheme="majorBidi"/>
          <w:b/>
          <w:bCs/>
          <w:color w:val="000000" w:themeColor="text1"/>
          <w:kern w:val="0"/>
          <w:sz w:val="28"/>
          <w:szCs w:val="28"/>
          <w14:ligatures w14:val="none"/>
        </w:rPr>
        <w:t xml:space="preserve"> </w:t>
      </w:r>
      <w:proofErr w:type="spellStart"/>
      <w:r w:rsidRPr="007539C2">
        <w:rPr>
          <w:rFonts w:asciiTheme="majorBidi" w:eastAsiaTheme="majorEastAsia" w:hAnsiTheme="majorBidi" w:cstheme="majorBidi"/>
          <w:b/>
          <w:bCs/>
          <w:color w:val="000000" w:themeColor="text1"/>
          <w:kern w:val="0"/>
          <w:sz w:val="28"/>
          <w:szCs w:val="28"/>
          <w14:ligatures w14:val="none"/>
        </w:rPr>
        <w:t>Maycock</w:t>
      </w:r>
      <w:proofErr w:type="spellEnd"/>
    </w:p>
    <w:p w14:paraId="7908BA42" w14:textId="4051F214" w:rsidR="003D0F6C" w:rsidRPr="007539C2" w:rsidRDefault="003D0F6C"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r w:rsidRPr="007539C2">
        <w:rPr>
          <w:rFonts w:asciiTheme="majorBidi" w:eastAsiaTheme="majorEastAsia" w:hAnsiTheme="majorBidi" w:cstheme="majorBidi"/>
          <w:b/>
          <w:bCs/>
          <w:color w:val="000000" w:themeColor="text1"/>
          <w:kern w:val="0"/>
          <w:sz w:val="28"/>
          <w:szCs w:val="28"/>
          <w14:ligatures w14:val="none"/>
        </w:rPr>
        <w:t xml:space="preserve">Student Name: </w:t>
      </w:r>
      <w:proofErr w:type="spellStart"/>
      <w:r w:rsidRPr="007539C2">
        <w:rPr>
          <w:rFonts w:asciiTheme="majorBidi" w:eastAsiaTheme="majorEastAsia" w:hAnsiTheme="majorBidi" w:cstheme="majorBidi"/>
          <w:b/>
          <w:bCs/>
          <w:color w:val="000000" w:themeColor="text1"/>
          <w:kern w:val="0"/>
          <w:sz w:val="28"/>
          <w:szCs w:val="28"/>
          <w14:ligatures w14:val="none"/>
        </w:rPr>
        <w:t>Mankeerat</w:t>
      </w:r>
      <w:proofErr w:type="spellEnd"/>
      <w:r w:rsidRPr="007539C2">
        <w:rPr>
          <w:rFonts w:asciiTheme="majorBidi" w:eastAsiaTheme="majorEastAsia" w:hAnsiTheme="majorBidi" w:cstheme="majorBidi"/>
          <w:b/>
          <w:bCs/>
          <w:color w:val="000000" w:themeColor="text1"/>
          <w:kern w:val="0"/>
          <w:sz w:val="28"/>
          <w:szCs w:val="28"/>
          <w14:ligatures w14:val="none"/>
        </w:rPr>
        <w:t xml:space="preserve"> Singh</w:t>
      </w:r>
    </w:p>
    <w:p w14:paraId="44CAD485" w14:textId="20058928" w:rsidR="003D0F6C" w:rsidRPr="007539C2" w:rsidRDefault="003D0F6C"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r w:rsidRPr="007539C2">
        <w:rPr>
          <w:rFonts w:asciiTheme="majorBidi" w:eastAsiaTheme="majorEastAsia" w:hAnsiTheme="majorBidi" w:cstheme="majorBidi"/>
          <w:b/>
          <w:bCs/>
          <w:color w:val="000000" w:themeColor="text1"/>
          <w:kern w:val="0"/>
          <w:sz w:val="28"/>
          <w:szCs w:val="28"/>
          <w14:ligatures w14:val="none"/>
        </w:rPr>
        <w:t>Student ID:</w:t>
      </w:r>
      <w:r w:rsidR="009F2717" w:rsidRPr="007539C2">
        <w:rPr>
          <w:rFonts w:asciiTheme="majorBidi" w:eastAsiaTheme="majorEastAsia" w:hAnsiTheme="majorBidi" w:cstheme="majorBidi"/>
          <w:b/>
          <w:bCs/>
          <w:color w:val="000000" w:themeColor="text1"/>
          <w:kern w:val="0"/>
          <w:sz w:val="28"/>
          <w:szCs w:val="28"/>
          <w14:ligatures w14:val="none"/>
        </w:rPr>
        <w:t xml:space="preserve"> </w:t>
      </w:r>
      <w:r w:rsidR="007539C2" w:rsidRPr="007539C2">
        <w:rPr>
          <w:rFonts w:asciiTheme="majorBidi" w:eastAsiaTheme="majorEastAsia" w:hAnsiTheme="majorBidi" w:cstheme="majorBidi"/>
          <w:b/>
          <w:bCs/>
          <w:color w:val="000000" w:themeColor="text1"/>
          <w:kern w:val="0"/>
          <w:sz w:val="28"/>
          <w:szCs w:val="28"/>
          <w14:ligatures w14:val="none"/>
        </w:rPr>
        <w:t>2615721</w:t>
      </w:r>
    </w:p>
    <w:p w14:paraId="37C40CAE" w14:textId="77777777" w:rsidR="000247C7" w:rsidRDefault="000247C7" w:rsidP="007539C2">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6AAF7530" w14:textId="77777777" w:rsidR="000247C7" w:rsidRDefault="000247C7" w:rsidP="007539C2">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6F672C22" w14:textId="77777777" w:rsidR="000247C7" w:rsidRDefault="000247C7" w:rsidP="007539C2">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55526938" w14:textId="77777777" w:rsidR="000247C7" w:rsidRDefault="000247C7"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17A0A884" w14:textId="77777777" w:rsidR="000247C7" w:rsidRDefault="000247C7"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31CBF2A8" w14:textId="77777777" w:rsidR="000247C7" w:rsidRDefault="000247C7"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517C0A7A" w14:textId="77777777" w:rsidR="000247C7" w:rsidRDefault="000247C7"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5AD40C14" w14:textId="77777777" w:rsidR="000247C7" w:rsidRDefault="000247C7"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16E44713" w14:textId="77777777" w:rsidR="000247C7" w:rsidRDefault="000247C7"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p>
    <w:p w14:paraId="3EE6B974" w14:textId="49BF0CAC" w:rsidR="003D0F6C" w:rsidRPr="007539C2" w:rsidRDefault="003D0F6C" w:rsidP="000247C7">
      <w:pPr>
        <w:tabs>
          <w:tab w:val="center" w:pos="4873"/>
        </w:tabs>
        <w:spacing w:after="0" w:line="360" w:lineRule="auto"/>
        <w:jc w:val="center"/>
        <w:rPr>
          <w:rFonts w:asciiTheme="majorBidi" w:eastAsiaTheme="majorEastAsia" w:hAnsiTheme="majorBidi" w:cstheme="majorBidi"/>
          <w:b/>
          <w:bCs/>
          <w:color w:val="000000" w:themeColor="text1"/>
          <w:kern w:val="0"/>
          <w:sz w:val="28"/>
          <w:szCs w:val="28"/>
          <w14:ligatures w14:val="none"/>
        </w:rPr>
      </w:pPr>
      <w:r w:rsidRPr="007539C2">
        <w:rPr>
          <w:rFonts w:asciiTheme="majorBidi" w:eastAsiaTheme="majorEastAsia" w:hAnsiTheme="majorBidi" w:cstheme="majorBidi"/>
          <w:b/>
          <w:bCs/>
          <w:color w:val="000000" w:themeColor="text1"/>
          <w:kern w:val="0"/>
          <w:sz w:val="28"/>
          <w:szCs w:val="28"/>
          <w14:ligatures w14:val="none"/>
        </w:rPr>
        <w:t>Words:</w:t>
      </w:r>
      <w:r w:rsidR="00054CC6">
        <w:rPr>
          <w:rFonts w:asciiTheme="majorBidi" w:eastAsiaTheme="majorEastAsia" w:hAnsiTheme="majorBidi" w:cstheme="majorBidi"/>
          <w:b/>
          <w:bCs/>
          <w:color w:val="000000" w:themeColor="text1"/>
          <w:kern w:val="0"/>
          <w:sz w:val="28"/>
          <w:szCs w:val="28"/>
          <w14:ligatures w14:val="none"/>
        </w:rPr>
        <w:t xml:space="preserve"> 2,666</w:t>
      </w:r>
    </w:p>
    <w:p w14:paraId="41E80982" w14:textId="6D173A09" w:rsidR="007539C2" w:rsidRPr="007539C2" w:rsidRDefault="007F2694" w:rsidP="007539C2">
      <w:pPr>
        <w:tabs>
          <w:tab w:val="center" w:pos="4873"/>
        </w:tabs>
        <w:spacing w:after="0" w:line="360" w:lineRule="auto"/>
        <w:jc w:val="center"/>
        <w:rPr>
          <w:rFonts w:asciiTheme="majorBidi" w:eastAsiaTheme="majorEastAsia" w:hAnsiTheme="majorBidi" w:cstheme="majorBidi"/>
          <w:color w:val="000000" w:themeColor="text1"/>
          <w:kern w:val="0"/>
          <w:sz w:val="32"/>
          <w:szCs w:val="32"/>
          <w14:ligatures w14:val="none"/>
        </w:rPr>
      </w:pPr>
      <w:r>
        <w:rPr>
          <w:rFonts w:asciiTheme="majorBidi" w:eastAsiaTheme="majorEastAsia" w:hAnsiTheme="majorBidi" w:cstheme="majorBidi"/>
          <w:b/>
          <w:bCs/>
          <w:color w:val="000000" w:themeColor="text1"/>
          <w:kern w:val="0"/>
          <w:sz w:val="28"/>
          <w:szCs w:val="28"/>
          <w14:ligatures w14:val="none"/>
        </w:rPr>
        <w:t xml:space="preserve">October </w:t>
      </w:r>
      <w:proofErr w:type="gramStart"/>
      <w:r>
        <w:rPr>
          <w:rFonts w:asciiTheme="majorBidi" w:eastAsiaTheme="majorEastAsia" w:hAnsiTheme="majorBidi" w:cstheme="majorBidi"/>
          <w:b/>
          <w:bCs/>
          <w:color w:val="000000" w:themeColor="text1"/>
          <w:kern w:val="0"/>
          <w:sz w:val="28"/>
          <w:szCs w:val="28"/>
          <w14:ligatures w14:val="none"/>
        </w:rPr>
        <w:t>13</w:t>
      </w:r>
      <w:r w:rsidR="007539C2" w:rsidRPr="007539C2">
        <w:rPr>
          <w:rFonts w:asciiTheme="majorBidi" w:eastAsiaTheme="majorEastAsia" w:hAnsiTheme="majorBidi" w:cstheme="majorBidi"/>
          <w:b/>
          <w:bCs/>
          <w:color w:val="000000" w:themeColor="text1"/>
          <w:kern w:val="0"/>
          <w:sz w:val="28"/>
          <w:szCs w:val="28"/>
          <w:vertAlign w:val="superscript"/>
          <w14:ligatures w14:val="none"/>
        </w:rPr>
        <w:t>th</w:t>
      </w:r>
      <w:r w:rsidR="007539C2" w:rsidRPr="007539C2">
        <w:rPr>
          <w:rFonts w:asciiTheme="majorBidi" w:eastAsiaTheme="majorEastAsia" w:hAnsiTheme="majorBidi" w:cstheme="majorBidi"/>
          <w:b/>
          <w:bCs/>
          <w:color w:val="000000" w:themeColor="text1"/>
          <w:kern w:val="0"/>
          <w:sz w:val="28"/>
          <w:szCs w:val="28"/>
          <w14:ligatures w14:val="none"/>
        </w:rPr>
        <w:t xml:space="preserve"> ,</w:t>
      </w:r>
      <w:proofErr w:type="gramEnd"/>
      <w:r w:rsidR="007539C2" w:rsidRPr="007539C2">
        <w:rPr>
          <w:rFonts w:asciiTheme="majorBidi" w:eastAsiaTheme="majorEastAsia" w:hAnsiTheme="majorBidi" w:cstheme="majorBidi"/>
          <w:b/>
          <w:bCs/>
          <w:color w:val="000000" w:themeColor="text1"/>
          <w:kern w:val="0"/>
          <w:sz w:val="28"/>
          <w:szCs w:val="28"/>
          <w14:ligatures w14:val="none"/>
        </w:rPr>
        <w:t xml:space="preserve"> 2026</w:t>
      </w:r>
    </w:p>
    <w:sdt>
      <w:sdtPr>
        <w:rPr>
          <w:rFonts w:asciiTheme="majorBidi" w:eastAsiaTheme="minorHAnsi" w:hAnsiTheme="majorBidi" w:cstheme="minorBidi"/>
          <w:color w:val="000000" w:themeColor="text1"/>
          <w:kern w:val="2"/>
          <w:sz w:val="24"/>
          <w:szCs w:val="24"/>
          <w14:ligatures w14:val="standardContextual"/>
        </w:rPr>
        <w:id w:val="-208185383"/>
        <w:docPartObj>
          <w:docPartGallery w:val="Table of Contents"/>
          <w:docPartUnique/>
        </w:docPartObj>
      </w:sdtPr>
      <w:sdtEndPr>
        <w:rPr>
          <w:b/>
          <w:bCs/>
          <w:noProof/>
        </w:rPr>
      </w:sdtEndPr>
      <w:sdtContent>
        <w:p w14:paraId="6A2296B9" w14:textId="0887BE1F" w:rsidR="003D0F6C" w:rsidRPr="000E6478" w:rsidRDefault="003D0F6C" w:rsidP="003D0F6C">
          <w:pPr>
            <w:pStyle w:val="TOCHeading"/>
            <w:jc w:val="center"/>
            <w:rPr>
              <w:rFonts w:asciiTheme="majorBidi" w:hAnsiTheme="majorBidi"/>
              <w:color w:val="000000" w:themeColor="text1"/>
            </w:rPr>
          </w:pPr>
          <w:r w:rsidRPr="000E6478">
            <w:rPr>
              <w:rFonts w:asciiTheme="majorBidi" w:hAnsiTheme="majorBidi"/>
              <w:b/>
              <w:bCs/>
              <w:color w:val="000000" w:themeColor="text1"/>
            </w:rPr>
            <w:t>Contents List</w:t>
          </w:r>
        </w:p>
        <w:p w14:paraId="1B92EE07" w14:textId="2570050A" w:rsidR="00CF17E9" w:rsidRDefault="003D0F6C">
          <w:pPr>
            <w:pStyle w:val="TOC1"/>
            <w:tabs>
              <w:tab w:val="left" w:pos="440"/>
              <w:tab w:val="right" w:leader="dot" w:pos="9736"/>
            </w:tabs>
            <w:rPr>
              <w:rFonts w:eastAsiaTheme="minorEastAsia"/>
              <w:noProof/>
              <w:kern w:val="0"/>
              <w:sz w:val="22"/>
              <w:szCs w:val="22"/>
              <w14:ligatures w14:val="none"/>
            </w:rPr>
          </w:pPr>
          <w:r w:rsidRPr="000E6478">
            <w:rPr>
              <w:rFonts w:asciiTheme="majorBidi" w:hAnsiTheme="majorBidi" w:cstheme="majorBidi"/>
              <w:color w:val="000000" w:themeColor="text1"/>
            </w:rPr>
            <w:fldChar w:fldCharType="begin"/>
          </w:r>
          <w:r w:rsidRPr="000E6478">
            <w:rPr>
              <w:rFonts w:asciiTheme="majorBidi" w:hAnsiTheme="majorBidi" w:cstheme="majorBidi"/>
              <w:color w:val="000000" w:themeColor="text1"/>
            </w:rPr>
            <w:instrText xml:space="preserve"> TOC \o "1-3" \h \z \u </w:instrText>
          </w:r>
          <w:r w:rsidRPr="000E6478">
            <w:rPr>
              <w:rFonts w:asciiTheme="majorBidi" w:hAnsiTheme="majorBidi" w:cstheme="majorBidi"/>
              <w:color w:val="000000" w:themeColor="text1"/>
            </w:rPr>
            <w:fldChar w:fldCharType="separate"/>
          </w:r>
          <w:hyperlink w:anchor="_Toc242772075" w:history="1">
            <w:r w:rsidR="00CF17E9" w:rsidRPr="004B38B5">
              <w:rPr>
                <w:rStyle w:val="Hyperlink"/>
                <w:rFonts w:asciiTheme="majorBidi" w:hAnsiTheme="majorBidi"/>
                <w:b/>
                <w:bCs/>
                <w:noProof/>
              </w:rPr>
              <w:t>1</w:t>
            </w:r>
            <w:r w:rsidR="00CF17E9">
              <w:rPr>
                <w:rFonts w:eastAsiaTheme="minorEastAsia"/>
                <w:noProof/>
                <w:kern w:val="0"/>
                <w:sz w:val="22"/>
                <w:szCs w:val="22"/>
                <w14:ligatures w14:val="none"/>
              </w:rPr>
              <w:tab/>
            </w:r>
            <w:r w:rsidR="00CF17E9" w:rsidRPr="004B38B5">
              <w:rPr>
                <w:rStyle w:val="Hyperlink"/>
                <w:rFonts w:asciiTheme="majorBidi" w:hAnsiTheme="majorBidi"/>
                <w:b/>
                <w:bCs/>
                <w:noProof/>
              </w:rPr>
              <w:t>Introduction</w:t>
            </w:r>
            <w:r w:rsidR="00CF17E9">
              <w:rPr>
                <w:noProof/>
                <w:webHidden/>
              </w:rPr>
              <w:tab/>
            </w:r>
            <w:r w:rsidR="00CF17E9">
              <w:rPr>
                <w:noProof/>
                <w:webHidden/>
              </w:rPr>
              <w:fldChar w:fldCharType="begin"/>
            </w:r>
            <w:r w:rsidR="00CF17E9">
              <w:rPr>
                <w:noProof/>
                <w:webHidden/>
              </w:rPr>
              <w:instrText xml:space="preserve"> PAGEREF _Toc242772075 \h </w:instrText>
            </w:r>
            <w:r w:rsidR="00CF17E9">
              <w:rPr>
                <w:noProof/>
                <w:webHidden/>
              </w:rPr>
            </w:r>
            <w:r w:rsidR="00CF17E9">
              <w:rPr>
                <w:noProof/>
                <w:webHidden/>
              </w:rPr>
              <w:fldChar w:fldCharType="separate"/>
            </w:r>
            <w:r w:rsidR="00CF17E9">
              <w:rPr>
                <w:noProof/>
                <w:webHidden/>
              </w:rPr>
              <w:t>3</w:t>
            </w:r>
            <w:r w:rsidR="00CF17E9">
              <w:rPr>
                <w:noProof/>
                <w:webHidden/>
              </w:rPr>
              <w:fldChar w:fldCharType="end"/>
            </w:r>
          </w:hyperlink>
        </w:p>
        <w:p w14:paraId="6EC23411" w14:textId="1F6BC26B" w:rsidR="00CF17E9" w:rsidRDefault="00CF17E9">
          <w:pPr>
            <w:pStyle w:val="TOC1"/>
            <w:tabs>
              <w:tab w:val="left" w:pos="440"/>
              <w:tab w:val="right" w:leader="dot" w:pos="9736"/>
            </w:tabs>
            <w:rPr>
              <w:rFonts w:eastAsiaTheme="minorEastAsia"/>
              <w:noProof/>
              <w:kern w:val="0"/>
              <w:sz w:val="22"/>
              <w:szCs w:val="22"/>
              <w14:ligatures w14:val="none"/>
            </w:rPr>
          </w:pPr>
          <w:hyperlink w:anchor="_Toc242772076" w:history="1">
            <w:r w:rsidRPr="004B38B5">
              <w:rPr>
                <w:rStyle w:val="Hyperlink"/>
                <w:rFonts w:asciiTheme="majorBidi" w:hAnsiTheme="majorBidi"/>
                <w:b/>
                <w:bCs/>
                <w:noProof/>
              </w:rPr>
              <w:t>2</w:t>
            </w:r>
            <w:r>
              <w:rPr>
                <w:rFonts w:eastAsiaTheme="minorEastAsia"/>
                <w:noProof/>
                <w:kern w:val="0"/>
                <w:sz w:val="22"/>
                <w:szCs w:val="22"/>
                <w14:ligatures w14:val="none"/>
              </w:rPr>
              <w:tab/>
            </w:r>
            <w:r w:rsidRPr="004B38B5">
              <w:rPr>
                <w:rStyle w:val="Hyperlink"/>
                <w:rFonts w:asciiTheme="majorBidi" w:hAnsiTheme="majorBidi"/>
                <w:b/>
                <w:bCs/>
                <w:noProof/>
              </w:rPr>
              <w:t>TASK A: Designing Innovative Working Practices</w:t>
            </w:r>
            <w:r>
              <w:rPr>
                <w:noProof/>
                <w:webHidden/>
              </w:rPr>
              <w:tab/>
            </w:r>
            <w:r>
              <w:rPr>
                <w:noProof/>
                <w:webHidden/>
              </w:rPr>
              <w:fldChar w:fldCharType="begin"/>
            </w:r>
            <w:r>
              <w:rPr>
                <w:noProof/>
                <w:webHidden/>
              </w:rPr>
              <w:instrText xml:space="preserve"> PAGEREF _Toc242772076 \h </w:instrText>
            </w:r>
            <w:r>
              <w:rPr>
                <w:noProof/>
                <w:webHidden/>
              </w:rPr>
            </w:r>
            <w:r>
              <w:rPr>
                <w:noProof/>
                <w:webHidden/>
              </w:rPr>
              <w:fldChar w:fldCharType="separate"/>
            </w:r>
            <w:r>
              <w:rPr>
                <w:noProof/>
                <w:webHidden/>
              </w:rPr>
              <w:t>3</w:t>
            </w:r>
            <w:r>
              <w:rPr>
                <w:noProof/>
                <w:webHidden/>
              </w:rPr>
              <w:fldChar w:fldCharType="end"/>
            </w:r>
          </w:hyperlink>
        </w:p>
        <w:p w14:paraId="2B5472DA" w14:textId="7D02DBA2" w:rsidR="00CF17E9" w:rsidRDefault="00CF17E9">
          <w:pPr>
            <w:pStyle w:val="TOC2"/>
            <w:tabs>
              <w:tab w:val="left" w:pos="880"/>
              <w:tab w:val="right" w:leader="dot" w:pos="9736"/>
            </w:tabs>
            <w:rPr>
              <w:rFonts w:eastAsiaTheme="minorEastAsia"/>
              <w:noProof/>
              <w:kern w:val="0"/>
              <w:sz w:val="22"/>
              <w:szCs w:val="22"/>
              <w14:ligatures w14:val="none"/>
            </w:rPr>
          </w:pPr>
          <w:hyperlink w:anchor="_Toc242772077" w:history="1">
            <w:r w:rsidRPr="004B38B5">
              <w:rPr>
                <w:rStyle w:val="Hyperlink"/>
                <w:rFonts w:asciiTheme="majorBidi" w:hAnsiTheme="majorBidi"/>
                <w:b/>
                <w:bCs/>
                <w:noProof/>
              </w:rPr>
              <w:t>2.1</w:t>
            </w:r>
            <w:r>
              <w:rPr>
                <w:rFonts w:eastAsiaTheme="minorEastAsia"/>
                <w:noProof/>
                <w:kern w:val="0"/>
                <w:sz w:val="22"/>
                <w:szCs w:val="22"/>
                <w14:ligatures w14:val="none"/>
              </w:rPr>
              <w:tab/>
            </w:r>
            <w:r w:rsidRPr="004B38B5">
              <w:rPr>
                <w:rStyle w:val="Hyperlink"/>
                <w:rFonts w:asciiTheme="majorBidi" w:hAnsiTheme="majorBidi"/>
                <w:b/>
                <w:bCs/>
                <w:noProof/>
              </w:rPr>
              <w:t>Recommended Innovative Working Practices for NHSX</w:t>
            </w:r>
            <w:r>
              <w:rPr>
                <w:noProof/>
                <w:webHidden/>
              </w:rPr>
              <w:tab/>
            </w:r>
            <w:r>
              <w:rPr>
                <w:noProof/>
                <w:webHidden/>
              </w:rPr>
              <w:fldChar w:fldCharType="begin"/>
            </w:r>
            <w:r>
              <w:rPr>
                <w:noProof/>
                <w:webHidden/>
              </w:rPr>
              <w:instrText xml:space="preserve"> PAGEREF _Toc242772077 \h </w:instrText>
            </w:r>
            <w:r>
              <w:rPr>
                <w:noProof/>
                <w:webHidden/>
              </w:rPr>
            </w:r>
            <w:r>
              <w:rPr>
                <w:noProof/>
                <w:webHidden/>
              </w:rPr>
              <w:fldChar w:fldCharType="separate"/>
            </w:r>
            <w:r>
              <w:rPr>
                <w:noProof/>
                <w:webHidden/>
              </w:rPr>
              <w:t>5</w:t>
            </w:r>
            <w:r>
              <w:rPr>
                <w:noProof/>
                <w:webHidden/>
              </w:rPr>
              <w:fldChar w:fldCharType="end"/>
            </w:r>
          </w:hyperlink>
        </w:p>
        <w:p w14:paraId="61C6E6A4" w14:textId="0EA5D2A4" w:rsidR="00CF17E9" w:rsidRDefault="00CF17E9">
          <w:pPr>
            <w:pStyle w:val="TOC1"/>
            <w:tabs>
              <w:tab w:val="left" w:pos="440"/>
              <w:tab w:val="right" w:leader="dot" w:pos="9736"/>
            </w:tabs>
            <w:rPr>
              <w:rFonts w:eastAsiaTheme="minorEastAsia"/>
              <w:noProof/>
              <w:kern w:val="0"/>
              <w:sz w:val="22"/>
              <w:szCs w:val="22"/>
              <w14:ligatures w14:val="none"/>
            </w:rPr>
          </w:pPr>
          <w:hyperlink w:anchor="_Toc242772078" w:history="1">
            <w:r w:rsidRPr="004B38B5">
              <w:rPr>
                <w:rStyle w:val="Hyperlink"/>
                <w:rFonts w:asciiTheme="majorBidi" w:hAnsiTheme="majorBidi"/>
                <w:b/>
                <w:bCs/>
                <w:noProof/>
              </w:rPr>
              <w:t>3</w:t>
            </w:r>
            <w:r>
              <w:rPr>
                <w:rFonts w:eastAsiaTheme="minorEastAsia"/>
                <w:noProof/>
                <w:kern w:val="0"/>
                <w:sz w:val="22"/>
                <w:szCs w:val="22"/>
                <w14:ligatures w14:val="none"/>
              </w:rPr>
              <w:tab/>
            </w:r>
            <w:r w:rsidRPr="004B38B5">
              <w:rPr>
                <w:rStyle w:val="Hyperlink"/>
                <w:rFonts w:asciiTheme="majorBidi" w:hAnsiTheme="majorBidi"/>
                <w:b/>
                <w:bCs/>
                <w:noProof/>
              </w:rPr>
              <w:t>TASK B: Breeding an Environment Where Talent May Grow</w:t>
            </w:r>
            <w:r>
              <w:rPr>
                <w:noProof/>
                <w:webHidden/>
              </w:rPr>
              <w:tab/>
            </w:r>
            <w:r>
              <w:rPr>
                <w:noProof/>
                <w:webHidden/>
              </w:rPr>
              <w:fldChar w:fldCharType="begin"/>
            </w:r>
            <w:r>
              <w:rPr>
                <w:noProof/>
                <w:webHidden/>
              </w:rPr>
              <w:instrText xml:space="preserve"> PAGEREF _Toc242772078 \h </w:instrText>
            </w:r>
            <w:r>
              <w:rPr>
                <w:noProof/>
                <w:webHidden/>
              </w:rPr>
            </w:r>
            <w:r>
              <w:rPr>
                <w:noProof/>
                <w:webHidden/>
              </w:rPr>
              <w:fldChar w:fldCharType="separate"/>
            </w:r>
            <w:r>
              <w:rPr>
                <w:noProof/>
                <w:webHidden/>
              </w:rPr>
              <w:t>6</w:t>
            </w:r>
            <w:r>
              <w:rPr>
                <w:noProof/>
                <w:webHidden/>
              </w:rPr>
              <w:fldChar w:fldCharType="end"/>
            </w:r>
          </w:hyperlink>
        </w:p>
        <w:p w14:paraId="268B0C6E" w14:textId="09854930" w:rsidR="00CF17E9" w:rsidRDefault="00CF17E9">
          <w:pPr>
            <w:pStyle w:val="TOC2"/>
            <w:tabs>
              <w:tab w:val="left" w:pos="880"/>
              <w:tab w:val="right" w:leader="dot" w:pos="9736"/>
            </w:tabs>
            <w:rPr>
              <w:rFonts w:eastAsiaTheme="minorEastAsia"/>
              <w:noProof/>
              <w:kern w:val="0"/>
              <w:sz w:val="22"/>
              <w:szCs w:val="22"/>
              <w14:ligatures w14:val="none"/>
            </w:rPr>
          </w:pPr>
          <w:hyperlink w:anchor="_Toc242772079" w:history="1">
            <w:r w:rsidRPr="004B38B5">
              <w:rPr>
                <w:rStyle w:val="Hyperlink"/>
                <w:rFonts w:asciiTheme="majorBidi" w:hAnsiTheme="majorBidi"/>
                <w:b/>
                <w:bCs/>
                <w:noProof/>
              </w:rPr>
              <w:t>3.1</w:t>
            </w:r>
            <w:r>
              <w:rPr>
                <w:rFonts w:eastAsiaTheme="minorEastAsia"/>
                <w:noProof/>
                <w:kern w:val="0"/>
                <w:sz w:val="22"/>
                <w:szCs w:val="22"/>
                <w14:ligatures w14:val="none"/>
              </w:rPr>
              <w:tab/>
            </w:r>
            <w:r w:rsidRPr="004B38B5">
              <w:rPr>
                <w:rStyle w:val="Hyperlink"/>
                <w:rFonts w:asciiTheme="majorBidi" w:hAnsiTheme="majorBidi"/>
                <w:b/>
                <w:bCs/>
                <w:noProof/>
              </w:rPr>
              <w:t>Comprehensive Talent Growth Strategy for NHSX</w:t>
            </w:r>
            <w:r>
              <w:rPr>
                <w:noProof/>
                <w:webHidden/>
              </w:rPr>
              <w:tab/>
            </w:r>
            <w:r>
              <w:rPr>
                <w:noProof/>
                <w:webHidden/>
              </w:rPr>
              <w:fldChar w:fldCharType="begin"/>
            </w:r>
            <w:r>
              <w:rPr>
                <w:noProof/>
                <w:webHidden/>
              </w:rPr>
              <w:instrText xml:space="preserve"> PAGEREF _Toc242772079 \h </w:instrText>
            </w:r>
            <w:r>
              <w:rPr>
                <w:noProof/>
                <w:webHidden/>
              </w:rPr>
            </w:r>
            <w:r>
              <w:rPr>
                <w:noProof/>
                <w:webHidden/>
              </w:rPr>
              <w:fldChar w:fldCharType="separate"/>
            </w:r>
            <w:r>
              <w:rPr>
                <w:noProof/>
                <w:webHidden/>
              </w:rPr>
              <w:t>8</w:t>
            </w:r>
            <w:r>
              <w:rPr>
                <w:noProof/>
                <w:webHidden/>
              </w:rPr>
              <w:fldChar w:fldCharType="end"/>
            </w:r>
          </w:hyperlink>
        </w:p>
        <w:p w14:paraId="3F688C30" w14:textId="6E8659AC" w:rsidR="00CF17E9" w:rsidRDefault="00CF17E9">
          <w:pPr>
            <w:pStyle w:val="TOC2"/>
            <w:tabs>
              <w:tab w:val="left" w:pos="880"/>
              <w:tab w:val="right" w:leader="dot" w:pos="9736"/>
            </w:tabs>
            <w:rPr>
              <w:rFonts w:eastAsiaTheme="minorEastAsia"/>
              <w:noProof/>
              <w:kern w:val="0"/>
              <w:sz w:val="22"/>
              <w:szCs w:val="22"/>
              <w14:ligatures w14:val="none"/>
            </w:rPr>
          </w:pPr>
          <w:hyperlink w:anchor="_Toc242772080" w:history="1">
            <w:r w:rsidRPr="004B38B5">
              <w:rPr>
                <w:rStyle w:val="Hyperlink"/>
                <w:rFonts w:asciiTheme="majorBidi" w:hAnsiTheme="majorBidi"/>
                <w:b/>
                <w:bCs/>
                <w:noProof/>
              </w:rPr>
              <w:t>3.2</w:t>
            </w:r>
            <w:r>
              <w:rPr>
                <w:rFonts w:eastAsiaTheme="minorEastAsia"/>
                <w:noProof/>
                <w:kern w:val="0"/>
                <w:sz w:val="22"/>
                <w:szCs w:val="22"/>
                <w14:ligatures w14:val="none"/>
              </w:rPr>
              <w:tab/>
            </w:r>
            <w:r w:rsidRPr="004B38B5">
              <w:rPr>
                <w:rStyle w:val="Hyperlink"/>
                <w:rFonts w:asciiTheme="majorBidi" w:hAnsiTheme="majorBidi"/>
                <w:b/>
                <w:bCs/>
                <w:noProof/>
              </w:rPr>
              <w:t>Measuring Talent Strategy Success</w:t>
            </w:r>
            <w:r>
              <w:rPr>
                <w:noProof/>
                <w:webHidden/>
              </w:rPr>
              <w:tab/>
            </w:r>
            <w:r>
              <w:rPr>
                <w:noProof/>
                <w:webHidden/>
              </w:rPr>
              <w:fldChar w:fldCharType="begin"/>
            </w:r>
            <w:r>
              <w:rPr>
                <w:noProof/>
                <w:webHidden/>
              </w:rPr>
              <w:instrText xml:space="preserve"> PAGEREF _Toc242772080 \h </w:instrText>
            </w:r>
            <w:r>
              <w:rPr>
                <w:noProof/>
                <w:webHidden/>
              </w:rPr>
            </w:r>
            <w:r>
              <w:rPr>
                <w:noProof/>
                <w:webHidden/>
              </w:rPr>
              <w:fldChar w:fldCharType="separate"/>
            </w:r>
            <w:r>
              <w:rPr>
                <w:noProof/>
                <w:webHidden/>
              </w:rPr>
              <w:t>9</w:t>
            </w:r>
            <w:r>
              <w:rPr>
                <w:noProof/>
                <w:webHidden/>
              </w:rPr>
              <w:fldChar w:fldCharType="end"/>
            </w:r>
          </w:hyperlink>
        </w:p>
        <w:p w14:paraId="28D6D811" w14:textId="5E43D5CD" w:rsidR="00CF17E9" w:rsidRDefault="00CF17E9">
          <w:pPr>
            <w:pStyle w:val="TOC1"/>
            <w:tabs>
              <w:tab w:val="left" w:pos="440"/>
              <w:tab w:val="right" w:leader="dot" w:pos="9736"/>
            </w:tabs>
            <w:rPr>
              <w:rFonts w:eastAsiaTheme="minorEastAsia"/>
              <w:noProof/>
              <w:kern w:val="0"/>
              <w:sz w:val="22"/>
              <w:szCs w:val="22"/>
              <w14:ligatures w14:val="none"/>
            </w:rPr>
          </w:pPr>
          <w:hyperlink w:anchor="_Toc242772081" w:history="1">
            <w:r w:rsidRPr="004B38B5">
              <w:rPr>
                <w:rStyle w:val="Hyperlink"/>
                <w:rFonts w:asciiTheme="majorBidi" w:hAnsiTheme="majorBidi"/>
                <w:b/>
                <w:bCs/>
                <w:noProof/>
              </w:rPr>
              <w:t>4</w:t>
            </w:r>
            <w:r>
              <w:rPr>
                <w:rFonts w:eastAsiaTheme="minorEastAsia"/>
                <w:noProof/>
                <w:kern w:val="0"/>
                <w:sz w:val="22"/>
                <w:szCs w:val="22"/>
                <w14:ligatures w14:val="none"/>
              </w:rPr>
              <w:tab/>
            </w:r>
            <w:r w:rsidRPr="004B38B5">
              <w:rPr>
                <w:rStyle w:val="Hyperlink"/>
                <w:rFonts w:asciiTheme="majorBidi" w:hAnsiTheme="majorBidi"/>
                <w:b/>
                <w:bCs/>
                <w:noProof/>
              </w:rPr>
              <w:t>TASK C: Reflective Report</w:t>
            </w:r>
            <w:r>
              <w:rPr>
                <w:noProof/>
                <w:webHidden/>
              </w:rPr>
              <w:tab/>
            </w:r>
            <w:r>
              <w:rPr>
                <w:noProof/>
                <w:webHidden/>
              </w:rPr>
              <w:fldChar w:fldCharType="begin"/>
            </w:r>
            <w:r>
              <w:rPr>
                <w:noProof/>
                <w:webHidden/>
              </w:rPr>
              <w:instrText xml:space="preserve"> PAGEREF _Toc242772081 \h </w:instrText>
            </w:r>
            <w:r>
              <w:rPr>
                <w:noProof/>
                <w:webHidden/>
              </w:rPr>
            </w:r>
            <w:r>
              <w:rPr>
                <w:noProof/>
                <w:webHidden/>
              </w:rPr>
              <w:fldChar w:fldCharType="separate"/>
            </w:r>
            <w:r>
              <w:rPr>
                <w:noProof/>
                <w:webHidden/>
              </w:rPr>
              <w:t>9</w:t>
            </w:r>
            <w:r>
              <w:rPr>
                <w:noProof/>
                <w:webHidden/>
              </w:rPr>
              <w:fldChar w:fldCharType="end"/>
            </w:r>
          </w:hyperlink>
        </w:p>
        <w:p w14:paraId="552BDAB8" w14:textId="48B875F0" w:rsidR="00CF17E9" w:rsidRDefault="00CF17E9">
          <w:pPr>
            <w:pStyle w:val="TOC2"/>
            <w:tabs>
              <w:tab w:val="left" w:pos="880"/>
              <w:tab w:val="right" w:leader="dot" w:pos="9736"/>
            </w:tabs>
            <w:rPr>
              <w:rFonts w:eastAsiaTheme="minorEastAsia"/>
              <w:noProof/>
              <w:kern w:val="0"/>
              <w:sz w:val="22"/>
              <w:szCs w:val="22"/>
              <w14:ligatures w14:val="none"/>
            </w:rPr>
          </w:pPr>
          <w:hyperlink w:anchor="_Toc242772082" w:history="1">
            <w:r w:rsidRPr="004B38B5">
              <w:rPr>
                <w:rStyle w:val="Hyperlink"/>
                <w:rFonts w:asciiTheme="majorBidi" w:hAnsiTheme="majorBidi"/>
                <w:b/>
                <w:bCs/>
                <w:noProof/>
              </w:rPr>
              <w:t>4.1</w:t>
            </w:r>
            <w:r>
              <w:rPr>
                <w:rFonts w:eastAsiaTheme="minorEastAsia"/>
                <w:noProof/>
                <w:kern w:val="0"/>
                <w:sz w:val="22"/>
                <w:szCs w:val="22"/>
                <w14:ligatures w14:val="none"/>
              </w:rPr>
              <w:tab/>
            </w:r>
            <w:r w:rsidRPr="004B38B5">
              <w:rPr>
                <w:rStyle w:val="Hyperlink"/>
                <w:rFonts w:asciiTheme="majorBidi" w:hAnsiTheme="majorBidi"/>
                <w:b/>
                <w:bCs/>
                <w:noProof/>
              </w:rPr>
              <w:t>Artificial Intelligence as a Strategic HRM means</w:t>
            </w:r>
            <w:r>
              <w:rPr>
                <w:noProof/>
                <w:webHidden/>
              </w:rPr>
              <w:tab/>
            </w:r>
            <w:r>
              <w:rPr>
                <w:noProof/>
                <w:webHidden/>
              </w:rPr>
              <w:fldChar w:fldCharType="begin"/>
            </w:r>
            <w:r>
              <w:rPr>
                <w:noProof/>
                <w:webHidden/>
              </w:rPr>
              <w:instrText xml:space="preserve"> PAGEREF _Toc242772082 \h </w:instrText>
            </w:r>
            <w:r>
              <w:rPr>
                <w:noProof/>
                <w:webHidden/>
              </w:rPr>
            </w:r>
            <w:r>
              <w:rPr>
                <w:noProof/>
                <w:webHidden/>
              </w:rPr>
              <w:fldChar w:fldCharType="separate"/>
            </w:r>
            <w:r>
              <w:rPr>
                <w:noProof/>
                <w:webHidden/>
              </w:rPr>
              <w:t>9</w:t>
            </w:r>
            <w:r>
              <w:rPr>
                <w:noProof/>
                <w:webHidden/>
              </w:rPr>
              <w:fldChar w:fldCharType="end"/>
            </w:r>
          </w:hyperlink>
        </w:p>
        <w:p w14:paraId="0E7296D2" w14:textId="5010ADDF" w:rsidR="00CF17E9" w:rsidRDefault="00CF17E9">
          <w:pPr>
            <w:pStyle w:val="TOC2"/>
            <w:tabs>
              <w:tab w:val="left" w:pos="880"/>
              <w:tab w:val="right" w:leader="dot" w:pos="9736"/>
            </w:tabs>
            <w:rPr>
              <w:rFonts w:eastAsiaTheme="minorEastAsia"/>
              <w:noProof/>
              <w:kern w:val="0"/>
              <w:sz w:val="22"/>
              <w:szCs w:val="22"/>
              <w14:ligatures w14:val="none"/>
            </w:rPr>
          </w:pPr>
          <w:hyperlink w:anchor="_Toc242772083" w:history="1">
            <w:r w:rsidRPr="004B38B5">
              <w:rPr>
                <w:rStyle w:val="Hyperlink"/>
                <w:rFonts w:asciiTheme="majorBidi" w:hAnsiTheme="majorBidi"/>
                <w:b/>
                <w:bCs/>
                <w:noProof/>
              </w:rPr>
              <w:t>3.1</w:t>
            </w:r>
            <w:r>
              <w:rPr>
                <w:rFonts w:eastAsiaTheme="minorEastAsia"/>
                <w:noProof/>
                <w:kern w:val="0"/>
                <w:sz w:val="22"/>
                <w:szCs w:val="22"/>
                <w14:ligatures w14:val="none"/>
              </w:rPr>
              <w:tab/>
            </w:r>
            <w:r w:rsidRPr="004B38B5">
              <w:rPr>
                <w:rStyle w:val="Hyperlink"/>
                <w:rFonts w:asciiTheme="majorBidi" w:hAnsiTheme="majorBidi"/>
                <w:b/>
                <w:bCs/>
                <w:noProof/>
              </w:rPr>
              <w:t>Reflective Analysis: Three Examples of Personal AI Use</w:t>
            </w:r>
            <w:r>
              <w:rPr>
                <w:noProof/>
                <w:webHidden/>
              </w:rPr>
              <w:tab/>
            </w:r>
            <w:r>
              <w:rPr>
                <w:noProof/>
                <w:webHidden/>
              </w:rPr>
              <w:fldChar w:fldCharType="begin"/>
            </w:r>
            <w:r>
              <w:rPr>
                <w:noProof/>
                <w:webHidden/>
              </w:rPr>
              <w:instrText xml:space="preserve"> PAGEREF _Toc242772083 \h </w:instrText>
            </w:r>
            <w:r>
              <w:rPr>
                <w:noProof/>
                <w:webHidden/>
              </w:rPr>
            </w:r>
            <w:r>
              <w:rPr>
                <w:noProof/>
                <w:webHidden/>
              </w:rPr>
              <w:fldChar w:fldCharType="separate"/>
            </w:r>
            <w:r>
              <w:rPr>
                <w:noProof/>
                <w:webHidden/>
              </w:rPr>
              <w:t>9</w:t>
            </w:r>
            <w:r>
              <w:rPr>
                <w:noProof/>
                <w:webHidden/>
              </w:rPr>
              <w:fldChar w:fldCharType="end"/>
            </w:r>
          </w:hyperlink>
        </w:p>
        <w:p w14:paraId="5D109ED3" w14:textId="4D8B133A" w:rsidR="00CF17E9" w:rsidRDefault="00CF17E9">
          <w:pPr>
            <w:pStyle w:val="TOC2"/>
            <w:tabs>
              <w:tab w:val="left" w:pos="880"/>
              <w:tab w:val="right" w:leader="dot" w:pos="9736"/>
            </w:tabs>
            <w:rPr>
              <w:rFonts w:eastAsiaTheme="minorEastAsia"/>
              <w:noProof/>
              <w:kern w:val="0"/>
              <w:sz w:val="22"/>
              <w:szCs w:val="22"/>
              <w14:ligatures w14:val="none"/>
            </w:rPr>
          </w:pPr>
          <w:hyperlink w:anchor="_Toc242772084" w:history="1">
            <w:r w:rsidRPr="004B38B5">
              <w:rPr>
                <w:rStyle w:val="Hyperlink"/>
                <w:rFonts w:asciiTheme="majorBidi" w:hAnsiTheme="majorBidi"/>
                <w:b/>
                <w:bCs/>
                <w:noProof/>
              </w:rPr>
              <w:t>3.2</w:t>
            </w:r>
            <w:r>
              <w:rPr>
                <w:rFonts w:eastAsiaTheme="minorEastAsia"/>
                <w:noProof/>
                <w:kern w:val="0"/>
                <w:sz w:val="22"/>
                <w:szCs w:val="22"/>
                <w14:ligatures w14:val="none"/>
              </w:rPr>
              <w:tab/>
            </w:r>
            <w:r w:rsidRPr="004B38B5">
              <w:rPr>
                <w:rStyle w:val="Hyperlink"/>
                <w:rFonts w:asciiTheme="majorBidi" w:hAnsiTheme="majorBidi"/>
                <w:b/>
                <w:bCs/>
                <w:noProof/>
              </w:rPr>
              <w:t>Personal Capability Development Plan</w:t>
            </w:r>
            <w:r>
              <w:rPr>
                <w:noProof/>
                <w:webHidden/>
              </w:rPr>
              <w:tab/>
            </w:r>
            <w:r>
              <w:rPr>
                <w:noProof/>
                <w:webHidden/>
              </w:rPr>
              <w:fldChar w:fldCharType="begin"/>
            </w:r>
            <w:r>
              <w:rPr>
                <w:noProof/>
                <w:webHidden/>
              </w:rPr>
              <w:instrText xml:space="preserve"> PAGEREF _Toc242772084 \h </w:instrText>
            </w:r>
            <w:r>
              <w:rPr>
                <w:noProof/>
                <w:webHidden/>
              </w:rPr>
            </w:r>
            <w:r>
              <w:rPr>
                <w:noProof/>
                <w:webHidden/>
              </w:rPr>
              <w:fldChar w:fldCharType="separate"/>
            </w:r>
            <w:r>
              <w:rPr>
                <w:noProof/>
                <w:webHidden/>
              </w:rPr>
              <w:t>10</w:t>
            </w:r>
            <w:r>
              <w:rPr>
                <w:noProof/>
                <w:webHidden/>
              </w:rPr>
              <w:fldChar w:fldCharType="end"/>
            </w:r>
          </w:hyperlink>
        </w:p>
        <w:p w14:paraId="61A9E8C1" w14:textId="6A2D93B8" w:rsidR="00CF17E9" w:rsidRDefault="00CF17E9">
          <w:pPr>
            <w:pStyle w:val="TOC1"/>
            <w:tabs>
              <w:tab w:val="left" w:pos="440"/>
              <w:tab w:val="right" w:leader="dot" w:pos="9736"/>
            </w:tabs>
            <w:rPr>
              <w:rFonts w:eastAsiaTheme="minorEastAsia"/>
              <w:noProof/>
              <w:kern w:val="0"/>
              <w:sz w:val="22"/>
              <w:szCs w:val="22"/>
              <w14:ligatures w14:val="none"/>
            </w:rPr>
          </w:pPr>
          <w:hyperlink w:anchor="_Toc242772085" w:history="1">
            <w:r w:rsidRPr="004B38B5">
              <w:rPr>
                <w:rStyle w:val="Hyperlink"/>
                <w:rFonts w:asciiTheme="majorBidi" w:hAnsiTheme="majorBidi"/>
                <w:b/>
                <w:bCs/>
                <w:noProof/>
              </w:rPr>
              <w:t>5</w:t>
            </w:r>
            <w:r>
              <w:rPr>
                <w:rFonts w:eastAsiaTheme="minorEastAsia"/>
                <w:noProof/>
                <w:kern w:val="0"/>
                <w:sz w:val="22"/>
                <w:szCs w:val="22"/>
                <w14:ligatures w14:val="none"/>
              </w:rPr>
              <w:tab/>
            </w:r>
            <w:r w:rsidRPr="004B38B5">
              <w:rPr>
                <w:rStyle w:val="Hyperlink"/>
                <w:rFonts w:asciiTheme="majorBidi" w:hAnsiTheme="majorBidi"/>
                <w:b/>
                <w:bCs/>
                <w:noProof/>
              </w:rPr>
              <w:t>Conclusion</w:t>
            </w:r>
            <w:r>
              <w:rPr>
                <w:noProof/>
                <w:webHidden/>
              </w:rPr>
              <w:tab/>
            </w:r>
            <w:r>
              <w:rPr>
                <w:noProof/>
                <w:webHidden/>
              </w:rPr>
              <w:fldChar w:fldCharType="begin"/>
            </w:r>
            <w:r>
              <w:rPr>
                <w:noProof/>
                <w:webHidden/>
              </w:rPr>
              <w:instrText xml:space="preserve"> PAGEREF _Toc242772085 \h </w:instrText>
            </w:r>
            <w:r>
              <w:rPr>
                <w:noProof/>
                <w:webHidden/>
              </w:rPr>
            </w:r>
            <w:r>
              <w:rPr>
                <w:noProof/>
                <w:webHidden/>
              </w:rPr>
              <w:fldChar w:fldCharType="separate"/>
            </w:r>
            <w:r>
              <w:rPr>
                <w:noProof/>
                <w:webHidden/>
              </w:rPr>
              <w:t>11</w:t>
            </w:r>
            <w:r>
              <w:rPr>
                <w:noProof/>
                <w:webHidden/>
              </w:rPr>
              <w:fldChar w:fldCharType="end"/>
            </w:r>
          </w:hyperlink>
        </w:p>
        <w:p w14:paraId="4BFD18C3" w14:textId="7D7C1086" w:rsidR="003D0F6C" w:rsidRPr="000E6478" w:rsidRDefault="003D0F6C">
          <w:pPr>
            <w:rPr>
              <w:rFonts w:asciiTheme="majorBidi" w:hAnsiTheme="majorBidi" w:cstheme="majorBidi"/>
              <w:color w:val="000000" w:themeColor="text1"/>
            </w:rPr>
          </w:pPr>
          <w:r w:rsidRPr="000E6478">
            <w:rPr>
              <w:rFonts w:asciiTheme="majorBidi" w:hAnsiTheme="majorBidi" w:cstheme="majorBidi"/>
              <w:b/>
              <w:bCs/>
              <w:noProof/>
              <w:color w:val="000000" w:themeColor="text1"/>
            </w:rPr>
            <w:fldChar w:fldCharType="end"/>
          </w:r>
        </w:p>
      </w:sdtContent>
    </w:sdt>
    <w:p w14:paraId="32A7E636" w14:textId="77777777" w:rsidR="00CD5911" w:rsidRPr="000E6478" w:rsidRDefault="00CD5911">
      <w:pPr>
        <w:rPr>
          <w:rFonts w:asciiTheme="majorBidi" w:eastAsiaTheme="majorEastAsia" w:hAnsiTheme="majorBidi" w:cstheme="majorBidi"/>
          <w:b/>
          <w:bCs/>
          <w:color w:val="000000" w:themeColor="text1"/>
        </w:rPr>
      </w:pPr>
      <w:r w:rsidRPr="000E6478">
        <w:rPr>
          <w:rFonts w:asciiTheme="majorBidi" w:hAnsiTheme="majorBidi" w:cstheme="majorBidi"/>
          <w:b/>
          <w:bCs/>
          <w:color w:val="000000" w:themeColor="text1"/>
        </w:rPr>
        <w:br w:type="page"/>
      </w:r>
    </w:p>
    <w:p w14:paraId="1AFAB37C" w14:textId="77AFE9C3" w:rsidR="0003493C" w:rsidRPr="000E6478" w:rsidRDefault="0003493C" w:rsidP="00CF17E9">
      <w:pPr>
        <w:pStyle w:val="Heading1"/>
        <w:numPr>
          <w:ilvl w:val="0"/>
          <w:numId w:val="15"/>
        </w:numPr>
        <w:spacing w:before="0" w:after="0" w:line="360" w:lineRule="auto"/>
        <w:rPr>
          <w:rFonts w:asciiTheme="majorBidi" w:hAnsiTheme="majorBidi"/>
          <w:b/>
          <w:bCs/>
          <w:color w:val="000000" w:themeColor="text1"/>
          <w:sz w:val="24"/>
          <w:szCs w:val="24"/>
        </w:rPr>
      </w:pPr>
      <w:bookmarkStart w:id="0" w:name="_Toc242772075"/>
      <w:r w:rsidRPr="000E6478">
        <w:rPr>
          <w:rFonts w:asciiTheme="majorBidi" w:hAnsiTheme="majorBidi"/>
          <w:b/>
          <w:bCs/>
          <w:color w:val="000000" w:themeColor="text1"/>
          <w:sz w:val="24"/>
          <w:szCs w:val="24"/>
        </w:rPr>
        <w:lastRenderedPageBreak/>
        <w:t>Introduction</w:t>
      </w:r>
      <w:bookmarkEnd w:id="0"/>
    </w:p>
    <w:p w14:paraId="762C2267" w14:textId="787038B7" w:rsidR="00CD5911" w:rsidRPr="000E6478" w:rsidRDefault="004A1B8B" w:rsidP="00CF17E9">
      <w:pPr>
        <w:spacing w:after="0" w:line="360" w:lineRule="auto"/>
        <w:jc w:val="both"/>
        <w:rPr>
          <w:rFonts w:asciiTheme="majorBidi" w:eastAsia="Times New Roman" w:hAnsiTheme="majorBidi" w:cstheme="majorBidi"/>
          <w:color w:val="000000" w:themeColor="text1"/>
          <w:kern w:val="0"/>
          <w14:ligatures w14:val="none"/>
        </w:rPr>
      </w:pPr>
      <w:proofErr w:type="spellStart"/>
      <w:r w:rsidRPr="000E6478">
        <w:rPr>
          <w:rFonts w:asciiTheme="majorBidi" w:hAnsiTheme="majorBidi" w:cstheme="majorBidi"/>
          <w:color w:val="000000" w:themeColor="text1"/>
        </w:rPr>
        <w:t>NexSpace</w:t>
      </w:r>
      <w:proofErr w:type="spellEnd"/>
      <w:r w:rsidRPr="000E6478">
        <w:rPr>
          <w:rFonts w:asciiTheme="majorBidi" w:hAnsiTheme="majorBidi" w:cstheme="majorBidi"/>
          <w:color w:val="000000" w:themeColor="text1"/>
        </w:rPr>
        <w:t xml:space="preserve"> Health Systems (NHSX) is a fast growing healthcare technology company that currently employs around 600 individuals in the UK, India and the UAE</w:t>
      </w:r>
      <w:r w:rsidR="00550B10" w:rsidRPr="000E6478">
        <w:rPr>
          <w:rFonts w:asciiTheme="majorBidi" w:hAnsiTheme="majorBidi" w:cstheme="majorBidi"/>
          <w:color w:val="000000" w:themeColor="text1"/>
        </w:rPr>
        <w:t xml:space="preserve"> </w:t>
      </w:r>
      <w:r w:rsidR="00550B10" w:rsidRPr="000E6478">
        <w:rPr>
          <w:rFonts w:asciiTheme="majorBidi" w:eastAsia="Times New Roman" w:hAnsiTheme="majorBidi" w:cstheme="majorBidi"/>
          <w:color w:val="000000" w:themeColor="text1"/>
          <w:kern w:val="0"/>
          <w14:ligatures w14:val="none"/>
        </w:rPr>
        <w:t>(GOV.UK, 2019)</w:t>
      </w:r>
      <w:r w:rsidRPr="000E6478">
        <w:rPr>
          <w:rFonts w:asciiTheme="majorBidi" w:hAnsiTheme="majorBidi" w:cstheme="majorBidi"/>
          <w:color w:val="000000" w:themeColor="text1"/>
        </w:rPr>
        <w:t xml:space="preserve">. Its expansion, and expanded investment in artificial intelligence (AI) has introduced scale effects on the workforce such as tiers of decision making, </w:t>
      </w:r>
      <w:r w:rsidR="00CD5911" w:rsidRPr="000E6478">
        <w:rPr>
          <w:rFonts w:asciiTheme="majorBidi" w:hAnsiTheme="majorBidi" w:cstheme="majorBidi"/>
          <w:color w:val="000000" w:themeColor="text1"/>
        </w:rPr>
        <w:t xml:space="preserve">limited staff creativity, </w:t>
      </w:r>
      <w:proofErr w:type="gramStart"/>
      <w:r w:rsidR="00CD5911" w:rsidRPr="000E6478">
        <w:rPr>
          <w:rFonts w:asciiTheme="majorBidi" w:hAnsiTheme="majorBidi" w:cstheme="majorBidi"/>
          <w:color w:val="000000" w:themeColor="text1"/>
        </w:rPr>
        <w:t>poor</w:t>
      </w:r>
      <w:proofErr w:type="gramEnd"/>
      <w:r w:rsidRPr="000E6478">
        <w:rPr>
          <w:rFonts w:asciiTheme="majorBidi" w:hAnsiTheme="majorBidi" w:cstheme="majorBidi"/>
          <w:color w:val="000000" w:themeColor="text1"/>
        </w:rPr>
        <w:t xml:space="preserve"> cooperation during hybrid working and challenges in employee retention due to high performers. These issues are especially pressing due to the growing rate of change in technologies putting more and more pressure on the requirements of digital skills and other human competences including creativity, adaptability and working together (World Economic Forum, 2025). </w:t>
      </w:r>
    </w:p>
    <w:p w14:paraId="3FB62F32" w14:textId="57BF29B1" w:rsidR="004A1B8B" w:rsidRPr="000E6478" w:rsidRDefault="00CD5911" w:rsidP="00CF17E9">
      <w:pPr>
        <w:spacing w:after="0" w:line="360" w:lineRule="auto"/>
        <w:jc w:val="both"/>
        <w:rPr>
          <w:rFonts w:asciiTheme="majorBidi" w:hAnsiTheme="majorBidi" w:cstheme="majorBidi"/>
          <w:color w:val="000000" w:themeColor="text1"/>
        </w:rPr>
      </w:pPr>
      <w:r w:rsidRPr="000E6478">
        <w:rPr>
          <w:rFonts w:asciiTheme="majorBidi" w:hAnsiTheme="majorBidi" w:cstheme="majorBidi"/>
          <w:color w:val="000000" w:themeColor="text1"/>
        </w:rPr>
        <w:t>This</w:t>
      </w:r>
      <w:r w:rsidR="004A1B8B" w:rsidRPr="000E6478">
        <w:rPr>
          <w:rFonts w:asciiTheme="majorBidi" w:hAnsiTheme="majorBidi" w:cstheme="majorBidi"/>
          <w:color w:val="000000" w:themeColor="text1"/>
        </w:rPr>
        <w:t xml:space="preserve"> report</w:t>
      </w:r>
      <w:r w:rsidRPr="000E6478">
        <w:rPr>
          <w:rFonts w:asciiTheme="majorBidi" w:hAnsiTheme="majorBidi" w:cstheme="majorBidi"/>
          <w:color w:val="000000" w:themeColor="text1"/>
        </w:rPr>
        <w:t xml:space="preserve"> critically analys</w:t>
      </w:r>
      <w:r w:rsidR="004A1B8B" w:rsidRPr="000E6478">
        <w:rPr>
          <w:rFonts w:asciiTheme="majorBidi" w:hAnsiTheme="majorBidi" w:cstheme="majorBidi"/>
          <w:color w:val="000000" w:themeColor="text1"/>
        </w:rPr>
        <w:t>e modern working practice, design strategic talent-development ecosystem and contemplate personal HRM capability development and how AI can be strategically used.</w:t>
      </w:r>
    </w:p>
    <w:p w14:paraId="1B007F75" w14:textId="559BE418" w:rsidR="0003493C" w:rsidRPr="000E6478" w:rsidRDefault="0003493C" w:rsidP="00CF17E9">
      <w:pPr>
        <w:pStyle w:val="Heading1"/>
        <w:numPr>
          <w:ilvl w:val="0"/>
          <w:numId w:val="15"/>
        </w:numPr>
        <w:spacing w:before="0" w:after="0" w:line="360" w:lineRule="auto"/>
        <w:rPr>
          <w:rFonts w:asciiTheme="majorBidi" w:hAnsiTheme="majorBidi"/>
          <w:b/>
          <w:bCs/>
          <w:color w:val="000000" w:themeColor="text1"/>
          <w:sz w:val="24"/>
          <w:szCs w:val="24"/>
        </w:rPr>
      </w:pPr>
      <w:bookmarkStart w:id="1" w:name="_Toc242772076"/>
      <w:r w:rsidRPr="000E6478">
        <w:rPr>
          <w:rFonts w:asciiTheme="majorBidi" w:hAnsiTheme="majorBidi"/>
          <w:b/>
          <w:bCs/>
          <w:color w:val="000000" w:themeColor="text1"/>
          <w:sz w:val="24"/>
          <w:szCs w:val="24"/>
        </w:rPr>
        <w:t>TASK A: Designing Innovative Working Practices</w:t>
      </w:r>
      <w:bookmarkEnd w:id="1"/>
    </w:p>
    <w:p w14:paraId="4597C387" w14:textId="1AD3CD09" w:rsidR="0003493C" w:rsidRPr="000E6478" w:rsidRDefault="0003493C" w:rsidP="00CF17E9">
      <w:pPr>
        <w:spacing w:after="0" w:line="360" w:lineRule="auto"/>
        <w:rPr>
          <w:rFonts w:asciiTheme="majorBidi" w:hAnsiTheme="majorBidi" w:cstheme="majorBidi"/>
          <w:b/>
          <w:bCs/>
          <w:color w:val="000000" w:themeColor="text1"/>
        </w:rPr>
      </w:pPr>
      <w:r w:rsidRPr="000E6478">
        <w:rPr>
          <w:rFonts w:asciiTheme="majorBidi" w:hAnsiTheme="majorBidi" w:cstheme="majorBidi"/>
          <w:b/>
          <w:bCs/>
          <w:color w:val="000000" w:themeColor="text1"/>
        </w:rPr>
        <w:t>Traditional Work Design</w:t>
      </w:r>
    </w:p>
    <w:p w14:paraId="6AFEC87D" w14:textId="5F22DD18" w:rsidR="004A1B8B" w:rsidRPr="000E6478" w:rsidRDefault="004A1B8B" w:rsidP="00CF17E9">
      <w:pPr>
        <w:spacing w:after="0" w:line="360" w:lineRule="auto"/>
        <w:jc w:val="both"/>
        <w:rPr>
          <w:rFonts w:asciiTheme="majorBidi" w:eastAsia="Times New Roman" w:hAnsiTheme="majorBidi" w:cstheme="majorBidi"/>
          <w:color w:val="000000" w:themeColor="text1"/>
          <w:kern w:val="0"/>
          <w14:ligatures w14:val="none"/>
        </w:rPr>
      </w:pPr>
      <w:r w:rsidRPr="000E6478">
        <w:rPr>
          <w:rFonts w:asciiTheme="majorBidi" w:hAnsiTheme="majorBidi" w:cstheme="majorBidi"/>
          <w:color w:val="000000" w:themeColor="text1"/>
        </w:rPr>
        <w:t xml:space="preserve">The classical process of work organisation is traditionally typified by a concentration of decision making processes, a centralized system of authority, functional </w:t>
      </w:r>
      <w:proofErr w:type="spellStart"/>
      <w:r w:rsidRPr="000E6478">
        <w:rPr>
          <w:rFonts w:asciiTheme="majorBidi" w:hAnsiTheme="majorBidi" w:cstheme="majorBidi"/>
          <w:color w:val="000000" w:themeColor="text1"/>
        </w:rPr>
        <w:t>departmentalisation</w:t>
      </w:r>
      <w:proofErr w:type="spellEnd"/>
      <w:r w:rsidRPr="000E6478">
        <w:rPr>
          <w:rFonts w:asciiTheme="majorBidi" w:hAnsiTheme="majorBidi" w:cstheme="majorBidi"/>
          <w:color w:val="000000" w:themeColor="text1"/>
        </w:rPr>
        <w:t xml:space="preserve">, </w:t>
      </w:r>
      <w:proofErr w:type="gramStart"/>
      <w:r w:rsidRPr="000E6478">
        <w:rPr>
          <w:rFonts w:asciiTheme="majorBidi" w:hAnsiTheme="majorBidi" w:cstheme="majorBidi"/>
          <w:color w:val="000000" w:themeColor="text1"/>
        </w:rPr>
        <w:t>standardization</w:t>
      </w:r>
      <w:proofErr w:type="gramEnd"/>
      <w:r w:rsidRPr="000E6478">
        <w:rPr>
          <w:rFonts w:asciiTheme="majorBidi" w:hAnsiTheme="majorBidi" w:cstheme="majorBidi"/>
          <w:color w:val="000000" w:themeColor="text1"/>
        </w:rPr>
        <w:t xml:space="preserve"> of jobs as well as moderately determined working conditions</w:t>
      </w:r>
      <w:r w:rsidR="0020315E" w:rsidRPr="000E6478">
        <w:rPr>
          <w:rFonts w:asciiTheme="majorBidi" w:hAnsiTheme="majorBidi" w:cstheme="majorBidi"/>
          <w:color w:val="000000" w:themeColor="text1"/>
        </w:rPr>
        <w:t xml:space="preserve"> </w:t>
      </w:r>
      <w:r w:rsidR="0020315E" w:rsidRPr="000E6478">
        <w:rPr>
          <w:rFonts w:asciiTheme="majorBidi" w:eastAsia="Times New Roman" w:hAnsiTheme="majorBidi" w:cstheme="majorBidi"/>
          <w:color w:val="000000" w:themeColor="text1"/>
          <w:kern w:val="0"/>
          <w14:ligatures w14:val="none"/>
        </w:rPr>
        <w:t>(Ahmed, 2017)</w:t>
      </w:r>
      <w:r w:rsidRPr="000E6478">
        <w:rPr>
          <w:rFonts w:asciiTheme="majorBidi" w:hAnsiTheme="majorBidi" w:cstheme="majorBidi"/>
          <w:color w:val="000000" w:themeColor="text1"/>
        </w:rPr>
        <w:t>.</w:t>
      </w:r>
      <w:r w:rsidR="0020315E" w:rsidRPr="000E6478">
        <w:rPr>
          <w:rFonts w:asciiTheme="majorBidi" w:hAnsiTheme="majorBidi" w:cstheme="majorBidi"/>
          <w:color w:val="000000" w:themeColor="text1"/>
        </w:rPr>
        <w:t xml:space="preserve"> </w:t>
      </w:r>
      <w:r w:rsidRPr="000E6478">
        <w:rPr>
          <w:rFonts w:asciiTheme="majorBidi" w:hAnsiTheme="majorBidi" w:cstheme="majorBidi"/>
          <w:color w:val="000000" w:themeColor="text1"/>
        </w:rPr>
        <w:t>The flow of communication is mostly vertical</w:t>
      </w:r>
      <w:r w:rsidR="0020315E" w:rsidRPr="000E6478">
        <w:rPr>
          <w:rFonts w:asciiTheme="majorBidi" w:hAnsiTheme="majorBidi" w:cstheme="majorBidi"/>
          <w:color w:val="000000" w:themeColor="text1"/>
        </w:rPr>
        <w:t xml:space="preserve"> </w:t>
      </w:r>
      <w:r w:rsidRPr="000E6478">
        <w:rPr>
          <w:rFonts w:asciiTheme="majorBidi" w:hAnsiTheme="majorBidi" w:cstheme="majorBidi"/>
          <w:color w:val="000000" w:themeColor="text1"/>
        </w:rPr>
        <w:t>between managers who make the decisions and employees following given set responsibilities. These kinds of arrangements can deliver clarity, consistency and accountability</w:t>
      </w:r>
      <w:r w:rsidR="0030376D" w:rsidRPr="000E6478">
        <w:rPr>
          <w:rFonts w:asciiTheme="majorBidi" w:hAnsiTheme="majorBidi" w:cstheme="majorBidi"/>
          <w:color w:val="000000" w:themeColor="text1"/>
        </w:rPr>
        <w:t xml:space="preserve"> </w:t>
      </w:r>
      <w:r w:rsidRPr="000E6478">
        <w:rPr>
          <w:rFonts w:asciiTheme="majorBidi" w:hAnsiTheme="majorBidi" w:cstheme="majorBidi"/>
          <w:color w:val="000000" w:themeColor="text1"/>
        </w:rPr>
        <w:t>which is particularly relevant to NHSX since healthcare technologies consider patient safety, data protection, clinical reliability as well as regulatory accountability. In the case of an organisation that is working in swiftly growing AI and digital-health markets, this may limit innovation and creativity on the part of employees.</w:t>
      </w:r>
    </w:p>
    <w:p w14:paraId="338B4BF7" w14:textId="3F378421" w:rsidR="004A1B8B" w:rsidRPr="000E6478" w:rsidRDefault="004A1B8B" w:rsidP="00CF17E9">
      <w:p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color w:val="000000" w:themeColor="text1"/>
        </w:rPr>
        <w:t>Functional silos may also form in the traditional structures, dividing specialists into functional units</w:t>
      </w:r>
      <w:r w:rsidR="00CB2D4A" w:rsidRPr="000E6478">
        <w:rPr>
          <w:rFonts w:asciiTheme="majorBidi" w:hAnsiTheme="majorBidi" w:cstheme="majorBidi"/>
          <w:color w:val="000000" w:themeColor="text1"/>
        </w:rPr>
        <w:t xml:space="preserve"> </w:t>
      </w:r>
      <w:r w:rsidR="00CB2D4A" w:rsidRPr="000E6478">
        <w:rPr>
          <w:rFonts w:asciiTheme="majorBidi" w:eastAsia="Times New Roman" w:hAnsiTheme="majorBidi" w:cstheme="majorBidi"/>
          <w:color w:val="000000" w:themeColor="text1"/>
          <w:kern w:val="0"/>
          <w14:ligatures w14:val="none"/>
        </w:rPr>
        <w:t>(Bento, Tagliabue and Lorenzo, 2020)</w:t>
      </w:r>
      <w:r w:rsidRPr="000E6478">
        <w:rPr>
          <w:rFonts w:asciiTheme="majorBidi" w:hAnsiTheme="majorBidi" w:cstheme="majorBidi"/>
          <w:color w:val="000000" w:themeColor="text1"/>
        </w:rPr>
        <w:t xml:space="preserve">. This may limit information sharing between product teams, data scientists and clinicians, as well as software developers. Modern studies are focused on the relevance of organisational nimbleness and staff strengths more and more in achieving successful digital transformation </w:t>
      </w:r>
      <w:r w:rsidR="004D0BD6" w:rsidRPr="000E6478">
        <w:rPr>
          <w:rFonts w:asciiTheme="majorBidi" w:eastAsia="Times New Roman" w:hAnsiTheme="majorBidi" w:cstheme="majorBidi"/>
          <w:kern w:val="0"/>
          <w14:ligatures w14:val="none"/>
        </w:rPr>
        <w:t>(</w:t>
      </w:r>
      <w:proofErr w:type="spellStart"/>
      <w:r w:rsidR="004D0BD6" w:rsidRPr="000E6478">
        <w:rPr>
          <w:rFonts w:asciiTheme="majorBidi" w:eastAsia="Times New Roman" w:hAnsiTheme="majorBidi" w:cstheme="majorBidi"/>
          <w:kern w:val="0"/>
          <w14:ligatures w14:val="none"/>
        </w:rPr>
        <w:t>Muduli</w:t>
      </w:r>
      <w:proofErr w:type="spellEnd"/>
      <w:r w:rsidR="004D0BD6" w:rsidRPr="000E6478">
        <w:rPr>
          <w:rFonts w:asciiTheme="majorBidi" w:eastAsia="Times New Roman" w:hAnsiTheme="majorBidi" w:cstheme="majorBidi"/>
          <w:kern w:val="0"/>
          <w14:ligatures w14:val="none"/>
        </w:rPr>
        <w:t xml:space="preserve"> and Choudhury, 2024)</w:t>
      </w:r>
      <w:r w:rsidRPr="000E6478">
        <w:rPr>
          <w:rFonts w:asciiTheme="majorBidi" w:hAnsiTheme="majorBidi" w:cstheme="majorBidi"/>
          <w:color w:val="000000" w:themeColor="text1"/>
        </w:rPr>
        <w:t>. Thus, though hierarchical controls are not to be abolished completely in NHSX, they have to be accompanied by more participative and flexible methodologies.</w:t>
      </w:r>
    </w:p>
    <w:p w14:paraId="19EF9210" w14:textId="108547F8" w:rsidR="0003493C" w:rsidRPr="000E6478" w:rsidRDefault="0003493C" w:rsidP="00CF17E9">
      <w:pPr>
        <w:spacing w:after="0" w:line="360" w:lineRule="auto"/>
        <w:rPr>
          <w:rFonts w:asciiTheme="majorBidi" w:hAnsiTheme="majorBidi" w:cstheme="majorBidi"/>
          <w:b/>
          <w:bCs/>
          <w:color w:val="000000" w:themeColor="text1"/>
        </w:rPr>
      </w:pPr>
      <w:r w:rsidRPr="000E6478">
        <w:rPr>
          <w:rFonts w:asciiTheme="majorBidi" w:hAnsiTheme="majorBidi" w:cstheme="majorBidi"/>
          <w:b/>
          <w:bCs/>
          <w:color w:val="000000" w:themeColor="text1"/>
        </w:rPr>
        <w:t>Contemporary Work Design</w:t>
      </w:r>
    </w:p>
    <w:p w14:paraId="12E94E60" w14:textId="1FFD7248" w:rsidR="004A1B8B" w:rsidRPr="000E6478" w:rsidRDefault="004A1B8B" w:rsidP="00CF17E9">
      <w:pPr>
        <w:spacing w:after="0" w:line="360" w:lineRule="auto"/>
        <w:jc w:val="both"/>
        <w:rPr>
          <w:rFonts w:asciiTheme="majorBidi" w:eastAsia="Times New Roman" w:hAnsiTheme="majorBidi" w:cstheme="majorBidi"/>
          <w:color w:val="000000" w:themeColor="text1"/>
          <w:kern w:val="0"/>
          <w14:ligatures w14:val="none"/>
        </w:rPr>
      </w:pPr>
      <w:r w:rsidRPr="000E6478">
        <w:rPr>
          <w:rFonts w:asciiTheme="majorBidi" w:hAnsiTheme="majorBidi" w:cstheme="majorBidi"/>
          <w:color w:val="000000" w:themeColor="text1"/>
        </w:rPr>
        <w:t>High-Performance Work Systems (HPWS) incorporates some practices like employee development, training, performance management, participation and proper reward systems to enhance organisational capabilities</w:t>
      </w:r>
      <w:r w:rsidR="00CB2D4A" w:rsidRPr="000E6478">
        <w:rPr>
          <w:rFonts w:asciiTheme="majorBidi" w:hAnsiTheme="majorBidi" w:cstheme="majorBidi"/>
          <w:color w:val="000000" w:themeColor="text1"/>
        </w:rPr>
        <w:t xml:space="preserve"> </w:t>
      </w:r>
      <w:r w:rsidR="00CB2D4A" w:rsidRPr="000E6478">
        <w:rPr>
          <w:rFonts w:asciiTheme="majorBidi" w:eastAsia="Times New Roman" w:hAnsiTheme="majorBidi" w:cstheme="majorBidi"/>
          <w:color w:val="000000" w:themeColor="text1"/>
          <w:kern w:val="0"/>
          <w14:ligatures w14:val="none"/>
        </w:rPr>
        <w:t>(Kaushik and Mukherjee, 2021)</w:t>
      </w:r>
      <w:r w:rsidRPr="000E6478">
        <w:rPr>
          <w:rFonts w:asciiTheme="majorBidi" w:hAnsiTheme="majorBidi" w:cstheme="majorBidi"/>
          <w:color w:val="000000" w:themeColor="text1"/>
        </w:rPr>
        <w:t xml:space="preserve">. The premise behind all this is that, investing in human capital has the potential to generate competitive advantage. There is an indication that HPWS has the </w:t>
      </w:r>
      <w:r w:rsidRPr="000E6478">
        <w:rPr>
          <w:rFonts w:asciiTheme="majorBidi" w:hAnsiTheme="majorBidi" w:cstheme="majorBidi"/>
          <w:color w:val="000000" w:themeColor="text1"/>
        </w:rPr>
        <w:lastRenderedPageBreak/>
        <w:t>potential to help employees to be more innovative and lead to the improved organisational performance, but the results will depend on the coherence and suitability of the practices (Kaushik and Mukherjee, 2021). In the case of NHSX, however, HPWS might be able to tie continuous learning and performance management to innovation goals. However, too much performance pressure may result in work intensification, such that high performance is to be accompanied by wellbeing of employees.</w:t>
      </w:r>
    </w:p>
    <w:p w14:paraId="4238F308" w14:textId="1CF6E4CA" w:rsidR="004A1B8B" w:rsidRPr="000E6478" w:rsidRDefault="004A1B8B" w:rsidP="00CF17E9">
      <w:p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color w:val="000000" w:themeColor="text1"/>
        </w:rPr>
        <w:t xml:space="preserve">Another alternative offered by </w:t>
      </w:r>
      <w:proofErr w:type="gramStart"/>
      <w:r w:rsidRPr="000E6478">
        <w:rPr>
          <w:rFonts w:asciiTheme="majorBidi" w:hAnsiTheme="majorBidi" w:cstheme="majorBidi"/>
          <w:color w:val="000000" w:themeColor="text1"/>
        </w:rPr>
        <w:t>Agile</w:t>
      </w:r>
      <w:proofErr w:type="gramEnd"/>
      <w:r w:rsidRPr="000E6478">
        <w:rPr>
          <w:rFonts w:asciiTheme="majorBidi" w:hAnsiTheme="majorBidi" w:cstheme="majorBidi"/>
          <w:color w:val="000000" w:themeColor="text1"/>
        </w:rPr>
        <w:t xml:space="preserve"> working is the concept of iterative working which is based on short development cycles, fast feedbacks and cross-functional teams. According to recent studies, successful agile teams enjoy a shared leadership, power empowerment, psychological sa</w:t>
      </w:r>
      <w:r w:rsidR="004D0BD6" w:rsidRPr="000E6478">
        <w:rPr>
          <w:rFonts w:asciiTheme="majorBidi" w:hAnsiTheme="majorBidi" w:cstheme="majorBidi"/>
          <w:color w:val="000000" w:themeColor="text1"/>
        </w:rPr>
        <w:t xml:space="preserve">fety and collaborative working </w:t>
      </w:r>
      <w:r w:rsidR="004D0BD6" w:rsidRPr="000E6478">
        <w:rPr>
          <w:rFonts w:asciiTheme="majorBidi" w:eastAsia="Times New Roman" w:hAnsiTheme="majorBidi" w:cstheme="majorBidi"/>
          <w:kern w:val="0"/>
          <w14:ligatures w14:val="none"/>
        </w:rPr>
        <w:t>(</w:t>
      </w:r>
      <w:proofErr w:type="spellStart"/>
      <w:r w:rsidR="004D0BD6" w:rsidRPr="000E6478">
        <w:rPr>
          <w:rFonts w:asciiTheme="majorBidi" w:eastAsia="Times New Roman" w:hAnsiTheme="majorBidi" w:cstheme="majorBidi"/>
          <w:kern w:val="0"/>
          <w14:ligatures w14:val="none"/>
        </w:rPr>
        <w:t>Steegh</w:t>
      </w:r>
      <w:proofErr w:type="spellEnd"/>
      <w:r w:rsidR="004D0BD6" w:rsidRPr="000E6478">
        <w:rPr>
          <w:rFonts w:asciiTheme="majorBidi" w:eastAsia="Times New Roman" w:hAnsiTheme="majorBidi" w:cstheme="majorBidi"/>
          <w:kern w:val="0"/>
          <w14:ligatures w14:val="none"/>
        </w:rPr>
        <w:t xml:space="preserve">, Van De </w:t>
      </w:r>
      <w:proofErr w:type="spellStart"/>
      <w:r w:rsidR="004D0BD6" w:rsidRPr="000E6478">
        <w:rPr>
          <w:rFonts w:asciiTheme="majorBidi" w:eastAsia="Times New Roman" w:hAnsiTheme="majorBidi" w:cstheme="majorBidi"/>
          <w:kern w:val="0"/>
          <w14:ligatures w14:val="none"/>
        </w:rPr>
        <w:t>Voorde</w:t>
      </w:r>
      <w:proofErr w:type="spellEnd"/>
      <w:r w:rsidR="004D0BD6" w:rsidRPr="000E6478">
        <w:rPr>
          <w:rFonts w:asciiTheme="majorBidi" w:eastAsia="Times New Roman" w:hAnsiTheme="majorBidi" w:cstheme="majorBidi"/>
          <w:kern w:val="0"/>
          <w14:ligatures w14:val="none"/>
        </w:rPr>
        <w:t xml:space="preserve"> and </w:t>
      </w:r>
      <w:proofErr w:type="spellStart"/>
      <w:r w:rsidR="004D0BD6" w:rsidRPr="000E6478">
        <w:rPr>
          <w:rFonts w:asciiTheme="majorBidi" w:eastAsia="Times New Roman" w:hAnsiTheme="majorBidi" w:cstheme="majorBidi"/>
          <w:kern w:val="0"/>
          <w14:ligatures w14:val="none"/>
        </w:rPr>
        <w:t>Paauwe</w:t>
      </w:r>
      <w:proofErr w:type="spellEnd"/>
      <w:r w:rsidR="004D0BD6" w:rsidRPr="000E6478">
        <w:rPr>
          <w:rFonts w:asciiTheme="majorBidi" w:eastAsia="Times New Roman" w:hAnsiTheme="majorBidi" w:cstheme="majorBidi"/>
          <w:kern w:val="0"/>
          <w14:ligatures w14:val="none"/>
        </w:rPr>
        <w:t>, 2024)</w:t>
      </w:r>
      <w:r w:rsidRPr="000E6478">
        <w:rPr>
          <w:rFonts w:asciiTheme="majorBidi" w:hAnsiTheme="majorBidi" w:cstheme="majorBidi"/>
          <w:color w:val="000000" w:themeColor="text1"/>
        </w:rPr>
        <w:t xml:space="preserve">. Agile practices can thus make NHSX react quicker to evolving needs of healthcare-providers and upcoming AI technologies. However, agile approaches do not necessarily lead to success: studies single out such issues as time constraints, poor customer engagement and process challenges </w:t>
      </w:r>
      <w:r w:rsidR="007A1991" w:rsidRPr="000E6478">
        <w:rPr>
          <w:rFonts w:asciiTheme="majorBidi" w:eastAsia="Times New Roman" w:hAnsiTheme="majorBidi" w:cstheme="majorBidi"/>
          <w:kern w:val="0"/>
          <w14:ligatures w14:val="none"/>
        </w:rPr>
        <w:t>(Meckenstock, 2024)</w:t>
      </w:r>
      <w:r w:rsidRPr="000E6478">
        <w:rPr>
          <w:rFonts w:asciiTheme="majorBidi" w:hAnsiTheme="majorBidi" w:cstheme="majorBidi"/>
          <w:color w:val="000000" w:themeColor="text1"/>
        </w:rPr>
        <w:t>. Agile working can thus be conducted within relevant clinical, cybersecurity and regulatory controls.</w:t>
      </w:r>
    </w:p>
    <w:p w14:paraId="1DD05ADE" w14:textId="77777777" w:rsidR="004A1B8B" w:rsidRPr="000E6478" w:rsidRDefault="004A1B8B" w:rsidP="00CF17E9">
      <w:pPr>
        <w:spacing w:after="0" w:line="360" w:lineRule="auto"/>
        <w:jc w:val="both"/>
        <w:rPr>
          <w:rFonts w:asciiTheme="majorBidi" w:hAnsiTheme="majorBidi" w:cstheme="majorBidi"/>
          <w:color w:val="000000" w:themeColor="text1"/>
        </w:rPr>
      </w:pPr>
      <w:r w:rsidRPr="000E6478">
        <w:rPr>
          <w:rFonts w:asciiTheme="majorBidi" w:hAnsiTheme="majorBidi" w:cstheme="majorBidi"/>
          <w:color w:val="000000" w:themeColor="text1"/>
        </w:rPr>
        <w:t>Hybrid and flexible working offer a better choice to employees on where and when work is done. These arrangements have the potential of enhancing flexibility, attraction, retention but on the other hand, it can undermine the organisational connection, organisational culture and management coordination when poorly arranged. According to CIPD (2025), 74 per cent of organisations are now in some form of hybrid working, with employers citing both talent and productivity gains, and issues around management and organisational culture. NHSX then ought not to consider hybrid working merely as a remote-working policy thus should architect it to the nature of different jobs.</w:t>
      </w:r>
    </w:p>
    <w:p w14:paraId="4B0F686D" w14:textId="5D3AABC5" w:rsidR="004A1B8B" w:rsidRPr="000E6478" w:rsidRDefault="004A1B8B" w:rsidP="00CF17E9">
      <w:pPr>
        <w:spacing w:after="0" w:line="360" w:lineRule="auto"/>
        <w:jc w:val="both"/>
        <w:rPr>
          <w:rFonts w:asciiTheme="majorBidi" w:hAnsiTheme="majorBidi" w:cstheme="majorBidi"/>
          <w:color w:val="000000" w:themeColor="text1"/>
        </w:rPr>
      </w:pPr>
      <w:r w:rsidRPr="000E6478">
        <w:rPr>
          <w:rFonts w:asciiTheme="majorBidi" w:hAnsiTheme="majorBidi" w:cstheme="majorBidi"/>
          <w:color w:val="000000" w:themeColor="text1"/>
        </w:rPr>
        <w:t>Lastly, Sociotechnical Systems Theory focuses on the collaboration between social and technical systems to optimise them jointly. This is most applicable to NHSX since AI technologies cannot be thought of outside the individuals, workflow and organisational processes upon which it functions. The technological innovation in healthcare needs to be streamlined with professional judgement, capabilities and ethical protection of employees (</w:t>
      </w:r>
      <w:proofErr w:type="spellStart"/>
      <w:r w:rsidRPr="000E6478">
        <w:rPr>
          <w:rFonts w:asciiTheme="majorBidi" w:hAnsiTheme="majorBidi" w:cstheme="majorBidi"/>
          <w:color w:val="000000" w:themeColor="text1"/>
        </w:rPr>
        <w:t>Almyranti</w:t>
      </w:r>
      <w:proofErr w:type="spellEnd"/>
      <w:r w:rsidRPr="000E6478">
        <w:rPr>
          <w:rFonts w:asciiTheme="majorBidi" w:hAnsiTheme="majorBidi" w:cstheme="majorBidi"/>
          <w:color w:val="000000" w:themeColor="text1"/>
        </w:rPr>
        <w:t xml:space="preserve"> et al., 2024).</w:t>
      </w:r>
    </w:p>
    <w:p w14:paraId="5A30FC55" w14:textId="3840C228" w:rsidR="0003493C" w:rsidRPr="000E6478" w:rsidRDefault="0003493C" w:rsidP="00CF17E9">
      <w:pPr>
        <w:pStyle w:val="Heading2"/>
        <w:numPr>
          <w:ilvl w:val="1"/>
          <w:numId w:val="16"/>
        </w:numPr>
        <w:spacing w:before="0" w:after="0" w:line="360" w:lineRule="auto"/>
        <w:rPr>
          <w:rFonts w:asciiTheme="majorBidi" w:hAnsiTheme="majorBidi"/>
          <w:b/>
          <w:bCs/>
          <w:color w:val="000000" w:themeColor="text1"/>
          <w:sz w:val="24"/>
          <w:szCs w:val="24"/>
        </w:rPr>
      </w:pPr>
      <w:bookmarkStart w:id="2" w:name="_Toc242772077"/>
      <w:r w:rsidRPr="000E6478">
        <w:rPr>
          <w:rFonts w:asciiTheme="majorBidi" w:hAnsiTheme="majorBidi"/>
          <w:b/>
          <w:bCs/>
          <w:color w:val="000000" w:themeColor="text1"/>
          <w:sz w:val="24"/>
          <w:szCs w:val="24"/>
        </w:rPr>
        <w:lastRenderedPageBreak/>
        <w:t>Recommended Innovative Working Practices for NHSX</w:t>
      </w:r>
      <w:bookmarkEnd w:id="2"/>
    </w:p>
    <w:p w14:paraId="550210B4" w14:textId="56510782" w:rsidR="00483CD7" w:rsidRPr="000E6478" w:rsidRDefault="00483CD7" w:rsidP="00CF17E9">
      <w:pPr>
        <w:spacing w:after="0" w:line="360" w:lineRule="auto"/>
        <w:jc w:val="center"/>
        <w:rPr>
          <w:rFonts w:asciiTheme="majorBidi" w:hAnsiTheme="majorBidi" w:cstheme="majorBidi"/>
          <w:color w:val="000000" w:themeColor="text1"/>
        </w:rPr>
      </w:pPr>
      <w:r w:rsidRPr="000E6478">
        <w:rPr>
          <w:rFonts w:asciiTheme="majorBidi" w:hAnsiTheme="majorBidi" w:cstheme="majorBidi"/>
          <w:noProof/>
          <w:color w:val="000000" w:themeColor="text1"/>
        </w:rPr>
        <w:drawing>
          <wp:inline distT="0" distB="0" distL="0" distR="0" wp14:anchorId="2E916EE0" wp14:editId="153FD75C">
            <wp:extent cx="5109220" cy="3405972"/>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novative Working Practices Hub.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39814" cy="3426367"/>
                    </a:xfrm>
                    <a:prstGeom prst="rect">
                      <a:avLst/>
                    </a:prstGeom>
                  </pic:spPr>
                </pic:pic>
              </a:graphicData>
            </a:graphic>
          </wp:inline>
        </w:drawing>
      </w:r>
    </w:p>
    <w:p w14:paraId="7D99EC0D" w14:textId="32475B20" w:rsidR="00483CD7" w:rsidRPr="000E6478" w:rsidRDefault="00483CD7" w:rsidP="00CF17E9">
      <w:pPr>
        <w:spacing w:after="0" w:line="360" w:lineRule="auto"/>
        <w:jc w:val="center"/>
        <w:rPr>
          <w:rFonts w:asciiTheme="majorBidi" w:hAnsiTheme="majorBidi" w:cstheme="majorBidi"/>
          <w:b/>
          <w:bCs/>
          <w:color w:val="000000" w:themeColor="text1"/>
        </w:rPr>
      </w:pPr>
      <w:r w:rsidRPr="000E6478">
        <w:rPr>
          <w:rFonts w:asciiTheme="majorBidi" w:hAnsiTheme="majorBidi" w:cstheme="majorBidi"/>
          <w:b/>
          <w:bCs/>
          <w:color w:val="000000" w:themeColor="text1"/>
        </w:rPr>
        <w:t xml:space="preserve">Image 1: Recommended </w:t>
      </w:r>
      <w:r w:rsidR="00F94939" w:rsidRPr="000E6478">
        <w:rPr>
          <w:rFonts w:asciiTheme="majorBidi" w:hAnsiTheme="majorBidi" w:cstheme="majorBidi"/>
          <w:b/>
          <w:bCs/>
          <w:color w:val="000000" w:themeColor="text1"/>
        </w:rPr>
        <w:t>Framework for NHSX</w:t>
      </w:r>
    </w:p>
    <w:p w14:paraId="5378A3BA" w14:textId="77777777" w:rsidR="00C1424F" w:rsidRPr="000E6478" w:rsidRDefault="0003493C" w:rsidP="00CF17E9">
      <w:pPr>
        <w:pStyle w:val="ListParagraph"/>
        <w:numPr>
          <w:ilvl w:val="0"/>
          <w:numId w:val="9"/>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bCs/>
          <w:color w:val="000000" w:themeColor="text1"/>
        </w:rPr>
        <w:t>Cross-Functional Innovation Teams</w:t>
      </w:r>
      <w:r w:rsidR="00127097" w:rsidRPr="000E6478">
        <w:rPr>
          <w:rFonts w:asciiTheme="majorBidi" w:hAnsiTheme="majorBidi" w:cstheme="majorBidi"/>
          <w:b/>
          <w:bCs/>
          <w:color w:val="000000" w:themeColor="text1"/>
        </w:rPr>
        <w:t xml:space="preserve">: </w:t>
      </w:r>
      <w:r w:rsidR="004A1B8B" w:rsidRPr="000E6478">
        <w:rPr>
          <w:rFonts w:asciiTheme="majorBidi" w:hAnsiTheme="majorBidi" w:cstheme="majorBidi"/>
          <w:color w:val="000000" w:themeColor="text1"/>
        </w:rPr>
        <w:t xml:space="preserve">NHSX ought to form multidisciplinary innovation teams, including AI/software experts, medical personnel, data scientists, product managers, cybersecurity experts, </w:t>
      </w:r>
      <w:proofErr w:type="gramStart"/>
      <w:r w:rsidR="004A1B8B" w:rsidRPr="000E6478">
        <w:rPr>
          <w:rFonts w:asciiTheme="majorBidi" w:hAnsiTheme="majorBidi" w:cstheme="majorBidi"/>
          <w:color w:val="000000" w:themeColor="text1"/>
        </w:rPr>
        <w:t>HR</w:t>
      </w:r>
      <w:proofErr w:type="gramEnd"/>
      <w:r w:rsidR="004A1B8B" w:rsidRPr="000E6478">
        <w:rPr>
          <w:rFonts w:asciiTheme="majorBidi" w:hAnsiTheme="majorBidi" w:cstheme="majorBidi"/>
          <w:color w:val="000000" w:themeColor="text1"/>
        </w:rPr>
        <w:t xml:space="preserve"> and customer representatives. The integration of these views can help eliminate functional silos and promote the integration of knowledge. Research on healthcare innovation highlights the importance of teamwork in supporting successful implementation of inno</w:t>
      </w:r>
      <w:r w:rsidR="00A54B8F" w:rsidRPr="000E6478">
        <w:rPr>
          <w:rFonts w:asciiTheme="majorBidi" w:hAnsiTheme="majorBidi" w:cstheme="majorBidi"/>
          <w:color w:val="000000" w:themeColor="text1"/>
        </w:rPr>
        <w:t>vations (</w:t>
      </w:r>
      <w:proofErr w:type="spellStart"/>
      <w:r w:rsidR="00A54B8F" w:rsidRPr="000E6478">
        <w:rPr>
          <w:rFonts w:asciiTheme="majorBidi" w:hAnsiTheme="majorBidi" w:cstheme="majorBidi"/>
          <w:color w:val="000000" w:themeColor="text1"/>
        </w:rPr>
        <w:t>McGuier</w:t>
      </w:r>
      <w:proofErr w:type="spellEnd"/>
      <w:r w:rsidR="00A54B8F" w:rsidRPr="000E6478">
        <w:rPr>
          <w:rFonts w:asciiTheme="majorBidi" w:hAnsiTheme="majorBidi" w:cstheme="majorBidi"/>
          <w:color w:val="000000" w:themeColor="text1"/>
        </w:rPr>
        <w:t xml:space="preserve"> et al., 2024).</w:t>
      </w:r>
    </w:p>
    <w:p w14:paraId="5FDDF12A" w14:textId="374E5752" w:rsidR="00127097" w:rsidRPr="000E6478" w:rsidRDefault="004A1B8B" w:rsidP="00CF17E9">
      <w:pPr>
        <w:pStyle w:val="ListParagraph"/>
        <w:numPr>
          <w:ilvl w:val="0"/>
          <w:numId w:val="9"/>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bCs/>
          <w:color w:val="000000" w:themeColor="text1"/>
        </w:rPr>
        <w:t>Agile Project Teams</w:t>
      </w:r>
      <w:r w:rsidR="00127097" w:rsidRPr="000E6478">
        <w:rPr>
          <w:rFonts w:asciiTheme="majorBidi" w:hAnsiTheme="majorBidi" w:cstheme="majorBidi"/>
          <w:b/>
          <w:bCs/>
          <w:color w:val="000000" w:themeColor="text1"/>
        </w:rPr>
        <w:t xml:space="preserve">: </w:t>
      </w:r>
      <w:r w:rsidRPr="000E6478">
        <w:rPr>
          <w:rFonts w:asciiTheme="majorBidi" w:hAnsiTheme="majorBidi" w:cstheme="majorBidi"/>
          <w:color w:val="000000" w:themeColor="text1"/>
        </w:rPr>
        <w:t>NHSX ought to implement agile project teams through brief development sprints, frequent team meetings, sprint reviews and retrospectives</w:t>
      </w:r>
      <w:r w:rsidR="00C1424F" w:rsidRPr="000E6478">
        <w:rPr>
          <w:rFonts w:asciiTheme="majorBidi" w:hAnsiTheme="majorBidi" w:cstheme="majorBidi"/>
          <w:color w:val="000000" w:themeColor="text1"/>
        </w:rPr>
        <w:t xml:space="preserve"> </w:t>
      </w:r>
      <w:r w:rsidR="00C1424F" w:rsidRPr="000E6478">
        <w:rPr>
          <w:rFonts w:asciiTheme="majorBidi" w:eastAsia="Times New Roman" w:hAnsiTheme="majorBidi" w:cstheme="majorBidi"/>
          <w:kern w:val="0"/>
          <w14:ligatures w14:val="none"/>
        </w:rPr>
        <w:t>(</w:t>
      </w:r>
      <w:proofErr w:type="spellStart"/>
      <w:r w:rsidR="00C1424F" w:rsidRPr="000E6478">
        <w:rPr>
          <w:rFonts w:asciiTheme="majorBidi" w:eastAsia="Times New Roman" w:hAnsiTheme="majorBidi" w:cstheme="majorBidi"/>
          <w:kern w:val="0"/>
          <w14:ligatures w14:val="none"/>
        </w:rPr>
        <w:t>Didit</w:t>
      </w:r>
      <w:proofErr w:type="spellEnd"/>
      <w:r w:rsidR="00C1424F" w:rsidRPr="000E6478">
        <w:rPr>
          <w:rFonts w:asciiTheme="majorBidi" w:eastAsia="Times New Roman" w:hAnsiTheme="majorBidi" w:cstheme="majorBidi"/>
          <w:kern w:val="0"/>
          <w14:ligatures w14:val="none"/>
        </w:rPr>
        <w:t xml:space="preserve"> </w:t>
      </w:r>
      <w:proofErr w:type="spellStart"/>
      <w:r w:rsidR="00C1424F" w:rsidRPr="000E6478">
        <w:rPr>
          <w:rFonts w:asciiTheme="majorBidi" w:eastAsia="Times New Roman" w:hAnsiTheme="majorBidi" w:cstheme="majorBidi"/>
          <w:kern w:val="0"/>
          <w14:ligatures w14:val="none"/>
        </w:rPr>
        <w:t>Darmawan</w:t>
      </w:r>
      <w:proofErr w:type="spellEnd"/>
      <w:r w:rsidR="00C1424F" w:rsidRPr="000E6478">
        <w:rPr>
          <w:rFonts w:asciiTheme="majorBidi" w:eastAsia="Times New Roman" w:hAnsiTheme="majorBidi" w:cstheme="majorBidi"/>
          <w:kern w:val="0"/>
          <w14:ligatures w14:val="none"/>
        </w:rPr>
        <w:t>, 2021)</w:t>
      </w:r>
      <w:r w:rsidRPr="000E6478">
        <w:rPr>
          <w:rFonts w:asciiTheme="majorBidi" w:hAnsiTheme="majorBidi" w:cstheme="majorBidi"/>
          <w:color w:val="000000" w:themeColor="text1"/>
        </w:rPr>
        <w:t>. Teams would get straightforward outcomes but at the same time they would have freedom of their outcomes.</w:t>
      </w:r>
      <w:r w:rsidR="00127097" w:rsidRPr="000E6478">
        <w:rPr>
          <w:rFonts w:asciiTheme="majorBidi" w:hAnsiTheme="majorBidi" w:cstheme="majorBidi"/>
          <w:color w:val="000000" w:themeColor="text1"/>
        </w:rPr>
        <w:t xml:space="preserve"> </w:t>
      </w:r>
      <w:r w:rsidRPr="000E6478">
        <w:rPr>
          <w:rFonts w:asciiTheme="majorBidi" w:hAnsiTheme="majorBidi" w:cstheme="majorBidi"/>
          <w:color w:val="000000" w:themeColor="text1"/>
        </w:rPr>
        <w:t>Nonetheless, this should not exclude experimentation with clinical uses, which should be formally approved in terms of safety and regulation.</w:t>
      </w:r>
    </w:p>
    <w:p w14:paraId="54964683" w14:textId="77777777" w:rsidR="00FF163C" w:rsidRPr="000E6478" w:rsidRDefault="004A1B8B" w:rsidP="00CF17E9">
      <w:pPr>
        <w:pStyle w:val="ListParagraph"/>
        <w:numPr>
          <w:ilvl w:val="0"/>
          <w:numId w:val="9"/>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bCs/>
          <w:color w:val="000000" w:themeColor="text1"/>
        </w:rPr>
        <w:t>Hybrid and Flexible Working Model</w:t>
      </w:r>
      <w:r w:rsidR="00127097" w:rsidRPr="000E6478">
        <w:rPr>
          <w:rFonts w:asciiTheme="majorBidi" w:hAnsiTheme="majorBidi" w:cstheme="majorBidi"/>
          <w:b/>
          <w:bCs/>
          <w:color w:val="000000" w:themeColor="text1"/>
        </w:rPr>
        <w:t xml:space="preserve">: </w:t>
      </w:r>
      <w:r w:rsidRPr="000E6478">
        <w:rPr>
          <w:rFonts w:asciiTheme="majorBidi" w:hAnsiTheme="majorBidi" w:cstheme="majorBidi"/>
          <w:color w:val="000000" w:themeColor="text1"/>
        </w:rPr>
        <w:t xml:space="preserve">A gradual hybrid would be more appropriate: NHSX does not need full-time working in the office and does not need fully remote work. Individual, focus and analytical work could be done as employees worked remotely, whereas team development and complex problem solving along with innovation workshops could be held on designated days of collaboration. </w:t>
      </w:r>
    </w:p>
    <w:p w14:paraId="792925E7" w14:textId="3999992E" w:rsidR="00127097" w:rsidRPr="000E6478" w:rsidRDefault="004A1B8B" w:rsidP="00CF17E9">
      <w:pPr>
        <w:pStyle w:val="ListParagraph"/>
        <w:numPr>
          <w:ilvl w:val="0"/>
          <w:numId w:val="9"/>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bCs/>
          <w:color w:val="000000" w:themeColor="text1"/>
        </w:rPr>
        <w:t>Employee Autonomy and Empowerment</w:t>
      </w:r>
      <w:r w:rsidR="00127097" w:rsidRPr="000E6478">
        <w:rPr>
          <w:rFonts w:asciiTheme="majorBidi" w:hAnsiTheme="majorBidi" w:cstheme="majorBidi"/>
          <w:b/>
          <w:bCs/>
          <w:color w:val="000000" w:themeColor="text1"/>
        </w:rPr>
        <w:t xml:space="preserve">: </w:t>
      </w:r>
      <w:r w:rsidRPr="000E6478">
        <w:rPr>
          <w:rFonts w:asciiTheme="majorBidi" w:hAnsiTheme="majorBidi" w:cstheme="majorBidi"/>
          <w:color w:val="000000" w:themeColor="text1"/>
        </w:rPr>
        <w:t xml:space="preserve">Managers need to leave to staff the right operational choices, institute employee-led innovation programs, innovation budgets and </w:t>
      </w:r>
      <w:r w:rsidRPr="000E6478">
        <w:rPr>
          <w:rFonts w:asciiTheme="majorBidi" w:hAnsiTheme="majorBidi" w:cstheme="majorBidi"/>
          <w:color w:val="000000" w:themeColor="text1"/>
        </w:rPr>
        <w:lastRenderedPageBreak/>
        <w:t>structured suggestion programs. Autonomy may enhance ownership and empower the specialists to exercise their knowledge more efficiently</w:t>
      </w:r>
      <w:r w:rsidR="00FF163C" w:rsidRPr="000E6478">
        <w:rPr>
          <w:rFonts w:asciiTheme="majorBidi" w:hAnsiTheme="majorBidi" w:cstheme="majorBidi"/>
          <w:color w:val="000000" w:themeColor="text1"/>
        </w:rPr>
        <w:t xml:space="preserve"> </w:t>
      </w:r>
      <w:r w:rsidR="00FF163C" w:rsidRPr="000E6478">
        <w:rPr>
          <w:rFonts w:asciiTheme="majorBidi" w:eastAsia="Times New Roman" w:hAnsiTheme="majorBidi" w:cstheme="majorBidi"/>
          <w:kern w:val="0"/>
          <w14:ligatures w14:val="none"/>
        </w:rPr>
        <w:t>(</w:t>
      </w:r>
      <w:proofErr w:type="spellStart"/>
      <w:r w:rsidR="00FF163C" w:rsidRPr="000E6478">
        <w:rPr>
          <w:rFonts w:asciiTheme="majorBidi" w:eastAsia="Times New Roman" w:hAnsiTheme="majorBidi" w:cstheme="majorBidi"/>
          <w:kern w:val="0"/>
          <w14:ligatures w14:val="none"/>
        </w:rPr>
        <w:t>Vettriselvan</w:t>
      </w:r>
      <w:proofErr w:type="spellEnd"/>
      <w:r w:rsidR="00FF163C" w:rsidRPr="000E6478">
        <w:rPr>
          <w:rFonts w:asciiTheme="majorBidi" w:eastAsia="Times New Roman" w:hAnsiTheme="majorBidi" w:cstheme="majorBidi"/>
          <w:kern w:val="0"/>
          <w14:ligatures w14:val="none"/>
        </w:rPr>
        <w:t xml:space="preserve"> et al., 2025)</w:t>
      </w:r>
      <w:r w:rsidRPr="000E6478">
        <w:rPr>
          <w:rFonts w:asciiTheme="majorBidi" w:hAnsiTheme="majorBidi" w:cstheme="majorBidi"/>
          <w:color w:val="000000" w:themeColor="text1"/>
        </w:rPr>
        <w:t>. Nevertheless, the autonomy must be within a well-defined scope regarding patient safety, cybersecurity, data protection and regulatory compliance.</w:t>
      </w:r>
    </w:p>
    <w:p w14:paraId="493F9475" w14:textId="42194859" w:rsidR="004A1B8B" w:rsidRPr="000E6478" w:rsidRDefault="004A1B8B" w:rsidP="00CF17E9">
      <w:pPr>
        <w:pStyle w:val="ListParagraph"/>
        <w:numPr>
          <w:ilvl w:val="0"/>
          <w:numId w:val="9"/>
        </w:numPr>
        <w:spacing w:after="0" w:line="360" w:lineRule="auto"/>
        <w:jc w:val="both"/>
        <w:rPr>
          <w:rFonts w:asciiTheme="majorBidi" w:hAnsiTheme="majorBidi" w:cstheme="majorBidi"/>
          <w:color w:val="000000" w:themeColor="text1"/>
        </w:rPr>
      </w:pPr>
      <w:r w:rsidRPr="000E6478">
        <w:rPr>
          <w:rFonts w:asciiTheme="majorBidi" w:hAnsiTheme="majorBidi" w:cstheme="majorBidi"/>
          <w:b/>
          <w:bCs/>
          <w:color w:val="000000" w:themeColor="text1"/>
        </w:rPr>
        <w:t>Digital Collaboration Infrastructure</w:t>
      </w:r>
      <w:r w:rsidR="00127097" w:rsidRPr="000E6478">
        <w:rPr>
          <w:rFonts w:asciiTheme="majorBidi" w:hAnsiTheme="majorBidi" w:cstheme="majorBidi"/>
          <w:b/>
          <w:bCs/>
          <w:color w:val="000000" w:themeColor="text1"/>
        </w:rPr>
        <w:t xml:space="preserve">: </w:t>
      </w:r>
      <w:r w:rsidRPr="000E6478">
        <w:rPr>
          <w:rFonts w:asciiTheme="majorBidi" w:hAnsiTheme="majorBidi" w:cstheme="majorBidi"/>
          <w:color w:val="000000" w:themeColor="text1"/>
        </w:rPr>
        <w:t>Integrated digital collaboration systems like Microsoft Teams or similar applications, digital project-management systems, external knowledge repositories, virtual whiteboards and AI assistance-based collaboration systems should be employed by NHSX. During learning, digital communities of practice would provide the ability to bond employees regardless of geographical areas and decrease the loss of knowledge. But technology must empower and not subtract human interaction especially since sophisticated healthcare innovation entails professional judgement and relationship-building.</w:t>
      </w:r>
    </w:p>
    <w:p w14:paraId="272F2E70" w14:textId="1331D555" w:rsidR="004A1B8B" w:rsidRPr="000E6478" w:rsidRDefault="004A1B8B" w:rsidP="00CF17E9">
      <w:pPr>
        <w:spacing w:after="0" w:line="360" w:lineRule="auto"/>
        <w:rPr>
          <w:rFonts w:asciiTheme="majorBidi" w:hAnsiTheme="majorBidi" w:cstheme="majorBidi"/>
          <w:b/>
          <w:bCs/>
          <w:color w:val="000000" w:themeColor="text1"/>
        </w:rPr>
      </w:pPr>
      <w:r w:rsidRPr="000E6478">
        <w:rPr>
          <w:rFonts w:asciiTheme="majorBidi" w:hAnsiTheme="majorBidi" w:cstheme="majorBidi"/>
          <w:b/>
          <w:bCs/>
          <w:color w:val="000000" w:themeColor="text1"/>
        </w:rPr>
        <w:t>Expected Organisational Performance Outcomes</w:t>
      </w:r>
    </w:p>
    <w:p w14:paraId="081C6DF0" w14:textId="6965CF5F" w:rsidR="00CD7AF0" w:rsidRPr="000E6478" w:rsidRDefault="004A1B8B" w:rsidP="00CF17E9">
      <w:pPr>
        <w:spacing w:after="0" w:line="360" w:lineRule="auto"/>
        <w:jc w:val="both"/>
        <w:rPr>
          <w:rFonts w:asciiTheme="majorBidi" w:hAnsiTheme="majorBidi" w:cstheme="majorBidi"/>
          <w:color w:val="000000" w:themeColor="text1"/>
        </w:rPr>
      </w:pPr>
      <w:r w:rsidRPr="000E6478">
        <w:rPr>
          <w:rFonts w:asciiTheme="majorBidi" w:hAnsiTheme="majorBidi" w:cstheme="majorBidi"/>
          <w:color w:val="000000" w:themeColor="text1"/>
        </w:rPr>
        <w:t>It is likely to yield quick decision-making, knowledge sharing, employee engagement and improved productivity, customer responsiveness and enhanced talent retention. According to CIPD (2025), 41 percent of employers relate higher levels of productivity and efficiency with increased home or hybrid working; flexibility also contributes to attraction and retention also. At NHSX, a combination of these advantages with cross-functional and agile working might result in a more innovative and responsive organisation without compromising the governance that is the cornerstone of healthcare technology.</w:t>
      </w:r>
    </w:p>
    <w:p w14:paraId="68EE0EBC" w14:textId="1B0A9C38" w:rsidR="00CD7AF0" w:rsidRPr="000E6478" w:rsidRDefault="00CD7AF0" w:rsidP="00CF17E9">
      <w:pPr>
        <w:pStyle w:val="Heading1"/>
        <w:numPr>
          <w:ilvl w:val="0"/>
          <w:numId w:val="12"/>
        </w:numPr>
        <w:spacing w:before="0" w:after="0" w:line="360" w:lineRule="auto"/>
        <w:jc w:val="both"/>
        <w:rPr>
          <w:rFonts w:asciiTheme="majorBidi" w:hAnsiTheme="majorBidi"/>
          <w:b/>
          <w:bCs/>
          <w:color w:val="000000" w:themeColor="text1"/>
          <w:sz w:val="24"/>
          <w:szCs w:val="24"/>
        </w:rPr>
      </w:pPr>
      <w:bookmarkStart w:id="3" w:name="_Toc242772078"/>
      <w:r w:rsidRPr="000E6478">
        <w:rPr>
          <w:rFonts w:asciiTheme="majorBidi" w:hAnsiTheme="majorBidi"/>
          <w:b/>
          <w:bCs/>
          <w:color w:val="000000" w:themeColor="text1"/>
          <w:sz w:val="24"/>
          <w:szCs w:val="24"/>
        </w:rPr>
        <w:t>TASK B: Breeding an Environment Where Talent May Grow</w:t>
      </w:r>
      <w:bookmarkEnd w:id="3"/>
    </w:p>
    <w:p w14:paraId="0FB8237B" w14:textId="1EBCA2BE" w:rsidR="00CD7AF0" w:rsidRPr="000E6478" w:rsidRDefault="00CD7AF0" w:rsidP="00CF17E9">
      <w:pPr>
        <w:spacing w:after="0" w:line="360" w:lineRule="auto"/>
        <w:jc w:val="both"/>
        <w:rPr>
          <w:rFonts w:asciiTheme="majorBidi" w:hAnsiTheme="majorBidi" w:cstheme="majorBidi"/>
          <w:b/>
          <w:bCs/>
          <w:color w:val="000000" w:themeColor="text1"/>
        </w:rPr>
      </w:pPr>
      <w:r w:rsidRPr="000E6478">
        <w:rPr>
          <w:rFonts w:asciiTheme="majorBidi" w:hAnsiTheme="majorBidi" w:cstheme="majorBidi"/>
          <w:b/>
          <w:bCs/>
          <w:color w:val="000000" w:themeColor="text1"/>
        </w:rPr>
        <w:t>Creating an Environment Where Talent Flourishes</w:t>
      </w:r>
    </w:p>
    <w:p w14:paraId="55435D0C" w14:textId="50B17F48" w:rsidR="00C7721B" w:rsidRPr="000E6478" w:rsidRDefault="00C7721B" w:rsidP="00CF17E9">
      <w:pPr>
        <w:spacing w:after="0" w:line="360" w:lineRule="auto"/>
        <w:jc w:val="both"/>
        <w:rPr>
          <w:rFonts w:asciiTheme="majorBidi" w:hAnsiTheme="majorBidi" w:cstheme="majorBidi"/>
          <w:color w:val="000000" w:themeColor="text1"/>
        </w:rPr>
      </w:pPr>
      <w:r w:rsidRPr="000E6478">
        <w:rPr>
          <w:rFonts w:asciiTheme="majorBidi" w:hAnsiTheme="majorBidi" w:cstheme="majorBidi"/>
          <w:color w:val="000000" w:themeColor="text1"/>
        </w:rPr>
        <w:t>With NHSX, talent management must not focus on identifying high performers as well as establishing an organisational climate where a wide variety of employees can learn and contri</w:t>
      </w:r>
      <w:r w:rsidR="005559E8" w:rsidRPr="000E6478">
        <w:rPr>
          <w:rFonts w:asciiTheme="majorBidi" w:hAnsiTheme="majorBidi" w:cstheme="majorBidi"/>
          <w:color w:val="000000" w:themeColor="text1"/>
        </w:rPr>
        <w:t>bute and progress continuously.</w:t>
      </w:r>
    </w:p>
    <w:p w14:paraId="29CBDD7C" w14:textId="77777777" w:rsidR="00DF2012" w:rsidRPr="000E6478" w:rsidRDefault="00C7721B" w:rsidP="00CF17E9">
      <w:pPr>
        <w:pStyle w:val="ListParagraph"/>
        <w:numPr>
          <w:ilvl w:val="0"/>
          <w:numId w:val="10"/>
        </w:numPr>
        <w:spacing w:after="0" w:line="360" w:lineRule="auto"/>
        <w:jc w:val="both"/>
        <w:rPr>
          <w:rFonts w:asciiTheme="majorBidi" w:hAnsiTheme="majorBidi" w:cstheme="majorBidi"/>
          <w:color w:val="000000" w:themeColor="text1"/>
        </w:rPr>
      </w:pPr>
      <w:r w:rsidRPr="000E6478">
        <w:rPr>
          <w:rFonts w:asciiTheme="majorBidi" w:hAnsiTheme="majorBidi" w:cstheme="majorBidi"/>
          <w:b/>
          <w:bCs/>
          <w:color w:val="000000" w:themeColor="text1"/>
        </w:rPr>
        <w:t xml:space="preserve">Learning Organisation — </w:t>
      </w:r>
      <w:proofErr w:type="spellStart"/>
      <w:r w:rsidRPr="000E6478">
        <w:rPr>
          <w:rFonts w:asciiTheme="majorBidi" w:hAnsiTheme="majorBidi" w:cstheme="majorBidi"/>
          <w:b/>
          <w:bCs/>
          <w:color w:val="000000" w:themeColor="text1"/>
        </w:rPr>
        <w:t>Senge</w:t>
      </w:r>
      <w:proofErr w:type="spellEnd"/>
      <w:r w:rsidR="00DF2012" w:rsidRPr="000E6478">
        <w:rPr>
          <w:rFonts w:asciiTheme="majorBidi" w:hAnsiTheme="majorBidi" w:cstheme="majorBidi"/>
          <w:b/>
          <w:bCs/>
          <w:color w:val="000000" w:themeColor="text1"/>
        </w:rPr>
        <w:t>:</w:t>
      </w:r>
      <w:r w:rsidR="00DF2012" w:rsidRPr="000E6478">
        <w:rPr>
          <w:rFonts w:asciiTheme="majorBidi" w:hAnsiTheme="majorBidi" w:cstheme="majorBidi"/>
          <w:color w:val="000000" w:themeColor="text1"/>
        </w:rPr>
        <w:t xml:space="preserve"> </w:t>
      </w:r>
      <w:r w:rsidRPr="000E6478">
        <w:rPr>
          <w:rFonts w:asciiTheme="majorBidi" w:hAnsiTheme="majorBidi" w:cstheme="majorBidi"/>
          <w:color w:val="000000" w:themeColor="text1"/>
        </w:rPr>
        <w:t xml:space="preserve">As argued by </w:t>
      </w:r>
      <w:proofErr w:type="spellStart"/>
      <w:r w:rsidRPr="000E6478">
        <w:rPr>
          <w:rFonts w:asciiTheme="majorBidi" w:hAnsiTheme="majorBidi" w:cstheme="majorBidi"/>
          <w:color w:val="000000" w:themeColor="text1"/>
        </w:rPr>
        <w:t>Senge</w:t>
      </w:r>
      <w:proofErr w:type="spellEnd"/>
      <w:r w:rsidRPr="000E6478">
        <w:rPr>
          <w:rFonts w:asciiTheme="majorBidi" w:hAnsiTheme="majorBidi" w:cstheme="majorBidi"/>
          <w:color w:val="000000" w:themeColor="text1"/>
        </w:rPr>
        <w:t xml:space="preserve"> (1990) in his learning organisation concept, there are five disciplines which include systems thinking, personal mastery, mental model, shared vision and team learning. Systems thinking will motivate NHSX to treat technological, people and operational problems as interrelated, not independent. Personal mastery motivates employees to engage in lifelong learning, and existing mental models can be challenged, prompting employees to challenge their assumptions regarding AI, healthcare delivery and best working practices. The common vision can bring employees together within the UK, India and UAE towards a shared organisational goal, and knowledge sharing can occur across geographical and professional borders with team learning.</w:t>
      </w:r>
      <w:r w:rsidR="00DF2012" w:rsidRPr="000E6478">
        <w:rPr>
          <w:rFonts w:asciiTheme="majorBidi" w:hAnsiTheme="majorBidi" w:cstheme="majorBidi"/>
          <w:color w:val="000000" w:themeColor="text1"/>
        </w:rPr>
        <w:t xml:space="preserve"> </w:t>
      </w:r>
    </w:p>
    <w:p w14:paraId="73FF05CB" w14:textId="77777777" w:rsidR="007A1991" w:rsidRPr="000E6478" w:rsidRDefault="00C7721B" w:rsidP="00CF17E9">
      <w:pPr>
        <w:pStyle w:val="ListParagraph"/>
        <w:spacing w:after="0" w:line="360" w:lineRule="auto"/>
        <w:jc w:val="both"/>
        <w:rPr>
          <w:rFonts w:asciiTheme="majorBidi" w:hAnsiTheme="majorBidi" w:cstheme="majorBidi"/>
          <w:color w:val="000000" w:themeColor="text1"/>
        </w:rPr>
      </w:pPr>
      <w:r w:rsidRPr="000E6478">
        <w:rPr>
          <w:rFonts w:asciiTheme="majorBidi" w:hAnsiTheme="majorBidi" w:cstheme="majorBidi"/>
          <w:color w:val="000000" w:themeColor="text1"/>
        </w:rPr>
        <w:t>This strategy is becoming more relevant, as AI is transforming the working ac</w:t>
      </w:r>
      <w:r w:rsidR="005559E8" w:rsidRPr="000E6478">
        <w:rPr>
          <w:rFonts w:asciiTheme="majorBidi" w:hAnsiTheme="majorBidi" w:cstheme="majorBidi"/>
          <w:color w:val="000000" w:themeColor="text1"/>
        </w:rPr>
        <w:t>tivities and the skill demands.</w:t>
      </w:r>
    </w:p>
    <w:p w14:paraId="5B0C8CC1" w14:textId="38D239C5" w:rsidR="00DC4CD7" w:rsidRPr="000E6478" w:rsidRDefault="00C7721B" w:rsidP="00CF17E9">
      <w:pPr>
        <w:pStyle w:val="ListParagraph"/>
        <w:numPr>
          <w:ilvl w:val="0"/>
          <w:numId w:val="10"/>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bCs/>
          <w:color w:val="000000" w:themeColor="text1"/>
        </w:rPr>
        <w:lastRenderedPageBreak/>
        <w:t xml:space="preserve">Growth Mindset — </w:t>
      </w:r>
      <w:proofErr w:type="spellStart"/>
      <w:r w:rsidRPr="000E6478">
        <w:rPr>
          <w:rFonts w:asciiTheme="majorBidi" w:hAnsiTheme="majorBidi" w:cstheme="majorBidi"/>
          <w:b/>
          <w:bCs/>
          <w:color w:val="000000" w:themeColor="text1"/>
        </w:rPr>
        <w:t>Dweck</w:t>
      </w:r>
      <w:proofErr w:type="spellEnd"/>
      <w:r w:rsidR="00DF2012" w:rsidRPr="000E6478">
        <w:rPr>
          <w:rFonts w:asciiTheme="majorBidi" w:hAnsiTheme="majorBidi" w:cstheme="majorBidi"/>
          <w:b/>
          <w:bCs/>
          <w:color w:val="000000" w:themeColor="text1"/>
        </w:rPr>
        <w:t xml:space="preserve">: </w:t>
      </w:r>
      <w:r w:rsidRPr="000E6478">
        <w:rPr>
          <w:rFonts w:asciiTheme="majorBidi" w:hAnsiTheme="majorBidi" w:cstheme="majorBidi"/>
          <w:color w:val="000000" w:themeColor="text1"/>
        </w:rPr>
        <w:t>The growth mindset perspective theory advances the idea that skills could be acquired through determination, language and proper techniques instead of taking t</w:t>
      </w:r>
      <w:r w:rsidR="007A1991" w:rsidRPr="000E6478">
        <w:rPr>
          <w:rFonts w:asciiTheme="majorBidi" w:hAnsiTheme="majorBidi" w:cstheme="majorBidi"/>
          <w:color w:val="000000" w:themeColor="text1"/>
        </w:rPr>
        <w:t xml:space="preserve">hem as fixed </w:t>
      </w:r>
      <w:r w:rsidR="007A1991" w:rsidRPr="000E6478">
        <w:rPr>
          <w:rFonts w:asciiTheme="majorBidi" w:eastAsia="Times New Roman" w:hAnsiTheme="majorBidi" w:cstheme="majorBidi"/>
          <w:kern w:val="0"/>
          <w14:ligatures w14:val="none"/>
        </w:rPr>
        <w:t>(</w:t>
      </w:r>
      <w:proofErr w:type="spellStart"/>
      <w:r w:rsidR="007A1991" w:rsidRPr="000E6478">
        <w:rPr>
          <w:rFonts w:asciiTheme="majorBidi" w:eastAsia="Times New Roman" w:hAnsiTheme="majorBidi" w:cstheme="majorBidi"/>
          <w:kern w:val="0"/>
          <w14:ligatures w14:val="none"/>
        </w:rPr>
        <w:t>Dweck</w:t>
      </w:r>
      <w:proofErr w:type="spellEnd"/>
      <w:r w:rsidR="007A1991" w:rsidRPr="000E6478">
        <w:rPr>
          <w:rFonts w:asciiTheme="majorBidi" w:eastAsia="Times New Roman" w:hAnsiTheme="majorBidi" w:cstheme="majorBidi"/>
          <w:kern w:val="0"/>
          <w14:ligatures w14:val="none"/>
        </w:rPr>
        <w:t xml:space="preserve"> and Yeager, 2019). </w:t>
      </w:r>
      <w:r w:rsidRPr="000E6478">
        <w:rPr>
          <w:rFonts w:asciiTheme="majorBidi" w:hAnsiTheme="majorBidi" w:cstheme="majorBidi"/>
          <w:color w:val="000000" w:themeColor="text1"/>
        </w:rPr>
        <w:t>NHSX can prompt the staff to take some lessons, see risky projects as a learning experience and take constructive criticism to become a better worker. This would endorse experimentation and innovation, especially in the development of AI.</w:t>
      </w:r>
      <w:r w:rsidR="00DF2012" w:rsidRPr="000E6478">
        <w:rPr>
          <w:rFonts w:asciiTheme="majorBidi" w:hAnsiTheme="majorBidi" w:cstheme="majorBidi"/>
          <w:color w:val="000000" w:themeColor="text1"/>
        </w:rPr>
        <w:t xml:space="preserve"> </w:t>
      </w:r>
      <w:r w:rsidRPr="000E6478">
        <w:rPr>
          <w:rFonts w:asciiTheme="majorBidi" w:hAnsiTheme="majorBidi" w:cstheme="majorBidi"/>
          <w:color w:val="000000" w:themeColor="text1"/>
        </w:rPr>
        <w:t>Nevertheless, such an attitude towards growth not only ought not to become a managerial slogan but also it does n</w:t>
      </w:r>
      <w:r w:rsidR="00DF2012" w:rsidRPr="000E6478">
        <w:rPr>
          <w:rFonts w:asciiTheme="majorBidi" w:hAnsiTheme="majorBidi" w:cstheme="majorBidi"/>
          <w:color w:val="000000" w:themeColor="text1"/>
        </w:rPr>
        <w:t>ot have organisational support.</w:t>
      </w:r>
    </w:p>
    <w:p w14:paraId="73FF80BD" w14:textId="77777777" w:rsidR="00DC4CD7" w:rsidRPr="000E6478" w:rsidRDefault="00C7721B" w:rsidP="00CF17E9">
      <w:pPr>
        <w:pStyle w:val="ListParagraph"/>
        <w:numPr>
          <w:ilvl w:val="0"/>
          <w:numId w:val="10"/>
        </w:numPr>
        <w:spacing w:after="0" w:line="360" w:lineRule="auto"/>
        <w:jc w:val="both"/>
        <w:rPr>
          <w:rFonts w:asciiTheme="majorBidi" w:hAnsiTheme="majorBidi" w:cstheme="majorBidi"/>
          <w:color w:val="000000" w:themeColor="text1"/>
        </w:rPr>
      </w:pPr>
      <w:r w:rsidRPr="000E6478">
        <w:rPr>
          <w:rFonts w:asciiTheme="majorBidi" w:hAnsiTheme="majorBidi" w:cstheme="majorBidi"/>
          <w:b/>
          <w:color w:val="000000" w:themeColor="text1"/>
        </w:rPr>
        <w:t>Psychological Safety — Edmondson</w:t>
      </w:r>
      <w:r w:rsidR="00DC4CD7" w:rsidRPr="000E6478">
        <w:rPr>
          <w:rFonts w:asciiTheme="majorBidi" w:hAnsiTheme="majorBidi" w:cstheme="majorBidi"/>
          <w:b/>
          <w:color w:val="000000" w:themeColor="text1"/>
        </w:rPr>
        <w:t xml:space="preserve">: </w:t>
      </w:r>
      <w:r w:rsidRPr="000E6478">
        <w:rPr>
          <w:rFonts w:asciiTheme="majorBidi" w:hAnsiTheme="majorBidi" w:cstheme="majorBidi"/>
          <w:color w:val="000000" w:themeColor="text1"/>
        </w:rPr>
        <w:t>The idea of psychological safety means that the employees should be convinced that they can speak up, raise questions and take interpersonal risks without any negative outcomes (Edmondson and Lei, 2014). In the case of NHSX, this is especially crucial as the employees of AI-enabled healthcare technologies should be able to shoot down the assumptions, report the errors and raise the concerns regarding the data quality, the results of the algorithm and patient safety.</w:t>
      </w:r>
    </w:p>
    <w:p w14:paraId="4065656B" w14:textId="77777777" w:rsidR="00A5591D" w:rsidRPr="000E6478" w:rsidRDefault="00C7721B" w:rsidP="00CF17E9">
      <w:pPr>
        <w:pStyle w:val="ListParagraph"/>
        <w:numPr>
          <w:ilvl w:val="0"/>
          <w:numId w:val="10"/>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color w:val="000000" w:themeColor="text1"/>
        </w:rPr>
        <w:t>Job Crafting</w:t>
      </w:r>
      <w:r w:rsidR="00DC4CD7" w:rsidRPr="000E6478">
        <w:rPr>
          <w:rFonts w:asciiTheme="majorBidi" w:hAnsiTheme="majorBidi" w:cstheme="majorBidi"/>
          <w:b/>
          <w:color w:val="000000" w:themeColor="text1"/>
        </w:rPr>
        <w:t xml:space="preserve">: </w:t>
      </w:r>
      <w:r w:rsidRPr="000E6478">
        <w:rPr>
          <w:rFonts w:asciiTheme="majorBidi" w:hAnsiTheme="majorBidi" w:cstheme="majorBidi"/>
          <w:color w:val="000000" w:themeColor="text1"/>
        </w:rPr>
        <w:t>Job crafting enables the employees to recreate their jobs actively by constructing their work through redefining their tasks, relationships and perceiving their work (</w:t>
      </w:r>
      <w:proofErr w:type="spellStart"/>
      <w:r w:rsidRPr="000E6478">
        <w:rPr>
          <w:rFonts w:asciiTheme="majorBidi" w:hAnsiTheme="majorBidi" w:cstheme="majorBidi"/>
          <w:color w:val="000000" w:themeColor="text1"/>
        </w:rPr>
        <w:t>Wrzesniewski</w:t>
      </w:r>
      <w:proofErr w:type="spellEnd"/>
      <w:r w:rsidRPr="000E6478">
        <w:rPr>
          <w:rFonts w:asciiTheme="majorBidi" w:hAnsiTheme="majorBidi" w:cstheme="majorBidi"/>
          <w:color w:val="000000" w:themeColor="text1"/>
        </w:rPr>
        <w:t xml:space="preserve"> and Dutton, 2001). An AI specialist could have further mentoring or work with clinical teams, or an innovation project, at NHSX, which fits their career interests. Job crafting will thus aid in shaping the competencies of employees by allowing them to utilize their strong poi</w:t>
      </w:r>
      <w:r w:rsidR="00DC4CD7" w:rsidRPr="000E6478">
        <w:rPr>
          <w:rFonts w:asciiTheme="majorBidi" w:hAnsiTheme="majorBidi" w:cstheme="majorBidi"/>
          <w:color w:val="000000" w:themeColor="text1"/>
        </w:rPr>
        <w:t>nts as they acquire new skills.</w:t>
      </w:r>
    </w:p>
    <w:p w14:paraId="3DDC8F8B" w14:textId="516F92F3" w:rsidR="00C7721B" w:rsidRPr="000E6478" w:rsidRDefault="00C7721B" w:rsidP="00CF17E9">
      <w:pPr>
        <w:pStyle w:val="ListParagraph"/>
        <w:numPr>
          <w:ilvl w:val="0"/>
          <w:numId w:val="10"/>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color w:val="000000" w:themeColor="text1"/>
        </w:rPr>
        <w:t>Strategic Talent Management and Employee Experience</w:t>
      </w:r>
      <w:r w:rsidR="00DC4CD7" w:rsidRPr="000E6478">
        <w:rPr>
          <w:rFonts w:asciiTheme="majorBidi" w:hAnsiTheme="majorBidi" w:cstheme="majorBidi"/>
          <w:b/>
          <w:color w:val="000000" w:themeColor="text1"/>
        </w:rPr>
        <w:t xml:space="preserve">: </w:t>
      </w:r>
      <w:r w:rsidRPr="000E6478">
        <w:rPr>
          <w:rFonts w:asciiTheme="majorBidi" w:hAnsiTheme="majorBidi" w:cstheme="majorBidi"/>
          <w:color w:val="000000" w:themeColor="text1"/>
        </w:rPr>
        <w:t>Identifying talent, career pathway, succession planning, learning and development, mentoring, coaching, internal mobility, recognition and employee experience should be combined in NHSX. Supply access to more people in development would result in more talent pipeline and eliminate feelings of injustice</w:t>
      </w:r>
      <w:r w:rsidR="00A5591D" w:rsidRPr="000E6478">
        <w:rPr>
          <w:rFonts w:asciiTheme="majorBidi" w:hAnsiTheme="majorBidi" w:cstheme="majorBidi"/>
          <w:color w:val="000000" w:themeColor="text1"/>
        </w:rPr>
        <w:t xml:space="preserve"> </w:t>
      </w:r>
      <w:r w:rsidR="00A5591D" w:rsidRPr="000E6478">
        <w:rPr>
          <w:rFonts w:asciiTheme="majorBidi" w:eastAsia="Times New Roman" w:hAnsiTheme="majorBidi" w:cstheme="majorBidi"/>
          <w:kern w:val="0"/>
          <w14:ligatures w14:val="none"/>
        </w:rPr>
        <w:t>(George and George, 2024)</w:t>
      </w:r>
      <w:r w:rsidRPr="000E6478">
        <w:rPr>
          <w:rFonts w:asciiTheme="majorBidi" w:hAnsiTheme="majorBidi" w:cstheme="majorBidi"/>
          <w:color w:val="000000" w:themeColor="text1"/>
        </w:rPr>
        <w:t>.</w:t>
      </w:r>
      <w:r w:rsidR="00DC4CD7" w:rsidRPr="000E6478">
        <w:rPr>
          <w:rFonts w:asciiTheme="majorBidi" w:hAnsiTheme="majorBidi" w:cstheme="majorBidi"/>
          <w:color w:val="000000" w:themeColor="text1"/>
        </w:rPr>
        <w:t xml:space="preserve"> </w:t>
      </w:r>
      <w:r w:rsidRPr="000E6478">
        <w:rPr>
          <w:rFonts w:asciiTheme="majorBidi" w:hAnsiTheme="majorBidi" w:cstheme="majorBidi"/>
          <w:color w:val="000000" w:themeColor="text1"/>
        </w:rPr>
        <w:t>Employee experience needs also to be looked at in a holistic way to include the way employees interact with managers, technology, workplace practices, and career opportunities and organisational culture. A good employee experience can thus work in harmony with the formal talent-management practices and aid NHSX retain employees who otherwise would leave due to lack of career advancement.</w:t>
      </w:r>
    </w:p>
    <w:p w14:paraId="7A1C2064" w14:textId="77777777" w:rsidR="00001909" w:rsidRPr="000E6478" w:rsidRDefault="00001909" w:rsidP="00CF17E9">
      <w:pPr>
        <w:spacing w:after="0" w:line="360" w:lineRule="auto"/>
        <w:rPr>
          <w:rFonts w:asciiTheme="majorBidi" w:eastAsiaTheme="majorEastAsia" w:hAnsiTheme="majorBidi" w:cstheme="majorBidi"/>
          <w:b/>
          <w:bCs/>
          <w:color w:val="000000" w:themeColor="text1"/>
        </w:rPr>
      </w:pPr>
      <w:r w:rsidRPr="000E6478">
        <w:rPr>
          <w:rFonts w:asciiTheme="majorBidi" w:hAnsiTheme="majorBidi" w:cstheme="majorBidi"/>
          <w:b/>
          <w:bCs/>
          <w:color w:val="000000" w:themeColor="text1"/>
        </w:rPr>
        <w:br w:type="page"/>
      </w:r>
    </w:p>
    <w:p w14:paraId="3856111F" w14:textId="0A9839B8" w:rsidR="00CD7AF0" w:rsidRPr="000E6478" w:rsidRDefault="00CD7AF0" w:rsidP="00CF17E9">
      <w:pPr>
        <w:pStyle w:val="Heading2"/>
        <w:numPr>
          <w:ilvl w:val="1"/>
          <w:numId w:val="12"/>
        </w:numPr>
        <w:spacing w:before="0" w:after="0" w:line="360" w:lineRule="auto"/>
        <w:rPr>
          <w:rFonts w:asciiTheme="majorBidi" w:hAnsiTheme="majorBidi"/>
          <w:b/>
          <w:bCs/>
          <w:color w:val="000000" w:themeColor="text1"/>
          <w:sz w:val="24"/>
          <w:szCs w:val="24"/>
        </w:rPr>
      </w:pPr>
      <w:bookmarkStart w:id="4" w:name="_Toc242772079"/>
      <w:r w:rsidRPr="000E6478">
        <w:rPr>
          <w:rFonts w:asciiTheme="majorBidi" w:hAnsiTheme="majorBidi"/>
          <w:b/>
          <w:bCs/>
          <w:color w:val="000000" w:themeColor="text1"/>
          <w:sz w:val="24"/>
          <w:szCs w:val="24"/>
        </w:rPr>
        <w:lastRenderedPageBreak/>
        <w:t>Comprehensive Talent Growth Strategy for NHSX</w:t>
      </w:r>
      <w:bookmarkEnd w:id="4"/>
    </w:p>
    <w:p w14:paraId="0CEAF2A2" w14:textId="223887B8" w:rsidR="00001909" w:rsidRPr="000E6478" w:rsidRDefault="00001909" w:rsidP="00CF17E9">
      <w:pPr>
        <w:spacing w:after="0" w:line="360" w:lineRule="auto"/>
        <w:jc w:val="center"/>
        <w:rPr>
          <w:rFonts w:asciiTheme="majorBidi" w:hAnsiTheme="majorBidi" w:cstheme="majorBidi"/>
        </w:rPr>
      </w:pPr>
      <w:r w:rsidRPr="000E6478">
        <w:rPr>
          <w:rFonts w:asciiTheme="majorBidi" w:hAnsiTheme="majorBidi" w:cstheme="majorBidi"/>
          <w:noProof/>
        </w:rPr>
        <w:drawing>
          <wp:inline distT="0" distB="0" distL="0" distR="0" wp14:anchorId="77BF6A53" wp14:editId="6BF17D64">
            <wp:extent cx="5655310" cy="29813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HSX Talent Growth Strategy Hub.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55310" cy="2981325"/>
                    </a:xfrm>
                    <a:prstGeom prst="rect">
                      <a:avLst/>
                    </a:prstGeom>
                  </pic:spPr>
                </pic:pic>
              </a:graphicData>
            </a:graphic>
          </wp:inline>
        </w:drawing>
      </w:r>
    </w:p>
    <w:p w14:paraId="6DBB6134" w14:textId="73AA6B57" w:rsidR="00001909" w:rsidRPr="000E6478" w:rsidRDefault="00001909" w:rsidP="00CF17E9">
      <w:pPr>
        <w:spacing w:after="0" w:line="360" w:lineRule="auto"/>
        <w:jc w:val="center"/>
        <w:rPr>
          <w:rFonts w:asciiTheme="majorBidi" w:hAnsiTheme="majorBidi" w:cstheme="majorBidi"/>
        </w:rPr>
      </w:pPr>
      <w:r w:rsidRPr="000E6478">
        <w:rPr>
          <w:rFonts w:asciiTheme="majorBidi" w:hAnsiTheme="majorBidi" w:cstheme="majorBidi"/>
          <w:b/>
          <w:bCs/>
          <w:color w:val="000000" w:themeColor="text1"/>
        </w:rPr>
        <w:t>Image 2: Talent Growth Strategy for NHSX</w:t>
      </w:r>
    </w:p>
    <w:p w14:paraId="0180C5EC" w14:textId="3A718B05" w:rsidR="00DC4CD7" w:rsidRPr="000E6478" w:rsidRDefault="00CD7AF0" w:rsidP="00CF17E9">
      <w:pPr>
        <w:pStyle w:val="ListParagraph"/>
        <w:numPr>
          <w:ilvl w:val="0"/>
          <w:numId w:val="19"/>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bCs/>
          <w:color w:val="000000" w:themeColor="text1"/>
        </w:rPr>
        <w:t>Continuous Learning Academy</w:t>
      </w:r>
      <w:r w:rsidR="00DC4CD7" w:rsidRPr="000E6478">
        <w:rPr>
          <w:rFonts w:asciiTheme="majorBidi" w:hAnsiTheme="majorBidi" w:cstheme="majorBidi"/>
          <w:b/>
          <w:bCs/>
          <w:color w:val="000000" w:themeColor="text1"/>
        </w:rPr>
        <w:t xml:space="preserve">: </w:t>
      </w:r>
      <w:r w:rsidR="00C7721B" w:rsidRPr="000E6478">
        <w:rPr>
          <w:rFonts w:asciiTheme="majorBidi" w:hAnsiTheme="majorBidi" w:cstheme="majorBidi"/>
          <w:bCs/>
          <w:color w:val="000000" w:themeColor="text1"/>
        </w:rPr>
        <w:t xml:space="preserve">Established by NHSX is an </w:t>
      </w:r>
      <w:r w:rsidR="00A5591D" w:rsidRPr="000E6478">
        <w:rPr>
          <w:rFonts w:asciiTheme="majorBidi" w:hAnsiTheme="majorBidi" w:cstheme="majorBidi"/>
          <w:bCs/>
          <w:color w:val="000000" w:themeColor="text1"/>
        </w:rPr>
        <w:t xml:space="preserve">internal NHSX Learning Academy </w:t>
      </w:r>
      <w:r w:rsidR="00C7721B" w:rsidRPr="000E6478">
        <w:rPr>
          <w:rFonts w:asciiTheme="majorBidi" w:hAnsiTheme="majorBidi" w:cstheme="majorBidi"/>
          <w:bCs/>
          <w:color w:val="000000" w:themeColor="text1"/>
        </w:rPr>
        <w:t>that offers formal development in AI, digital healthcare, leadership, project management, data analytics, cybersecurity, communication and cross-cultural management</w:t>
      </w:r>
      <w:r w:rsidR="00A5591D" w:rsidRPr="000E6478">
        <w:rPr>
          <w:rFonts w:asciiTheme="majorBidi" w:hAnsiTheme="majorBidi" w:cstheme="majorBidi"/>
          <w:bCs/>
          <w:color w:val="000000" w:themeColor="text1"/>
        </w:rPr>
        <w:t xml:space="preserve"> </w:t>
      </w:r>
      <w:r w:rsidR="00A5591D" w:rsidRPr="000E6478">
        <w:rPr>
          <w:rFonts w:asciiTheme="majorBidi" w:eastAsia="Times New Roman" w:hAnsiTheme="majorBidi" w:cstheme="majorBidi"/>
          <w:kern w:val="0"/>
          <w14:ligatures w14:val="none"/>
        </w:rPr>
        <w:t xml:space="preserve">(McGinnis, </w:t>
      </w:r>
      <w:proofErr w:type="spellStart"/>
      <w:r w:rsidR="00A5591D" w:rsidRPr="000E6478">
        <w:rPr>
          <w:rFonts w:asciiTheme="majorBidi" w:eastAsia="Times New Roman" w:hAnsiTheme="majorBidi" w:cstheme="majorBidi"/>
          <w:kern w:val="0"/>
          <w14:ligatures w14:val="none"/>
        </w:rPr>
        <w:t>Fineberg</w:t>
      </w:r>
      <w:proofErr w:type="spellEnd"/>
      <w:r w:rsidR="00A5591D" w:rsidRPr="000E6478">
        <w:rPr>
          <w:rFonts w:asciiTheme="majorBidi" w:eastAsia="Times New Roman" w:hAnsiTheme="majorBidi" w:cstheme="majorBidi"/>
          <w:kern w:val="0"/>
          <w14:ligatures w14:val="none"/>
        </w:rPr>
        <w:t xml:space="preserve"> and </w:t>
      </w:r>
      <w:proofErr w:type="spellStart"/>
      <w:r w:rsidR="00A5591D" w:rsidRPr="000E6478">
        <w:rPr>
          <w:rFonts w:asciiTheme="majorBidi" w:eastAsia="Times New Roman" w:hAnsiTheme="majorBidi" w:cstheme="majorBidi"/>
          <w:kern w:val="0"/>
          <w14:ligatures w14:val="none"/>
        </w:rPr>
        <w:t>Dzau</w:t>
      </w:r>
      <w:proofErr w:type="spellEnd"/>
      <w:r w:rsidR="00A5591D" w:rsidRPr="000E6478">
        <w:rPr>
          <w:rFonts w:asciiTheme="majorBidi" w:eastAsia="Times New Roman" w:hAnsiTheme="majorBidi" w:cstheme="majorBidi"/>
          <w:kern w:val="0"/>
          <w14:ligatures w14:val="none"/>
        </w:rPr>
        <w:t>, 2021)</w:t>
      </w:r>
      <w:r w:rsidR="00C7721B" w:rsidRPr="000E6478">
        <w:rPr>
          <w:rFonts w:asciiTheme="majorBidi" w:hAnsiTheme="majorBidi" w:cstheme="majorBidi"/>
          <w:bCs/>
          <w:color w:val="000000" w:themeColor="text1"/>
        </w:rPr>
        <w:t xml:space="preserve">. Delivery must be a combination of </w:t>
      </w:r>
      <w:proofErr w:type="spellStart"/>
      <w:r w:rsidR="00C7721B" w:rsidRPr="000E6478">
        <w:rPr>
          <w:rFonts w:asciiTheme="majorBidi" w:hAnsiTheme="majorBidi" w:cstheme="majorBidi"/>
          <w:bCs/>
          <w:color w:val="000000" w:themeColor="text1"/>
        </w:rPr>
        <w:t>microlearning</w:t>
      </w:r>
      <w:proofErr w:type="spellEnd"/>
      <w:r w:rsidR="00C7721B" w:rsidRPr="000E6478">
        <w:rPr>
          <w:rFonts w:asciiTheme="majorBidi" w:hAnsiTheme="majorBidi" w:cstheme="majorBidi"/>
          <w:bCs/>
          <w:color w:val="000000" w:themeColor="text1"/>
        </w:rPr>
        <w:t>, workshops, online course and applied projects. This would make employees keep on enhancing their skills instead of having intermittent training programmes.</w:t>
      </w:r>
    </w:p>
    <w:p w14:paraId="7C7266E6" w14:textId="77777777" w:rsidR="00DC4CD7" w:rsidRPr="000E6478" w:rsidRDefault="00C7721B" w:rsidP="00CF17E9">
      <w:pPr>
        <w:pStyle w:val="ListParagraph"/>
        <w:numPr>
          <w:ilvl w:val="0"/>
          <w:numId w:val="13"/>
        </w:numPr>
        <w:spacing w:after="0" w:line="360" w:lineRule="auto"/>
        <w:jc w:val="both"/>
        <w:rPr>
          <w:rFonts w:asciiTheme="majorBidi" w:hAnsiTheme="majorBidi" w:cstheme="majorBidi"/>
          <w:b/>
          <w:bCs/>
          <w:color w:val="000000" w:themeColor="text1"/>
        </w:rPr>
      </w:pPr>
      <w:r w:rsidRPr="000E6478">
        <w:rPr>
          <w:rFonts w:asciiTheme="majorBidi" w:hAnsiTheme="majorBidi" w:cstheme="majorBidi"/>
          <w:b/>
          <w:bCs/>
          <w:color w:val="000000" w:themeColor="text1"/>
        </w:rPr>
        <w:t>Individual Development Plans</w:t>
      </w:r>
      <w:r w:rsidR="00DC4CD7" w:rsidRPr="000E6478">
        <w:rPr>
          <w:rFonts w:asciiTheme="majorBidi" w:hAnsiTheme="majorBidi" w:cstheme="majorBidi"/>
          <w:b/>
          <w:bCs/>
          <w:color w:val="000000" w:themeColor="text1"/>
        </w:rPr>
        <w:t xml:space="preserve">: </w:t>
      </w:r>
      <w:r w:rsidRPr="000E6478">
        <w:rPr>
          <w:rFonts w:asciiTheme="majorBidi" w:hAnsiTheme="majorBidi" w:cstheme="majorBidi"/>
          <w:bCs/>
          <w:color w:val="000000" w:themeColor="text1"/>
        </w:rPr>
        <w:t>Each of the employees is to be provided with a yearly or twice a year development plan entailing their present competencies, future career objectives, and competencies deficiencies, developmental goals, development activities, and future roles. These plans should be revised by managers on a regular basis and development objectives must be tied to organisational priorities.</w:t>
      </w:r>
    </w:p>
    <w:p w14:paraId="670E40CA" w14:textId="68CD0FE8" w:rsidR="00C7721B" w:rsidRPr="00054CC6" w:rsidRDefault="00C7721B" w:rsidP="00CF17E9">
      <w:pPr>
        <w:pStyle w:val="ListParagraph"/>
        <w:numPr>
          <w:ilvl w:val="0"/>
          <w:numId w:val="13"/>
        </w:numPr>
        <w:spacing w:after="0" w:line="360" w:lineRule="auto"/>
        <w:jc w:val="both"/>
        <w:rPr>
          <w:rFonts w:asciiTheme="majorBidi" w:hAnsiTheme="majorBidi" w:cstheme="majorBidi"/>
          <w:bCs/>
          <w:color w:val="000000" w:themeColor="text1"/>
        </w:rPr>
      </w:pPr>
      <w:r w:rsidRPr="00054CC6">
        <w:rPr>
          <w:rFonts w:asciiTheme="majorBidi" w:hAnsiTheme="majorBidi" w:cstheme="majorBidi"/>
          <w:b/>
          <w:bCs/>
          <w:color w:val="000000" w:themeColor="text1"/>
        </w:rPr>
        <w:t>Career Pathways and Internal Mobility</w:t>
      </w:r>
      <w:r w:rsidR="00DC4CD7" w:rsidRPr="00054CC6">
        <w:rPr>
          <w:rFonts w:asciiTheme="majorBidi" w:hAnsiTheme="majorBidi" w:cstheme="majorBidi"/>
          <w:b/>
          <w:bCs/>
          <w:color w:val="000000" w:themeColor="text1"/>
        </w:rPr>
        <w:t xml:space="preserve">: </w:t>
      </w:r>
      <w:r w:rsidRPr="00054CC6">
        <w:rPr>
          <w:rFonts w:asciiTheme="majorBidi" w:hAnsiTheme="majorBidi" w:cstheme="majorBidi"/>
          <w:bCs/>
          <w:color w:val="000000" w:themeColor="text1"/>
        </w:rPr>
        <w:t>Career pathways to be considere</w:t>
      </w:r>
      <w:r w:rsidR="00054CC6" w:rsidRPr="00054CC6">
        <w:rPr>
          <w:rFonts w:asciiTheme="majorBidi" w:hAnsiTheme="majorBidi" w:cstheme="majorBidi"/>
          <w:bCs/>
          <w:color w:val="000000" w:themeColor="text1"/>
        </w:rPr>
        <w:t xml:space="preserve">d by NHSX should be transparent. </w:t>
      </w:r>
      <w:r w:rsidRPr="00054CC6">
        <w:rPr>
          <w:rFonts w:asciiTheme="majorBidi" w:hAnsiTheme="majorBidi" w:cstheme="majorBidi"/>
          <w:bCs/>
          <w:color w:val="000000" w:themeColor="text1"/>
        </w:rPr>
        <w:t>Employees should be made aware of internal vacancies, short-term assignments and project rotations. This goes straight to the existing retention issue facing the organisation showing that a career build can be achieved without needing to leave NHSX.</w:t>
      </w:r>
    </w:p>
    <w:p w14:paraId="55BD12D1" w14:textId="3D761CB1" w:rsidR="00DC4CD7" w:rsidRPr="000E6478" w:rsidRDefault="00C7721B" w:rsidP="00CF17E9">
      <w:pPr>
        <w:pStyle w:val="ListParagraph"/>
        <w:numPr>
          <w:ilvl w:val="0"/>
          <w:numId w:val="20"/>
        </w:num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
          <w:bCs/>
          <w:color w:val="000000" w:themeColor="text1"/>
        </w:rPr>
        <w:t>Mentoring and Coaching</w:t>
      </w:r>
      <w:r w:rsidR="00DC4CD7" w:rsidRPr="000E6478">
        <w:rPr>
          <w:rFonts w:asciiTheme="majorBidi" w:hAnsiTheme="majorBidi" w:cstheme="majorBidi"/>
          <w:b/>
          <w:bCs/>
          <w:color w:val="000000" w:themeColor="text1"/>
        </w:rPr>
        <w:t xml:space="preserve">: </w:t>
      </w:r>
      <w:r w:rsidRPr="000E6478">
        <w:rPr>
          <w:rFonts w:asciiTheme="majorBidi" w:hAnsiTheme="majorBidi" w:cstheme="majorBidi"/>
          <w:bCs/>
          <w:color w:val="000000" w:themeColor="text1"/>
        </w:rPr>
        <w:t xml:space="preserve">Senior-junior mentoring, reverse mentoring, cross-country mentoring and leadership coaching are some of the mentoring processes that should be included in structured mentoring programme. Peer learning may reinforce the transfer of knowledge across geographical locations by enabling the top managers to gain insights into the views of </w:t>
      </w:r>
      <w:r w:rsidRPr="000E6478">
        <w:rPr>
          <w:rFonts w:asciiTheme="majorBidi" w:hAnsiTheme="majorBidi" w:cstheme="majorBidi"/>
          <w:bCs/>
          <w:color w:val="000000" w:themeColor="text1"/>
        </w:rPr>
        <w:lastRenderedPageBreak/>
        <w:t>younger workers towards technology, flexibility and career goals through reverse mentoring</w:t>
      </w:r>
      <w:r w:rsidR="007C3C01" w:rsidRPr="000E6478">
        <w:rPr>
          <w:rFonts w:asciiTheme="majorBidi" w:hAnsiTheme="majorBidi" w:cstheme="majorBidi"/>
          <w:bCs/>
          <w:color w:val="000000" w:themeColor="text1"/>
        </w:rPr>
        <w:t xml:space="preserve"> </w:t>
      </w:r>
      <w:r w:rsidR="007C3C01" w:rsidRPr="000E6478">
        <w:rPr>
          <w:rFonts w:asciiTheme="majorBidi" w:eastAsia="Times New Roman" w:hAnsiTheme="majorBidi" w:cstheme="majorBidi"/>
          <w:kern w:val="0"/>
          <w14:ligatures w14:val="none"/>
        </w:rPr>
        <w:t>(Chaudhuri, Park and Johnson, 2021)</w:t>
      </w:r>
      <w:r w:rsidRPr="000E6478">
        <w:rPr>
          <w:rFonts w:asciiTheme="majorBidi" w:hAnsiTheme="majorBidi" w:cstheme="majorBidi"/>
          <w:bCs/>
          <w:color w:val="000000" w:themeColor="text1"/>
        </w:rPr>
        <w:t>.</w:t>
      </w:r>
    </w:p>
    <w:p w14:paraId="1D2A4B83" w14:textId="48ECF44C" w:rsidR="00C7721B" w:rsidRPr="000E6478" w:rsidRDefault="00C7721B" w:rsidP="00CF17E9">
      <w:pPr>
        <w:pStyle w:val="ListParagraph"/>
        <w:numPr>
          <w:ilvl w:val="0"/>
          <w:numId w:val="14"/>
        </w:numPr>
        <w:spacing w:after="0" w:line="360" w:lineRule="auto"/>
        <w:jc w:val="both"/>
        <w:rPr>
          <w:rFonts w:asciiTheme="majorBidi" w:hAnsiTheme="majorBidi" w:cstheme="majorBidi"/>
          <w:bCs/>
          <w:color w:val="000000" w:themeColor="text1"/>
        </w:rPr>
      </w:pPr>
      <w:r w:rsidRPr="000E6478">
        <w:rPr>
          <w:rFonts w:asciiTheme="majorBidi" w:hAnsiTheme="majorBidi" w:cstheme="majorBidi"/>
          <w:b/>
          <w:bCs/>
          <w:color w:val="000000" w:themeColor="text1"/>
        </w:rPr>
        <w:t>Psychological Safety and Innovation Culture</w:t>
      </w:r>
      <w:r w:rsidR="00DC4CD7" w:rsidRPr="000E6478">
        <w:rPr>
          <w:rFonts w:asciiTheme="majorBidi" w:hAnsiTheme="majorBidi" w:cstheme="majorBidi"/>
          <w:b/>
          <w:bCs/>
          <w:color w:val="000000" w:themeColor="text1"/>
        </w:rPr>
        <w:t xml:space="preserve">: </w:t>
      </w:r>
      <w:r w:rsidRPr="000E6478">
        <w:rPr>
          <w:rFonts w:asciiTheme="majorBidi" w:hAnsiTheme="majorBidi" w:cstheme="majorBidi"/>
          <w:bCs/>
          <w:color w:val="000000" w:themeColor="text1"/>
        </w:rPr>
        <w:t>NHSX is advised to form innovation forums, employee-voice, periodic project retrospectives and safe feedback. Learning, trial and error and positive challenge should be rewarded among employees. Innovation can be fostered through a "fail, learn and improve" principle but it should be differentiated with avoidance of taking unacceptable risk. Experimentation of patient information or clinical decision-making in healthcare technology has to be under relevant governance and safety measures.</w:t>
      </w:r>
    </w:p>
    <w:p w14:paraId="1B367763" w14:textId="1CA4ECA7" w:rsidR="00C7721B" w:rsidRPr="000E6478" w:rsidRDefault="00C7721B" w:rsidP="00CF17E9">
      <w:pPr>
        <w:pStyle w:val="Heading2"/>
        <w:numPr>
          <w:ilvl w:val="1"/>
          <w:numId w:val="12"/>
        </w:numPr>
        <w:spacing w:before="0" w:after="0" w:line="360" w:lineRule="auto"/>
        <w:rPr>
          <w:rFonts w:asciiTheme="majorBidi" w:hAnsiTheme="majorBidi"/>
          <w:b/>
          <w:bCs/>
          <w:color w:val="000000" w:themeColor="text1"/>
          <w:sz w:val="24"/>
          <w:szCs w:val="24"/>
        </w:rPr>
      </w:pPr>
      <w:bookmarkStart w:id="5" w:name="_Toc242772080"/>
      <w:r w:rsidRPr="000E6478">
        <w:rPr>
          <w:rFonts w:asciiTheme="majorBidi" w:hAnsiTheme="majorBidi"/>
          <w:b/>
          <w:bCs/>
          <w:color w:val="000000" w:themeColor="text1"/>
          <w:sz w:val="24"/>
          <w:szCs w:val="24"/>
        </w:rPr>
        <w:t>Measuring Talent Strategy Success</w:t>
      </w:r>
      <w:bookmarkEnd w:id="5"/>
    </w:p>
    <w:p w14:paraId="17599D0B" w14:textId="77777777" w:rsidR="00FE0FD3" w:rsidRPr="000E6478" w:rsidRDefault="00C7721B" w:rsidP="00CF17E9">
      <w:pPr>
        <w:spacing w:after="0" w:line="360" w:lineRule="auto"/>
        <w:jc w:val="both"/>
        <w:rPr>
          <w:rFonts w:asciiTheme="majorBidi" w:hAnsiTheme="majorBidi" w:cstheme="majorBidi"/>
          <w:bCs/>
          <w:color w:val="000000" w:themeColor="text1"/>
        </w:rPr>
      </w:pPr>
      <w:r w:rsidRPr="000E6478">
        <w:rPr>
          <w:rFonts w:asciiTheme="majorBidi" w:hAnsiTheme="majorBidi" w:cstheme="majorBidi"/>
          <w:bCs/>
          <w:color w:val="000000" w:themeColor="text1"/>
        </w:rPr>
        <w:t>The strategy can be measured by NHSX based on such indicators as employee retention, voluntary high performer turnover, internal promotion, training participation, skills development, engagement, psychological safety, innovation completion, internal mobility and wellbeing/absence indicators. These measures need to be looked at in combination not in separate messages such that better productivity is attained at the cost of employee wellbeing.</w:t>
      </w:r>
      <w:r w:rsidR="00FE0FD3" w:rsidRPr="000E6478">
        <w:rPr>
          <w:rFonts w:asciiTheme="majorBidi" w:hAnsiTheme="majorBidi" w:cstheme="majorBidi"/>
          <w:bCs/>
          <w:color w:val="000000" w:themeColor="text1"/>
        </w:rPr>
        <w:t xml:space="preserve"> </w:t>
      </w:r>
    </w:p>
    <w:p w14:paraId="03A13D0E" w14:textId="6BD64D1F" w:rsidR="00CD7AF0" w:rsidRPr="000E6478" w:rsidRDefault="00C7721B" w:rsidP="00CF17E9">
      <w:pPr>
        <w:spacing w:after="0" w:line="360" w:lineRule="auto"/>
        <w:jc w:val="both"/>
        <w:rPr>
          <w:rFonts w:asciiTheme="majorBidi" w:hAnsiTheme="majorBidi" w:cstheme="majorBidi"/>
          <w:bCs/>
          <w:color w:val="000000" w:themeColor="text1"/>
        </w:rPr>
      </w:pPr>
      <w:r w:rsidRPr="000E6478">
        <w:rPr>
          <w:rFonts w:asciiTheme="majorBidi" w:hAnsiTheme="majorBidi" w:cstheme="majorBidi"/>
          <w:bCs/>
          <w:color w:val="000000" w:themeColor="text1"/>
        </w:rPr>
        <w:t>In general, the talent ecosystem at NHSX ought to align learning, autonomy, the psychological safety, career development, recognition and wellbeing. This kind of integrated focus can lead to a shift of talent management as a reactive retention system to more of a strategic organisational capability.</w:t>
      </w:r>
    </w:p>
    <w:p w14:paraId="25C30F84" w14:textId="77777777" w:rsidR="00CD7AF0" w:rsidRPr="000E6478" w:rsidRDefault="00CD7AF0" w:rsidP="00CF17E9">
      <w:pPr>
        <w:pStyle w:val="Heading1"/>
        <w:numPr>
          <w:ilvl w:val="0"/>
          <w:numId w:val="12"/>
        </w:numPr>
        <w:spacing w:before="0" w:after="0" w:line="360" w:lineRule="auto"/>
        <w:rPr>
          <w:rFonts w:asciiTheme="majorBidi" w:hAnsiTheme="majorBidi"/>
          <w:b/>
          <w:bCs/>
          <w:color w:val="000000" w:themeColor="text1"/>
          <w:sz w:val="24"/>
          <w:szCs w:val="24"/>
        </w:rPr>
      </w:pPr>
      <w:bookmarkStart w:id="6" w:name="_Toc242772081"/>
      <w:r w:rsidRPr="000E6478">
        <w:rPr>
          <w:rFonts w:asciiTheme="majorBidi" w:hAnsiTheme="majorBidi"/>
          <w:b/>
          <w:bCs/>
          <w:color w:val="000000" w:themeColor="text1"/>
          <w:sz w:val="24"/>
          <w:szCs w:val="24"/>
        </w:rPr>
        <w:t>TASK C: Reflective Report</w:t>
      </w:r>
      <w:bookmarkEnd w:id="6"/>
    </w:p>
    <w:p w14:paraId="2E8987A9" w14:textId="0665D111" w:rsidR="004D47ED" w:rsidRPr="000E6478" w:rsidRDefault="004D47ED" w:rsidP="00CF17E9">
      <w:pPr>
        <w:pStyle w:val="Heading2"/>
        <w:numPr>
          <w:ilvl w:val="1"/>
          <w:numId w:val="12"/>
        </w:numPr>
        <w:spacing w:before="0" w:after="0" w:line="360" w:lineRule="auto"/>
        <w:rPr>
          <w:rFonts w:asciiTheme="majorBidi" w:hAnsiTheme="majorBidi"/>
          <w:b/>
          <w:bCs/>
          <w:color w:val="000000" w:themeColor="text1"/>
          <w:sz w:val="24"/>
          <w:szCs w:val="24"/>
        </w:rPr>
      </w:pPr>
      <w:bookmarkStart w:id="7" w:name="_Toc242772082"/>
      <w:r w:rsidRPr="000E6478">
        <w:rPr>
          <w:rFonts w:asciiTheme="majorBidi" w:hAnsiTheme="majorBidi"/>
          <w:b/>
          <w:bCs/>
          <w:color w:val="000000" w:themeColor="text1"/>
          <w:sz w:val="24"/>
          <w:szCs w:val="24"/>
        </w:rPr>
        <w:t>Artificial Intelligence a</w:t>
      </w:r>
      <w:r w:rsidR="007A1991" w:rsidRPr="000E6478">
        <w:rPr>
          <w:rFonts w:asciiTheme="majorBidi" w:hAnsiTheme="majorBidi"/>
          <w:b/>
          <w:bCs/>
          <w:color w:val="000000" w:themeColor="text1"/>
          <w:sz w:val="24"/>
          <w:szCs w:val="24"/>
        </w:rPr>
        <w:t>s a Strategic HRM means</w:t>
      </w:r>
      <w:bookmarkEnd w:id="7"/>
    </w:p>
    <w:p w14:paraId="6A8532CA" w14:textId="71CCD2C8" w:rsidR="004D47ED" w:rsidRPr="000E6478" w:rsidRDefault="004D47ED" w:rsidP="00CF17E9">
      <w:pPr>
        <w:spacing w:after="0" w:line="360" w:lineRule="auto"/>
        <w:jc w:val="both"/>
        <w:rPr>
          <w:rFonts w:asciiTheme="majorBidi" w:eastAsia="Times New Roman" w:hAnsiTheme="majorBidi" w:cstheme="majorBidi"/>
          <w:kern w:val="0"/>
          <w14:ligatures w14:val="none"/>
        </w:rPr>
      </w:pPr>
      <w:r w:rsidRPr="000E6478">
        <w:rPr>
          <w:rFonts w:asciiTheme="majorBidi" w:hAnsiTheme="majorBidi" w:cstheme="majorBidi"/>
          <w:bCs/>
          <w:color w:val="000000" w:themeColor="text1"/>
        </w:rPr>
        <w:t>Artificial Intelligence (AI) is a strategic decision-support tool that is being extensively applied in Human Resource Management (HRM)</w:t>
      </w:r>
      <w:r w:rsidR="003D1E6D" w:rsidRPr="000E6478">
        <w:rPr>
          <w:rFonts w:asciiTheme="majorBidi" w:hAnsiTheme="majorBidi" w:cstheme="majorBidi"/>
          <w:bCs/>
          <w:color w:val="000000" w:themeColor="text1"/>
        </w:rPr>
        <w:t xml:space="preserve"> </w:t>
      </w:r>
      <w:r w:rsidR="003D1E6D" w:rsidRPr="000E6478">
        <w:rPr>
          <w:rFonts w:asciiTheme="majorBidi" w:eastAsia="Times New Roman" w:hAnsiTheme="majorBidi" w:cstheme="majorBidi"/>
          <w:kern w:val="0"/>
          <w14:ligatures w14:val="none"/>
        </w:rPr>
        <w:t>(</w:t>
      </w:r>
      <w:proofErr w:type="spellStart"/>
      <w:r w:rsidR="003D1E6D" w:rsidRPr="000E6478">
        <w:rPr>
          <w:rFonts w:asciiTheme="majorBidi" w:eastAsia="Times New Roman" w:hAnsiTheme="majorBidi" w:cstheme="majorBidi"/>
          <w:kern w:val="0"/>
          <w14:ligatures w14:val="none"/>
        </w:rPr>
        <w:t>Vrontis</w:t>
      </w:r>
      <w:proofErr w:type="spellEnd"/>
      <w:r w:rsidR="003D1E6D" w:rsidRPr="000E6478">
        <w:rPr>
          <w:rFonts w:asciiTheme="majorBidi" w:eastAsia="Times New Roman" w:hAnsiTheme="majorBidi" w:cstheme="majorBidi"/>
          <w:kern w:val="0"/>
          <w14:ligatures w14:val="none"/>
        </w:rPr>
        <w:t xml:space="preserve"> et al., 2023)</w:t>
      </w:r>
      <w:r w:rsidRPr="000E6478">
        <w:rPr>
          <w:rFonts w:asciiTheme="majorBidi" w:hAnsiTheme="majorBidi" w:cstheme="majorBidi"/>
          <w:bCs/>
          <w:color w:val="000000" w:themeColor="text1"/>
        </w:rPr>
        <w:t>. It is able to facilitate the process of recruitment, talent identification, workforce forecasting, skills-gap analysis, personalised learning and employee engagement analysis. AI is also capable of supplying performance data and assists human resource professionals with the trends of the workforce. The OECD (2024) acknowledges the potential offered by AI in the workplace and the importance of responsible usage and human supervision.</w:t>
      </w:r>
      <w:r w:rsidR="00DC4CD7" w:rsidRPr="000E6478">
        <w:rPr>
          <w:rFonts w:asciiTheme="majorBidi" w:hAnsiTheme="majorBidi" w:cstheme="majorBidi"/>
          <w:bCs/>
          <w:color w:val="000000" w:themeColor="text1"/>
        </w:rPr>
        <w:t xml:space="preserve"> </w:t>
      </w:r>
      <w:r w:rsidRPr="000E6478">
        <w:rPr>
          <w:rFonts w:asciiTheme="majorBidi" w:hAnsiTheme="majorBidi" w:cstheme="majorBidi"/>
          <w:bCs/>
          <w:color w:val="000000" w:themeColor="text1"/>
        </w:rPr>
        <w:t xml:space="preserve">Nevertheless, AI is a source of danger too. Algorithms prone to discrimination can replicate discrimination during recruitment and promotion, whereas large amounts of data collection about the employees can lead to privacy and monitoring issues. </w:t>
      </w:r>
    </w:p>
    <w:p w14:paraId="12FA6EB0" w14:textId="77777777" w:rsidR="004D47ED" w:rsidRPr="000E6478" w:rsidRDefault="004D47ED" w:rsidP="00CF17E9">
      <w:pPr>
        <w:pStyle w:val="Heading2"/>
        <w:numPr>
          <w:ilvl w:val="1"/>
          <w:numId w:val="17"/>
        </w:numPr>
        <w:spacing w:before="0" w:after="0" w:line="360" w:lineRule="auto"/>
        <w:rPr>
          <w:rFonts w:asciiTheme="majorBidi" w:hAnsiTheme="majorBidi"/>
          <w:b/>
          <w:bCs/>
          <w:color w:val="000000" w:themeColor="text1"/>
          <w:sz w:val="24"/>
          <w:szCs w:val="24"/>
        </w:rPr>
      </w:pPr>
      <w:bookmarkStart w:id="8" w:name="_Toc242772083"/>
      <w:r w:rsidRPr="000E6478">
        <w:rPr>
          <w:rFonts w:asciiTheme="majorBidi" w:hAnsiTheme="majorBidi"/>
          <w:b/>
          <w:bCs/>
          <w:color w:val="000000" w:themeColor="text1"/>
          <w:sz w:val="24"/>
          <w:szCs w:val="24"/>
        </w:rPr>
        <w:t>Reflective Analysis: Three Examples of Personal AI Use</w:t>
      </w:r>
      <w:bookmarkEnd w:id="8"/>
    </w:p>
    <w:p w14:paraId="2C7520B8" w14:textId="77777777" w:rsidR="004D47ED" w:rsidRPr="000E6478" w:rsidRDefault="004D47ED" w:rsidP="00CF17E9">
      <w:pPr>
        <w:spacing w:after="0" w:line="360" w:lineRule="auto"/>
        <w:rPr>
          <w:rFonts w:asciiTheme="majorBidi" w:hAnsiTheme="majorBidi" w:cstheme="majorBidi"/>
          <w:bCs/>
          <w:color w:val="000000" w:themeColor="text1"/>
        </w:rPr>
      </w:pPr>
      <w:r w:rsidRPr="000E6478">
        <w:rPr>
          <w:rFonts w:asciiTheme="majorBidi" w:hAnsiTheme="majorBidi" w:cstheme="majorBidi"/>
          <w:bCs/>
          <w:color w:val="000000" w:themeColor="text1"/>
        </w:rPr>
        <w:t>With the help of the Reflective Cycle introduced by Gibbs (1988), I will be able to assess how AI has contributed to my professional development in terms of capability.</w:t>
      </w:r>
    </w:p>
    <w:p w14:paraId="65EE95A3" w14:textId="1E43D898" w:rsidR="007A1991" w:rsidRPr="000E6478" w:rsidRDefault="007A1991" w:rsidP="00CF17E9">
      <w:pPr>
        <w:pStyle w:val="ListParagraph"/>
        <w:numPr>
          <w:ilvl w:val="0"/>
          <w:numId w:val="18"/>
        </w:numPr>
        <w:spacing w:after="0" w:line="360" w:lineRule="auto"/>
        <w:jc w:val="both"/>
        <w:rPr>
          <w:rFonts w:asciiTheme="majorBidi" w:hAnsiTheme="majorBidi" w:cstheme="majorBidi"/>
          <w:b/>
          <w:bCs/>
          <w:color w:val="000000" w:themeColor="text1"/>
        </w:rPr>
      </w:pPr>
      <w:r w:rsidRPr="000E6478">
        <w:rPr>
          <w:rFonts w:asciiTheme="majorBidi" w:hAnsiTheme="majorBidi" w:cstheme="majorBidi"/>
          <w:b/>
          <w:bCs/>
          <w:color w:val="000000" w:themeColor="text1"/>
        </w:rPr>
        <w:t xml:space="preserve">Example 1 - </w:t>
      </w:r>
      <w:r w:rsidRPr="000E6478">
        <w:rPr>
          <w:rFonts w:asciiTheme="majorBidi" w:hAnsiTheme="majorBidi" w:cstheme="majorBidi"/>
          <w:b/>
          <w:color w:val="000000" w:themeColor="text1"/>
        </w:rPr>
        <w:t>Academic Research:</w:t>
      </w:r>
      <w:r w:rsidR="004D47ED" w:rsidRPr="000E6478">
        <w:rPr>
          <w:rFonts w:asciiTheme="majorBidi" w:hAnsiTheme="majorBidi" w:cstheme="majorBidi"/>
          <w:bCs/>
          <w:color w:val="000000" w:themeColor="text1"/>
        </w:rPr>
        <w:t xml:space="preserve"> I have employed AI in the development of research concepts, finding themes and organization of scholarly texts. This helped me to be more efficient in my research and opened me to other views. Nonetheless, AI has the potential to </w:t>
      </w:r>
      <w:r w:rsidR="004D47ED" w:rsidRPr="000E6478">
        <w:rPr>
          <w:rFonts w:asciiTheme="majorBidi" w:hAnsiTheme="majorBidi" w:cstheme="majorBidi"/>
          <w:bCs/>
          <w:color w:val="000000" w:themeColor="text1"/>
        </w:rPr>
        <w:lastRenderedPageBreak/>
        <w:t>generate misleading information and invalid sources. I thus got to know how to validate information that AI gives by means of genuine scholarly articles, enhancing my ability to think critically and conduct research.</w:t>
      </w:r>
    </w:p>
    <w:p w14:paraId="2EDCEAFD" w14:textId="72C445DA" w:rsidR="007A1991" w:rsidRPr="000E6478" w:rsidRDefault="004D47ED" w:rsidP="00CF17E9">
      <w:pPr>
        <w:pStyle w:val="ListParagraph"/>
        <w:numPr>
          <w:ilvl w:val="0"/>
          <w:numId w:val="18"/>
        </w:numPr>
        <w:spacing w:after="0" w:line="360" w:lineRule="auto"/>
        <w:jc w:val="both"/>
        <w:rPr>
          <w:rFonts w:asciiTheme="majorBidi" w:hAnsiTheme="majorBidi" w:cstheme="majorBidi"/>
          <w:b/>
          <w:bCs/>
          <w:color w:val="000000" w:themeColor="text1"/>
        </w:rPr>
      </w:pPr>
      <w:r w:rsidRPr="000E6478">
        <w:rPr>
          <w:rFonts w:asciiTheme="majorBidi" w:hAnsiTheme="majorBidi" w:cstheme="majorBidi"/>
          <w:b/>
          <w:bCs/>
          <w:color w:val="000000" w:themeColor="text1"/>
        </w:rPr>
        <w:t>Example 2</w:t>
      </w:r>
      <w:r w:rsidR="007A1991" w:rsidRPr="000E6478">
        <w:rPr>
          <w:rFonts w:asciiTheme="majorBidi" w:hAnsiTheme="majorBidi" w:cstheme="majorBidi"/>
          <w:b/>
          <w:bCs/>
          <w:color w:val="000000" w:themeColor="text1"/>
        </w:rPr>
        <w:t xml:space="preserve"> - </w:t>
      </w:r>
      <w:r w:rsidRPr="000E6478">
        <w:rPr>
          <w:rFonts w:asciiTheme="majorBidi" w:hAnsiTheme="majorBidi" w:cstheme="majorBidi"/>
          <w:b/>
          <w:color w:val="000000" w:themeColor="text1"/>
        </w:rPr>
        <w:t>Writing and Communication</w:t>
      </w:r>
      <w:r w:rsidR="007A1991" w:rsidRPr="000E6478">
        <w:rPr>
          <w:rFonts w:asciiTheme="majorBidi" w:hAnsiTheme="majorBidi" w:cstheme="majorBidi"/>
          <w:b/>
          <w:color w:val="000000" w:themeColor="text1"/>
        </w:rPr>
        <w:t xml:space="preserve">: </w:t>
      </w:r>
      <w:r w:rsidRPr="000E6478">
        <w:rPr>
          <w:rFonts w:asciiTheme="majorBidi" w:hAnsiTheme="majorBidi" w:cstheme="majorBidi"/>
          <w:bCs/>
          <w:color w:val="000000" w:themeColor="text1"/>
        </w:rPr>
        <w:t>I have applied AI to boost grammar, structure and clarity. This assisted me to communicate better but over reliance might undermine independent writing and critical thinking. I thus involve AI as an editing and brainstorming tool retaining responsibility of the argument and end product.</w:t>
      </w:r>
    </w:p>
    <w:p w14:paraId="1E50D6E7" w14:textId="6522B88A" w:rsidR="003D0F6C" w:rsidRPr="000E6478" w:rsidRDefault="004D47ED" w:rsidP="00CF17E9">
      <w:pPr>
        <w:pStyle w:val="ListParagraph"/>
        <w:numPr>
          <w:ilvl w:val="0"/>
          <w:numId w:val="18"/>
        </w:numPr>
        <w:spacing w:after="0" w:line="360" w:lineRule="auto"/>
        <w:jc w:val="both"/>
        <w:rPr>
          <w:rFonts w:asciiTheme="majorBidi" w:hAnsiTheme="majorBidi" w:cstheme="majorBidi"/>
          <w:b/>
          <w:bCs/>
          <w:color w:val="000000" w:themeColor="text1"/>
        </w:rPr>
      </w:pPr>
      <w:r w:rsidRPr="000E6478">
        <w:rPr>
          <w:rFonts w:asciiTheme="majorBidi" w:hAnsiTheme="majorBidi" w:cstheme="majorBidi"/>
          <w:b/>
          <w:bCs/>
          <w:color w:val="000000" w:themeColor="text1"/>
        </w:rPr>
        <w:t>Example 3</w:t>
      </w:r>
      <w:r w:rsidR="007A1991" w:rsidRPr="000E6478">
        <w:rPr>
          <w:rFonts w:asciiTheme="majorBidi" w:hAnsiTheme="majorBidi" w:cstheme="majorBidi"/>
          <w:b/>
          <w:bCs/>
          <w:color w:val="000000" w:themeColor="text1"/>
        </w:rPr>
        <w:t xml:space="preserve"> - </w:t>
      </w:r>
      <w:r w:rsidRPr="000E6478">
        <w:rPr>
          <w:rFonts w:asciiTheme="majorBidi" w:hAnsiTheme="majorBidi" w:cstheme="majorBidi"/>
          <w:b/>
          <w:color w:val="000000" w:themeColor="text1"/>
        </w:rPr>
        <w:t>Problem-Solving and Career Development</w:t>
      </w:r>
      <w:r w:rsidR="007A1991" w:rsidRPr="000E6478">
        <w:rPr>
          <w:rFonts w:asciiTheme="majorBidi" w:hAnsiTheme="majorBidi" w:cstheme="majorBidi"/>
          <w:bCs/>
          <w:color w:val="000000" w:themeColor="text1"/>
        </w:rPr>
        <w:t xml:space="preserve">: </w:t>
      </w:r>
      <w:r w:rsidRPr="000E6478">
        <w:rPr>
          <w:rFonts w:asciiTheme="majorBidi" w:hAnsiTheme="majorBidi" w:cstheme="majorBidi"/>
          <w:bCs/>
          <w:color w:val="000000" w:themeColor="text1"/>
        </w:rPr>
        <w:t xml:space="preserve">I have applied AI to investigate career opportunities, </w:t>
      </w:r>
      <w:r w:rsidR="00997653">
        <w:rPr>
          <w:rFonts w:asciiTheme="majorBidi" w:hAnsiTheme="majorBidi" w:cstheme="majorBidi"/>
          <w:bCs/>
          <w:color w:val="000000" w:themeColor="text1"/>
        </w:rPr>
        <w:t xml:space="preserve">evaluate </w:t>
      </w:r>
      <w:r w:rsidRPr="000E6478">
        <w:rPr>
          <w:rFonts w:asciiTheme="majorBidi" w:hAnsiTheme="majorBidi" w:cstheme="majorBidi"/>
          <w:bCs/>
          <w:color w:val="000000" w:themeColor="text1"/>
        </w:rPr>
        <w:t>professional situational challenges and locate employability skills. This was quick to get feedback but recommendations were generic. I got to know how to take AI recommendations and integrate them with my personal judgment and situation, which enhances my problem-solving and career-planning abilities.</w:t>
      </w:r>
    </w:p>
    <w:p w14:paraId="01426726" w14:textId="2AC9E487" w:rsidR="00CD7AF0" w:rsidRPr="000E6478" w:rsidRDefault="00CD7AF0" w:rsidP="00CF17E9">
      <w:pPr>
        <w:pStyle w:val="Heading2"/>
        <w:numPr>
          <w:ilvl w:val="1"/>
          <w:numId w:val="17"/>
        </w:numPr>
        <w:spacing w:before="0" w:after="0" w:line="360" w:lineRule="auto"/>
        <w:rPr>
          <w:rFonts w:asciiTheme="majorBidi" w:hAnsiTheme="majorBidi"/>
          <w:b/>
          <w:bCs/>
          <w:color w:val="000000" w:themeColor="text1"/>
          <w:sz w:val="24"/>
          <w:szCs w:val="24"/>
        </w:rPr>
      </w:pPr>
      <w:bookmarkStart w:id="9" w:name="_Toc242772084"/>
      <w:r w:rsidRPr="000E6478">
        <w:rPr>
          <w:rFonts w:asciiTheme="majorBidi" w:hAnsiTheme="majorBidi"/>
          <w:b/>
          <w:bCs/>
          <w:color w:val="000000" w:themeColor="text1"/>
          <w:sz w:val="24"/>
          <w:szCs w:val="24"/>
        </w:rPr>
        <w:t>Personal Capability Development Plan</w:t>
      </w:r>
      <w:bookmarkEnd w:id="9"/>
    </w:p>
    <w:tbl>
      <w:tblPr>
        <w:tblStyle w:val="GridTable4-Accent5"/>
        <w:tblW w:w="9736" w:type="dxa"/>
        <w:jc w:val="center"/>
        <w:tblLook w:val="04A0" w:firstRow="1" w:lastRow="0" w:firstColumn="1" w:lastColumn="0" w:noHBand="0" w:noVBand="1"/>
      </w:tblPr>
      <w:tblGrid>
        <w:gridCol w:w="1651"/>
        <w:gridCol w:w="2016"/>
        <w:gridCol w:w="1587"/>
        <w:gridCol w:w="1282"/>
        <w:gridCol w:w="1238"/>
        <w:gridCol w:w="1962"/>
      </w:tblGrid>
      <w:tr w:rsidR="007A1991" w:rsidRPr="000E6478" w14:paraId="4E2D85EF" w14:textId="77777777" w:rsidTr="00054CC6">
        <w:trPr>
          <w:cnfStyle w:val="100000000000" w:firstRow="1" w:lastRow="0" w:firstColumn="0" w:lastColumn="0" w:oddVBand="0" w:evenVBand="0" w:oddHBand="0" w:evenHBand="0" w:firstRowFirstColumn="0" w:firstRowLastColumn="0" w:lastRowFirstColumn="0" w:lastRowLastColumn="0"/>
          <w:trHeight w:val="383"/>
          <w:jc w:val="center"/>
        </w:trPr>
        <w:tc>
          <w:tcPr>
            <w:cnfStyle w:val="001000000000" w:firstRow="0" w:lastRow="0" w:firstColumn="1" w:lastColumn="0" w:oddVBand="0" w:evenVBand="0" w:oddHBand="0" w:evenHBand="0" w:firstRowFirstColumn="0" w:firstRowLastColumn="0" w:lastRowFirstColumn="0" w:lastRowLastColumn="0"/>
            <w:tcW w:w="1770" w:type="dxa"/>
            <w:vAlign w:val="center"/>
            <w:hideMark/>
          </w:tcPr>
          <w:p w14:paraId="6B7BD081" w14:textId="77777777" w:rsidR="00CD7AF0" w:rsidRPr="000E6478" w:rsidRDefault="00CD7AF0" w:rsidP="00CF17E9">
            <w:pPr>
              <w:spacing w:line="360" w:lineRule="auto"/>
              <w:jc w:val="center"/>
              <w:rPr>
                <w:rFonts w:asciiTheme="majorBidi" w:hAnsiTheme="majorBidi" w:cstheme="majorBidi"/>
                <w:color w:val="000000" w:themeColor="text1"/>
              </w:rPr>
            </w:pPr>
            <w:r w:rsidRPr="000E6478">
              <w:rPr>
                <w:rFonts w:asciiTheme="majorBidi" w:hAnsiTheme="majorBidi" w:cstheme="majorBidi"/>
                <w:color w:val="000000" w:themeColor="text1"/>
              </w:rPr>
              <w:t>Development Area</w:t>
            </w:r>
          </w:p>
        </w:tc>
        <w:tc>
          <w:tcPr>
            <w:tcW w:w="1907" w:type="dxa"/>
            <w:vAlign w:val="center"/>
            <w:hideMark/>
          </w:tcPr>
          <w:p w14:paraId="07FACB72" w14:textId="77777777" w:rsidR="00CD7AF0" w:rsidRPr="000E6478" w:rsidRDefault="00CD7AF0" w:rsidP="00CF17E9">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Current Capability</w:t>
            </w:r>
          </w:p>
        </w:tc>
        <w:tc>
          <w:tcPr>
            <w:tcW w:w="1619" w:type="dxa"/>
            <w:vAlign w:val="center"/>
            <w:hideMark/>
          </w:tcPr>
          <w:p w14:paraId="3B5B86B1" w14:textId="77777777" w:rsidR="00CD7AF0" w:rsidRPr="000E6478" w:rsidRDefault="00CD7AF0" w:rsidP="00CF17E9">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Development Need</w:t>
            </w:r>
          </w:p>
        </w:tc>
        <w:tc>
          <w:tcPr>
            <w:tcW w:w="1407" w:type="dxa"/>
            <w:vAlign w:val="center"/>
            <w:hideMark/>
          </w:tcPr>
          <w:p w14:paraId="414B0992" w14:textId="77777777" w:rsidR="00CD7AF0" w:rsidRPr="000E6478" w:rsidRDefault="00CD7AF0" w:rsidP="00CF17E9">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Action</w:t>
            </w:r>
          </w:p>
        </w:tc>
        <w:tc>
          <w:tcPr>
            <w:tcW w:w="0" w:type="auto"/>
            <w:vAlign w:val="center"/>
            <w:hideMark/>
          </w:tcPr>
          <w:p w14:paraId="76BAF4A3" w14:textId="77777777" w:rsidR="00CD7AF0" w:rsidRPr="000E6478" w:rsidRDefault="00CD7AF0" w:rsidP="00CF17E9">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Timescale</w:t>
            </w:r>
          </w:p>
        </w:tc>
        <w:tc>
          <w:tcPr>
            <w:tcW w:w="0" w:type="auto"/>
            <w:vAlign w:val="center"/>
            <w:hideMark/>
          </w:tcPr>
          <w:p w14:paraId="7D47FFCE" w14:textId="77777777" w:rsidR="00CD7AF0" w:rsidRPr="000E6478" w:rsidRDefault="00CD7AF0" w:rsidP="00CF17E9">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Success Measure</w:t>
            </w:r>
          </w:p>
        </w:tc>
      </w:tr>
      <w:tr w:rsidR="007A1991" w:rsidRPr="000E6478" w14:paraId="2B5D1E96" w14:textId="77777777" w:rsidTr="00054CC6">
        <w:trPr>
          <w:cnfStyle w:val="000000100000" w:firstRow="0" w:lastRow="0" w:firstColumn="0" w:lastColumn="0" w:oddVBand="0" w:evenVBand="0" w:oddHBand="1" w:evenHBand="0" w:firstRowFirstColumn="0" w:firstRowLastColumn="0" w:lastRowFirstColumn="0" w:lastRowLastColumn="0"/>
          <w:trHeight w:val="1171"/>
          <w:jc w:val="center"/>
        </w:trPr>
        <w:tc>
          <w:tcPr>
            <w:cnfStyle w:val="001000000000" w:firstRow="0" w:lastRow="0" w:firstColumn="1" w:lastColumn="0" w:oddVBand="0" w:evenVBand="0" w:oddHBand="0" w:evenHBand="0" w:firstRowFirstColumn="0" w:firstRowLastColumn="0" w:lastRowFirstColumn="0" w:lastRowLastColumn="0"/>
            <w:tcW w:w="1770" w:type="dxa"/>
            <w:vAlign w:val="center"/>
            <w:hideMark/>
          </w:tcPr>
          <w:p w14:paraId="437804A8" w14:textId="77777777" w:rsidR="00CD7AF0" w:rsidRPr="00997653" w:rsidRDefault="00CD7AF0" w:rsidP="00CF17E9">
            <w:pPr>
              <w:spacing w:line="360" w:lineRule="auto"/>
              <w:jc w:val="both"/>
              <w:rPr>
                <w:rFonts w:asciiTheme="majorBidi" w:hAnsiTheme="majorBidi" w:cstheme="majorBidi"/>
                <w:color w:val="000000" w:themeColor="text1"/>
              </w:rPr>
            </w:pPr>
            <w:r w:rsidRPr="00997653">
              <w:rPr>
                <w:rFonts w:asciiTheme="majorBidi" w:hAnsiTheme="majorBidi" w:cstheme="majorBidi"/>
                <w:color w:val="000000" w:themeColor="text1"/>
              </w:rPr>
              <w:t>AI literacy</w:t>
            </w:r>
          </w:p>
        </w:tc>
        <w:tc>
          <w:tcPr>
            <w:tcW w:w="1907" w:type="dxa"/>
            <w:vAlign w:val="center"/>
            <w:hideMark/>
          </w:tcPr>
          <w:p w14:paraId="6E576AE8"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Basic/intermediate</w:t>
            </w:r>
          </w:p>
        </w:tc>
        <w:tc>
          <w:tcPr>
            <w:tcW w:w="1619" w:type="dxa"/>
            <w:vAlign w:val="center"/>
            <w:hideMark/>
          </w:tcPr>
          <w:p w14:paraId="2AAD4A3B"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Strategic HR application</w:t>
            </w:r>
          </w:p>
        </w:tc>
        <w:tc>
          <w:tcPr>
            <w:tcW w:w="1407" w:type="dxa"/>
            <w:vAlign w:val="center"/>
            <w:hideMark/>
          </w:tcPr>
          <w:p w14:paraId="55058E54"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Complete AI/HR analytics course and practical project</w:t>
            </w:r>
          </w:p>
        </w:tc>
        <w:tc>
          <w:tcPr>
            <w:tcW w:w="0" w:type="auto"/>
            <w:vAlign w:val="center"/>
            <w:hideMark/>
          </w:tcPr>
          <w:p w14:paraId="5131FEA3" w14:textId="77777777" w:rsidR="00CD7AF0" w:rsidRPr="000E6478" w:rsidRDefault="00CD7AF0" w:rsidP="00CF17E9">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3–6 months</w:t>
            </w:r>
          </w:p>
        </w:tc>
        <w:tc>
          <w:tcPr>
            <w:tcW w:w="0" w:type="auto"/>
            <w:vAlign w:val="center"/>
            <w:hideMark/>
          </w:tcPr>
          <w:p w14:paraId="0602900E"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Certificate/project</w:t>
            </w:r>
          </w:p>
        </w:tc>
      </w:tr>
      <w:tr w:rsidR="007A1991" w:rsidRPr="000E6478" w14:paraId="670B3224" w14:textId="77777777" w:rsidTr="00054CC6">
        <w:trPr>
          <w:trHeight w:val="781"/>
          <w:jc w:val="center"/>
        </w:trPr>
        <w:tc>
          <w:tcPr>
            <w:cnfStyle w:val="001000000000" w:firstRow="0" w:lastRow="0" w:firstColumn="1" w:lastColumn="0" w:oddVBand="0" w:evenVBand="0" w:oddHBand="0" w:evenHBand="0" w:firstRowFirstColumn="0" w:firstRowLastColumn="0" w:lastRowFirstColumn="0" w:lastRowLastColumn="0"/>
            <w:tcW w:w="1770" w:type="dxa"/>
            <w:vAlign w:val="center"/>
            <w:hideMark/>
          </w:tcPr>
          <w:p w14:paraId="2E6B2E7E" w14:textId="77777777" w:rsidR="00CD7AF0" w:rsidRPr="00997653" w:rsidRDefault="00CD7AF0" w:rsidP="00CF17E9">
            <w:pPr>
              <w:spacing w:line="360" w:lineRule="auto"/>
              <w:jc w:val="both"/>
              <w:rPr>
                <w:rFonts w:asciiTheme="majorBidi" w:hAnsiTheme="majorBidi" w:cstheme="majorBidi"/>
                <w:color w:val="000000" w:themeColor="text1"/>
              </w:rPr>
            </w:pPr>
            <w:r w:rsidRPr="00997653">
              <w:rPr>
                <w:rFonts w:asciiTheme="majorBidi" w:hAnsiTheme="majorBidi" w:cstheme="majorBidi"/>
                <w:color w:val="000000" w:themeColor="text1"/>
              </w:rPr>
              <w:t>Data analytics</w:t>
            </w:r>
          </w:p>
        </w:tc>
        <w:tc>
          <w:tcPr>
            <w:tcW w:w="1907" w:type="dxa"/>
            <w:vAlign w:val="center"/>
            <w:hideMark/>
          </w:tcPr>
          <w:p w14:paraId="60E374FC" w14:textId="77777777" w:rsidR="00CD7AF0" w:rsidRPr="000E6478" w:rsidRDefault="00CD7AF0" w:rsidP="00CF17E9">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Developing</w:t>
            </w:r>
          </w:p>
        </w:tc>
        <w:tc>
          <w:tcPr>
            <w:tcW w:w="1619" w:type="dxa"/>
            <w:vAlign w:val="center"/>
            <w:hideMark/>
          </w:tcPr>
          <w:p w14:paraId="110BBFE4" w14:textId="77777777" w:rsidR="00CD7AF0" w:rsidRPr="000E6478" w:rsidRDefault="00CD7AF0" w:rsidP="00CF17E9">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HR data interpretation</w:t>
            </w:r>
          </w:p>
        </w:tc>
        <w:tc>
          <w:tcPr>
            <w:tcW w:w="1407" w:type="dxa"/>
            <w:vAlign w:val="center"/>
            <w:hideMark/>
          </w:tcPr>
          <w:p w14:paraId="0ACD473A" w14:textId="77777777" w:rsidR="00CD7AF0" w:rsidRPr="000E6478" w:rsidRDefault="00CD7AF0" w:rsidP="00CF17E9">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Develop Excel and Power BI skills</w:t>
            </w:r>
          </w:p>
        </w:tc>
        <w:tc>
          <w:tcPr>
            <w:tcW w:w="0" w:type="auto"/>
            <w:vAlign w:val="center"/>
            <w:hideMark/>
          </w:tcPr>
          <w:p w14:paraId="003234CC" w14:textId="2AED682B" w:rsidR="00CD7AF0" w:rsidRPr="000E6478" w:rsidRDefault="00CD7AF0" w:rsidP="00CF17E9">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6</w:t>
            </w:r>
            <w:r w:rsidR="00054CC6">
              <w:rPr>
                <w:rFonts w:asciiTheme="majorBidi" w:hAnsiTheme="majorBidi" w:cstheme="majorBidi"/>
                <w:color w:val="000000" w:themeColor="text1"/>
              </w:rPr>
              <w:t>-9</w:t>
            </w:r>
            <w:r w:rsidRPr="000E6478">
              <w:rPr>
                <w:rFonts w:asciiTheme="majorBidi" w:hAnsiTheme="majorBidi" w:cstheme="majorBidi"/>
                <w:color w:val="000000" w:themeColor="text1"/>
              </w:rPr>
              <w:t xml:space="preserve"> months</w:t>
            </w:r>
          </w:p>
        </w:tc>
        <w:tc>
          <w:tcPr>
            <w:tcW w:w="0" w:type="auto"/>
            <w:vAlign w:val="center"/>
            <w:hideMark/>
          </w:tcPr>
          <w:p w14:paraId="2120167B" w14:textId="77777777" w:rsidR="00CD7AF0" w:rsidRPr="000E6478" w:rsidRDefault="00CD7AF0" w:rsidP="00CF17E9">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HR analytics dashboard</w:t>
            </w:r>
          </w:p>
        </w:tc>
      </w:tr>
      <w:tr w:rsidR="007A1991" w:rsidRPr="000E6478" w14:paraId="1E5F240F" w14:textId="77777777" w:rsidTr="00054CC6">
        <w:trPr>
          <w:cnfStyle w:val="000000100000" w:firstRow="0" w:lastRow="0" w:firstColumn="0" w:lastColumn="0" w:oddVBand="0" w:evenVBand="0" w:oddHBand="1" w:evenHBand="0" w:firstRowFirstColumn="0" w:firstRowLastColumn="0" w:lastRowFirstColumn="0" w:lastRowLastColumn="0"/>
          <w:trHeight w:val="769"/>
          <w:jc w:val="center"/>
        </w:trPr>
        <w:tc>
          <w:tcPr>
            <w:cnfStyle w:val="001000000000" w:firstRow="0" w:lastRow="0" w:firstColumn="1" w:lastColumn="0" w:oddVBand="0" w:evenVBand="0" w:oddHBand="0" w:evenHBand="0" w:firstRowFirstColumn="0" w:firstRowLastColumn="0" w:lastRowFirstColumn="0" w:lastRowLastColumn="0"/>
            <w:tcW w:w="1770" w:type="dxa"/>
            <w:vAlign w:val="center"/>
            <w:hideMark/>
          </w:tcPr>
          <w:p w14:paraId="4F752CF2" w14:textId="77777777" w:rsidR="00CD7AF0" w:rsidRPr="00997653" w:rsidRDefault="00CD7AF0" w:rsidP="00CF17E9">
            <w:pPr>
              <w:spacing w:line="360" w:lineRule="auto"/>
              <w:jc w:val="both"/>
              <w:rPr>
                <w:rFonts w:asciiTheme="majorBidi" w:hAnsiTheme="majorBidi" w:cstheme="majorBidi"/>
                <w:color w:val="000000" w:themeColor="text1"/>
              </w:rPr>
            </w:pPr>
            <w:r w:rsidRPr="00997653">
              <w:rPr>
                <w:rFonts w:asciiTheme="majorBidi" w:hAnsiTheme="majorBidi" w:cstheme="majorBidi"/>
                <w:color w:val="000000" w:themeColor="text1"/>
              </w:rPr>
              <w:t>Ethical AI</w:t>
            </w:r>
          </w:p>
        </w:tc>
        <w:tc>
          <w:tcPr>
            <w:tcW w:w="1907" w:type="dxa"/>
            <w:vAlign w:val="center"/>
            <w:hideMark/>
          </w:tcPr>
          <w:p w14:paraId="5D4A1542"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Developing</w:t>
            </w:r>
          </w:p>
        </w:tc>
        <w:tc>
          <w:tcPr>
            <w:tcW w:w="1619" w:type="dxa"/>
            <w:vAlign w:val="center"/>
            <w:hideMark/>
          </w:tcPr>
          <w:p w14:paraId="7E1E5A8B"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Governance and responsible use</w:t>
            </w:r>
          </w:p>
        </w:tc>
        <w:tc>
          <w:tcPr>
            <w:tcW w:w="1407" w:type="dxa"/>
            <w:vAlign w:val="center"/>
            <w:hideMark/>
          </w:tcPr>
          <w:p w14:paraId="6D8470F7"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Study AI ethics and data protection</w:t>
            </w:r>
          </w:p>
        </w:tc>
        <w:tc>
          <w:tcPr>
            <w:tcW w:w="0" w:type="auto"/>
            <w:vAlign w:val="center"/>
            <w:hideMark/>
          </w:tcPr>
          <w:p w14:paraId="0CEEB848" w14:textId="550D5471" w:rsidR="00CD7AF0" w:rsidRPr="000E6478" w:rsidRDefault="00054CC6" w:rsidP="00CF17E9">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Pr>
                <w:rFonts w:asciiTheme="majorBidi" w:hAnsiTheme="majorBidi" w:cstheme="majorBidi"/>
                <w:color w:val="000000" w:themeColor="text1"/>
              </w:rPr>
              <w:t>9-12</w:t>
            </w:r>
            <w:r w:rsidR="00CD7AF0" w:rsidRPr="000E6478">
              <w:rPr>
                <w:rFonts w:asciiTheme="majorBidi" w:hAnsiTheme="majorBidi" w:cstheme="majorBidi"/>
                <w:color w:val="000000" w:themeColor="text1"/>
              </w:rPr>
              <w:t xml:space="preserve"> months</w:t>
            </w:r>
          </w:p>
        </w:tc>
        <w:tc>
          <w:tcPr>
            <w:tcW w:w="0" w:type="auto"/>
            <w:vAlign w:val="center"/>
            <w:hideMark/>
          </w:tcPr>
          <w:p w14:paraId="3D206212" w14:textId="77777777" w:rsidR="00CD7AF0" w:rsidRPr="000E6478" w:rsidRDefault="00CD7AF0" w:rsidP="00CF17E9">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rPr>
            </w:pPr>
            <w:r w:rsidRPr="000E6478">
              <w:rPr>
                <w:rFonts w:asciiTheme="majorBidi" w:hAnsiTheme="majorBidi" w:cstheme="majorBidi"/>
                <w:color w:val="000000" w:themeColor="text1"/>
              </w:rPr>
              <w:t>Successful application to HR scenarios</w:t>
            </w:r>
          </w:p>
        </w:tc>
      </w:tr>
    </w:tbl>
    <w:p w14:paraId="0A32778E" w14:textId="3E48EED4" w:rsidR="003D0F6C" w:rsidRPr="000E6478" w:rsidRDefault="007A1991" w:rsidP="00CF17E9">
      <w:pPr>
        <w:spacing w:after="0" w:line="360" w:lineRule="auto"/>
        <w:jc w:val="center"/>
        <w:rPr>
          <w:rFonts w:asciiTheme="majorBidi" w:hAnsiTheme="majorBidi" w:cstheme="majorBidi"/>
          <w:b/>
          <w:bCs/>
          <w:color w:val="000000" w:themeColor="text1"/>
        </w:rPr>
      </w:pPr>
      <w:r w:rsidRPr="000E6478">
        <w:rPr>
          <w:rFonts w:asciiTheme="majorBidi" w:hAnsiTheme="majorBidi" w:cstheme="majorBidi"/>
          <w:b/>
          <w:bCs/>
          <w:color w:val="000000" w:themeColor="text1"/>
        </w:rPr>
        <w:t>Table 1: Personal Development Plan</w:t>
      </w:r>
    </w:p>
    <w:p w14:paraId="1262D209" w14:textId="69025AD1" w:rsidR="004D47ED" w:rsidRPr="000E6478" w:rsidRDefault="004D47ED" w:rsidP="00CF17E9">
      <w:pPr>
        <w:tabs>
          <w:tab w:val="left" w:pos="3600"/>
        </w:tabs>
        <w:spacing w:after="0" w:line="360" w:lineRule="auto"/>
        <w:jc w:val="both"/>
        <w:rPr>
          <w:rFonts w:asciiTheme="majorBidi" w:hAnsiTheme="majorBidi" w:cstheme="majorBidi"/>
          <w:bCs/>
          <w:color w:val="000000" w:themeColor="text1"/>
        </w:rPr>
      </w:pPr>
      <w:r w:rsidRPr="000E6478">
        <w:rPr>
          <w:rFonts w:asciiTheme="majorBidi" w:hAnsiTheme="majorBidi" w:cstheme="majorBidi"/>
          <w:bCs/>
          <w:color w:val="000000" w:themeColor="text1"/>
        </w:rPr>
        <w:t>On the whole, this strategy evidences that the employability of the future will demand technical, analytical, interpersonal and ethical skills. I must learn to utilize AI properly and retain critical thinking, compassion, communicative and professional integrity.</w:t>
      </w:r>
    </w:p>
    <w:p w14:paraId="1B95020E" w14:textId="5B5A8A62" w:rsidR="004D47ED" w:rsidRPr="000E6478" w:rsidRDefault="004D47ED" w:rsidP="00CF17E9">
      <w:pPr>
        <w:pStyle w:val="Heading1"/>
        <w:numPr>
          <w:ilvl w:val="0"/>
          <w:numId w:val="12"/>
        </w:numPr>
        <w:spacing w:before="0" w:after="0" w:line="360" w:lineRule="auto"/>
        <w:rPr>
          <w:rFonts w:asciiTheme="majorBidi" w:hAnsiTheme="majorBidi"/>
          <w:b/>
          <w:bCs/>
          <w:color w:val="000000" w:themeColor="text1"/>
          <w:sz w:val="24"/>
          <w:szCs w:val="24"/>
        </w:rPr>
      </w:pPr>
      <w:bookmarkStart w:id="10" w:name="_Toc242772085"/>
      <w:r w:rsidRPr="000E6478">
        <w:rPr>
          <w:rFonts w:asciiTheme="majorBidi" w:hAnsiTheme="majorBidi"/>
          <w:b/>
          <w:bCs/>
          <w:color w:val="000000" w:themeColor="text1"/>
          <w:sz w:val="24"/>
          <w:szCs w:val="24"/>
        </w:rPr>
        <w:lastRenderedPageBreak/>
        <w:t>Conclusion</w:t>
      </w:r>
      <w:bookmarkEnd w:id="10"/>
    </w:p>
    <w:p w14:paraId="55CAF882" w14:textId="377CAB45" w:rsidR="004D47ED" w:rsidRPr="000E6478" w:rsidRDefault="004D47ED" w:rsidP="00CF17E9">
      <w:pPr>
        <w:tabs>
          <w:tab w:val="left" w:pos="3600"/>
        </w:tabs>
        <w:spacing w:after="0" w:line="360" w:lineRule="auto"/>
        <w:jc w:val="both"/>
        <w:rPr>
          <w:rFonts w:asciiTheme="majorBidi" w:hAnsiTheme="majorBidi" w:cstheme="majorBidi"/>
          <w:bCs/>
          <w:color w:val="000000" w:themeColor="text1"/>
        </w:rPr>
      </w:pPr>
      <w:r w:rsidRPr="000E6478">
        <w:rPr>
          <w:rFonts w:asciiTheme="majorBidi" w:hAnsiTheme="majorBidi" w:cstheme="majorBidi"/>
          <w:bCs/>
          <w:color w:val="000000" w:themeColor="text1"/>
        </w:rPr>
        <w:t>The ability to retain and develop talented individuals will be as important to NHSX as its investment in AI and digital healthcare technologies in the future and its competitive advantage. The traditional hierarchical structure offers the required control and accountability, but more agile, cross-functional, hybrid, and empowered working should be used to enhance innovativeness and responsiveness to organisational changes. Comprehensively, the combined strategy suggested in this report has the potential to make NHSX develop an innovative, flexible, engaged and constantly evolving workforce.</w:t>
      </w:r>
      <w:r w:rsidRPr="000E6478">
        <w:rPr>
          <w:rFonts w:asciiTheme="majorBidi" w:hAnsiTheme="majorBidi" w:cstheme="majorBidi"/>
          <w:bCs/>
          <w:color w:val="000000" w:themeColor="text1"/>
        </w:rPr>
        <w:tab/>
      </w:r>
    </w:p>
    <w:p w14:paraId="05C2C225" w14:textId="6EC74363" w:rsidR="00CD7AF0" w:rsidRPr="000E6478" w:rsidRDefault="00CD7AF0" w:rsidP="00491748">
      <w:pPr>
        <w:tabs>
          <w:tab w:val="left" w:pos="3600"/>
        </w:tabs>
        <w:spacing w:after="0" w:line="360" w:lineRule="auto"/>
        <w:rPr>
          <w:rFonts w:asciiTheme="majorBidi" w:hAnsiTheme="majorBidi" w:cstheme="majorBidi"/>
          <w:b/>
          <w:bCs/>
          <w:color w:val="000000" w:themeColor="text1"/>
        </w:rPr>
      </w:pPr>
      <w:r w:rsidRPr="000E6478">
        <w:rPr>
          <w:rFonts w:asciiTheme="majorBidi" w:hAnsiTheme="majorBidi" w:cstheme="majorBidi"/>
          <w:color w:val="000000" w:themeColor="text1"/>
        </w:rPr>
        <w:br w:type="page"/>
      </w:r>
      <w:r w:rsidRPr="000E6478">
        <w:rPr>
          <w:rFonts w:asciiTheme="majorBidi" w:hAnsiTheme="majorBidi" w:cstheme="majorBidi"/>
          <w:b/>
          <w:bCs/>
          <w:color w:val="000000" w:themeColor="text1"/>
        </w:rPr>
        <w:lastRenderedPageBreak/>
        <w:t>Reference List</w:t>
      </w:r>
    </w:p>
    <w:p w14:paraId="646F46BA"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Ahmed, M.A. (2017). The importance of the organizational structuring and departmentalization in workplace. </w:t>
      </w:r>
      <w:r w:rsidRPr="000E6478">
        <w:rPr>
          <w:rFonts w:asciiTheme="majorBidi" w:hAnsiTheme="majorBidi" w:cstheme="majorBidi"/>
          <w:i/>
          <w:iCs/>
        </w:rPr>
        <w:t>The Journa</w:t>
      </w:r>
      <w:bookmarkStart w:id="11" w:name="_GoBack"/>
      <w:bookmarkEnd w:id="11"/>
      <w:r w:rsidRPr="000E6478">
        <w:rPr>
          <w:rFonts w:asciiTheme="majorBidi" w:hAnsiTheme="majorBidi" w:cstheme="majorBidi"/>
          <w:i/>
          <w:iCs/>
        </w:rPr>
        <w:t>l of Middle East and North Africa Sciences</w:t>
      </w:r>
      <w:r w:rsidRPr="000E6478">
        <w:rPr>
          <w:rFonts w:asciiTheme="majorBidi" w:hAnsiTheme="majorBidi" w:cstheme="majorBidi"/>
        </w:rPr>
        <w:t>, 3(3), pp.30–38.</w:t>
      </w:r>
    </w:p>
    <w:p w14:paraId="1BF92DDB" w14:textId="77777777" w:rsidR="00064596" w:rsidRPr="000E6478" w:rsidRDefault="00064596" w:rsidP="00064596">
      <w:pPr>
        <w:spacing w:after="0" w:line="360" w:lineRule="auto"/>
        <w:rPr>
          <w:rFonts w:asciiTheme="majorBidi" w:hAnsiTheme="majorBidi" w:cstheme="majorBidi"/>
          <w:color w:val="222222"/>
          <w:shd w:val="clear" w:color="auto" w:fill="FFFFFF"/>
        </w:rPr>
      </w:pPr>
      <w:proofErr w:type="spellStart"/>
      <w:r w:rsidRPr="000E6478">
        <w:rPr>
          <w:rFonts w:asciiTheme="majorBidi" w:hAnsiTheme="majorBidi" w:cstheme="majorBidi"/>
          <w:color w:val="222222"/>
          <w:shd w:val="clear" w:color="auto" w:fill="FFFFFF"/>
        </w:rPr>
        <w:t>Almyranti</w:t>
      </w:r>
      <w:proofErr w:type="spellEnd"/>
      <w:r w:rsidRPr="000E6478">
        <w:rPr>
          <w:rFonts w:asciiTheme="majorBidi" w:hAnsiTheme="majorBidi" w:cstheme="majorBidi"/>
          <w:color w:val="222222"/>
          <w:shd w:val="clear" w:color="auto" w:fill="FFFFFF"/>
        </w:rPr>
        <w:t xml:space="preserve">, M., Sutherland, E., Ash, N. and </w:t>
      </w:r>
      <w:proofErr w:type="spellStart"/>
      <w:r w:rsidRPr="000E6478">
        <w:rPr>
          <w:rFonts w:asciiTheme="majorBidi" w:hAnsiTheme="majorBidi" w:cstheme="majorBidi"/>
          <w:color w:val="222222"/>
          <w:shd w:val="clear" w:color="auto" w:fill="FFFFFF"/>
        </w:rPr>
        <w:t>Eiszele</w:t>
      </w:r>
      <w:proofErr w:type="spellEnd"/>
      <w:r w:rsidRPr="000E6478">
        <w:rPr>
          <w:rFonts w:asciiTheme="majorBidi" w:hAnsiTheme="majorBidi" w:cstheme="majorBidi"/>
          <w:color w:val="222222"/>
          <w:shd w:val="clear" w:color="auto" w:fill="FFFFFF"/>
        </w:rPr>
        <w:t xml:space="preserve">, S., 2024. Artificial Intelligence and the health workforce: Perspectives from medical associations on AI in health. </w:t>
      </w:r>
      <w:r w:rsidRPr="000E6478">
        <w:rPr>
          <w:rFonts w:asciiTheme="majorBidi" w:hAnsiTheme="majorBidi" w:cstheme="majorBidi"/>
          <w:i/>
          <w:iCs/>
          <w:color w:val="222222"/>
          <w:shd w:val="clear" w:color="auto" w:fill="FFFFFF"/>
        </w:rPr>
        <w:t>OECD artificial intelligence papers</w:t>
      </w:r>
      <w:r w:rsidRPr="000E6478">
        <w:rPr>
          <w:rFonts w:asciiTheme="majorBidi" w:hAnsiTheme="majorBidi" w:cstheme="majorBidi"/>
          <w:color w:val="222222"/>
          <w:shd w:val="clear" w:color="auto" w:fill="FFFFFF"/>
        </w:rPr>
        <w:t>.</w:t>
      </w:r>
    </w:p>
    <w:p w14:paraId="4160EDB2"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Bento, F., Tagliabue, M. and Lorenzo, F. (2020). Organizational silos: A scoping review informed by a behavioral perspective on systems and networks. </w:t>
      </w:r>
      <w:r w:rsidRPr="000E6478">
        <w:rPr>
          <w:rFonts w:asciiTheme="majorBidi" w:hAnsiTheme="majorBidi" w:cstheme="majorBidi"/>
          <w:i/>
          <w:iCs/>
        </w:rPr>
        <w:t>Societies</w:t>
      </w:r>
      <w:r w:rsidRPr="000E6478">
        <w:rPr>
          <w:rFonts w:asciiTheme="majorBidi" w:hAnsiTheme="majorBidi" w:cstheme="majorBidi"/>
        </w:rPr>
        <w:t xml:space="preserve">, [online] 10(3), p.56. </w:t>
      </w:r>
      <w:proofErr w:type="gramStart"/>
      <w:r w:rsidRPr="000E6478">
        <w:rPr>
          <w:rFonts w:asciiTheme="majorBidi" w:hAnsiTheme="majorBidi" w:cstheme="majorBidi"/>
        </w:rPr>
        <w:t>doi:</w:t>
      </w:r>
      <w:proofErr w:type="gramEnd"/>
      <w:r w:rsidRPr="000E6478">
        <w:rPr>
          <w:rFonts w:asciiTheme="majorBidi" w:hAnsiTheme="majorBidi" w:cstheme="majorBidi"/>
        </w:rPr>
        <w:t>10.3390/soc10030056.</w:t>
      </w:r>
    </w:p>
    <w:p w14:paraId="3E8B95EA"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Chaudhuri, S., Park, S. and Johnson, K.R. (2021). Engagement, inclusion, knowledge sharing, and talent development: Is reverse mentoring a panacea to all? Findings from literature review. </w:t>
      </w:r>
      <w:r w:rsidRPr="000E6478">
        <w:rPr>
          <w:rFonts w:asciiTheme="majorBidi" w:hAnsiTheme="majorBidi" w:cstheme="majorBidi"/>
          <w:i/>
          <w:iCs/>
        </w:rPr>
        <w:t>European Journal of Training and Development</w:t>
      </w:r>
      <w:r w:rsidRPr="000E6478">
        <w:rPr>
          <w:rFonts w:asciiTheme="majorBidi" w:hAnsiTheme="majorBidi" w:cstheme="majorBidi"/>
        </w:rPr>
        <w:t xml:space="preserve">, 46(5/6), pp.468–483. </w:t>
      </w:r>
      <w:proofErr w:type="gramStart"/>
      <w:r w:rsidRPr="000E6478">
        <w:rPr>
          <w:rFonts w:asciiTheme="majorBidi" w:hAnsiTheme="majorBidi" w:cstheme="majorBidi"/>
        </w:rPr>
        <w:t>doi:</w:t>
      </w:r>
      <w:proofErr w:type="gramEnd"/>
      <w:r w:rsidRPr="000E6478">
        <w:rPr>
          <w:rFonts w:asciiTheme="majorBidi" w:hAnsiTheme="majorBidi" w:cstheme="majorBidi"/>
        </w:rPr>
        <w:t>10.1108/ejtd-01-2021-0005.</w:t>
      </w:r>
    </w:p>
    <w:p w14:paraId="0C02FA18"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CIPD (2025). </w:t>
      </w:r>
      <w:r w:rsidRPr="000E6478">
        <w:rPr>
          <w:rFonts w:asciiTheme="majorBidi" w:hAnsiTheme="majorBidi" w:cstheme="majorBidi"/>
          <w:i/>
          <w:iCs/>
        </w:rPr>
        <w:t>CIPD | flexible and hybrid working practices in 2023</w:t>
      </w:r>
      <w:r w:rsidRPr="000E6478">
        <w:rPr>
          <w:rFonts w:asciiTheme="majorBidi" w:hAnsiTheme="majorBidi" w:cstheme="majorBidi"/>
        </w:rPr>
        <w:t>. [</w:t>
      </w:r>
      <w:proofErr w:type="gramStart"/>
      <w:r w:rsidRPr="000E6478">
        <w:rPr>
          <w:rFonts w:asciiTheme="majorBidi" w:hAnsiTheme="majorBidi" w:cstheme="majorBidi"/>
        </w:rPr>
        <w:t>online</w:t>
      </w:r>
      <w:proofErr w:type="gramEnd"/>
      <w:r w:rsidRPr="000E6478">
        <w:rPr>
          <w:rFonts w:asciiTheme="majorBidi" w:hAnsiTheme="majorBidi" w:cstheme="majorBidi"/>
        </w:rPr>
        <w:t>] CIPD. Available at: https://www.cipd.org/en/knowledge/reports/flexible-hybrid-working/ [Accessed 10 Oct. 2026].</w:t>
      </w:r>
    </w:p>
    <w:p w14:paraId="69411427"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proofErr w:type="spellStart"/>
      <w:r w:rsidRPr="000E6478">
        <w:rPr>
          <w:rFonts w:asciiTheme="majorBidi" w:hAnsiTheme="majorBidi" w:cstheme="majorBidi"/>
        </w:rPr>
        <w:t>Didit</w:t>
      </w:r>
      <w:proofErr w:type="spellEnd"/>
      <w:r w:rsidRPr="000E6478">
        <w:rPr>
          <w:rFonts w:asciiTheme="majorBidi" w:hAnsiTheme="majorBidi" w:cstheme="majorBidi"/>
        </w:rPr>
        <w:t xml:space="preserve"> </w:t>
      </w:r>
      <w:proofErr w:type="spellStart"/>
      <w:r w:rsidRPr="000E6478">
        <w:rPr>
          <w:rFonts w:asciiTheme="majorBidi" w:hAnsiTheme="majorBidi" w:cstheme="majorBidi"/>
        </w:rPr>
        <w:t>Darmawan</w:t>
      </w:r>
      <w:proofErr w:type="spellEnd"/>
      <w:r w:rsidRPr="000E6478">
        <w:rPr>
          <w:rFonts w:asciiTheme="majorBidi" w:hAnsiTheme="majorBidi" w:cstheme="majorBidi"/>
        </w:rPr>
        <w:t xml:space="preserve"> (2021). Implementation of agile project management in a dynamic business environment. </w:t>
      </w:r>
      <w:r w:rsidRPr="000E6478">
        <w:rPr>
          <w:rFonts w:asciiTheme="majorBidi" w:hAnsiTheme="majorBidi" w:cstheme="majorBidi"/>
          <w:i/>
          <w:iCs/>
        </w:rPr>
        <w:t>Journal of Social Science Studies</w:t>
      </w:r>
      <w:r w:rsidRPr="000E6478">
        <w:rPr>
          <w:rFonts w:asciiTheme="majorBidi" w:hAnsiTheme="majorBidi" w:cstheme="majorBidi"/>
        </w:rPr>
        <w:t>, [online] 1(1), pp.275–280. Available at: https://jos3journals.id/index.php/jos3/article/view/113 [Accessed 10 Oct. 2026].</w:t>
      </w:r>
    </w:p>
    <w:p w14:paraId="00AF072B"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proofErr w:type="spellStart"/>
      <w:r w:rsidRPr="000E6478">
        <w:rPr>
          <w:rFonts w:asciiTheme="majorBidi" w:hAnsiTheme="majorBidi" w:cstheme="majorBidi"/>
        </w:rPr>
        <w:t>Dweck</w:t>
      </w:r>
      <w:proofErr w:type="spellEnd"/>
      <w:r w:rsidRPr="000E6478">
        <w:rPr>
          <w:rFonts w:asciiTheme="majorBidi" w:hAnsiTheme="majorBidi" w:cstheme="majorBidi"/>
        </w:rPr>
        <w:t xml:space="preserve">, C.S. and Yeager, D.S. (2019). Mindsets: A view from two eras. </w:t>
      </w:r>
      <w:r w:rsidRPr="000E6478">
        <w:rPr>
          <w:rFonts w:asciiTheme="majorBidi" w:hAnsiTheme="majorBidi" w:cstheme="majorBidi"/>
          <w:i/>
          <w:iCs/>
        </w:rPr>
        <w:t>Perspectives on Psychological Science</w:t>
      </w:r>
      <w:r w:rsidRPr="000E6478">
        <w:rPr>
          <w:rFonts w:asciiTheme="majorBidi" w:hAnsiTheme="majorBidi" w:cstheme="majorBidi"/>
        </w:rPr>
        <w:t xml:space="preserve">, [online] 14(3), pp.481–496. </w:t>
      </w:r>
      <w:proofErr w:type="spellStart"/>
      <w:r w:rsidRPr="000E6478">
        <w:rPr>
          <w:rFonts w:asciiTheme="majorBidi" w:hAnsiTheme="majorBidi" w:cstheme="majorBidi"/>
        </w:rPr>
        <w:t>doi:https</w:t>
      </w:r>
      <w:proofErr w:type="spellEnd"/>
      <w:r w:rsidRPr="000E6478">
        <w:rPr>
          <w:rFonts w:asciiTheme="majorBidi" w:hAnsiTheme="majorBidi" w:cstheme="majorBidi"/>
        </w:rPr>
        <w:t>://doi.org/10.1177/1745691618804166.</w:t>
      </w:r>
    </w:p>
    <w:p w14:paraId="55B2BEC8"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Edmondson, A.C. and Lei, Z. (2014). Psychological safety: The history, renaissance, and future of an interpersonal construct. </w:t>
      </w:r>
      <w:r w:rsidRPr="000E6478">
        <w:rPr>
          <w:rFonts w:asciiTheme="majorBidi" w:hAnsiTheme="majorBidi" w:cstheme="majorBidi"/>
          <w:i/>
          <w:iCs/>
        </w:rPr>
        <w:t>Annual Review of Organizational Psychology and Organizational Behavior</w:t>
      </w:r>
      <w:r w:rsidRPr="000E6478">
        <w:rPr>
          <w:rFonts w:asciiTheme="majorBidi" w:hAnsiTheme="majorBidi" w:cstheme="majorBidi"/>
        </w:rPr>
        <w:t xml:space="preserve">, 1(1), pp.23–43. </w:t>
      </w:r>
      <w:proofErr w:type="gramStart"/>
      <w:r w:rsidRPr="000E6478">
        <w:rPr>
          <w:rFonts w:asciiTheme="majorBidi" w:hAnsiTheme="majorBidi" w:cstheme="majorBidi"/>
        </w:rPr>
        <w:t>doi:</w:t>
      </w:r>
      <w:proofErr w:type="gramEnd"/>
      <w:r w:rsidRPr="000E6478">
        <w:rPr>
          <w:rFonts w:asciiTheme="majorBidi" w:hAnsiTheme="majorBidi" w:cstheme="majorBidi"/>
        </w:rPr>
        <w:t>10.1146/annurev-orgpsych-031413-091305.</w:t>
      </w:r>
    </w:p>
    <w:p w14:paraId="454DE768"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George, D.A.S. and George, A.S.H. (2024). Towards a super smart society 5.0: Opportunities and challenges of integrating emerging technologies for social innovation. </w:t>
      </w:r>
      <w:r w:rsidRPr="000E6478">
        <w:rPr>
          <w:rFonts w:asciiTheme="majorBidi" w:hAnsiTheme="majorBidi" w:cstheme="majorBidi"/>
          <w:i/>
          <w:iCs/>
        </w:rPr>
        <w:t>Partners Universal International Research Journal</w:t>
      </w:r>
      <w:r w:rsidRPr="000E6478">
        <w:rPr>
          <w:rFonts w:asciiTheme="majorBidi" w:hAnsiTheme="majorBidi" w:cstheme="majorBidi"/>
        </w:rPr>
        <w:t>, [online] 3(2), pp.01–29. doi:10.5281/zenodo.11522048.</w:t>
      </w:r>
    </w:p>
    <w:p w14:paraId="58B36389"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Gibbs, G. (1988). </w:t>
      </w:r>
      <w:r w:rsidRPr="000E6478">
        <w:rPr>
          <w:rFonts w:asciiTheme="majorBidi" w:hAnsiTheme="majorBidi" w:cstheme="majorBidi"/>
          <w:i/>
          <w:iCs/>
        </w:rPr>
        <w:t>Learning by doing a guide to teaching and learning methods. Further educational unit, Oxford Polytechnic, Oxford. - References - scientific research publishing</w:t>
      </w:r>
      <w:r w:rsidRPr="000E6478">
        <w:rPr>
          <w:rFonts w:asciiTheme="majorBidi" w:hAnsiTheme="majorBidi" w:cstheme="majorBidi"/>
        </w:rPr>
        <w:t>. [</w:t>
      </w:r>
      <w:proofErr w:type="gramStart"/>
      <w:r w:rsidRPr="000E6478">
        <w:rPr>
          <w:rFonts w:asciiTheme="majorBidi" w:hAnsiTheme="majorBidi" w:cstheme="majorBidi"/>
        </w:rPr>
        <w:t>online</w:t>
      </w:r>
      <w:proofErr w:type="gramEnd"/>
      <w:r w:rsidRPr="000E6478">
        <w:rPr>
          <w:rFonts w:asciiTheme="majorBidi" w:hAnsiTheme="majorBidi" w:cstheme="majorBidi"/>
        </w:rPr>
        <w:t>] www.scirp.org. Available at: https://www.scirp.org/reference/referencespapers?referenceid=478921 [Accessed 10 Oct. 2026].</w:t>
      </w:r>
    </w:p>
    <w:p w14:paraId="74FE680A"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GOV.UK (2019). </w:t>
      </w:r>
      <w:r w:rsidRPr="000E6478">
        <w:rPr>
          <w:rFonts w:asciiTheme="majorBidi" w:hAnsiTheme="majorBidi" w:cstheme="majorBidi"/>
          <w:i/>
          <w:iCs/>
        </w:rPr>
        <w:t>NHSX: New Joint Organisation for Digital, data and technology</w:t>
      </w:r>
      <w:r w:rsidRPr="000E6478">
        <w:rPr>
          <w:rFonts w:asciiTheme="majorBidi" w:hAnsiTheme="majorBidi" w:cstheme="majorBidi"/>
        </w:rPr>
        <w:t>. [</w:t>
      </w:r>
      <w:proofErr w:type="gramStart"/>
      <w:r w:rsidRPr="000E6478">
        <w:rPr>
          <w:rFonts w:asciiTheme="majorBidi" w:hAnsiTheme="majorBidi" w:cstheme="majorBidi"/>
        </w:rPr>
        <w:t>online</w:t>
      </w:r>
      <w:proofErr w:type="gramEnd"/>
      <w:r w:rsidRPr="000E6478">
        <w:rPr>
          <w:rFonts w:asciiTheme="majorBidi" w:hAnsiTheme="majorBidi" w:cstheme="majorBidi"/>
        </w:rPr>
        <w:t>] GOV.UK. Available at: https://www.gov.uk/government/news/nhsx-new-joint-organisation-for-digital-data-and-technology [Accessed 10 Oct. 2026].</w:t>
      </w:r>
    </w:p>
    <w:p w14:paraId="5EEA4FB3"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lastRenderedPageBreak/>
        <w:t xml:space="preserve">Kaushik, D. and Mukherjee, U. (2021). High-performance work system: A systematic review of literature. </w:t>
      </w:r>
      <w:r w:rsidRPr="000E6478">
        <w:rPr>
          <w:rFonts w:asciiTheme="majorBidi" w:hAnsiTheme="majorBidi" w:cstheme="majorBidi"/>
          <w:i/>
          <w:iCs/>
        </w:rPr>
        <w:t>International Journal of Organizational Analysis</w:t>
      </w:r>
      <w:r w:rsidRPr="000E6478">
        <w:rPr>
          <w:rFonts w:asciiTheme="majorBidi" w:hAnsiTheme="majorBidi" w:cstheme="majorBidi"/>
        </w:rPr>
        <w:t xml:space="preserve">, [online] 30(6), pp.1624–1643. </w:t>
      </w:r>
      <w:proofErr w:type="gramStart"/>
      <w:r w:rsidRPr="000E6478">
        <w:rPr>
          <w:rFonts w:asciiTheme="majorBidi" w:hAnsiTheme="majorBidi" w:cstheme="majorBidi"/>
        </w:rPr>
        <w:t>doi:</w:t>
      </w:r>
      <w:proofErr w:type="gramEnd"/>
      <w:r w:rsidRPr="000E6478">
        <w:rPr>
          <w:rFonts w:asciiTheme="majorBidi" w:hAnsiTheme="majorBidi" w:cstheme="majorBidi"/>
        </w:rPr>
        <w:t>10.1108/ijoa-07-2020-2282.</w:t>
      </w:r>
    </w:p>
    <w:p w14:paraId="5E0080D5"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McGinnis, J.M., </w:t>
      </w:r>
      <w:proofErr w:type="spellStart"/>
      <w:r w:rsidRPr="000E6478">
        <w:rPr>
          <w:rFonts w:asciiTheme="majorBidi" w:hAnsiTheme="majorBidi" w:cstheme="majorBidi"/>
        </w:rPr>
        <w:t>Fineberg</w:t>
      </w:r>
      <w:proofErr w:type="spellEnd"/>
      <w:r w:rsidRPr="000E6478">
        <w:rPr>
          <w:rFonts w:asciiTheme="majorBidi" w:hAnsiTheme="majorBidi" w:cstheme="majorBidi"/>
        </w:rPr>
        <w:t xml:space="preserve">, H.V. and </w:t>
      </w:r>
      <w:proofErr w:type="spellStart"/>
      <w:r w:rsidRPr="000E6478">
        <w:rPr>
          <w:rFonts w:asciiTheme="majorBidi" w:hAnsiTheme="majorBidi" w:cstheme="majorBidi"/>
        </w:rPr>
        <w:t>Dzau</w:t>
      </w:r>
      <w:proofErr w:type="spellEnd"/>
      <w:r w:rsidRPr="000E6478">
        <w:rPr>
          <w:rFonts w:asciiTheme="majorBidi" w:hAnsiTheme="majorBidi" w:cstheme="majorBidi"/>
        </w:rPr>
        <w:t xml:space="preserve">, V.J. (2021). Advancing the learning health system. </w:t>
      </w:r>
      <w:r w:rsidRPr="000E6478">
        <w:rPr>
          <w:rFonts w:asciiTheme="majorBidi" w:hAnsiTheme="majorBidi" w:cstheme="majorBidi"/>
          <w:i/>
          <w:iCs/>
        </w:rPr>
        <w:t>The New England Journal of Medicine</w:t>
      </w:r>
      <w:r w:rsidRPr="000E6478">
        <w:rPr>
          <w:rFonts w:asciiTheme="majorBidi" w:hAnsiTheme="majorBidi" w:cstheme="majorBidi"/>
        </w:rPr>
        <w:t>, [online] 385(1), pp.1–5. Available at: https://anzhernia.org.au/wp-content/uploads/2023/04/advancing-the-learning-healthcare-system-nejm-july-21.pdf [Accessed 10 Oct. 2026].</w:t>
      </w:r>
    </w:p>
    <w:p w14:paraId="545B606A"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proofErr w:type="spellStart"/>
      <w:r w:rsidRPr="000E6478">
        <w:rPr>
          <w:rFonts w:asciiTheme="majorBidi" w:hAnsiTheme="majorBidi" w:cstheme="majorBidi"/>
        </w:rPr>
        <w:t>McGuier</w:t>
      </w:r>
      <w:proofErr w:type="spellEnd"/>
      <w:r w:rsidRPr="000E6478">
        <w:rPr>
          <w:rFonts w:asciiTheme="majorBidi" w:hAnsiTheme="majorBidi" w:cstheme="majorBidi"/>
        </w:rPr>
        <w:t xml:space="preserve">, E.A., </w:t>
      </w:r>
      <w:proofErr w:type="spellStart"/>
      <w:r w:rsidRPr="000E6478">
        <w:rPr>
          <w:rFonts w:asciiTheme="majorBidi" w:hAnsiTheme="majorBidi" w:cstheme="majorBidi"/>
        </w:rPr>
        <w:t>Kolko</w:t>
      </w:r>
      <w:proofErr w:type="spellEnd"/>
      <w:r w:rsidRPr="000E6478">
        <w:rPr>
          <w:rFonts w:asciiTheme="majorBidi" w:hAnsiTheme="majorBidi" w:cstheme="majorBidi"/>
        </w:rPr>
        <w:t xml:space="preserve">, D.J., Aarons, G.A., </w:t>
      </w:r>
      <w:proofErr w:type="spellStart"/>
      <w:r w:rsidRPr="000E6478">
        <w:rPr>
          <w:rFonts w:asciiTheme="majorBidi" w:hAnsiTheme="majorBidi" w:cstheme="majorBidi"/>
        </w:rPr>
        <w:t>Schachter</w:t>
      </w:r>
      <w:proofErr w:type="spellEnd"/>
      <w:r w:rsidRPr="000E6478">
        <w:rPr>
          <w:rFonts w:asciiTheme="majorBidi" w:hAnsiTheme="majorBidi" w:cstheme="majorBidi"/>
        </w:rPr>
        <w:t xml:space="preserve">, A., </w:t>
      </w:r>
      <w:proofErr w:type="spellStart"/>
      <w:r w:rsidRPr="000E6478">
        <w:rPr>
          <w:rFonts w:asciiTheme="majorBidi" w:hAnsiTheme="majorBidi" w:cstheme="majorBidi"/>
        </w:rPr>
        <w:t>Klem</w:t>
      </w:r>
      <w:proofErr w:type="spellEnd"/>
      <w:r w:rsidRPr="000E6478">
        <w:rPr>
          <w:rFonts w:asciiTheme="majorBidi" w:hAnsiTheme="majorBidi" w:cstheme="majorBidi"/>
        </w:rPr>
        <w:t xml:space="preserve">, M.L., </w:t>
      </w:r>
      <w:proofErr w:type="spellStart"/>
      <w:r w:rsidRPr="000E6478">
        <w:rPr>
          <w:rFonts w:asciiTheme="majorBidi" w:hAnsiTheme="majorBidi" w:cstheme="majorBidi"/>
        </w:rPr>
        <w:t>Diabes</w:t>
      </w:r>
      <w:proofErr w:type="spellEnd"/>
      <w:r w:rsidRPr="000E6478">
        <w:rPr>
          <w:rFonts w:asciiTheme="majorBidi" w:hAnsiTheme="majorBidi" w:cstheme="majorBidi"/>
        </w:rPr>
        <w:t xml:space="preserve">, M.A., </w:t>
      </w:r>
      <w:proofErr w:type="spellStart"/>
      <w:r w:rsidRPr="000E6478">
        <w:rPr>
          <w:rFonts w:asciiTheme="majorBidi" w:hAnsiTheme="majorBidi" w:cstheme="majorBidi"/>
        </w:rPr>
        <w:t>Weingart</w:t>
      </w:r>
      <w:proofErr w:type="spellEnd"/>
      <w:r w:rsidRPr="000E6478">
        <w:rPr>
          <w:rFonts w:asciiTheme="majorBidi" w:hAnsiTheme="majorBidi" w:cstheme="majorBidi"/>
        </w:rPr>
        <w:t xml:space="preserve">, L.R., Salas, E. and </w:t>
      </w:r>
      <w:proofErr w:type="spellStart"/>
      <w:r w:rsidRPr="000E6478">
        <w:rPr>
          <w:rFonts w:asciiTheme="majorBidi" w:hAnsiTheme="majorBidi" w:cstheme="majorBidi"/>
        </w:rPr>
        <w:t>Wolk</w:t>
      </w:r>
      <w:proofErr w:type="spellEnd"/>
      <w:r w:rsidRPr="000E6478">
        <w:rPr>
          <w:rFonts w:asciiTheme="majorBidi" w:hAnsiTheme="majorBidi" w:cstheme="majorBidi"/>
        </w:rPr>
        <w:t xml:space="preserve">, C.B. (2024). Teamwork and implementation of innovations in healthcare and human service settings: A systematic review. </w:t>
      </w:r>
      <w:r w:rsidRPr="000E6478">
        <w:rPr>
          <w:rFonts w:asciiTheme="majorBidi" w:hAnsiTheme="majorBidi" w:cstheme="majorBidi"/>
          <w:i/>
          <w:iCs/>
        </w:rPr>
        <w:t xml:space="preserve">Implementation </w:t>
      </w:r>
      <w:proofErr w:type="gramStart"/>
      <w:r w:rsidRPr="000E6478">
        <w:rPr>
          <w:rFonts w:asciiTheme="majorBidi" w:hAnsiTheme="majorBidi" w:cstheme="majorBidi"/>
          <w:i/>
          <w:iCs/>
        </w:rPr>
        <w:t>Science :</w:t>
      </w:r>
      <w:proofErr w:type="gramEnd"/>
      <w:r w:rsidRPr="000E6478">
        <w:rPr>
          <w:rFonts w:asciiTheme="majorBidi" w:hAnsiTheme="majorBidi" w:cstheme="majorBidi"/>
          <w:i/>
          <w:iCs/>
        </w:rPr>
        <w:t xml:space="preserve"> IS</w:t>
      </w:r>
      <w:r w:rsidRPr="000E6478">
        <w:rPr>
          <w:rFonts w:asciiTheme="majorBidi" w:hAnsiTheme="majorBidi" w:cstheme="majorBidi"/>
        </w:rPr>
        <w:t xml:space="preserve">, [online] 19(19), p.49. </w:t>
      </w:r>
      <w:proofErr w:type="gramStart"/>
      <w:r w:rsidRPr="000E6478">
        <w:rPr>
          <w:rFonts w:asciiTheme="majorBidi" w:hAnsiTheme="majorBidi" w:cstheme="majorBidi"/>
        </w:rPr>
        <w:t>doi:</w:t>
      </w:r>
      <w:proofErr w:type="gramEnd"/>
      <w:r w:rsidRPr="000E6478">
        <w:rPr>
          <w:rFonts w:asciiTheme="majorBidi" w:hAnsiTheme="majorBidi" w:cstheme="majorBidi"/>
        </w:rPr>
        <w:t>10.1186/s13012-024-01381-9.</w:t>
      </w:r>
    </w:p>
    <w:p w14:paraId="508EB812"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Meckenstock, J.-N. (2024). Shedding light on the dark side – a systematic literature review of the issues in agile software development methodology use. </w:t>
      </w:r>
      <w:r w:rsidRPr="000E6478">
        <w:rPr>
          <w:rFonts w:asciiTheme="majorBidi" w:hAnsiTheme="majorBidi" w:cstheme="majorBidi"/>
          <w:i/>
          <w:iCs/>
        </w:rPr>
        <w:t>Journal of Systems and Software</w:t>
      </w:r>
      <w:r w:rsidRPr="000E6478">
        <w:rPr>
          <w:rFonts w:asciiTheme="majorBidi" w:hAnsiTheme="majorBidi" w:cstheme="majorBidi"/>
        </w:rPr>
        <w:t>, 211, pp.111966–111966. doi:10.1016/j.jss.2024.111966.</w:t>
      </w:r>
    </w:p>
    <w:p w14:paraId="0E386428"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proofErr w:type="spellStart"/>
      <w:r w:rsidRPr="000E6478">
        <w:rPr>
          <w:rFonts w:asciiTheme="majorBidi" w:hAnsiTheme="majorBidi" w:cstheme="majorBidi"/>
        </w:rPr>
        <w:t>Muduli</w:t>
      </w:r>
      <w:proofErr w:type="spellEnd"/>
      <w:r w:rsidRPr="000E6478">
        <w:rPr>
          <w:rFonts w:asciiTheme="majorBidi" w:hAnsiTheme="majorBidi" w:cstheme="majorBidi"/>
        </w:rPr>
        <w:t xml:space="preserve">, A. and Choudhury, A. (2024). Exploring the role of workforce agility on digital transformation: A systematic literature review. </w:t>
      </w:r>
      <w:r w:rsidRPr="000E6478">
        <w:rPr>
          <w:rFonts w:asciiTheme="majorBidi" w:hAnsiTheme="majorBidi" w:cstheme="majorBidi"/>
          <w:i/>
          <w:iCs/>
        </w:rPr>
        <w:t>Benchmarking: An International Journal</w:t>
      </w:r>
      <w:r w:rsidRPr="000E6478">
        <w:rPr>
          <w:rFonts w:asciiTheme="majorBidi" w:hAnsiTheme="majorBidi" w:cstheme="majorBidi"/>
        </w:rPr>
        <w:t xml:space="preserve">. </w:t>
      </w:r>
      <w:proofErr w:type="gramStart"/>
      <w:r w:rsidRPr="000E6478">
        <w:rPr>
          <w:rFonts w:asciiTheme="majorBidi" w:hAnsiTheme="majorBidi" w:cstheme="majorBidi"/>
        </w:rPr>
        <w:t>doi:</w:t>
      </w:r>
      <w:proofErr w:type="gramEnd"/>
      <w:r w:rsidRPr="000E6478">
        <w:rPr>
          <w:rFonts w:asciiTheme="majorBidi" w:hAnsiTheme="majorBidi" w:cstheme="majorBidi"/>
        </w:rPr>
        <w:t>10.1108/bij-02-2023-0108.</w:t>
      </w:r>
    </w:p>
    <w:p w14:paraId="24670F4D"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OECD (2024). </w:t>
      </w:r>
      <w:r w:rsidRPr="000E6478">
        <w:rPr>
          <w:rFonts w:asciiTheme="majorBidi" w:hAnsiTheme="majorBidi" w:cstheme="majorBidi"/>
          <w:i/>
          <w:iCs/>
        </w:rPr>
        <w:t>Using AI in the workplace (EN)</w:t>
      </w:r>
      <w:r w:rsidRPr="000E6478">
        <w:rPr>
          <w:rFonts w:asciiTheme="majorBidi" w:hAnsiTheme="majorBidi" w:cstheme="majorBidi"/>
        </w:rPr>
        <w:t>. [</w:t>
      </w:r>
      <w:proofErr w:type="gramStart"/>
      <w:r w:rsidRPr="000E6478">
        <w:rPr>
          <w:rFonts w:asciiTheme="majorBidi" w:hAnsiTheme="majorBidi" w:cstheme="majorBidi"/>
        </w:rPr>
        <w:t>online</w:t>
      </w:r>
      <w:proofErr w:type="gramEnd"/>
      <w:r w:rsidRPr="000E6478">
        <w:rPr>
          <w:rFonts w:asciiTheme="majorBidi" w:hAnsiTheme="majorBidi" w:cstheme="majorBidi"/>
        </w:rPr>
        <w:t>] OECD Publishing. Available at: https://www.oecd.org/content/dam/oecd/en/publications/reports/2024/03/using-ai-in-the-workplace_02d6890a/73d417f9-en.pdf [Accessed 10 Oct. 2026].</w:t>
      </w:r>
    </w:p>
    <w:p w14:paraId="20C2BC5D" w14:textId="77777777" w:rsidR="00064596" w:rsidRPr="000E6478" w:rsidRDefault="00064596" w:rsidP="00064596">
      <w:pPr>
        <w:spacing w:after="0" w:line="360" w:lineRule="auto"/>
        <w:jc w:val="both"/>
        <w:rPr>
          <w:rFonts w:asciiTheme="majorBidi" w:hAnsiTheme="majorBidi" w:cstheme="majorBidi"/>
          <w:color w:val="000000" w:themeColor="text1"/>
        </w:rPr>
      </w:pPr>
      <w:proofErr w:type="spellStart"/>
      <w:r w:rsidRPr="000E6478">
        <w:rPr>
          <w:rFonts w:asciiTheme="majorBidi" w:hAnsiTheme="majorBidi" w:cstheme="majorBidi"/>
          <w:color w:val="222222"/>
          <w:shd w:val="clear" w:color="auto" w:fill="FFFFFF"/>
        </w:rPr>
        <w:t>Senge</w:t>
      </w:r>
      <w:proofErr w:type="spellEnd"/>
      <w:r w:rsidRPr="000E6478">
        <w:rPr>
          <w:rFonts w:asciiTheme="majorBidi" w:hAnsiTheme="majorBidi" w:cstheme="majorBidi"/>
          <w:color w:val="222222"/>
          <w:shd w:val="clear" w:color="auto" w:fill="FFFFFF"/>
        </w:rPr>
        <w:t>, P.M., 1990. The art and practice of the learning organization.</w:t>
      </w:r>
    </w:p>
    <w:p w14:paraId="69C108E2"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proofErr w:type="spellStart"/>
      <w:r w:rsidRPr="000E6478">
        <w:rPr>
          <w:rFonts w:asciiTheme="majorBidi" w:hAnsiTheme="majorBidi" w:cstheme="majorBidi"/>
        </w:rPr>
        <w:t>Steegh</w:t>
      </w:r>
      <w:proofErr w:type="spellEnd"/>
      <w:r w:rsidRPr="000E6478">
        <w:rPr>
          <w:rFonts w:asciiTheme="majorBidi" w:hAnsiTheme="majorBidi" w:cstheme="majorBidi"/>
        </w:rPr>
        <w:t xml:space="preserve">, R., Van De </w:t>
      </w:r>
      <w:proofErr w:type="spellStart"/>
      <w:r w:rsidRPr="000E6478">
        <w:rPr>
          <w:rFonts w:asciiTheme="majorBidi" w:hAnsiTheme="majorBidi" w:cstheme="majorBidi"/>
        </w:rPr>
        <w:t>Voorde</w:t>
      </w:r>
      <w:proofErr w:type="spellEnd"/>
      <w:r w:rsidRPr="000E6478">
        <w:rPr>
          <w:rFonts w:asciiTheme="majorBidi" w:hAnsiTheme="majorBidi" w:cstheme="majorBidi"/>
        </w:rPr>
        <w:t xml:space="preserve">, K. and </w:t>
      </w:r>
      <w:proofErr w:type="spellStart"/>
      <w:r w:rsidRPr="000E6478">
        <w:rPr>
          <w:rFonts w:asciiTheme="majorBidi" w:hAnsiTheme="majorBidi" w:cstheme="majorBidi"/>
        </w:rPr>
        <w:t>Paauwe</w:t>
      </w:r>
      <w:proofErr w:type="spellEnd"/>
      <w:r w:rsidRPr="000E6478">
        <w:rPr>
          <w:rFonts w:asciiTheme="majorBidi" w:hAnsiTheme="majorBidi" w:cstheme="majorBidi"/>
        </w:rPr>
        <w:t xml:space="preserve">, J. (2024). Understanding how agile teams reach effectiveness: A systematic literature review to take stock and look forward. </w:t>
      </w:r>
      <w:r w:rsidRPr="000E6478">
        <w:rPr>
          <w:rFonts w:asciiTheme="majorBidi" w:hAnsiTheme="majorBidi" w:cstheme="majorBidi"/>
          <w:i/>
          <w:iCs/>
        </w:rPr>
        <w:t>Human Resource Management Review</w:t>
      </w:r>
      <w:r w:rsidRPr="000E6478">
        <w:rPr>
          <w:rFonts w:asciiTheme="majorBidi" w:hAnsiTheme="majorBidi" w:cstheme="majorBidi"/>
        </w:rPr>
        <w:t>, 35(1), p.101056. doi:10.1016/j.hrmr.2024.101056.</w:t>
      </w:r>
    </w:p>
    <w:p w14:paraId="2D7EC2C9"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proofErr w:type="spellStart"/>
      <w:r w:rsidRPr="000E6478">
        <w:rPr>
          <w:rFonts w:asciiTheme="majorBidi" w:hAnsiTheme="majorBidi" w:cstheme="majorBidi"/>
        </w:rPr>
        <w:t>Vettriselvan</w:t>
      </w:r>
      <w:proofErr w:type="spellEnd"/>
      <w:r w:rsidRPr="000E6478">
        <w:rPr>
          <w:rFonts w:asciiTheme="majorBidi" w:hAnsiTheme="majorBidi" w:cstheme="majorBidi"/>
        </w:rPr>
        <w:t xml:space="preserve">, R., </w:t>
      </w:r>
      <w:proofErr w:type="spellStart"/>
      <w:r w:rsidRPr="000E6478">
        <w:rPr>
          <w:rFonts w:asciiTheme="majorBidi" w:hAnsiTheme="majorBidi" w:cstheme="majorBidi"/>
        </w:rPr>
        <w:t>Ramya</w:t>
      </w:r>
      <w:proofErr w:type="spellEnd"/>
      <w:r w:rsidRPr="000E6478">
        <w:rPr>
          <w:rFonts w:asciiTheme="majorBidi" w:hAnsiTheme="majorBidi" w:cstheme="majorBidi"/>
        </w:rPr>
        <w:t xml:space="preserve">, R., </w:t>
      </w:r>
      <w:proofErr w:type="spellStart"/>
      <w:r w:rsidRPr="000E6478">
        <w:rPr>
          <w:rFonts w:asciiTheme="majorBidi" w:hAnsiTheme="majorBidi" w:cstheme="majorBidi"/>
        </w:rPr>
        <w:t>Selvalakshmi</w:t>
      </w:r>
      <w:proofErr w:type="spellEnd"/>
      <w:r w:rsidRPr="000E6478">
        <w:rPr>
          <w:rFonts w:asciiTheme="majorBidi" w:hAnsiTheme="majorBidi" w:cstheme="majorBidi"/>
        </w:rPr>
        <w:t xml:space="preserve">, V., </w:t>
      </w:r>
      <w:proofErr w:type="spellStart"/>
      <w:r w:rsidRPr="000E6478">
        <w:rPr>
          <w:rFonts w:asciiTheme="majorBidi" w:hAnsiTheme="majorBidi" w:cstheme="majorBidi"/>
        </w:rPr>
        <w:t>Jyothi</w:t>
      </w:r>
      <w:proofErr w:type="spellEnd"/>
      <w:r w:rsidRPr="000E6478">
        <w:rPr>
          <w:rFonts w:asciiTheme="majorBidi" w:hAnsiTheme="majorBidi" w:cstheme="majorBidi"/>
        </w:rPr>
        <w:t xml:space="preserve">, P. and </w:t>
      </w:r>
      <w:proofErr w:type="spellStart"/>
      <w:r w:rsidRPr="000E6478">
        <w:rPr>
          <w:rFonts w:asciiTheme="majorBidi" w:hAnsiTheme="majorBidi" w:cstheme="majorBidi"/>
        </w:rPr>
        <w:t>Velmurugan</w:t>
      </w:r>
      <w:proofErr w:type="spellEnd"/>
      <w:r w:rsidRPr="000E6478">
        <w:rPr>
          <w:rFonts w:asciiTheme="majorBidi" w:hAnsiTheme="majorBidi" w:cstheme="majorBidi"/>
        </w:rPr>
        <w:t xml:space="preserve">, P.R. (2025). Empowering patients through knowledge. </w:t>
      </w:r>
      <w:r w:rsidRPr="000E6478">
        <w:rPr>
          <w:rFonts w:asciiTheme="majorBidi" w:hAnsiTheme="majorBidi" w:cstheme="majorBidi"/>
          <w:i/>
          <w:iCs/>
        </w:rPr>
        <w:t>Holistic Approaches to Health Recovery</w:t>
      </w:r>
      <w:r w:rsidRPr="000E6478">
        <w:rPr>
          <w:rFonts w:asciiTheme="majorBidi" w:hAnsiTheme="majorBidi" w:cstheme="majorBidi"/>
        </w:rPr>
        <w:t>, [online] pp.263–290. doi:10.4018/979-8-3693-6432-1.ch009.</w:t>
      </w:r>
    </w:p>
    <w:p w14:paraId="73035615"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proofErr w:type="spellStart"/>
      <w:r w:rsidRPr="000E6478">
        <w:rPr>
          <w:rFonts w:asciiTheme="majorBidi" w:hAnsiTheme="majorBidi" w:cstheme="majorBidi"/>
        </w:rPr>
        <w:t>Vrontis</w:t>
      </w:r>
      <w:proofErr w:type="spellEnd"/>
      <w:r w:rsidRPr="000E6478">
        <w:rPr>
          <w:rFonts w:asciiTheme="majorBidi" w:hAnsiTheme="majorBidi" w:cstheme="majorBidi"/>
        </w:rPr>
        <w:t xml:space="preserve">, D., </w:t>
      </w:r>
      <w:proofErr w:type="spellStart"/>
      <w:r w:rsidRPr="000E6478">
        <w:rPr>
          <w:rFonts w:asciiTheme="majorBidi" w:hAnsiTheme="majorBidi" w:cstheme="majorBidi"/>
        </w:rPr>
        <w:t>Christofi</w:t>
      </w:r>
      <w:proofErr w:type="spellEnd"/>
      <w:r w:rsidRPr="000E6478">
        <w:rPr>
          <w:rFonts w:asciiTheme="majorBidi" w:hAnsiTheme="majorBidi" w:cstheme="majorBidi"/>
        </w:rPr>
        <w:t xml:space="preserve">, M., Pereira, V., </w:t>
      </w:r>
      <w:proofErr w:type="spellStart"/>
      <w:r w:rsidRPr="000E6478">
        <w:rPr>
          <w:rFonts w:asciiTheme="majorBidi" w:hAnsiTheme="majorBidi" w:cstheme="majorBidi"/>
        </w:rPr>
        <w:t>Tarba</w:t>
      </w:r>
      <w:proofErr w:type="spellEnd"/>
      <w:r w:rsidRPr="000E6478">
        <w:rPr>
          <w:rFonts w:asciiTheme="majorBidi" w:hAnsiTheme="majorBidi" w:cstheme="majorBidi"/>
        </w:rPr>
        <w:t xml:space="preserve">, S.Y., </w:t>
      </w:r>
      <w:proofErr w:type="spellStart"/>
      <w:r w:rsidRPr="000E6478">
        <w:rPr>
          <w:rFonts w:asciiTheme="majorBidi" w:hAnsiTheme="majorBidi" w:cstheme="majorBidi"/>
        </w:rPr>
        <w:t>Makrides</w:t>
      </w:r>
      <w:proofErr w:type="spellEnd"/>
      <w:r w:rsidRPr="000E6478">
        <w:rPr>
          <w:rFonts w:asciiTheme="majorBidi" w:hAnsiTheme="majorBidi" w:cstheme="majorBidi"/>
        </w:rPr>
        <w:t xml:space="preserve">, A. and Trichina, E. (2023). Artificial intelligence, Robotics, Advanced Technologies and Human Resource Management: A systematic review. </w:t>
      </w:r>
      <w:r w:rsidRPr="000E6478">
        <w:rPr>
          <w:rFonts w:asciiTheme="majorBidi" w:hAnsiTheme="majorBidi" w:cstheme="majorBidi"/>
          <w:i/>
          <w:iCs/>
        </w:rPr>
        <w:t>Artificial intelligence and international HRM</w:t>
      </w:r>
      <w:r w:rsidRPr="000E6478">
        <w:rPr>
          <w:rFonts w:asciiTheme="majorBidi" w:hAnsiTheme="majorBidi" w:cstheme="majorBidi"/>
        </w:rPr>
        <w:t xml:space="preserve">, pp.172–201. </w:t>
      </w:r>
      <w:proofErr w:type="gramStart"/>
      <w:r w:rsidRPr="000E6478">
        <w:rPr>
          <w:rFonts w:asciiTheme="majorBidi" w:hAnsiTheme="majorBidi" w:cstheme="majorBidi"/>
        </w:rPr>
        <w:t>doi:</w:t>
      </w:r>
      <w:proofErr w:type="gramEnd"/>
      <w:r w:rsidRPr="000E6478">
        <w:rPr>
          <w:rFonts w:asciiTheme="majorBidi" w:hAnsiTheme="majorBidi" w:cstheme="majorBidi"/>
        </w:rPr>
        <w:t>10.4324/9781003377085-7.</w:t>
      </w:r>
    </w:p>
    <w:p w14:paraId="620A6541" w14:textId="77777777" w:rsidR="00064596" w:rsidRPr="000E6478" w:rsidRDefault="00064596" w:rsidP="00064596">
      <w:pPr>
        <w:pStyle w:val="NormalWeb"/>
        <w:spacing w:before="0" w:beforeAutospacing="0" w:after="0" w:afterAutospacing="0" w:line="360" w:lineRule="auto"/>
        <w:rPr>
          <w:rFonts w:asciiTheme="majorBidi" w:hAnsiTheme="majorBidi" w:cstheme="majorBidi"/>
        </w:rPr>
      </w:pPr>
      <w:r w:rsidRPr="000E6478">
        <w:rPr>
          <w:rFonts w:asciiTheme="majorBidi" w:hAnsiTheme="majorBidi" w:cstheme="majorBidi"/>
        </w:rPr>
        <w:t xml:space="preserve">World Economic Forum (2025). </w:t>
      </w:r>
      <w:r w:rsidRPr="000E6478">
        <w:rPr>
          <w:rFonts w:asciiTheme="majorBidi" w:hAnsiTheme="majorBidi" w:cstheme="majorBidi"/>
          <w:i/>
          <w:iCs/>
        </w:rPr>
        <w:t>The future of jobs report 2025</w:t>
      </w:r>
      <w:r w:rsidRPr="000E6478">
        <w:rPr>
          <w:rFonts w:asciiTheme="majorBidi" w:hAnsiTheme="majorBidi" w:cstheme="majorBidi"/>
        </w:rPr>
        <w:t>. [</w:t>
      </w:r>
      <w:proofErr w:type="gramStart"/>
      <w:r w:rsidRPr="000E6478">
        <w:rPr>
          <w:rFonts w:asciiTheme="majorBidi" w:hAnsiTheme="majorBidi" w:cstheme="majorBidi"/>
        </w:rPr>
        <w:t>online</w:t>
      </w:r>
      <w:proofErr w:type="gramEnd"/>
      <w:r w:rsidRPr="000E6478">
        <w:rPr>
          <w:rFonts w:asciiTheme="majorBidi" w:hAnsiTheme="majorBidi" w:cstheme="majorBidi"/>
        </w:rPr>
        <w:t>] World Economic Forum. Available at: https://www.weforum.org/publications/the-future-of-jobs-report-2025/in-full/conclusions-721d3cd435/ [Accessed 10 Oct. 2026].</w:t>
      </w:r>
    </w:p>
    <w:p w14:paraId="43DB51BE" w14:textId="77777777" w:rsidR="00064596" w:rsidRPr="000E6478" w:rsidRDefault="00064596" w:rsidP="00064596">
      <w:pPr>
        <w:spacing w:after="0" w:line="360" w:lineRule="auto"/>
        <w:jc w:val="both"/>
        <w:rPr>
          <w:rFonts w:asciiTheme="majorBidi" w:hAnsiTheme="majorBidi" w:cstheme="majorBidi"/>
          <w:color w:val="222222"/>
          <w:shd w:val="clear" w:color="auto" w:fill="FFFFFF"/>
        </w:rPr>
      </w:pPr>
      <w:proofErr w:type="spellStart"/>
      <w:r w:rsidRPr="000E6478">
        <w:rPr>
          <w:rFonts w:asciiTheme="majorBidi" w:hAnsiTheme="majorBidi" w:cstheme="majorBidi"/>
          <w:color w:val="222222"/>
          <w:shd w:val="clear" w:color="auto" w:fill="FFFFFF"/>
        </w:rPr>
        <w:lastRenderedPageBreak/>
        <w:t>Wrzesniewski</w:t>
      </w:r>
      <w:proofErr w:type="spellEnd"/>
      <w:r w:rsidRPr="000E6478">
        <w:rPr>
          <w:rFonts w:asciiTheme="majorBidi" w:hAnsiTheme="majorBidi" w:cstheme="majorBidi"/>
          <w:color w:val="222222"/>
          <w:shd w:val="clear" w:color="auto" w:fill="FFFFFF"/>
        </w:rPr>
        <w:t xml:space="preserve">, A. and Dutton, J.E., 2001. Crafting a job: </w:t>
      </w:r>
      <w:proofErr w:type="spellStart"/>
      <w:r w:rsidRPr="000E6478">
        <w:rPr>
          <w:rFonts w:asciiTheme="majorBidi" w:hAnsiTheme="majorBidi" w:cstheme="majorBidi"/>
          <w:color w:val="222222"/>
          <w:shd w:val="clear" w:color="auto" w:fill="FFFFFF"/>
        </w:rPr>
        <w:t>Revisioning</w:t>
      </w:r>
      <w:proofErr w:type="spellEnd"/>
      <w:r w:rsidRPr="000E6478">
        <w:rPr>
          <w:rFonts w:asciiTheme="majorBidi" w:hAnsiTheme="majorBidi" w:cstheme="majorBidi"/>
          <w:color w:val="222222"/>
          <w:shd w:val="clear" w:color="auto" w:fill="FFFFFF"/>
        </w:rPr>
        <w:t xml:space="preserve"> employees as active crafters of their work. </w:t>
      </w:r>
      <w:r w:rsidRPr="000E6478">
        <w:rPr>
          <w:rFonts w:asciiTheme="majorBidi" w:hAnsiTheme="majorBidi" w:cstheme="majorBidi"/>
          <w:i/>
          <w:iCs/>
          <w:color w:val="222222"/>
          <w:shd w:val="clear" w:color="auto" w:fill="FFFFFF"/>
        </w:rPr>
        <w:t>Academy of management review</w:t>
      </w:r>
      <w:r w:rsidRPr="000E6478">
        <w:rPr>
          <w:rFonts w:asciiTheme="majorBidi" w:hAnsiTheme="majorBidi" w:cstheme="majorBidi"/>
          <w:color w:val="222222"/>
          <w:shd w:val="clear" w:color="auto" w:fill="FFFFFF"/>
        </w:rPr>
        <w:t xml:space="preserve">, </w:t>
      </w:r>
      <w:r w:rsidRPr="000E6478">
        <w:rPr>
          <w:rFonts w:asciiTheme="majorBidi" w:hAnsiTheme="majorBidi" w:cstheme="majorBidi"/>
          <w:i/>
          <w:iCs/>
          <w:color w:val="222222"/>
          <w:shd w:val="clear" w:color="auto" w:fill="FFFFFF"/>
        </w:rPr>
        <w:t>26</w:t>
      </w:r>
      <w:r w:rsidRPr="000E6478">
        <w:rPr>
          <w:rFonts w:asciiTheme="majorBidi" w:hAnsiTheme="majorBidi" w:cstheme="majorBidi"/>
          <w:color w:val="222222"/>
          <w:shd w:val="clear" w:color="auto" w:fill="FFFFFF"/>
        </w:rPr>
        <w:t>(2), pp.179-201.</w:t>
      </w:r>
    </w:p>
    <w:p w14:paraId="0389927B" w14:textId="77777777" w:rsidR="00836195" w:rsidRPr="000E6478" w:rsidRDefault="00836195" w:rsidP="00491748">
      <w:pPr>
        <w:spacing w:after="0" w:line="360" w:lineRule="auto"/>
        <w:jc w:val="both"/>
        <w:rPr>
          <w:rFonts w:asciiTheme="majorBidi" w:hAnsiTheme="majorBidi" w:cstheme="majorBidi"/>
          <w:color w:val="000000" w:themeColor="text1"/>
        </w:rPr>
      </w:pPr>
    </w:p>
    <w:sectPr w:rsidR="00836195" w:rsidRPr="000E6478" w:rsidSect="0003493C">
      <w:footerReference w:type="default" r:id="rId11"/>
      <w:pgSz w:w="11906" w:h="16838" w:code="9"/>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A48C78" w14:textId="77777777" w:rsidR="00BE7FC6" w:rsidRDefault="00BE7FC6" w:rsidP="003D0F6C">
      <w:pPr>
        <w:spacing w:after="0" w:line="240" w:lineRule="auto"/>
      </w:pPr>
      <w:r>
        <w:separator/>
      </w:r>
    </w:p>
  </w:endnote>
  <w:endnote w:type="continuationSeparator" w:id="0">
    <w:p w14:paraId="3D4F711B" w14:textId="77777777" w:rsidR="00BE7FC6" w:rsidRDefault="00BE7FC6" w:rsidP="003D0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6638456"/>
      <w:docPartObj>
        <w:docPartGallery w:val="Page Numbers (Bottom of Page)"/>
        <w:docPartUnique/>
      </w:docPartObj>
    </w:sdtPr>
    <w:sdtEndPr>
      <w:rPr>
        <w:color w:val="7F7F7F" w:themeColor="background1" w:themeShade="7F"/>
        <w:spacing w:val="60"/>
      </w:rPr>
    </w:sdtEndPr>
    <w:sdtContent>
      <w:p w14:paraId="32999921" w14:textId="43E0F50F" w:rsidR="003D0F6C" w:rsidRDefault="003D0F6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F17E9" w:rsidRPr="00CF17E9">
          <w:rPr>
            <w:b/>
            <w:bCs/>
            <w:noProof/>
          </w:rPr>
          <w:t>14</w:t>
        </w:r>
        <w:r>
          <w:rPr>
            <w:b/>
            <w:bCs/>
            <w:noProof/>
          </w:rPr>
          <w:fldChar w:fldCharType="end"/>
        </w:r>
        <w:r>
          <w:rPr>
            <w:b/>
            <w:bCs/>
          </w:rPr>
          <w:t xml:space="preserve"> | </w:t>
        </w:r>
        <w:r>
          <w:rPr>
            <w:color w:val="7F7F7F" w:themeColor="background1" w:themeShade="7F"/>
            <w:spacing w:val="60"/>
          </w:rPr>
          <w:t>Page</w:t>
        </w:r>
      </w:p>
    </w:sdtContent>
  </w:sdt>
  <w:p w14:paraId="4E573D6C" w14:textId="77777777" w:rsidR="003D0F6C" w:rsidRDefault="003D0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57718E" w14:textId="77777777" w:rsidR="00BE7FC6" w:rsidRDefault="00BE7FC6" w:rsidP="003D0F6C">
      <w:pPr>
        <w:spacing w:after="0" w:line="240" w:lineRule="auto"/>
      </w:pPr>
      <w:r>
        <w:separator/>
      </w:r>
    </w:p>
  </w:footnote>
  <w:footnote w:type="continuationSeparator" w:id="0">
    <w:p w14:paraId="34FD059F" w14:textId="77777777" w:rsidR="00BE7FC6" w:rsidRDefault="00BE7FC6" w:rsidP="003D0F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70A88"/>
    <w:multiLevelType w:val="multilevel"/>
    <w:tmpl w:val="9920E41A"/>
    <w:lvl w:ilvl="0">
      <w:start w:val="3"/>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85D5379"/>
    <w:multiLevelType w:val="hybridMultilevel"/>
    <w:tmpl w:val="378699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F83955"/>
    <w:multiLevelType w:val="hybridMultilevel"/>
    <w:tmpl w:val="537C18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F86643"/>
    <w:multiLevelType w:val="hybridMultilevel"/>
    <w:tmpl w:val="AD4E03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657611"/>
    <w:multiLevelType w:val="multilevel"/>
    <w:tmpl w:val="948E7C14"/>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CDB1343"/>
    <w:multiLevelType w:val="hybridMultilevel"/>
    <w:tmpl w:val="5CE64E6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1A73D5"/>
    <w:multiLevelType w:val="multilevel"/>
    <w:tmpl w:val="9920E41A"/>
    <w:lvl w:ilvl="0">
      <w:start w:val="3"/>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2F342983"/>
    <w:multiLevelType w:val="hybridMultilevel"/>
    <w:tmpl w:val="CF4A00C2"/>
    <w:lvl w:ilvl="0" w:tplc="27925380">
      <w:start w:val="1"/>
      <w:numFmt w:val="decimal"/>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FD530B4"/>
    <w:multiLevelType w:val="hybridMultilevel"/>
    <w:tmpl w:val="6AA6E3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27573B9"/>
    <w:multiLevelType w:val="multilevel"/>
    <w:tmpl w:val="DEEEE77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0" w15:restartNumberingAfterBreak="0">
    <w:nsid w:val="36C85965"/>
    <w:multiLevelType w:val="hybridMultilevel"/>
    <w:tmpl w:val="8D4C2C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CF56C1"/>
    <w:multiLevelType w:val="hybridMultilevel"/>
    <w:tmpl w:val="ECA644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8A4252A"/>
    <w:multiLevelType w:val="hybridMultilevel"/>
    <w:tmpl w:val="9B242EC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7D5375"/>
    <w:multiLevelType w:val="multilevel"/>
    <w:tmpl w:val="DEEEE77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4" w15:restartNumberingAfterBreak="0">
    <w:nsid w:val="54714016"/>
    <w:multiLevelType w:val="multilevel"/>
    <w:tmpl w:val="DEEEE77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55740127"/>
    <w:multiLevelType w:val="multilevel"/>
    <w:tmpl w:val="46B880B2"/>
    <w:lvl w:ilvl="0">
      <w:start w:val="1"/>
      <w:numFmt w:val="bullet"/>
      <w:lvlText w:val=""/>
      <w:lvlJc w:val="left"/>
      <w:pPr>
        <w:ind w:left="360" w:hanging="360"/>
      </w:pPr>
      <w:rPr>
        <w:rFonts w:ascii="Wingdings" w:hAnsi="Wingdings" w:hint="default"/>
        <w:color w:val="000000" w:themeColor="text1"/>
      </w:rPr>
    </w:lvl>
    <w:lvl w:ilvl="1">
      <w:start w:val="1"/>
      <w:numFmt w:val="decimal"/>
      <w:isLgl/>
      <w:lvlText w:val="%1.%2"/>
      <w:lvlJc w:val="left"/>
      <w:pPr>
        <w:ind w:left="720" w:hanging="720"/>
      </w:pPr>
      <w:rPr>
        <w:rFonts w:hint="default"/>
        <w:color w:val="000000" w:themeColor="text1"/>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6" w15:restartNumberingAfterBreak="0">
    <w:nsid w:val="5F4365D0"/>
    <w:multiLevelType w:val="multilevel"/>
    <w:tmpl w:val="DEEEE77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7" w15:restartNumberingAfterBreak="0">
    <w:nsid w:val="68696499"/>
    <w:multiLevelType w:val="hybridMultilevel"/>
    <w:tmpl w:val="3F5C060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8477DD"/>
    <w:multiLevelType w:val="hybridMultilevel"/>
    <w:tmpl w:val="5EC4161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93A7BFB"/>
    <w:multiLevelType w:val="hybridMultilevel"/>
    <w:tmpl w:val="7EAACDCA"/>
    <w:lvl w:ilvl="0" w:tplc="51C43CB0">
      <w:start w:val="1"/>
      <w:numFmt w:val="decimal"/>
      <w:lvlText w:val="%1 "/>
      <w:lvlJc w:val="left"/>
      <w:pPr>
        <w:ind w:left="360" w:hanging="360"/>
      </w:pPr>
      <w:rPr>
        <w:rFonts w:hint="default"/>
      </w:rPr>
    </w:lvl>
    <w:lvl w:ilvl="1" w:tplc="04090019">
      <w:start w:val="1"/>
      <w:numFmt w:val="lowerLetter"/>
      <w:lvlText w:val="%2."/>
      <w:lvlJc w:val="left"/>
      <w:pPr>
        <w:ind w:left="36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8"/>
  </w:num>
  <w:num w:numId="2">
    <w:abstractNumId w:val="7"/>
  </w:num>
  <w:num w:numId="3">
    <w:abstractNumId w:val="15"/>
  </w:num>
  <w:num w:numId="4">
    <w:abstractNumId w:val="13"/>
  </w:num>
  <w:num w:numId="5">
    <w:abstractNumId w:val="14"/>
  </w:num>
  <w:num w:numId="6">
    <w:abstractNumId w:val="16"/>
  </w:num>
  <w:num w:numId="7">
    <w:abstractNumId w:val="9"/>
  </w:num>
  <w:num w:numId="8">
    <w:abstractNumId w:val="11"/>
  </w:num>
  <w:num w:numId="9">
    <w:abstractNumId w:val="3"/>
  </w:num>
  <w:num w:numId="10">
    <w:abstractNumId w:val="12"/>
  </w:num>
  <w:num w:numId="11">
    <w:abstractNumId w:val="1"/>
  </w:num>
  <w:num w:numId="12">
    <w:abstractNumId w:val="0"/>
  </w:num>
  <w:num w:numId="13">
    <w:abstractNumId w:val="18"/>
  </w:num>
  <w:num w:numId="14">
    <w:abstractNumId w:val="2"/>
  </w:num>
  <w:num w:numId="15">
    <w:abstractNumId w:val="19"/>
  </w:num>
  <w:num w:numId="16">
    <w:abstractNumId w:val="4"/>
  </w:num>
  <w:num w:numId="17">
    <w:abstractNumId w:val="6"/>
  </w:num>
  <w:num w:numId="18">
    <w:abstractNumId w:val="17"/>
  </w:num>
  <w:num w:numId="19">
    <w:abstractNumId w:val="5"/>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NjMwMTI0MzM3NDWxMLBU0lEKTi0uzszPAykwrAUA3w4aNSwAAAA="/>
  </w:docVars>
  <w:rsids>
    <w:rsidRoot w:val="00090CE6"/>
    <w:rsid w:val="00001909"/>
    <w:rsid w:val="000247C7"/>
    <w:rsid w:val="0003493C"/>
    <w:rsid w:val="00054CC6"/>
    <w:rsid w:val="00064596"/>
    <w:rsid w:val="000756B4"/>
    <w:rsid w:val="00090CE6"/>
    <w:rsid w:val="000E6478"/>
    <w:rsid w:val="00116190"/>
    <w:rsid w:val="00127097"/>
    <w:rsid w:val="0020315E"/>
    <w:rsid w:val="00275613"/>
    <w:rsid w:val="0030376D"/>
    <w:rsid w:val="00307ECF"/>
    <w:rsid w:val="00383235"/>
    <w:rsid w:val="003D0F6C"/>
    <w:rsid w:val="003D1E6D"/>
    <w:rsid w:val="00483CD7"/>
    <w:rsid w:val="00491748"/>
    <w:rsid w:val="004978B8"/>
    <w:rsid w:val="004A1B8B"/>
    <w:rsid w:val="004C36E2"/>
    <w:rsid w:val="004D0BD6"/>
    <w:rsid w:val="004D3A07"/>
    <w:rsid w:val="004D47ED"/>
    <w:rsid w:val="00550B10"/>
    <w:rsid w:val="005559E8"/>
    <w:rsid w:val="00561F46"/>
    <w:rsid w:val="005D0255"/>
    <w:rsid w:val="00655DD9"/>
    <w:rsid w:val="00660E60"/>
    <w:rsid w:val="006E09EA"/>
    <w:rsid w:val="007020DC"/>
    <w:rsid w:val="007539C2"/>
    <w:rsid w:val="0076478F"/>
    <w:rsid w:val="007A1991"/>
    <w:rsid w:val="007C3C01"/>
    <w:rsid w:val="007E29ED"/>
    <w:rsid w:val="007E3A82"/>
    <w:rsid w:val="007F2694"/>
    <w:rsid w:val="00836195"/>
    <w:rsid w:val="00853F20"/>
    <w:rsid w:val="00923ED3"/>
    <w:rsid w:val="00997653"/>
    <w:rsid w:val="009C3C6D"/>
    <w:rsid w:val="009F2717"/>
    <w:rsid w:val="00A54B8F"/>
    <w:rsid w:val="00A5591D"/>
    <w:rsid w:val="00BE7FC6"/>
    <w:rsid w:val="00C1424F"/>
    <w:rsid w:val="00C47065"/>
    <w:rsid w:val="00C607D5"/>
    <w:rsid w:val="00C62737"/>
    <w:rsid w:val="00C666EB"/>
    <w:rsid w:val="00C7721B"/>
    <w:rsid w:val="00C93425"/>
    <w:rsid w:val="00CB2D4A"/>
    <w:rsid w:val="00CC499A"/>
    <w:rsid w:val="00CD5911"/>
    <w:rsid w:val="00CD7AF0"/>
    <w:rsid w:val="00CF17E9"/>
    <w:rsid w:val="00D351D0"/>
    <w:rsid w:val="00DC4CD7"/>
    <w:rsid w:val="00DF2012"/>
    <w:rsid w:val="00E31882"/>
    <w:rsid w:val="00F94939"/>
    <w:rsid w:val="00FB6B33"/>
    <w:rsid w:val="00FE0FD3"/>
    <w:rsid w:val="00FF163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18E42"/>
  <w15:chartTrackingRefBased/>
  <w15:docId w15:val="{9063DA17-D5C4-4413-8416-C61E8083D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90C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90C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90C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0C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0C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0C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C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C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C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C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90C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90C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90C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90C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0C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C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C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CE6"/>
    <w:rPr>
      <w:rFonts w:eastAsiaTheme="majorEastAsia" w:cstheme="majorBidi"/>
      <w:color w:val="272727" w:themeColor="text1" w:themeTint="D8"/>
    </w:rPr>
  </w:style>
  <w:style w:type="paragraph" w:styleId="Title">
    <w:name w:val="Title"/>
    <w:basedOn w:val="Normal"/>
    <w:next w:val="Normal"/>
    <w:link w:val="TitleChar"/>
    <w:uiPriority w:val="10"/>
    <w:qFormat/>
    <w:rsid w:val="00090C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C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C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C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CE6"/>
    <w:pPr>
      <w:spacing w:before="160"/>
      <w:jc w:val="center"/>
    </w:pPr>
    <w:rPr>
      <w:i/>
      <w:iCs/>
      <w:color w:val="404040" w:themeColor="text1" w:themeTint="BF"/>
    </w:rPr>
  </w:style>
  <w:style w:type="character" w:customStyle="1" w:styleId="QuoteChar">
    <w:name w:val="Quote Char"/>
    <w:basedOn w:val="DefaultParagraphFont"/>
    <w:link w:val="Quote"/>
    <w:uiPriority w:val="29"/>
    <w:rsid w:val="00090CE6"/>
    <w:rPr>
      <w:i/>
      <w:iCs/>
      <w:color w:val="404040" w:themeColor="text1" w:themeTint="BF"/>
    </w:rPr>
  </w:style>
  <w:style w:type="paragraph" w:styleId="ListParagraph">
    <w:name w:val="List Paragraph"/>
    <w:basedOn w:val="Normal"/>
    <w:uiPriority w:val="34"/>
    <w:qFormat/>
    <w:rsid w:val="00090CE6"/>
    <w:pPr>
      <w:ind w:left="720"/>
      <w:contextualSpacing/>
    </w:pPr>
  </w:style>
  <w:style w:type="character" w:styleId="IntenseEmphasis">
    <w:name w:val="Intense Emphasis"/>
    <w:basedOn w:val="DefaultParagraphFont"/>
    <w:uiPriority w:val="21"/>
    <w:qFormat/>
    <w:rsid w:val="00090CE6"/>
    <w:rPr>
      <w:i/>
      <w:iCs/>
      <w:color w:val="2F5496" w:themeColor="accent1" w:themeShade="BF"/>
    </w:rPr>
  </w:style>
  <w:style w:type="paragraph" w:styleId="IntenseQuote">
    <w:name w:val="Intense Quote"/>
    <w:basedOn w:val="Normal"/>
    <w:next w:val="Normal"/>
    <w:link w:val="IntenseQuoteChar"/>
    <w:uiPriority w:val="30"/>
    <w:qFormat/>
    <w:rsid w:val="00090C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0CE6"/>
    <w:rPr>
      <w:i/>
      <w:iCs/>
      <w:color w:val="2F5496" w:themeColor="accent1" w:themeShade="BF"/>
    </w:rPr>
  </w:style>
  <w:style w:type="character" w:styleId="IntenseReference">
    <w:name w:val="Intense Reference"/>
    <w:basedOn w:val="DefaultParagraphFont"/>
    <w:uiPriority w:val="32"/>
    <w:qFormat/>
    <w:rsid w:val="00090CE6"/>
    <w:rPr>
      <w:b/>
      <w:bCs/>
      <w:smallCaps/>
      <w:color w:val="2F5496" w:themeColor="accent1" w:themeShade="BF"/>
      <w:spacing w:val="5"/>
    </w:rPr>
  </w:style>
  <w:style w:type="character" w:styleId="Hyperlink">
    <w:name w:val="Hyperlink"/>
    <w:basedOn w:val="DefaultParagraphFont"/>
    <w:uiPriority w:val="99"/>
    <w:unhideWhenUsed/>
    <w:rsid w:val="0003493C"/>
    <w:rPr>
      <w:color w:val="0563C1" w:themeColor="hyperlink"/>
      <w:u w:val="single"/>
    </w:rPr>
  </w:style>
  <w:style w:type="character" w:customStyle="1" w:styleId="UnresolvedMention">
    <w:name w:val="Unresolved Mention"/>
    <w:basedOn w:val="DefaultParagraphFont"/>
    <w:uiPriority w:val="99"/>
    <w:semiHidden/>
    <w:unhideWhenUsed/>
    <w:rsid w:val="0003493C"/>
    <w:rPr>
      <w:color w:val="605E5C"/>
      <w:shd w:val="clear" w:color="auto" w:fill="E1DFDD"/>
    </w:rPr>
  </w:style>
  <w:style w:type="table" w:styleId="PlainTable1">
    <w:name w:val="Plain Table 1"/>
    <w:basedOn w:val="TableNormal"/>
    <w:uiPriority w:val="41"/>
    <w:rsid w:val="00CD7A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3D0F6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D0F6C"/>
    <w:pPr>
      <w:spacing w:after="100"/>
    </w:pPr>
  </w:style>
  <w:style w:type="paragraph" w:styleId="TOC2">
    <w:name w:val="toc 2"/>
    <w:basedOn w:val="Normal"/>
    <w:next w:val="Normal"/>
    <w:autoRedefine/>
    <w:uiPriority w:val="39"/>
    <w:unhideWhenUsed/>
    <w:rsid w:val="003D0F6C"/>
    <w:pPr>
      <w:spacing w:after="100"/>
      <w:ind w:left="240"/>
    </w:pPr>
  </w:style>
  <w:style w:type="paragraph" w:styleId="Header">
    <w:name w:val="header"/>
    <w:basedOn w:val="Normal"/>
    <w:link w:val="HeaderChar"/>
    <w:uiPriority w:val="99"/>
    <w:unhideWhenUsed/>
    <w:rsid w:val="003D0F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F6C"/>
  </w:style>
  <w:style w:type="paragraph" w:styleId="Footer">
    <w:name w:val="footer"/>
    <w:basedOn w:val="Normal"/>
    <w:link w:val="FooterChar"/>
    <w:uiPriority w:val="99"/>
    <w:unhideWhenUsed/>
    <w:rsid w:val="003D0F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F6C"/>
  </w:style>
  <w:style w:type="table" w:styleId="GridTable4-Accent5">
    <w:name w:val="Grid Table 4 Accent 5"/>
    <w:basedOn w:val="TableNormal"/>
    <w:uiPriority w:val="49"/>
    <w:rsid w:val="007A199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491748"/>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207605">
      <w:bodyDiv w:val="1"/>
      <w:marLeft w:val="0"/>
      <w:marRight w:val="0"/>
      <w:marTop w:val="0"/>
      <w:marBottom w:val="0"/>
      <w:divBdr>
        <w:top w:val="none" w:sz="0" w:space="0" w:color="auto"/>
        <w:left w:val="none" w:sz="0" w:space="0" w:color="auto"/>
        <w:bottom w:val="none" w:sz="0" w:space="0" w:color="auto"/>
        <w:right w:val="none" w:sz="0" w:space="0" w:color="auto"/>
      </w:divBdr>
    </w:div>
    <w:div w:id="119615588">
      <w:bodyDiv w:val="1"/>
      <w:marLeft w:val="0"/>
      <w:marRight w:val="0"/>
      <w:marTop w:val="0"/>
      <w:marBottom w:val="0"/>
      <w:divBdr>
        <w:top w:val="none" w:sz="0" w:space="0" w:color="auto"/>
        <w:left w:val="none" w:sz="0" w:space="0" w:color="auto"/>
        <w:bottom w:val="none" w:sz="0" w:space="0" w:color="auto"/>
        <w:right w:val="none" w:sz="0" w:space="0" w:color="auto"/>
      </w:divBdr>
    </w:div>
    <w:div w:id="168638491">
      <w:bodyDiv w:val="1"/>
      <w:marLeft w:val="0"/>
      <w:marRight w:val="0"/>
      <w:marTop w:val="0"/>
      <w:marBottom w:val="0"/>
      <w:divBdr>
        <w:top w:val="none" w:sz="0" w:space="0" w:color="auto"/>
        <w:left w:val="none" w:sz="0" w:space="0" w:color="auto"/>
        <w:bottom w:val="none" w:sz="0" w:space="0" w:color="auto"/>
        <w:right w:val="none" w:sz="0" w:space="0" w:color="auto"/>
      </w:divBdr>
    </w:div>
    <w:div w:id="227302765">
      <w:bodyDiv w:val="1"/>
      <w:marLeft w:val="0"/>
      <w:marRight w:val="0"/>
      <w:marTop w:val="0"/>
      <w:marBottom w:val="0"/>
      <w:divBdr>
        <w:top w:val="none" w:sz="0" w:space="0" w:color="auto"/>
        <w:left w:val="none" w:sz="0" w:space="0" w:color="auto"/>
        <w:bottom w:val="none" w:sz="0" w:space="0" w:color="auto"/>
        <w:right w:val="none" w:sz="0" w:space="0" w:color="auto"/>
      </w:divBdr>
    </w:div>
    <w:div w:id="532839295">
      <w:bodyDiv w:val="1"/>
      <w:marLeft w:val="0"/>
      <w:marRight w:val="0"/>
      <w:marTop w:val="0"/>
      <w:marBottom w:val="0"/>
      <w:divBdr>
        <w:top w:val="none" w:sz="0" w:space="0" w:color="auto"/>
        <w:left w:val="none" w:sz="0" w:space="0" w:color="auto"/>
        <w:bottom w:val="none" w:sz="0" w:space="0" w:color="auto"/>
        <w:right w:val="none" w:sz="0" w:space="0" w:color="auto"/>
      </w:divBdr>
    </w:div>
    <w:div w:id="609364322">
      <w:bodyDiv w:val="1"/>
      <w:marLeft w:val="0"/>
      <w:marRight w:val="0"/>
      <w:marTop w:val="0"/>
      <w:marBottom w:val="0"/>
      <w:divBdr>
        <w:top w:val="none" w:sz="0" w:space="0" w:color="auto"/>
        <w:left w:val="none" w:sz="0" w:space="0" w:color="auto"/>
        <w:bottom w:val="none" w:sz="0" w:space="0" w:color="auto"/>
        <w:right w:val="none" w:sz="0" w:space="0" w:color="auto"/>
      </w:divBdr>
    </w:div>
    <w:div w:id="649527733">
      <w:bodyDiv w:val="1"/>
      <w:marLeft w:val="0"/>
      <w:marRight w:val="0"/>
      <w:marTop w:val="0"/>
      <w:marBottom w:val="0"/>
      <w:divBdr>
        <w:top w:val="none" w:sz="0" w:space="0" w:color="auto"/>
        <w:left w:val="none" w:sz="0" w:space="0" w:color="auto"/>
        <w:bottom w:val="none" w:sz="0" w:space="0" w:color="auto"/>
        <w:right w:val="none" w:sz="0" w:space="0" w:color="auto"/>
      </w:divBdr>
    </w:div>
    <w:div w:id="674647013">
      <w:bodyDiv w:val="1"/>
      <w:marLeft w:val="0"/>
      <w:marRight w:val="0"/>
      <w:marTop w:val="0"/>
      <w:marBottom w:val="0"/>
      <w:divBdr>
        <w:top w:val="none" w:sz="0" w:space="0" w:color="auto"/>
        <w:left w:val="none" w:sz="0" w:space="0" w:color="auto"/>
        <w:bottom w:val="none" w:sz="0" w:space="0" w:color="auto"/>
        <w:right w:val="none" w:sz="0" w:space="0" w:color="auto"/>
      </w:divBdr>
      <w:divsChild>
        <w:div w:id="439111470">
          <w:marLeft w:val="0"/>
          <w:marRight w:val="0"/>
          <w:marTop w:val="0"/>
          <w:marBottom w:val="0"/>
          <w:divBdr>
            <w:top w:val="none" w:sz="0" w:space="0" w:color="auto"/>
            <w:left w:val="none" w:sz="0" w:space="0" w:color="auto"/>
            <w:bottom w:val="none" w:sz="0" w:space="0" w:color="auto"/>
            <w:right w:val="none" w:sz="0" w:space="0" w:color="auto"/>
          </w:divBdr>
        </w:div>
      </w:divsChild>
    </w:div>
    <w:div w:id="715082312">
      <w:bodyDiv w:val="1"/>
      <w:marLeft w:val="0"/>
      <w:marRight w:val="0"/>
      <w:marTop w:val="0"/>
      <w:marBottom w:val="0"/>
      <w:divBdr>
        <w:top w:val="none" w:sz="0" w:space="0" w:color="auto"/>
        <w:left w:val="none" w:sz="0" w:space="0" w:color="auto"/>
        <w:bottom w:val="none" w:sz="0" w:space="0" w:color="auto"/>
        <w:right w:val="none" w:sz="0" w:space="0" w:color="auto"/>
      </w:divBdr>
    </w:div>
    <w:div w:id="1127351703">
      <w:bodyDiv w:val="1"/>
      <w:marLeft w:val="0"/>
      <w:marRight w:val="0"/>
      <w:marTop w:val="0"/>
      <w:marBottom w:val="0"/>
      <w:divBdr>
        <w:top w:val="none" w:sz="0" w:space="0" w:color="auto"/>
        <w:left w:val="none" w:sz="0" w:space="0" w:color="auto"/>
        <w:bottom w:val="none" w:sz="0" w:space="0" w:color="auto"/>
        <w:right w:val="none" w:sz="0" w:space="0" w:color="auto"/>
      </w:divBdr>
    </w:div>
    <w:div w:id="1200050427">
      <w:bodyDiv w:val="1"/>
      <w:marLeft w:val="0"/>
      <w:marRight w:val="0"/>
      <w:marTop w:val="0"/>
      <w:marBottom w:val="0"/>
      <w:divBdr>
        <w:top w:val="none" w:sz="0" w:space="0" w:color="auto"/>
        <w:left w:val="none" w:sz="0" w:space="0" w:color="auto"/>
        <w:bottom w:val="none" w:sz="0" w:space="0" w:color="auto"/>
        <w:right w:val="none" w:sz="0" w:space="0" w:color="auto"/>
      </w:divBdr>
      <w:divsChild>
        <w:div w:id="1106970389">
          <w:marLeft w:val="0"/>
          <w:marRight w:val="0"/>
          <w:marTop w:val="0"/>
          <w:marBottom w:val="0"/>
          <w:divBdr>
            <w:top w:val="none" w:sz="0" w:space="0" w:color="auto"/>
            <w:left w:val="none" w:sz="0" w:space="0" w:color="auto"/>
            <w:bottom w:val="none" w:sz="0" w:space="0" w:color="auto"/>
            <w:right w:val="none" w:sz="0" w:space="0" w:color="auto"/>
          </w:divBdr>
        </w:div>
      </w:divsChild>
    </w:div>
    <w:div w:id="1226916605">
      <w:bodyDiv w:val="1"/>
      <w:marLeft w:val="0"/>
      <w:marRight w:val="0"/>
      <w:marTop w:val="0"/>
      <w:marBottom w:val="0"/>
      <w:divBdr>
        <w:top w:val="none" w:sz="0" w:space="0" w:color="auto"/>
        <w:left w:val="none" w:sz="0" w:space="0" w:color="auto"/>
        <w:bottom w:val="none" w:sz="0" w:space="0" w:color="auto"/>
        <w:right w:val="none" w:sz="0" w:space="0" w:color="auto"/>
      </w:divBdr>
    </w:div>
    <w:div w:id="1329672362">
      <w:bodyDiv w:val="1"/>
      <w:marLeft w:val="0"/>
      <w:marRight w:val="0"/>
      <w:marTop w:val="0"/>
      <w:marBottom w:val="0"/>
      <w:divBdr>
        <w:top w:val="none" w:sz="0" w:space="0" w:color="auto"/>
        <w:left w:val="none" w:sz="0" w:space="0" w:color="auto"/>
        <w:bottom w:val="none" w:sz="0" w:space="0" w:color="auto"/>
        <w:right w:val="none" w:sz="0" w:space="0" w:color="auto"/>
      </w:divBdr>
    </w:div>
    <w:div w:id="1518346248">
      <w:bodyDiv w:val="1"/>
      <w:marLeft w:val="0"/>
      <w:marRight w:val="0"/>
      <w:marTop w:val="0"/>
      <w:marBottom w:val="0"/>
      <w:divBdr>
        <w:top w:val="none" w:sz="0" w:space="0" w:color="auto"/>
        <w:left w:val="none" w:sz="0" w:space="0" w:color="auto"/>
        <w:bottom w:val="none" w:sz="0" w:space="0" w:color="auto"/>
        <w:right w:val="none" w:sz="0" w:space="0" w:color="auto"/>
      </w:divBdr>
    </w:div>
    <w:div w:id="1692995442">
      <w:bodyDiv w:val="1"/>
      <w:marLeft w:val="0"/>
      <w:marRight w:val="0"/>
      <w:marTop w:val="0"/>
      <w:marBottom w:val="0"/>
      <w:divBdr>
        <w:top w:val="none" w:sz="0" w:space="0" w:color="auto"/>
        <w:left w:val="none" w:sz="0" w:space="0" w:color="auto"/>
        <w:bottom w:val="none" w:sz="0" w:space="0" w:color="auto"/>
        <w:right w:val="none" w:sz="0" w:space="0" w:color="auto"/>
      </w:divBdr>
    </w:div>
    <w:div w:id="1705252466">
      <w:bodyDiv w:val="1"/>
      <w:marLeft w:val="0"/>
      <w:marRight w:val="0"/>
      <w:marTop w:val="0"/>
      <w:marBottom w:val="0"/>
      <w:divBdr>
        <w:top w:val="none" w:sz="0" w:space="0" w:color="auto"/>
        <w:left w:val="none" w:sz="0" w:space="0" w:color="auto"/>
        <w:bottom w:val="none" w:sz="0" w:space="0" w:color="auto"/>
        <w:right w:val="none" w:sz="0" w:space="0" w:color="auto"/>
      </w:divBdr>
    </w:div>
    <w:div w:id="176425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38BC5-C332-4225-BB20-8376A49D6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14</Pages>
  <Words>3858</Words>
  <Characters>21995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revision>66</cp:revision>
  <dcterms:created xsi:type="dcterms:W3CDTF">2026-10-09T18:22:00Z</dcterms:created>
  <dcterms:modified xsi:type="dcterms:W3CDTF">2026-10-13T03:21:00Z</dcterms:modified>
</cp:coreProperties>
</file>