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2">
      <w:pPr>
        <w:spacing w:after="280" w:before="280" w:line="240" w:lineRule="auto"/>
        <w:rPr>
          <w:rFonts w:ascii="Times New Roman" w:cs="Times New Roman" w:eastAsia="Times New Roman" w:hAnsi="Times New Roman"/>
          <w:sz w:val="24"/>
          <w:szCs w:val="24"/>
        </w:rPr>
      </w:pPr>
      <w:r w:rsidDel="00000000" w:rsidR="00000000" w:rsidRPr="00000000">
        <w:rPr>
          <w:rtl w:val="0"/>
        </w:rPr>
      </w:r>
    </w:p>
    <w:tbl>
      <w:tblPr>
        <w:tblStyle w:val="Table1"/>
        <w:tblW w:w="7846.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90"/>
        <w:gridCol w:w="4756"/>
        <w:tblGridChange w:id="0">
          <w:tblGrid>
            <w:gridCol w:w="3090"/>
            <w:gridCol w:w="4756"/>
          </w:tblGrid>
        </w:tblGridChange>
      </w:tblGrid>
      <w:tr>
        <w:trPr>
          <w:cantSplit w:val="0"/>
          <w:tblHeader w:val="0"/>
        </w:trPr>
        <w:tc>
          <w:tcPr>
            <w:shd w:fill="d9d9d9" w:val="clear"/>
          </w:tcPr>
          <w:p w:rsidR="00000000" w:rsidDel="00000000" w:rsidP="00000000" w:rsidRDefault="00000000" w:rsidRPr="00000000" w14:paraId="00000003">
            <w:pPr>
              <w:spacing w:line="480" w:lineRule="auto"/>
              <w:jc w:val="center"/>
              <w:rPr>
                <w:rFonts w:ascii="Times New Roman" w:cs="Times New Roman" w:eastAsia="Times New Roman" w:hAnsi="Times New Roman"/>
                <w:b w:val="1"/>
                <w:bCs w:val="1"/>
                <w:sz w:val="24"/>
                <w:szCs w:val="24"/>
              </w:rPr>
            </w:pPr>
            <w:bookmarkStart w:colFirst="0" w:colLast="0" w:name="_k5rip6f09sx" w:id="0"/>
            <w:bookmarkEnd w:id="0"/>
            <w:r w:rsidDel="00000000" w:rsidR="00000000" w:rsidRPr="00000000">
              <w:rPr>
                <w:rFonts w:ascii="Times New Roman" w:cs="Times New Roman" w:eastAsia="Times New Roman" w:hAnsi="Times New Roman"/>
                <w:b w:val="1"/>
                <w:bCs w:val="1"/>
                <w:sz w:val="24"/>
                <w:szCs w:val="24"/>
                <w:rtl w:val="0"/>
              </w:rPr>
              <w:t xml:space="preserve">Programme</w:t>
            </w:r>
          </w:p>
        </w:tc>
        <w:tc>
          <w:tcPr/>
          <w:p w:rsidR="00000000" w:rsidDel="00000000" w:rsidP="00000000" w:rsidRDefault="00000000" w:rsidRPr="00000000" w14:paraId="00000004">
            <w:pPr>
              <w:spacing w:line="48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BA (Hons) Business Management</w:t>
            </w:r>
          </w:p>
        </w:tc>
      </w:tr>
      <w:tr>
        <w:trPr>
          <w:cantSplit w:val="0"/>
          <w:tblHeader w:val="0"/>
        </w:trPr>
        <w:tc>
          <w:tcPr>
            <w:shd w:fill="d9d9d9" w:val="clear"/>
          </w:tcPr>
          <w:p w:rsidR="00000000" w:rsidDel="00000000" w:rsidP="00000000" w:rsidRDefault="00000000" w:rsidRPr="00000000" w14:paraId="00000005">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Module</w:t>
            </w:r>
            <w:r w:rsidDel="00000000" w:rsidR="00000000" w:rsidRPr="00000000">
              <w:rPr>
                <w:rtl w:val="0"/>
              </w:rPr>
            </w:r>
          </w:p>
        </w:tc>
        <w:tc>
          <w:tcPr/>
          <w:p w:rsidR="00000000" w:rsidDel="00000000" w:rsidP="00000000" w:rsidRDefault="00000000" w:rsidRPr="00000000" w14:paraId="00000006">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Management Accounting for Managers</w:t>
            </w:r>
          </w:p>
        </w:tc>
      </w:tr>
      <w:tr>
        <w:trPr>
          <w:cantSplit w:val="0"/>
          <w:tblHeader w:val="0"/>
        </w:trPr>
        <w:tc>
          <w:tcPr>
            <w:shd w:fill="d9d9d9" w:val="clear"/>
          </w:tcPr>
          <w:p w:rsidR="00000000" w:rsidDel="00000000" w:rsidP="00000000" w:rsidRDefault="00000000" w:rsidRPr="00000000" w14:paraId="00000007">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Module Code</w:t>
            </w:r>
            <w:r w:rsidDel="00000000" w:rsidR="00000000" w:rsidRPr="00000000">
              <w:rPr>
                <w:rtl w:val="0"/>
              </w:rPr>
            </w:r>
          </w:p>
        </w:tc>
        <w:tc>
          <w:tcPr/>
          <w:p w:rsidR="00000000" w:rsidDel="00000000" w:rsidP="00000000" w:rsidRDefault="00000000" w:rsidRPr="00000000" w14:paraId="00000008">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LCBB5010</w:t>
            </w:r>
          </w:p>
        </w:tc>
      </w:tr>
      <w:tr>
        <w:trPr>
          <w:cantSplit w:val="0"/>
          <w:tblHeader w:val="0"/>
        </w:trPr>
        <w:tc>
          <w:tcPr>
            <w:shd w:fill="d9d9d9" w:val="clear"/>
          </w:tcPr>
          <w:p w:rsidR="00000000" w:rsidDel="00000000" w:rsidP="00000000" w:rsidRDefault="00000000" w:rsidRPr="00000000" w14:paraId="00000009">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Lecturer / Module Leader</w:t>
            </w:r>
            <w:r w:rsidDel="00000000" w:rsidR="00000000" w:rsidRPr="00000000">
              <w:rPr>
                <w:rtl w:val="0"/>
              </w:rPr>
            </w:r>
          </w:p>
        </w:tc>
        <w:tc>
          <w:tcPr/>
          <w:p w:rsidR="00000000" w:rsidDel="00000000" w:rsidP="00000000" w:rsidRDefault="00000000" w:rsidRPr="00000000" w14:paraId="0000000A">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Dr Rita Ukachi-Lois, Zainab Atta</w:t>
            </w:r>
          </w:p>
        </w:tc>
      </w:tr>
      <w:tr>
        <w:trPr>
          <w:cantSplit w:val="0"/>
          <w:tblHeader w:val="0"/>
        </w:trPr>
        <w:tc>
          <w:tcPr>
            <w:shd w:fill="d9d9d9" w:val="clear"/>
          </w:tcPr>
          <w:p w:rsidR="00000000" w:rsidDel="00000000" w:rsidP="00000000" w:rsidRDefault="00000000" w:rsidRPr="00000000" w14:paraId="0000000B">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Assignment Title</w:t>
            </w:r>
            <w:r w:rsidDel="00000000" w:rsidR="00000000" w:rsidRPr="00000000">
              <w:rPr>
                <w:rtl w:val="0"/>
              </w:rPr>
            </w:r>
          </w:p>
        </w:tc>
        <w:tc>
          <w:tcPr/>
          <w:p w:rsidR="00000000" w:rsidDel="00000000" w:rsidP="00000000" w:rsidRDefault="00000000" w:rsidRPr="00000000" w14:paraId="0000000C">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Component 1: Coursework – Individual Report</w:t>
            </w:r>
          </w:p>
        </w:tc>
      </w:tr>
      <w:tr>
        <w:trPr>
          <w:cantSplit w:val="0"/>
          <w:tblHeader w:val="0"/>
        </w:trPr>
        <w:tc>
          <w:tcPr>
            <w:shd w:fill="d9d9d9" w:val="clear"/>
          </w:tcPr>
          <w:p w:rsidR="00000000" w:rsidDel="00000000" w:rsidP="00000000" w:rsidRDefault="00000000" w:rsidRPr="00000000" w14:paraId="0000000D">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Student Name</w:t>
            </w:r>
            <w:r w:rsidDel="00000000" w:rsidR="00000000" w:rsidRPr="00000000">
              <w:rPr>
                <w:rtl w:val="0"/>
              </w:rPr>
            </w:r>
          </w:p>
        </w:tc>
        <w:tc>
          <w:tcPr/>
          <w:p w:rsidR="00000000" w:rsidDel="00000000" w:rsidP="00000000" w:rsidRDefault="00000000" w:rsidRPr="00000000" w14:paraId="0000000E">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Denisa Gurau </w:t>
            </w:r>
          </w:p>
        </w:tc>
      </w:tr>
      <w:tr>
        <w:trPr>
          <w:cantSplit w:val="0"/>
          <w:tblHeader w:val="0"/>
        </w:trPr>
        <w:tc>
          <w:tcPr>
            <w:shd w:fill="d9d9d9" w:val="clear"/>
          </w:tcPr>
          <w:p w:rsidR="00000000" w:rsidDel="00000000" w:rsidP="00000000" w:rsidRDefault="00000000" w:rsidRPr="00000000" w14:paraId="0000000F">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Student ID</w:t>
            </w:r>
            <w:r w:rsidDel="00000000" w:rsidR="00000000" w:rsidRPr="00000000">
              <w:rPr>
                <w:rtl w:val="0"/>
              </w:rPr>
            </w:r>
          </w:p>
        </w:tc>
        <w:tc>
          <w:tcPr/>
          <w:p w:rsidR="00000000" w:rsidDel="00000000" w:rsidP="00000000" w:rsidRDefault="00000000" w:rsidRPr="00000000" w14:paraId="00000010">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2325349</w:t>
            </w:r>
          </w:p>
        </w:tc>
      </w:tr>
      <w:tr>
        <w:trPr>
          <w:cantSplit w:val="0"/>
          <w:tblHeader w:val="0"/>
        </w:trPr>
        <w:tc>
          <w:tcPr>
            <w:shd w:fill="d9d9d9" w:val="clear"/>
          </w:tcPr>
          <w:p w:rsidR="00000000" w:rsidDel="00000000" w:rsidP="00000000" w:rsidRDefault="00000000" w:rsidRPr="00000000" w14:paraId="00000011">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Word Count (or equivalent)</w:t>
            </w:r>
            <w:r w:rsidDel="00000000" w:rsidR="00000000" w:rsidRPr="00000000">
              <w:rPr>
                <w:rtl w:val="0"/>
              </w:rPr>
            </w:r>
          </w:p>
        </w:tc>
        <w:tc>
          <w:tcPr/>
          <w:p w:rsidR="00000000" w:rsidDel="00000000" w:rsidP="00000000" w:rsidRDefault="00000000" w:rsidRPr="00000000" w14:paraId="00000012">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2,011</w:t>
            </w:r>
          </w:p>
        </w:tc>
      </w:tr>
    </w:tbl>
    <w:p w:rsidR="00000000" w:rsidDel="00000000" w:rsidP="00000000" w:rsidRDefault="00000000" w:rsidRPr="00000000" w14:paraId="00000013">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4">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5">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6">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7">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8">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9">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A">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B">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C">
      <w:pPr>
        <w:spacing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1D">
      <w:pPr>
        <w:keepNext w:val="1"/>
        <w:keepLines w:val="1"/>
        <w:pageBreakBefore w:val="0"/>
        <w:widowControl w:val="1"/>
        <w:pBdr>
          <w:top w:space="0" w:sz="0" w:val="nil"/>
          <w:left w:space="0" w:sz="0" w:val="nil"/>
          <w:bottom w:space="0" w:sz="0" w:val="nil"/>
          <w:right w:space="0" w:sz="0" w:val="nil"/>
          <w:between w:space="0" w:sz="0" w:val="nil"/>
        </w:pBdr>
        <w:shd w:fill="auto" w:val="clear"/>
        <w:spacing w:after="280" w:before="480" w:line="360" w:lineRule="auto"/>
        <w:ind w:left="0" w:right="0" w:firstLine="0"/>
        <w:jc w:val="both"/>
        <w:rPr>
          <w:rFonts w:ascii="Times New Roman" w:cs="Times New Roman" w:eastAsia="Times New Roman" w:hAnsi="Times New Roman"/>
          <w:b w:val="1"/>
          <w:bCs w:val="1"/>
          <w:i w:val="0"/>
          <w:iCs w:val="0"/>
          <w:smallCaps w:val="0"/>
          <w:strike w:val="0"/>
          <w:color w:val="366091"/>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366091"/>
          <w:sz w:val="24"/>
          <w:szCs w:val="24"/>
          <w:u w:val="none"/>
          <w:shd w:fill="auto" w:val="clear"/>
          <w:vertAlign w:val="baseline"/>
          <w:rtl w:val="0"/>
        </w:rPr>
        <w:t xml:space="preserve">                                  Table of Contents</w:t>
      </w:r>
    </w:p>
    <w:sdt>
      <w:sdtPr>
        <w:id w:val="-1861609118"/>
        <w:docPartObj>
          <w:docPartGallery w:val="Table of Contents"/>
          <w:docPartUnique w:val="1"/>
        </w:docPartObj>
      </w:sdtPr>
      <w:sdtContent>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3uie3q6c647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xggkr71m556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Cost Analysis and Business Model</w:t>
              <w:tab/>
              <w:t xml:space="preserve">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fxd63h8x6y9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Budgeting and Financial Planning</w:t>
              <w:tab/>
              <w:t xml:space="preserve">5</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ld8zab2g1vh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Performance Measurement &amp; Decision-Making</w:t>
              <w:tab/>
              <w:t xml:space="preserve">7</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sbj9sq5iejp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Sustainability and Ethical Considerations</w:t>
              <w:tab/>
              <w:t xml:space="preserve">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2bzh7x4ygw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Conclusion and Recommendations</w:t>
              <w:tab/>
              <w:t xml:space="preserve">9</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7"/>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j3f8h1w9ml4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spacing w:after="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7">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8">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9">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A">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B">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C">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D">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E">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F">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0">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1">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2">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3">
      <w:pPr>
        <w:spacing w:after="280" w:before="28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4">
      <w:pPr>
        <w:pStyle w:val="Heading1"/>
        <w:spacing w:after="280" w:before="280" w:line="360" w:lineRule="auto"/>
        <w:jc w:val="both"/>
        <w:rPr/>
      </w:pPr>
      <w:bookmarkStart w:colFirst="0" w:colLast="0" w:name="_3uie3q6c647j" w:id="1"/>
      <w:bookmarkEnd w:id="1"/>
      <w:r w:rsidDel="00000000" w:rsidR="00000000" w:rsidRPr="00000000">
        <w:rPr>
          <w:rtl w:val="0"/>
        </w:rPr>
        <w:t xml:space="preserve">1. Introduction </w:t>
      </w:r>
    </w:p>
    <w:p w:rsidR="00000000" w:rsidDel="00000000" w:rsidP="00000000" w:rsidRDefault="00000000" w:rsidRPr="00000000" w14:paraId="00000035">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Tesla, Inc. is one of the US-based electric vehicle (EV) and clean-energy firms, which functions within the spheres of automobile and renewable energy. Since the year 2003, Tesla has expanded to become the largest EV manufacturer globally, backed by battery technology, self-driving, and energy-storing solutions. The vehicles the company produces include Model 3, Model Y and Model S as well as energy products like Powerwall and Megapack. As a global company with a market value of more than USD 500 billion, Tesla is at the heart of making the shift towards sustainable transportation happen (Tesla, 2024).</w:t>
      </w:r>
    </w:p>
    <w:p w:rsidR="00000000" w:rsidDel="00000000" w:rsidP="00000000" w:rsidRDefault="00000000" w:rsidRPr="00000000" w14:paraId="00000036">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strategic and operational decision making in Tesla is dependent on management accounting. It gives the internal managers cost classifications, budgeting systems, performance measure and financial analysis to make the best allocation of resources, enhance efficiency and facilitate sustainable profitability. The managements accounting system at Tesla allows making informed decisions in terms of pricing, production, capacity development, and long-term investments planning with cost-volume-profit analysis, budgeting and KPI measurements (Drury, 2023).</w:t>
      </w:r>
    </w:p>
    <w:p w:rsidR="00000000" w:rsidDel="00000000" w:rsidP="00000000" w:rsidRDefault="00000000" w:rsidRPr="00000000" w14:paraId="00000037">
      <w:pPr>
        <w:spacing w:after="0" w:line="360" w:lineRule="auto"/>
        <w:jc w:val="both"/>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8">
      <w:pPr>
        <w:pStyle w:val="Heading1"/>
        <w:spacing w:after="280" w:before="280" w:line="360" w:lineRule="auto"/>
        <w:jc w:val="both"/>
        <w:rPr/>
      </w:pPr>
      <w:bookmarkStart w:colFirst="0" w:colLast="0" w:name="_xggkr71m556v" w:id="2"/>
      <w:bookmarkEnd w:id="2"/>
      <w:r w:rsidDel="00000000" w:rsidR="00000000" w:rsidRPr="00000000">
        <w:rPr>
          <w:rtl w:val="0"/>
        </w:rPr>
        <w:t xml:space="preserve">2. Cost Analysis and Business Model </w:t>
      </w:r>
    </w:p>
    <w:p w:rsidR="00000000" w:rsidDel="00000000" w:rsidP="00000000" w:rsidRDefault="00000000" w:rsidRPr="00000000" w14:paraId="00000039">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Tesla is an enterprise with a distinct business model that combines automotive production, direct-to-consumer sales, energy storage systems, and software-based sources of revenue. The corporation integrates conventional production with Subscription-based revenue of Full Self-Driving (FSD) software and over-the-air (OTA) digital services. The revenue model of Tesla has diversification and consists of three main elements: (1) automotive sales, (2) regulatory credits, and (3) energy generation and storage (Statista, 2024). In 2023, sales of motor vehicles continue to be the leading revenue generator with more than 80 percent of the total revenue being due to the high production and expansion in the global market (Tesla Annual Report, 2024).</w:t>
      </w:r>
    </w:p>
    <w:p w:rsidR="00000000" w:rsidDel="00000000" w:rsidP="00000000" w:rsidRDefault="00000000" w:rsidRPr="00000000" w14:paraId="0000003A">
      <w:pPr>
        <w:spacing w:after="280" w:before="280" w:line="360" w:lineRule="auto"/>
        <w:jc w:val="both"/>
        <w:rPr>
          <w:rFonts w:ascii="Times New Roman" w:cs="Times New Roman" w:eastAsia="Times New Roman" w:hAnsi="Times New Roman"/>
          <w:b w:val="1"/>
          <w:bCs w:val="1"/>
          <w:sz w:val="24"/>
          <w:szCs w:val="24"/>
        </w:rPr>
      </w:pPr>
      <w:bookmarkStart w:colFirst="0" w:colLast="0" w:name="_rzglitxgv0cw" w:id="3"/>
      <w:bookmarkEnd w:id="3"/>
      <w:r w:rsidDel="00000000" w:rsidR="00000000" w:rsidRPr="00000000">
        <w:rPr>
          <w:rFonts w:ascii="Times New Roman" w:cs="Times New Roman" w:eastAsia="Times New Roman" w:hAnsi="Times New Roman"/>
          <w:b w:val="1"/>
          <w:bCs w:val="1"/>
          <w:sz w:val="24"/>
          <w:szCs w:val="24"/>
          <w:rtl w:val="0"/>
        </w:rPr>
        <w:t xml:space="preserve">Table 1: Tesla’s Main Revenue Streams (2023)</w:t>
      </w:r>
    </w:p>
    <w:p w:rsidR="00000000" w:rsidDel="00000000" w:rsidP="00000000" w:rsidRDefault="00000000" w:rsidRPr="00000000" w14:paraId="0000003B">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Tesla’s revenues mainly come from:</w:t>
      </w:r>
    </w:p>
    <w:tbl>
      <w:tblPr>
        <w:tblStyle w:val="Table2"/>
        <w:tblW w:w="9243.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922"/>
        <w:gridCol w:w="3526"/>
        <w:gridCol w:w="3795"/>
        <w:tblGridChange w:id="0">
          <w:tblGrid>
            <w:gridCol w:w="1922"/>
            <w:gridCol w:w="3526"/>
            <w:gridCol w:w="3795"/>
          </w:tblGrid>
        </w:tblGridChange>
      </w:tblGrid>
      <w:tr>
        <w:trPr>
          <w:cantSplit w:val="0"/>
          <w:tblHeader w:val="0"/>
        </w:trPr>
        <w:tc>
          <w:tcPr/>
          <w:p w:rsidR="00000000" w:rsidDel="00000000" w:rsidP="00000000" w:rsidRDefault="00000000" w:rsidRPr="00000000" w14:paraId="0000003C">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Revenue Stream</w:t>
            </w:r>
          </w:p>
        </w:tc>
        <w:tc>
          <w:tcPr/>
          <w:p w:rsidR="00000000" w:rsidDel="00000000" w:rsidP="00000000" w:rsidRDefault="00000000" w:rsidRPr="00000000" w14:paraId="0000003D">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Description</w:t>
            </w:r>
          </w:p>
        </w:tc>
        <w:tc>
          <w:tcPr/>
          <w:p w:rsidR="00000000" w:rsidDel="00000000" w:rsidP="00000000" w:rsidRDefault="00000000" w:rsidRPr="00000000" w14:paraId="0000003E">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Approximate Contribution (2023)</w:t>
            </w:r>
          </w:p>
        </w:tc>
      </w:tr>
      <w:tr>
        <w:trPr>
          <w:cantSplit w:val="0"/>
          <w:tblHeader w:val="0"/>
        </w:trPr>
        <w:tc>
          <w:tcPr/>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Automotive sales</w:t>
            </w:r>
          </w:p>
        </w:tc>
        <w:tc>
          <w:tcPr/>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Selling EVs</w:t>
            </w:r>
          </w:p>
        </w:tc>
        <w:tc>
          <w:tcPr/>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80% of total revenues </w:t>
            </w:r>
          </w:p>
        </w:tc>
      </w:tr>
      <w:tr>
        <w:trPr>
          <w:cantSplit w:val="0"/>
          <w:tblHeader w:val="0"/>
        </w:trPr>
        <w:tc>
          <w:tcPr/>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Software / FSD</w:t>
            </w:r>
          </w:p>
        </w:tc>
        <w:tc>
          <w:tcPr/>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Subscription-based licensing</w:t>
            </w:r>
          </w:p>
        </w:tc>
        <w:tc>
          <w:tcPr/>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7% (estimate based on growth trends)</w:t>
            </w:r>
          </w:p>
        </w:tc>
      </w:tr>
      <w:tr>
        <w:trPr>
          <w:cantSplit w:val="0"/>
          <w:tblHeader w:val="0"/>
        </w:trPr>
        <w:tc>
          <w:tcPr/>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Regulatory credits</w:t>
            </w:r>
          </w:p>
        </w:tc>
        <w:tc>
          <w:tcPr/>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Zero-emission vehicle (ZEV) credits</w:t>
            </w:r>
          </w:p>
        </w:tc>
        <w:tc>
          <w:tcPr/>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4% (industry-wide pattern)</w:t>
            </w:r>
          </w:p>
        </w:tc>
      </w:tr>
      <w:tr>
        <w:trPr>
          <w:cantSplit w:val="0"/>
          <w:tblHeader w:val="0"/>
        </w:trPr>
        <w:tc>
          <w:tcPr/>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Energy products</w:t>
            </w:r>
          </w:p>
        </w:tc>
        <w:tc>
          <w:tcPr/>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Solar, Powerwall, Megapack</w:t>
            </w:r>
          </w:p>
        </w:tc>
        <w:tc>
          <w:tcPr/>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9%</w:t>
            </w:r>
          </w:p>
        </w:tc>
      </w:tr>
    </w:tbl>
    <w:p w:rsidR="00000000" w:rsidDel="00000000" w:rsidP="00000000" w:rsidRDefault="00000000" w:rsidRPr="00000000" w14:paraId="0000004B">
      <w:pPr>
        <w:spacing w:after="280"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a combination of fixed and variable costs in the cost structure of Tesla. The fixed costs of the company are also high because Gigafactories, research and development (R&amp;D), automation and global supply chain infrastructure are heavily invested in the company. These fixed costs form economies of scale, where unit costs are decreasing as the production increase- the main reason behind the falling EV prices in the global market (Bastan et al., 2024). Raw materials (lithium, nickel, cobalt), labour, logistics, and energy used in one unit are all variable costs. Because of fluctuations in the prices of battery metals, Tesla engages in active materials hedging, as well as investing in the production of batteries internally, to mitigate the impact of external suppliers (Ortiz, 2022).</w:t>
      </w:r>
    </w:p>
    <w:p w:rsidR="00000000" w:rsidDel="00000000" w:rsidP="00000000" w:rsidRDefault="00000000" w:rsidRPr="00000000" w14:paraId="0000004D">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Vertical integration also helps Tesla to lower its suppliers, a factor that minimizes the supplier margins through internalisation of battery production, software creation, and sales distribution (Tesla, 2023). This lowers operating costs of variables and raises contribution margins. Tesla employs Cost-Volume-Profit (CVP) analysis to determine breakeven when introducing new models, including the Cybertruck, to maintain the scale of production with a profitable level of production (Horngren et al., 2021).</w:t>
      </w:r>
    </w:p>
    <w:p w:rsidR="00000000" w:rsidDel="00000000" w:rsidP="00000000" w:rsidRDefault="00000000" w:rsidRPr="00000000" w14:paraId="0000004E">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Overall, the cost structure adopted by Tesla contributes to long-term profitability, because the fixed costs are high, but the revenue growth, the economies of scale, and the margins that are generated by software are also high.</w:t>
      </w:r>
    </w:p>
    <w:p w:rsidR="00000000" w:rsidDel="00000000" w:rsidP="00000000" w:rsidRDefault="00000000" w:rsidRPr="00000000" w14:paraId="0000004F">
      <w:pPr>
        <w:spacing w:after="0" w:line="360" w:lineRule="auto"/>
        <w:jc w:val="both"/>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0">
      <w:pPr>
        <w:pStyle w:val="Heading1"/>
        <w:spacing w:after="280" w:before="280" w:line="360" w:lineRule="auto"/>
        <w:jc w:val="both"/>
        <w:rPr/>
      </w:pPr>
      <w:bookmarkStart w:colFirst="0" w:colLast="0" w:name="_fxd63h8x6y9c" w:id="4"/>
      <w:bookmarkEnd w:id="4"/>
      <w:r w:rsidDel="00000000" w:rsidR="00000000" w:rsidRPr="00000000">
        <w:rPr>
          <w:rtl w:val="0"/>
        </w:rPr>
        <w:t xml:space="preserve">3. Budgeting and Financial Planning </w:t>
      </w:r>
    </w:p>
    <w:p w:rsidR="00000000" w:rsidDel="00000000" w:rsidP="00000000" w:rsidRDefault="00000000" w:rsidRPr="00000000" w14:paraId="00000051">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Budgeting is important in the operations of Tesla as it helps in organization of production, investment, supply chain decisions and R &amp; D. The real-time budgets and consistent forecasting are employed by Tesla because of the dynamism in the market conditions in the EV industry. Rolling budgets will provide Tesla with the opportunity to revise financial plans every quarter in response to changes in battery material prices, foreign exchange risks, and changes in production capacity (Shim and Siegel, 2000). The expansion strategy of Tesla would require capital budgeting, especially when it comes to construction of new Gigafactories in Mexico, Germany, and China.</w:t>
      </w:r>
    </w:p>
    <w:p w:rsidR="00000000" w:rsidDel="00000000" w:rsidP="00000000" w:rsidRDefault="00000000" w:rsidRPr="00000000" w14:paraId="00000052">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Tesla is able to direct financial resources towards strategic initiatives including boosting software-based income streams, lowering unit costs, and increasing production capacity thanks to performance budgeting. Tesla encourages long-term growth and improves operational efficiency by tying budgets to quantifiable performance results. Investing in innovation is a key priority, especially in battery technology and driverless driving. According to the Tesla Annual Report (2024), the firm demonstrated a strong commitment to technical leadership by allocating USD 3.1 billion for research and development and USD 4.0 billion for capital expenditures in 2023. Tesla's competitive edge and long-term product leadership in the EV sector are strengthened by these consistent funding investments.</w:t>
      </w:r>
    </w:p>
    <w:p w:rsidR="00000000" w:rsidDel="00000000" w:rsidP="00000000" w:rsidRDefault="00000000" w:rsidRPr="00000000" w14:paraId="00000053">
      <w:pPr>
        <w:pStyle w:val="Heading3"/>
        <w:spacing w:after="280" w:before="280" w:line="360" w:lineRule="auto"/>
        <w:jc w:val="both"/>
        <w:rPr>
          <w:sz w:val="24"/>
          <w:szCs w:val="24"/>
        </w:rPr>
      </w:pPr>
      <w:bookmarkStart w:colFirst="0" w:colLast="0" w:name="_kyqq6zrfuyxs" w:id="5"/>
      <w:bookmarkEnd w:id="5"/>
      <w:r w:rsidDel="00000000" w:rsidR="00000000" w:rsidRPr="00000000">
        <w:rPr>
          <w:b w:val="1"/>
          <w:bCs w:val="1"/>
          <w:sz w:val="24"/>
          <w:szCs w:val="24"/>
          <w:rtl w:val="0"/>
        </w:rPr>
        <w:t xml:space="preserve">Operating Expense Analysis</w:t>
      </w: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As indicated by Google Finance (2024), Tesla saw operating cost reduction of about 13 percent each year owing to restructuring, employee retrenchment, and workforce optimization. It has been found that EV producers tend to cut operating costs when the economy is going through difficult periods, to save up cash reserves(Wang, 2024). The management of Tesla with layoffs, automation, and less marketing budget also added to this deterioration. Cost-cutting decisions were also affected by external macroeconomic factors, including a drop in EV demand in the world over time and an increase in interest rates (IEA, 2024).</w:t>
      </w:r>
    </w:p>
    <w:p w:rsidR="00000000" w:rsidDel="00000000" w:rsidP="00000000" w:rsidRDefault="00000000" w:rsidRPr="00000000" w14:paraId="00000055">
      <w:pPr>
        <w:pStyle w:val="Heading3"/>
        <w:spacing w:after="280" w:before="280" w:line="360" w:lineRule="auto"/>
        <w:jc w:val="both"/>
        <w:rPr>
          <w:sz w:val="24"/>
          <w:szCs w:val="24"/>
        </w:rPr>
      </w:pPr>
      <w:bookmarkStart w:colFirst="0" w:colLast="0" w:name="_2g2o6m69vys6" w:id="6"/>
      <w:bookmarkEnd w:id="6"/>
      <w:r w:rsidDel="00000000" w:rsidR="00000000" w:rsidRPr="00000000">
        <w:rPr>
          <w:b w:val="1"/>
          <w:bCs w:val="1"/>
          <w:sz w:val="24"/>
          <w:szCs w:val="24"/>
          <w:rtl w:val="0"/>
        </w:rPr>
        <w:t xml:space="preserve">Figure 1: Tesla’s Operating Expenses 2022–2024</w:t>
      </w:r>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drawing>
          <wp:inline distB="0" distT="0" distL="0" distR="0">
            <wp:extent cx="5724525" cy="3810000"/>
            <wp:effectExtent b="0" l="0" r="0" t="0"/>
            <wp:docPr descr="C:\Users\HP\AppData\Local\Microsoft\Windows\INetCache\Content.Word\e620ca73-21d9-498d-bd58-0b8d96237ca2 (1).png" id="1" name="image2.png"/>
            <a:graphic>
              <a:graphicData uri="http://schemas.openxmlformats.org/drawingml/2006/picture">
                <pic:pic>
                  <pic:nvPicPr>
                    <pic:cNvPr descr="C:\Users\HP\AppData\Local\Microsoft\Windows\INetCache\Content.Word\e620ca73-21d9-498d-bd58-0b8d96237ca2 (1).png" id="0" name="image2.png"/>
                    <pic:cNvPicPr preferRelativeResize="0"/>
                  </pic:nvPicPr>
                  <pic:blipFill>
                    <a:blip r:embed="rId7"/>
                    <a:srcRect b="0" l="0" r="0" t="0"/>
                    <a:stretch>
                      <a:fillRect/>
                    </a:stretch>
                  </pic:blipFill>
                  <pic:spPr>
                    <a:xfrm>
                      <a:off x="0" y="0"/>
                      <a:ext cx="5724525" cy="3810000"/>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 depicts that the operating expenses of Tesla will increase to 67.81 billion in 2022 and to 87.88 billion in 2023 and 90.61 billion in 2024 which is evidently on an increasing trend. The 29.61% growth in 2023 is a sign of speedy growth and expansion and higher production R&amp;D, and administrative expenses whereas the 3.11% growth in 2024 signifies stabilisation and better cost management. Cost of revenue, R&amp;D, and SG&amp;A are operating expenses; Tesla utilizes this information in financial planning and relies on scenario planning, demand forecasting, and such instruments as discounted cash-flow analysis to evaluate large-scale investments, including AI-driven Dojo, and make innovations profitable and sustainable.</w:t>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There is also the scenario planning in financial planning at Tesla such as demand forecasting and capacity utilisation modelling. As an example, the implementation of AI-based computing by Tesla is costly to the company requiring substantial capital investments, which are assessed on the basis of discounted cash flow (DCF) to guarantee long-term financial paybacks (Kenton, 2023). Budgeting thus controls the cost in the short term and strategic investment in the long term.</w:t>
      </w:r>
    </w:p>
    <w:p w:rsidR="00000000" w:rsidDel="00000000" w:rsidP="00000000" w:rsidRDefault="00000000" w:rsidRPr="00000000" w14:paraId="00000059">
      <w:pPr>
        <w:pStyle w:val="Heading1"/>
        <w:spacing w:after="280" w:before="280" w:line="360" w:lineRule="auto"/>
        <w:jc w:val="both"/>
        <w:rPr/>
      </w:pPr>
      <w:bookmarkStart w:colFirst="0" w:colLast="0" w:name="_ld8zab2g1vhs" w:id="7"/>
      <w:bookmarkEnd w:id="7"/>
      <w:r w:rsidDel="00000000" w:rsidR="00000000" w:rsidRPr="00000000">
        <w:rPr>
          <w:rtl w:val="0"/>
        </w:rPr>
        <w:t xml:space="preserve">4. Performance Measurement &amp; Decision-Making </w:t>
      </w:r>
    </w:p>
    <w:p w:rsidR="00000000" w:rsidDel="00000000" w:rsidP="00000000" w:rsidRDefault="00000000" w:rsidRPr="00000000" w14:paraId="0000005A">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Tesla measures performance using financial and non-financial KPIs to aid decision-making and align operations to strategic objectives. KPIs are required in gauging the performance of cost efficiency, profitability, quality, and sustainability (Kaplan and Norton, 1996).</w:t>
      </w:r>
    </w:p>
    <w:p w:rsidR="00000000" w:rsidDel="00000000" w:rsidP="00000000" w:rsidRDefault="00000000" w:rsidRPr="00000000" w14:paraId="0000005B">
      <w:pPr>
        <w:spacing w:after="280" w:before="280" w:line="360" w:lineRule="auto"/>
        <w:jc w:val="both"/>
        <w:rPr>
          <w:rFonts w:ascii="Times New Roman" w:cs="Times New Roman" w:eastAsia="Times New Roman" w:hAnsi="Times New Roman"/>
          <w:b w:val="1"/>
          <w:bCs w:val="1"/>
          <w:sz w:val="24"/>
          <w:szCs w:val="24"/>
        </w:rPr>
      </w:pPr>
      <w:bookmarkStart w:colFirst="0" w:colLast="0" w:name="_cx12hc8mjeay" w:id="8"/>
      <w:bookmarkEnd w:id="8"/>
      <w:r w:rsidDel="00000000" w:rsidR="00000000" w:rsidRPr="00000000">
        <w:rPr>
          <w:rFonts w:ascii="Times New Roman" w:cs="Times New Roman" w:eastAsia="Times New Roman" w:hAnsi="Times New Roman"/>
          <w:b w:val="1"/>
          <w:bCs w:val="1"/>
          <w:sz w:val="24"/>
          <w:szCs w:val="24"/>
          <w:rtl w:val="0"/>
        </w:rPr>
        <w:t xml:space="preserve">Five Key KPIs</w:t>
      </w:r>
    </w:p>
    <w:p w:rsidR="00000000" w:rsidDel="00000000" w:rsidP="00000000" w:rsidRDefault="00000000" w:rsidRPr="00000000" w14:paraId="0000005C">
      <w:pPr>
        <w:spacing w:after="280" w:before="280" w:line="360" w:lineRule="auto"/>
        <w:jc w:val="both"/>
        <w:rPr>
          <w:rFonts w:ascii="Times New Roman" w:cs="Times New Roman" w:eastAsia="Times New Roman" w:hAnsi="Times New Roman"/>
          <w:b w:val="1"/>
          <w:bCs w:val="1"/>
          <w:sz w:val="24"/>
          <w:szCs w:val="24"/>
        </w:rPr>
      </w:pPr>
      <w:bookmarkStart w:colFirst="0" w:colLast="0" w:name="_lquraqjt7odg" w:id="9"/>
      <w:bookmarkEnd w:id="9"/>
      <w:r w:rsidDel="00000000" w:rsidR="00000000" w:rsidRPr="00000000">
        <w:rPr>
          <w:rFonts w:ascii="Times New Roman" w:cs="Times New Roman" w:eastAsia="Times New Roman" w:hAnsi="Times New Roman"/>
          <w:b w:val="1"/>
          <w:bCs w:val="1"/>
          <w:sz w:val="24"/>
          <w:szCs w:val="24"/>
          <w:rtl w:val="0"/>
        </w:rPr>
        <w:t xml:space="preserve">1. Gross Profit Margin</w:t>
      </w:r>
    </w:p>
    <w:p w:rsidR="00000000" w:rsidDel="00000000" w:rsidP="00000000" w:rsidRDefault="00000000" w:rsidRPr="00000000" w14:paraId="0000005D">
      <w:pPr>
        <w:spacing w:after="280" w:before="280" w:line="360" w:lineRule="auto"/>
        <w:jc w:val="both"/>
        <w:rPr>
          <w:rFonts w:ascii="Times New Roman" w:cs="Times New Roman" w:eastAsia="Times New Roman" w:hAnsi="Times New Roman"/>
          <w:sz w:val="24"/>
          <w:szCs w:val="24"/>
        </w:rPr>
      </w:pPr>
      <w:bookmarkStart w:colFirst="0" w:colLast="0" w:name="_wflhxqylvywj" w:id="10"/>
      <w:bookmarkEnd w:id="10"/>
      <w:r w:rsidDel="00000000" w:rsidR="00000000" w:rsidRPr="00000000">
        <w:rPr>
          <w:rFonts w:ascii="Times New Roman" w:cs="Times New Roman" w:eastAsia="Times New Roman" w:hAnsi="Times New Roman"/>
          <w:sz w:val="24"/>
          <w:szCs w:val="24"/>
          <w:rtl w:val="0"/>
        </w:rPr>
        <w:t xml:space="preserve">Measures profitability of car sales. In 2023 Tesla achieved a margin of 18.2% but this is decreasing as a result of price reductions ( Tesla, 2024). This KPI helps in making pricing decisions and cost-cutting policies.</w:t>
      </w:r>
    </w:p>
    <w:p w:rsidR="00000000" w:rsidDel="00000000" w:rsidP="00000000" w:rsidRDefault="00000000" w:rsidRPr="00000000" w14:paraId="0000005E">
      <w:pPr>
        <w:spacing w:after="280" w:before="280" w:line="360" w:lineRule="auto"/>
        <w:jc w:val="both"/>
        <w:rPr>
          <w:rFonts w:ascii="Times New Roman" w:cs="Times New Roman" w:eastAsia="Times New Roman" w:hAnsi="Times New Roman"/>
          <w:b w:val="1"/>
          <w:bCs w:val="1"/>
          <w:sz w:val="24"/>
          <w:szCs w:val="24"/>
        </w:rPr>
      </w:pPr>
      <w:bookmarkStart w:colFirst="0" w:colLast="0" w:name="_uon9ifsvcnsc" w:id="11"/>
      <w:bookmarkEnd w:id="11"/>
      <w:r w:rsidDel="00000000" w:rsidR="00000000" w:rsidRPr="00000000">
        <w:rPr>
          <w:rFonts w:ascii="Times New Roman" w:cs="Times New Roman" w:eastAsia="Times New Roman" w:hAnsi="Times New Roman"/>
          <w:b w:val="1"/>
          <w:bCs w:val="1"/>
          <w:sz w:val="24"/>
          <w:szCs w:val="24"/>
          <w:rtl w:val="0"/>
        </w:rPr>
        <w:t xml:space="preserve">2. Return on Assets (ROA)</w:t>
      </w:r>
    </w:p>
    <w:p w:rsidR="00000000" w:rsidDel="00000000" w:rsidP="00000000" w:rsidRDefault="00000000" w:rsidRPr="00000000" w14:paraId="0000005F">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Indicates asset efficiency. The asset utilisation and vertical integration ensured that Tesla had a higher ROA than the automotive industry (Yahoo Finance, 2024).</w:t>
      </w:r>
    </w:p>
    <w:p w:rsidR="00000000" w:rsidDel="00000000" w:rsidP="00000000" w:rsidRDefault="00000000" w:rsidRPr="00000000" w14:paraId="00000060">
      <w:pPr>
        <w:spacing w:after="280" w:before="280" w:line="360" w:lineRule="auto"/>
        <w:jc w:val="both"/>
        <w:rPr>
          <w:rFonts w:ascii="Times New Roman" w:cs="Times New Roman" w:eastAsia="Times New Roman" w:hAnsi="Times New Roman"/>
          <w:b w:val="1"/>
          <w:bCs w:val="1"/>
          <w:sz w:val="24"/>
          <w:szCs w:val="24"/>
        </w:rPr>
      </w:pPr>
      <w:bookmarkStart w:colFirst="0" w:colLast="0" w:name="_l4x9b0wjxowf" w:id="12"/>
      <w:bookmarkEnd w:id="12"/>
      <w:r w:rsidDel="00000000" w:rsidR="00000000" w:rsidRPr="00000000">
        <w:rPr>
          <w:rFonts w:ascii="Times New Roman" w:cs="Times New Roman" w:eastAsia="Times New Roman" w:hAnsi="Times New Roman"/>
          <w:b w:val="1"/>
          <w:bCs w:val="1"/>
          <w:sz w:val="24"/>
          <w:szCs w:val="24"/>
          <w:rtl w:val="0"/>
        </w:rPr>
        <w:t xml:space="preserve">3. Vehicle Delivery Volumes</w:t>
      </w:r>
    </w:p>
    <w:p w:rsidR="00000000" w:rsidDel="00000000" w:rsidP="00000000" w:rsidRDefault="00000000" w:rsidRPr="00000000" w14:paraId="00000061">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non-financial performance indicators of Tesla Company is the number of vehicles it delivered in 2023, 1.81 million. Revenues, production planning, and the introduction of new markets are dependent on delivery volumes (IEA, 2024).</w:t>
      </w:r>
    </w:p>
    <w:p w:rsidR="00000000" w:rsidDel="00000000" w:rsidP="00000000" w:rsidRDefault="00000000" w:rsidRPr="00000000" w14:paraId="00000062">
      <w:pPr>
        <w:spacing w:after="280" w:before="280" w:line="360" w:lineRule="auto"/>
        <w:jc w:val="both"/>
        <w:rPr>
          <w:rFonts w:ascii="Times New Roman" w:cs="Times New Roman" w:eastAsia="Times New Roman" w:hAnsi="Times New Roman"/>
          <w:b w:val="1"/>
          <w:bCs w:val="1"/>
          <w:sz w:val="24"/>
          <w:szCs w:val="24"/>
        </w:rPr>
      </w:pPr>
      <w:bookmarkStart w:colFirst="0" w:colLast="0" w:name="_qoroq0tl0rwu" w:id="13"/>
      <w:bookmarkEnd w:id="13"/>
      <w:r w:rsidDel="00000000" w:rsidR="00000000" w:rsidRPr="00000000">
        <w:rPr>
          <w:rFonts w:ascii="Times New Roman" w:cs="Times New Roman" w:eastAsia="Times New Roman" w:hAnsi="Times New Roman"/>
          <w:b w:val="1"/>
          <w:bCs w:val="1"/>
          <w:sz w:val="24"/>
          <w:szCs w:val="24"/>
          <w:rtl w:val="0"/>
        </w:rPr>
        <w:t xml:space="preserve">4. R&amp;D Intensity Ratio</w:t>
      </w:r>
    </w:p>
    <w:p w:rsidR="00000000" w:rsidDel="00000000" w:rsidP="00000000" w:rsidRDefault="00000000" w:rsidRPr="00000000" w14:paraId="00000063">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Divided by revenue and calculated as R &amp; D expenditure. Innovation, autonomy software, and battery production efficiency are supported by the intensity of R&amp;D in Tesla (Bastan et al., 2024).</w:t>
      </w:r>
    </w:p>
    <w:p w:rsidR="00000000" w:rsidDel="00000000" w:rsidP="00000000" w:rsidRDefault="00000000" w:rsidRPr="00000000" w14:paraId="00000064">
      <w:pPr>
        <w:spacing w:after="280" w:before="280" w:line="360" w:lineRule="auto"/>
        <w:jc w:val="both"/>
        <w:rPr>
          <w:rFonts w:ascii="Times New Roman" w:cs="Times New Roman" w:eastAsia="Times New Roman" w:hAnsi="Times New Roman"/>
          <w:b w:val="1"/>
          <w:bCs w:val="1"/>
          <w:sz w:val="24"/>
          <w:szCs w:val="24"/>
        </w:rPr>
      </w:pPr>
      <w:bookmarkStart w:colFirst="0" w:colLast="0" w:name="_pxih5c2afwr7" w:id="14"/>
      <w:bookmarkEnd w:id="14"/>
      <w:r w:rsidDel="00000000" w:rsidR="00000000" w:rsidRPr="00000000">
        <w:rPr>
          <w:rFonts w:ascii="Times New Roman" w:cs="Times New Roman" w:eastAsia="Times New Roman" w:hAnsi="Times New Roman"/>
          <w:b w:val="1"/>
          <w:bCs w:val="1"/>
          <w:sz w:val="24"/>
          <w:szCs w:val="24"/>
          <w:rtl w:val="0"/>
        </w:rPr>
        <w:t xml:space="preserve">5. Carbon Emission Reduction KPI</w:t>
      </w:r>
    </w:p>
    <w:p w:rsidR="00000000" w:rsidDel="00000000" w:rsidP="00000000" w:rsidRDefault="00000000" w:rsidRPr="00000000" w14:paraId="00000065">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Tesla also monitors CO2 emissions in its EV adoption impact and factory emissions. This KPI affects their sustainability investments as well as adherence to international regulations (S&amp;P Global, 2023).</w:t>
      </w:r>
    </w:p>
    <w:p w:rsidR="00000000" w:rsidDel="00000000" w:rsidP="00000000" w:rsidRDefault="00000000" w:rsidRPr="00000000" w14:paraId="00000066">
      <w:pPr>
        <w:spacing w:after="280" w:before="280" w:line="360" w:lineRule="auto"/>
        <w:jc w:val="both"/>
        <w:rPr>
          <w:rFonts w:ascii="Times New Roman" w:cs="Times New Roman" w:eastAsia="Times New Roman" w:hAnsi="Times New Roman"/>
          <w:b w:val="1"/>
          <w:bCs w:val="1"/>
          <w:sz w:val="24"/>
          <w:szCs w:val="24"/>
        </w:rPr>
      </w:pPr>
      <w:bookmarkStart w:colFirst="0" w:colLast="0" w:name="_1m7wqedmugt5" w:id="15"/>
      <w:bookmarkEnd w:id="15"/>
      <w:r w:rsidDel="00000000" w:rsidR="00000000" w:rsidRPr="00000000">
        <w:rPr>
          <w:rFonts w:ascii="Times New Roman" w:cs="Times New Roman" w:eastAsia="Times New Roman" w:hAnsi="Times New Roman"/>
          <w:b w:val="1"/>
          <w:bCs w:val="1"/>
          <w:sz w:val="24"/>
          <w:szCs w:val="24"/>
          <w:rtl w:val="0"/>
        </w:rPr>
        <w:t xml:space="preserve">Strategic Decisions Supported by KPIs</w:t>
      </w:r>
    </w:p>
    <w:p w:rsidR="00000000" w:rsidDel="00000000" w:rsidP="00000000" w:rsidRDefault="00000000" w:rsidRPr="00000000" w14:paraId="00000067">
      <w:pPr>
        <w:spacing w:after="280" w:before="280" w:line="360" w:lineRule="auto"/>
        <w:jc w:val="both"/>
        <w:rPr>
          <w:rFonts w:ascii="Times New Roman" w:cs="Times New Roman" w:eastAsia="Times New Roman" w:hAnsi="Times New Roman"/>
          <w:b w:val="1"/>
          <w:bCs w:val="1"/>
          <w:sz w:val="24"/>
          <w:szCs w:val="24"/>
        </w:rPr>
      </w:pPr>
      <w:bookmarkStart w:colFirst="0" w:colLast="0" w:name="_jyhevvhev94a" w:id="16"/>
      <w:bookmarkEnd w:id="16"/>
      <w:r w:rsidDel="00000000" w:rsidR="00000000" w:rsidRPr="00000000">
        <w:rPr>
          <w:rFonts w:ascii="Times New Roman" w:cs="Times New Roman" w:eastAsia="Times New Roman" w:hAnsi="Times New Roman"/>
          <w:b w:val="1"/>
          <w:bCs w:val="1"/>
          <w:sz w:val="24"/>
          <w:szCs w:val="24"/>
          <w:rtl w:val="0"/>
        </w:rPr>
        <w:t xml:space="preserve">Pricing Strategy</w:t>
      </w:r>
    </w:p>
    <w:p w:rsidR="00000000" w:rsidDel="00000000" w:rsidP="00000000" w:rsidRDefault="00000000" w:rsidRPr="00000000" w14:paraId="00000068">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shrinking gross margins have made Tesla lower the prices of vehicles in 2023-24 to gain a larger market share. Management accounting allowed assessing the effect of the margin and finding possible price floors (Horngren et al., 2021).</w:t>
      </w:r>
    </w:p>
    <w:p w:rsidR="00000000" w:rsidDel="00000000" w:rsidP="00000000" w:rsidRDefault="00000000" w:rsidRPr="00000000" w14:paraId="00000069">
      <w:pPr>
        <w:spacing w:after="280" w:before="280" w:line="360" w:lineRule="auto"/>
        <w:jc w:val="both"/>
        <w:rPr>
          <w:rFonts w:ascii="Times New Roman" w:cs="Times New Roman" w:eastAsia="Times New Roman" w:hAnsi="Times New Roman"/>
          <w:b w:val="1"/>
          <w:bCs w:val="1"/>
          <w:sz w:val="24"/>
          <w:szCs w:val="24"/>
        </w:rPr>
      </w:pPr>
      <w:bookmarkStart w:colFirst="0" w:colLast="0" w:name="_perqghnno4nc" w:id="17"/>
      <w:bookmarkEnd w:id="17"/>
      <w:r w:rsidDel="00000000" w:rsidR="00000000" w:rsidRPr="00000000">
        <w:rPr>
          <w:rFonts w:ascii="Times New Roman" w:cs="Times New Roman" w:eastAsia="Times New Roman" w:hAnsi="Times New Roman"/>
          <w:b w:val="1"/>
          <w:bCs w:val="1"/>
          <w:sz w:val="24"/>
          <w:szCs w:val="24"/>
          <w:rtl w:val="0"/>
        </w:rPr>
        <w:t xml:space="preserve">Capacity Expansion</w:t>
      </w:r>
    </w:p>
    <w:p w:rsidR="00000000" w:rsidDel="00000000" w:rsidP="00000000" w:rsidRDefault="00000000" w:rsidRPr="00000000" w14:paraId="0000006A">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Gigafactories have been opened in Germany and China due to the high volumes of deliveries. The trends in KPI were used to plan capital expenditure with the NPV and IRR techniques (Shim and Siegel, 2000).</w:t>
      </w:r>
    </w:p>
    <w:p w:rsidR="00000000" w:rsidDel="00000000" w:rsidP="00000000" w:rsidRDefault="00000000" w:rsidRPr="00000000" w14:paraId="0000006B">
      <w:pPr>
        <w:spacing w:after="280" w:before="280" w:line="360" w:lineRule="auto"/>
        <w:jc w:val="both"/>
        <w:rPr>
          <w:rFonts w:ascii="Times New Roman" w:cs="Times New Roman" w:eastAsia="Times New Roman" w:hAnsi="Times New Roman"/>
          <w:b w:val="1"/>
          <w:bCs w:val="1"/>
          <w:sz w:val="24"/>
          <w:szCs w:val="24"/>
        </w:rPr>
      </w:pPr>
      <w:bookmarkStart w:colFirst="0" w:colLast="0" w:name="_qonbjz8y6p2x" w:id="18"/>
      <w:bookmarkEnd w:id="18"/>
      <w:r w:rsidDel="00000000" w:rsidR="00000000" w:rsidRPr="00000000">
        <w:rPr>
          <w:rFonts w:ascii="Times New Roman" w:cs="Times New Roman" w:eastAsia="Times New Roman" w:hAnsi="Times New Roman"/>
          <w:b w:val="1"/>
          <w:bCs w:val="1"/>
          <w:sz w:val="24"/>
          <w:szCs w:val="24"/>
          <w:rtl w:val="0"/>
        </w:rPr>
        <w:t xml:space="preserve">Cost-Cutting Measures</w:t>
      </w:r>
    </w:p>
    <w:p w:rsidR="00000000" w:rsidDel="00000000" w:rsidP="00000000" w:rsidRDefault="00000000" w:rsidRPr="00000000" w14:paraId="0000006C">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operating costs have reduced following an analysis of profitability KPIs and macroeconomic forecasts by Tesla. The solution was to maximize margins through workforce optimisation, automation and consolidation of the supply chain(Wang, 2024).</w:t>
      </w:r>
    </w:p>
    <w:p w:rsidR="00000000" w:rsidDel="00000000" w:rsidP="00000000" w:rsidRDefault="00000000" w:rsidRPr="00000000" w14:paraId="0000006D">
      <w:pPr>
        <w:spacing w:after="280" w:before="280" w:line="360" w:lineRule="auto"/>
        <w:jc w:val="both"/>
        <w:rPr>
          <w:rFonts w:ascii="Times New Roman" w:cs="Times New Roman" w:eastAsia="Times New Roman" w:hAnsi="Times New Roman"/>
          <w:b w:val="1"/>
          <w:bCs w:val="1"/>
          <w:sz w:val="24"/>
          <w:szCs w:val="24"/>
        </w:rPr>
      </w:pPr>
      <w:bookmarkStart w:colFirst="0" w:colLast="0" w:name="_iyx4rha1fuk9" w:id="19"/>
      <w:bookmarkEnd w:id="19"/>
      <w:r w:rsidDel="00000000" w:rsidR="00000000" w:rsidRPr="00000000">
        <w:rPr>
          <w:rFonts w:ascii="Times New Roman" w:cs="Times New Roman" w:eastAsia="Times New Roman" w:hAnsi="Times New Roman"/>
          <w:b w:val="1"/>
          <w:bCs w:val="1"/>
          <w:sz w:val="24"/>
          <w:szCs w:val="24"/>
          <w:rtl w:val="0"/>
        </w:rPr>
        <w:t xml:space="preserve">Product Development Decisions</w:t>
      </w:r>
    </w:p>
    <w:p w:rsidR="00000000" w:rsidDel="00000000" w:rsidP="00000000" w:rsidRDefault="00000000" w:rsidRPr="00000000" w14:paraId="0000006E">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KPIs in the R&amp;D facilitated the introduction to the market of new vehicles like the Cybertruck and the improvements of the FSD system.</w:t>
      </w:r>
    </w:p>
    <w:p w:rsidR="00000000" w:rsidDel="00000000" w:rsidP="00000000" w:rsidRDefault="00000000" w:rsidRPr="00000000" w14:paraId="0000006F">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way, the KPI system of Tesla enhances strategic decision-making that is data-oriented.</w:t>
      </w:r>
    </w:p>
    <w:p w:rsidR="00000000" w:rsidDel="00000000" w:rsidP="00000000" w:rsidRDefault="00000000" w:rsidRPr="00000000" w14:paraId="00000070">
      <w:pPr>
        <w:spacing w:after="0" w:line="360" w:lineRule="auto"/>
        <w:jc w:val="both"/>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71">
      <w:pPr>
        <w:pStyle w:val="Heading1"/>
        <w:spacing w:after="280" w:before="280" w:line="360" w:lineRule="auto"/>
        <w:jc w:val="both"/>
        <w:rPr/>
      </w:pPr>
      <w:bookmarkStart w:colFirst="0" w:colLast="0" w:name="_sbj9sq5iejpv" w:id="20"/>
      <w:bookmarkEnd w:id="20"/>
      <w:r w:rsidDel="00000000" w:rsidR="00000000" w:rsidRPr="00000000">
        <w:rPr>
          <w:rtl w:val="0"/>
        </w:rPr>
        <w:t xml:space="preserve">5. Sustainability and Ethical Considerations </w:t>
      </w:r>
    </w:p>
    <w:p w:rsidR="00000000" w:rsidDel="00000000" w:rsidP="00000000" w:rsidRDefault="00000000" w:rsidRPr="00000000" w14:paraId="00000072">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Tesla has sustainability as a key part of its financial decision-making. The company has implemented environmental, social, and governance (ESG) measures in its management accounting system to assist in creation of long-term values. In its sustainability approach, Tesla aims at lessening carbon emission in the world by adopting EVs, enhancing energy efficiency in Gigafactories, as well as advancing battery recycling technologies ( Tesla Impact Report, 2024).</w:t>
      </w:r>
    </w:p>
    <w:p w:rsidR="00000000" w:rsidDel="00000000" w:rsidP="00000000" w:rsidRDefault="00000000" w:rsidRPr="00000000" w14:paraId="00000073">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terms of sustainability accounting, Tesla makes use of the concept of life-cycle costing (LCC) to determine the environmental cost of battery manufacturing and recycling. It has been demonstrated that LCC plays a crucial role in controlling environmental effects during EV production (Taghizadeh-Hesary et al., 2022). Closed-loop battery recycling helps Tesla to rely less on raw materials and decreases the overall cost of production in the long run (Ortiz, 2022).</w:t>
      </w:r>
    </w:p>
    <w:p w:rsidR="00000000" w:rsidDel="00000000" w:rsidP="00000000" w:rsidRDefault="00000000" w:rsidRPr="00000000" w14:paraId="00000074">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ethical cost management is associated with fair pricing, responsible sourcing of the raw materials, and fair labour practices. Tesla is also associated with ethical issues, such as mining of cobalt, labour costs, and the effects of lithium mining(Fernandez &amp; Kalniev, 2023). To solve such problems, Tesla cooperates with authorized vendors and invests in cobalt-less battery chemistries. Moreover, ethics are incorporated in the audit of suppliers and sustainability reporting.</w:t>
      </w:r>
    </w:p>
    <w:p w:rsidR="00000000" w:rsidDel="00000000" w:rsidP="00000000" w:rsidRDefault="00000000" w:rsidRPr="00000000" w14:paraId="00000075">
      <w:pPr>
        <w:spacing w:after="280" w:before="2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Tesla does not use unethical pricing policies either because price cuts are based on economies of scale and not exploitation. A long-term pricing strategy of the company aims at making EV more accessible and maintaining the margins with the help of cost innovation (Drury, 2023).</w:t>
      </w:r>
    </w:p>
    <w:p w:rsidR="00000000" w:rsidDel="00000000" w:rsidP="00000000" w:rsidRDefault="00000000" w:rsidRPr="00000000" w14:paraId="00000076">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Overall, Tesla's ethical conduct and sustainability policies are in line with sustainable finance principles, allowing the business to control expenses sensibly while reducing its negative effects on the environment and encouraging long-term economic, social, and ecological accountability across its operations.</w:t>
      </w:r>
    </w:p>
    <w:p w:rsidR="00000000" w:rsidDel="00000000" w:rsidP="00000000" w:rsidRDefault="00000000" w:rsidRPr="00000000" w14:paraId="00000077">
      <w:pPr>
        <w:spacing w:after="280"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8">
      <w:pPr>
        <w:pStyle w:val="Heading1"/>
        <w:spacing w:after="280" w:before="280" w:line="360" w:lineRule="auto"/>
        <w:jc w:val="both"/>
        <w:rPr/>
      </w:pPr>
      <w:bookmarkStart w:colFirst="0" w:colLast="0" w:name="_2bzh7x4ygwj" w:id="21"/>
      <w:bookmarkEnd w:id="21"/>
      <w:r w:rsidDel="00000000" w:rsidR="00000000" w:rsidRPr="00000000">
        <w:rPr>
          <w:b w:val="1"/>
          <w:bCs w:val="1"/>
          <w:rtl w:val="0"/>
        </w:rPr>
        <w:t xml:space="preserve">6. Conclusion and Recommendations </w:t>
      </w:r>
      <w:r w:rsidDel="00000000" w:rsidR="00000000" w:rsidRPr="00000000">
        <w:rPr>
          <w:rtl w:val="0"/>
        </w:rPr>
      </w:r>
    </w:p>
    <w:p w:rsidR="00000000" w:rsidDel="00000000" w:rsidP="00000000" w:rsidRDefault="00000000" w:rsidRPr="00000000" w14:paraId="00000079">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study evaluated Tesla's use of management accounting technologies to improve long-term strategic planning and financial decision-making. Tesla's cost structure is a reflection of its innovation-driven, high-fixed-cost business strategy, which is bolstered by economies of scale and significant vertical integration, especially in software development, battery manufacture, and international manufacturing.</w:t>
      </w:r>
    </w:p>
    <w:p w:rsidR="00000000" w:rsidDel="00000000" w:rsidP="00000000" w:rsidRDefault="00000000" w:rsidRPr="00000000" w14:paraId="0000007A">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manufacturing grows, these structural benefits lower unit costs and improve Tesla's competitiveness. By directing capital allocation, facilitating significant investments, and enabling efficient cost control during difficult economic times, budgeting plays a crucial role. A thorough performance measuring system that integrates both financial and non-financial KPIs ensures alignment with strategy goals and supports pricing, expansion choices, and product development. Furthermore, ethical and sustainable factors are crucial to Tesla's financial strategy. To support operations that are socially and ecologically responsible, the organisation incorporates life-cycle costing, ESG principles, responsible sourcing, and transparent reporting. All things considered, managerial accounting offers the analytical basis for Tesla's expansion and profitability.</w:t>
      </w:r>
    </w:p>
    <w:p w:rsidR="00000000" w:rsidDel="00000000" w:rsidP="00000000" w:rsidRDefault="00000000" w:rsidRPr="00000000" w14:paraId="0000007B">
      <w:pPr>
        <w:pStyle w:val="Heading3"/>
        <w:spacing w:after="280" w:before="280" w:line="360" w:lineRule="auto"/>
        <w:jc w:val="both"/>
        <w:rPr>
          <w:sz w:val="24"/>
          <w:szCs w:val="24"/>
        </w:rPr>
      </w:pPr>
      <w:bookmarkStart w:colFirst="0" w:colLast="0" w:name="_2ilmmx8cbty6" w:id="22"/>
      <w:bookmarkEnd w:id="22"/>
      <w:r w:rsidDel="00000000" w:rsidR="00000000" w:rsidRPr="00000000">
        <w:rPr>
          <w:b w:val="1"/>
          <w:bCs w:val="1"/>
          <w:sz w:val="24"/>
          <w:szCs w:val="24"/>
          <w:rtl w:val="0"/>
        </w:rPr>
        <w:t xml:space="preserve">Recommendations</w:t>
      </w:r>
      <w:r w:rsidDel="00000000" w:rsidR="00000000" w:rsidRPr="00000000">
        <w:rPr>
          <w:rtl w:val="0"/>
        </w:rPr>
      </w:r>
    </w:p>
    <w:p w:rsidR="00000000" w:rsidDel="00000000" w:rsidP="00000000" w:rsidRDefault="00000000" w:rsidRPr="00000000" w14:paraId="0000007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Improve Activity-Based Costing (ABC):</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To find high-cost manufacturing processes, increase cost visibility, and maximise factory performance, Tesla should apply ABC more widely. Stronger operational decision-making and effective resource allocation would result from a deeper comprehension of cost factors. </w:t>
        <w:br w:type="textWrapping"/>
      </w:r>
    </w:p>
    <w:p w:rsidR="00000000" w:rsidDel="00000000" w:rsidP="00000000" w:rsidRDefault="00000000" w:rsidRPr="00000000" w14:paraId="0000007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Strengthen Sustainability Budgeting</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By allocating funds specifically for battery recycling, ethical sourcing, and circular economy projects, Tesla may further incorporate sustainability. This will guarantee long-term cost savings, lessen the impact on the environment, and improve adherence to international ESG standards. </w:t>
        <w:br w:type="textWrapping"/>
      </w:r>
    </w:p>
    <w:p w:rsidR="00000000" w:rsidDel="00000000" w:rsidP="00000000" w:rsidRDefault="00000000" w:rsidRPr="00000000" w14:paraId="0000007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Boost Software Revenue Forecasting</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Using sophisticated predictive analytics, Tesla should increase forecasting accuracy for FSD subscriptions and OTA digital services. Better financial planning, capacity management, and long-term revenue optimisation within its expanding software ecosystem will be made possible by improved forecasting.</w:t>
      </w:r>
    </w:p>
    <w:p w:rsidR="00000000" w:rsidDel="00000000" w:rsidP="00000000" w:rsidRDefault="00000000" w:rsidRPr="00000000" w14:paraId="0000007F">
      <w:pPr>
        <w:pStyle w:val="Heading1"/>
        <w:spacing w:after="280" w:before="280" w:line="360" w:lineRule="auto"/>
        <w:jc w:val="both"/>
        <w:rPr>
          <w:b w:val="1"/>
          <w:bCs w:val="1"/>
        </w:rPr>
      </w:pPr>
      <w:r w:rsidDel="00000000" w:rsidR="00000000" w:rsidRPr="00000000">
        <w:rPr>
          <w:rtl w:val="0"/>
        </w:rPr>
      </w:r>
    </w:p>
    <w:p w:rsidR="00000000" w:rsidDel="00000000" w:rsidP="00000000" w:rsidRDefault="00000000" w:rsidRPr="00000000" w14:paraId="00000080">
      <w:pPr>
        <w:pStyle w:val="Heading1"/>
        <w:spacing w:after="280" w:before="280" w:line="360" w:lineRule="auto"/>
        <w:jc w:val="both"/>
        <w:rPr>
          <w:b w:val="1"/>
          <w:bCs w:val="1"/>
        </w:rPr>
      </w:pPr>
      <w:r w:rsidDel="00000000" w:rsidR="00000000" w:rsidRPr="00000000">
        <w:rPr>
          <w:rtl w:val="0"/>
        </w:rPr>
      </w:r>
    </w:p>
    <w:p w:rsidR="00000000" w:rsidDel="00000000" w:rsidP="00000000" w:rsidRDefault="00000000" w:rsidRPr="00000000" w14:paraId="00000081">
      <w:pPr>
        <w:pStyle w:val="Heading1"/>
        <w:spacing w:after="280" w:before="280" w:line="360" w:lineRule="auto"/>
        <w:jc w:val="both"/>
        <w:rPr>
          <w:b w:val="1"/>
          <w:bCs w:val="1"/>
        </w:rPr>
      </w:pPr>
      <w:r w:rsidDel="00000000" w:rsidR="00000000" w:rsidRPr="00000000">
        <w:rPr>
          <w:rtl w:val="0"/>
        </w:rPr>
      </w:r>
    </w:p>
    <w:p w:rsidR="00000000" w:rsidDel="00000000" w:rsidP="00000000" w:rsidRDefault="00000000" w:rsidRPr="00000000" w14:paraId="00000082">
      <w:pPr>
        <w:pStyle w:val="Heading1"/>
        <w:spacing w:after="280" w:before="280" w:line="360" w:lineRule="auto"/>
        <w:jc w:val="both"/>
        <w:rPr>
          <w:b w:val="1"/>
          <w:bCs w:val="1"/>
        </w:rPr>
      </w:pPr>
      <w:r w:rsidDel="00000000" w:rsidR="00000000" w:rsidRPr="00000000">
        <w:rPr>
          <w:rtl w:val="0"/>
        </w:rPr>
      </w:r>
    </w:p>
    <w:p w:rsidR="00000000" w:rsidDel="00000000" w:rsidP="00000000" w:rsidRDefault="00000000" w:rsidRPr="00000000" w14:paraId="00000083">
      <w:pPr>
        <w:pStyle w:val="Heading1"/>
        <w:spacing w:after="280" w:before="280" w:line="360" w:lineRule="auto"/>
        <w:jc w:val="both"/>
        <w:rPr>
          <w:b w:val="1"/>
          <w:bCs w:val="1"/>
        </w:rPr>
      </w:pPr>
      <w:r w:rsidDel="00000000" w:rsidR="00000000" w:rsidRPr="00000000">
        <w:rPr>
          <w:rtl w:val="0"/>
        </w:rPr>
      </w:r>
    </w:p>
    <w:p w:rsidR="00000000" w:rsidDel="00000000" w:rsidP="00000000" w:rsidRDefault="00000000" w:rsidRPr="00000000" w14:paraId="00000084">
      <w:pPr>
        <w:pStyle w:val="Heading1"/>
        <w:spacing w:after="280" w:before="280" w:line="360" w:lineRule="auto"/>
        <w:jc w:val="both"/>
        <w:rPr>
          <w:b w:val="1"/>
          <w:bCs w:val="1"/>
        </w:rPr>
      </w:pPr>
      <w:r w:rsidDel="00000000" w:rsidR="00000000" w:rsidRPr="00000000">
        <w:rPr>
          <w:rtl w:val="0"/>
        </w:rPr>
      </w:r>
    </w:p>
    <w:p w:rsidR="00000000" w:rsidDel="00000000" w:rsidP="00000000" w:rsidRDefault="00000000" w:rsidRPr="00000000" w14:paraId="00000085">
      <w:pPr>
        <w:pStyle w:val="Heading1"/>
        <w:spacing w:after="280" w:before="280" w:line="360" w:lineRule="auto"/>
        <w:jc w:val="both"/>
        <w:rPr>
          <w:b w:val="1"/>
          <w:bCs w:val="1"/>
        </w:rPr>
      </w:pPr>
      <w:r w:rsidDel="00000000" w:rsidR="00000000" w:rsidRPr="00000000">
        <w:rPr>
          <w:rtl w:val="0"/>
        </w:rPr>
      </w:r>
    </w:p>
    <w:p w:rsidR="00000000" w:rsidDel="00000000" w:rsidP="00000000" w:rsidRDefault="00000000" w:rsidRPr="00000000" w14:paraId="00000086">
      <w:pPr>
        <w:pStyle w:val="Heading1"/>
        <w:spacing w:after="280" w:before="280" w:line="360" w:lineRule="auto"/>
        <w:jc w:val="both"/>
        <w:rPr>
          <w:b w:val="1"/>
          <w:bCs w:val="1"/>
        </w:rPr>
      </w:pPr>
      <w:r w:rsidDel="00000000" w:rsidR="00000000" w:rsidRPr="00000000">
        <w:rPr>
          <w:rtl w:val="0"/>
        </w:rPr>
      </w:r>
    </w:p>
    <w:p w:rsidR="00000000" w:rsidDel="00000000" w:rsidP="00000000" w:rsidRDefault="00000000" w:rsidRPr="00000000" w14:paraId="00000087">
      <w:pPr>
        <w:pStyle w:val="Heading1"/>
        <w:spacing w:after="280" w:before="280" w:line="360" w:lineRule="auto"/>
        <w:jc w:val="both"/>
        <w:rPr>
          <w:b w:val="1"/>
          <w:bCs w:val="1"/>
        </w:rPr>
      </w:pPr>
      <w:r w:rsidDel="00000000" w:rsidR="00000000" w:rsidRPr="00000000">
        <w:rPr>
          <w:rtl w:val="0"/>
        </w:rPr>
      </w:r>
    </w:p>
    <w:p w:rsidR="00000000" w:rsidDel="00000000" w:rsidP="00000000" w:rsidRDefault="00000000" w:rsidRPr="00000000" w14:paraId="00000088">
      <w:pPr>
        <w:pStyle w:val="Heading1"/>
        <w:spacing w:after="280" w:before="280" w:line="360" w:lineRule="auto"/>
        <w:jc w:val="both"/>
        <w:rPr>
          <w:b w:val="1"/>
          <w:bCs w:val="1"/>
        </w:rPr>
      </w:pPr>
      <w:r w:rsidDel="00000000" w:rsidR="00000000" w:rsidRPr="00000000">
        <w:rPr>
          <w:rtl w:val="0"/>
        </w:rPr>
      </w:r>
    </w:p>
    <w:p w:rsidR="00000000" w:rsidDel="00000000" w:rsidP="00000000" w:rsidRDefault="00000000" w:rsidRPr="00000000" w14:paraId="00000089">
      <w:pPr>
        <w:pStyle w:val="Heading1"/>
        <w:spacing w:after="280" w:before="280" w:line="360" w:lineRule="auto"/>
        <w:jc w:val="both"/>
        <w:rPr/>
      </w:pPr>
      <w:bookmarkStart w:colFirst="0" w:colLast="0" w:name="_j3f8h1w9ml4u" w:id="23"/>
      <w:bookmarkEnd w:id="23"/>
      <w:r w:rsidDel="00000000" w:rsidR="00000000" w:rsidRPr="00000000">
        <w:rPr>
          <w:b w:val="1"/>
          <w:bCs w:val="1"/>
          <w:rtl w:val="0"/>
        </w:rPr>
        <w:t xml:space="preserve">References </w:t>
      </w:r>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8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Drury, C. (2023)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Management and Cost Accounting</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11th edn. Cengage Learning.</w:t>
        <w:br w:type="textWrapping"/>
      </w:r>
    </w:p>
    <w:p w:rsidR="00000000" w:rsidDel="00000000" w:rsidP="00000000" w:rsidRDefault="00000000" w:rsidRPr="00000000" w14:paraId="0000008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Horngren, C., Datar, S. and Rajan, M. (2021)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Cost Accounting: A Managerial Emphasis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Pearson.</w:t>
        <w:br w:type="textWrapping"/>
      </w:r>
    </w:p>
    <w:p w:rsidR="00000000" w:rsidDel="00000000" w:rsidP="00000000" w:rsidRDefault="00000000" w:rsidRPr="00000000" w14:paraId="0000008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IEA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Global EV Outlook 2024</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International Energy Agency.</w:t>
        <w:br w:type="textWrapping"/>
      </w:r>
    </w:p>
    <w:p w:rsidR="00000000" w:rsidDel="00000000" w:rsidP="00000000" w:rsidRDefault="00000000" w:rsidRPr="00000000" w14:paraId="0000008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Kaplan, R. and Norton, D. (1996)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The Balanced Scorecard</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Harvard Business School Press.</w:t>
        <w:br w:type="textWrapping"/>
      </w:r>
    </w:p>
    <w:p w:rsidR="00000000" w:rsidDel="00000000" w:rsidP="00000000" w:rsidRDefault="00000000" w:rsidRPr="00000000" w14:paraId="0000008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Kenton, W. (2023) ‘Capital budgeting and investment decisions’,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Investopedia</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t>
        <w:br w:type="textWrapping"/>
      </w:r>
    </w:p>
    <w:p w:rsidR="00000000" w:rsidDel="00000000" w:rsidP="00000000" w:rsidRDefault="00000000" w:rsidRPr="00000000" w14:paraId="0000009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Wang, J.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Analysis of macroeconomic indicators that affect electric vehicle stock market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Proceedings of the 2023 International Conference on Economic Management, Financial Innovation and Public Service (EMFIPS 2023)</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(pp. 130-144). Atlantis Press. https://doi.org/10.2991/978-94-6463-441-9_13 </w:t>
      </w:r>
    </w:p>
    <w:p w:rsidR="00000000" w:rsidDel="00000000" w:rsidP="00000000" w:rsidRDefault="00000000" w:rsidRPr="00000000" w14:paraId="0000009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Tesla, Inc. (2023).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Master Plan Part 3: Sustainable energy for all of Earth</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hyperlink r:id="rId8">
        <w:r w:rsidDel="00000000" w:rsidR="00000000" w:rsidRPr="00000000">
          <w:rPr>
            <w:rFonts w:ascii="Times New Roman" w:cs="Times New Roman" w:eastAsia="Times New Roman" w:hAnsi="Times New Roman"/>
            <w:b w:val="0"/>
            <w:bCs w:val="0"/>
            <w:i w:val="0"/>
            <w:iCs w:val="0"/>
            <w:smallCaps w:val="0"/>
            <w:strike w:val="0"/>
            <w:color w:val="0000ff"/>
            <w:sz w:val="24"/>
            <w:szCs w:val="24"/>
            <w:u w:val="single"/>
            <w:shd w:fill="auto" w:val="clear"/>
            <w:vertAlign w:val="baseline"/>
            <w:rtl w:val="0"/>
          </w:rPr>
          <w:t xml:space="preserve">https://www.tesla.com/ns_videos/Tesla-Master-Plan-Part-3.pdf</w:t>
        </w:r>
      </w:hyperlink>
      <w:r w:rsidDel="00000000" w:rsidR="00000000" w:rsidRPr="00000000">
        <w:rPr>
          <w:rtl w:val="0"/>
        </w:rPr>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Ortiz, T. M. (2022).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Battery material supply chain challenges: Puts energy storage ambitions at risk</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National Propane Gas Association. </w:t>
      </w:r>
      <w:hyperlink r:id="rId9">
        <w:r w:rsidDel="00000000" w:rsidR="00000000" w:rsidRPr="00000000">
          <w:rPr>
            <w:rFonts w:ascii="Times New Roman" w:cs="Times New Roman" w:eastAsia="Times New Roman" w:hAnsi="Times New Roman"/>
            <w:b w:val="0"/>
            <w:bCs w:val="0"/>
            <w:i w:val="0"/>
            <w:iCs w:val="0"/>
            <w:smallCaps w:val="0"/>
            <w:strike w:val="0"/>
            <w:color w:val="0000ff"/>
            <w:sz w:val="24"/>
            <w:szCs w:val="24"/>
            <w:u w:val="single"/>
            <w:shd w:fill="auto" w:val="clear"/>
            <w:vertAlign w:val="baseline"/>
            <w:rtl w:val="0"/>
          </w:rPr>
          <w:t xml:space="preserve">https://www.npga.org/wp-content/uploads/2023/01/Battery-Material-Supply-Chain-Challenges-Puts-Energy-Storage-Ambitions-at-Risk.pdf</w:t>
        </w:r>
      </w:hyperlink>
      <w:r w:rsidDel="00000000" w:rsidR="00000000" w:rsidRPr="00000000">
        <w:rPr>
          <w:rtl w:val="0"/>
        </w:rPr>
      </w:r>
    </w:p>
    <w:p w:rsidR="00000000" w:rsidDel="00000000" w:rsidP="00000000" w:rsidRDefault="00000000" w:rsidRPr="00000000" w14:paraId="0000009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Shim, J. and Siegel, J. (2022)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Financial Management for Managers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McGraw-Hill.</w:t>
        <w:br w:type="textWrapping"/>
      </w:r>
    </w:p>
    <w:p w:rsidR="00000000" w:rsidDel="00000000" w:rsidP="00000000" w:rsidRDefault="00000000" w:rsidRPr="00000000" w14:paraId="0000009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Fernandez, T. E., &amp; Kalniev, M. (2023).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Sustainability of supply chains for electric vehicles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Proceedings of the International Conference on Transport and Logistics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(pp. 200–208). Hanken School of Economics. </w:t>
      </w:r>
    </w:p>
    <w:p w:rsidR="00000000" w:rsidDel="00000000" w:rsidP="00000000" w:rsidRDefault="00000000" w:rsidRPr="00000000" w14:paraId="0000009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S&amp;P Global (2023)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ESG Rating Report: Tesla</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t>
        <w:br w:type="textWrapping"/>
      </w:r>
    </w:p>
    <w:p w:rsidR="00000000" w:rsidDel="00000000" w:rsidP="00000000" w:rsidRDefault="00000000" w:rsidRPr="00000000" w14:paraId="0000009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Statista (2024) Tesla Revenue Breakdown 2023.</w:t>
        <w:br w:type="textWrapping"/>
      </w:r>
    </w:p>
    <w:p w:rsidR="00000000" w:rsidDel="00000000" w:rsidP="00000000" w:rsidRDefault="00000000" w:rsidRPr="00000000" w14:paraId="0000009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Tesla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2023 Annual Report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t>
        <w:br w:type="textWrapping"/>
      </w:r>
    </w:p>
    <w:p w:rsidR="00000000" w:rsidDel="00000000" w:rsidP="00000000" w:rsidRDefault="00000000" w:rsidRPr="00000000" w14:paraId="0000009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Tesla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Impact Report 2024</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t>
        <w:br w:type="textWrapping"/>
      </w:r>
    </w:p>
    <w:p w:rsidR="00000000" w:rsidDel="00000000" w:rsidP="00000000" w:rsidRDefault="00000000" w:rsidRPr="00000000" w14:paraId="0000009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8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Yahoo Finance (2024) Tesla Key Financial Metrics.</w:t>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C">
      <w:pPr>
        <w:spacing w:line="360" w:lineRule="auto"/>
        <w:jc w:val="both"/>
        <w:rPr>
          <w:rFonts w:ascii="Times New Roman" w:cs="Times New Roman" w:eastAsia="Times New Roman" w:hAnsi="Times New Roman"/>
          <w:sz w:val="24"/>
          <w:szCs w:val="24"/>
        </w:rPr>
      </w:pPr>
      <w:r w:rsidDel="00000000" w:rsidR="00000000" w:rsidRPr="00000000">
        <w:rPr>
          <w:rtl w:val="0"/>
        </w:rPr>
      </w:r>
    </w:p>
    <w:sectPr>
      <w:headerReference r:id="rId10" w:type="first"/>
      <w:footerReference r:id="rId11" w:type="default"/>
      <w:pgSz w:h="16839" w:w="11907"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Georgia"/>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E">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1"/>
        <w:bCs w:val="1"/>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 xml:space="preserve"> | </w:t>
    </w:r>
    <w:r w:rsidDel="00000000" w:rsidR="00000000" w:rsidRPr="00000000">
      <w:rPr>
        <w:rFonts w:ascii="Calibri" w:cs="Calibri" w:eastAsia="Calibri" w:hAnsi="Calibri"/>
        <w:b w:val="0"/>
        <w:bCs w:val="0"/>
        <w:i w:val="0"/>
        <w:iCs w:val="0"/>
        <w:smallCaps w:val="0"/>
        <w:strike w:val="0"/>
        <w:color w:val="808080"/>
        <w:sz w:val="22"/>
        <w:szCs w:val="22"/>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Pr>
      <w:pict>
        <v:shape id="_x0000_i1028" style="width:187.5pt;height:75pt" type="#_x0000_t75">
          <v:imagedata r:id="rId1" o:title="Screenshot_20-11-2025_235335_"/>
        </v:shape>
      </w:pic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line="240" w:lineRule="auto"/>
    </w:pPr>
    <w:rPr>
      <w:rFonts w:ascii="Times New Roman" w:cs="Times New Roman" w:eastAsia="Times New Roman" w:hAnsi="Times New Roman"/>
      <w:b w:val="1"/>
      <w:bCs w:val="1"/>
      <w:sz w:val="24"/>
      <w:szCs w:val="24"/>
    </w:rPr>
  </w:style>
  <w:style w:type="paragraph" w:styleId="Heading2">
    <w:name w:val="heading 2"/>
    <w:basedOn w:val="Normal"/>
    <w:next w:val="Normal"/>
    <w:pPr>
      <w:spacing w:line="240" w:lineRule="auto"/>
    </w:pPr>
    <w:rPr>
      <w:rFonts w:ascii="Times New Roman" w:cs="Times New Roman" w:eastAsia="Times New Roman" w:hAnsi="Times New Roman"/>
      <w:b w:val="1"/>
      <w:bCs w:val="1"/>
      <w:sz w:val="36"/>
      <w:szCs w:val="36"/>
    </w:rPr>
  </w:style>
  <w:style w:type="paragraph" w:styleId="Heading3">
    <w:name w:val="heading 3"/>
    <w:basedOn w:val="Normal"/>
    <w:next w:val="Normal"/>
    <w:pPr>
      <w:spacing w:line="240" w:lineRule="auto"/>
    </w:pPr>
    <w:rPr>
      <w:rFonts w:ascii="Times New Roman" w:cs="Times New Roman" w:eastAsia="Times New Roman" w:hAnsi="Times New Roman"/>
      <w:b w:val="1"/>
      <w:bCs w:val="1"/>
      <w:sz w:val="27"/>
      <w:szCs w:val="27"/>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 Type="http://schemas.openxmlformats.org/officeDocument/2006/relationships/theme" Target="theme/theme1.xml"/><Relationship Id="rId3" Type="http://schemas.openxmlformats.org/officeDocument/2006/relationships/settings" Target="settings.xml"/><Relationship Id="rId4" Type="http://schemas.openxmlformats.org/officeDocument/2006/relationships/fontTable" Target="fontTable.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hyperlink" Target="https://www.npga.org/wp-content/uploads/2023/01/Battery-Material-Supply-Chain-Challenges-Puts-Energy-Storage-Ambitions-at-Risk.pdf?utm_source=chatgpt.com"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2.png"/><Relationship Id="rId8" Type="http://schemas.openxmlformats.org/officeDocument/2006/relationships/hyperlink" Target="https://www.tesla.com/ns_videos/Tesla-Master-Plan-Part-3.pdf?utm_source=chatgpt.co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