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1DD5A" w14:textId="77777777" w:rsidR="00124C35" w:rsidRDefault="00023C30">
      <w:pPr>
        <w:spacing w:after="0" w:line="259" w:lineRule="auto"/>
        <w:ind w:left="140" w:firstLine="0"/>
        <w:jc w:val="center"/>
      </w:pPr>
      <w:r>
        <w:rPr>
          <w:b/>
          <w:sz w:val="56"/>
        </w:rPr>
        <w:t xml:space="preserve"> </w:t>
      </w:r>
    </w:p>
    <w:p w14:paraId="494596D8" w14:textId="77777777" w:rsidR="00124C35" w:rsidRDefault="00023C30">
      <w:pPr>
        <w:spacing w:after="0" w:line="259" w:lineRule="auto"/>
        <w:ind w:left="140" w:firstLine="0"/>
        <w:jc w:val="center"/>
      </w:pPr>
      <w:r>
        <w:rPr>
          <w:b/>
          <w:sz w:val="56"/>
        </w:rPr>
        <w:t xml:space="preserve"> </w:t>
      </w:r>
    </w:p>
    <w:p w14:paraId="0DB8AB72" w14:textId="77777777" w:rsidR="00124C35" w:rsidRDefault="00023C30">
      <w:pPr>
        <w:spacing w:after="0" w:line="259" w:lineRule="auto"/>
        <w:ind w:left="140" w:firstLine="0"/>
        <w:jc w:val="center"/>
      </w:pPr>
      <w:r>
        <w:rPr>
          <w:b/>
          <w:sz w:val="56"/>
        </w:rPr>
        <w:t xml:space="preserve"> </w:t>
      </w:r>
    </w:p>
    <w:p w14:paraId="0095F921" w14:textId="77777777" w:rsidR="00124C35" w:rsidRDefault="00023C30">
      <w:pPr>
        <w:spacing w:after="0" w:line="259" w:lineRule="auto"/>
        <w:ind w:left="140" w:firstLine="0"/>
        <w:jc w:val="center"/>
      </w:pPr>
      <w:r>
        <w:rPr>
          <w:b/>
          <w:sz w:val="56"/>
        </w:rPr>
        <w:t xml:space="preserve"> </w:t>
      </w:r>
    </w:p>
    <w:p w14:paraId="148309C2" w14:textId="77777777" w:rsidR="00124C35" w:rsidRDefault="00023C30">
      <w:pPr>
        <w:spacing w:after="0" w:line="259" w:lineRule="auto"/>
        <w:ind w:left="140" w:firstLine="0"/>
        <w:jc w:val="center"/>
      </w:pPr>
      <w:r>
        <w:rPr>
          <w:b/>
          <w:sz w:val="56"/>
        </w:rPr>
        <w:t xml:space="preserve"> </w:t>
      </w:r>
    </w:p>
    <w:p w14:paraId="021A15BF" w14:textId="77777777" w:rsidR="00124C35" w:rsidRDefault="00023C30">
      <w:pPr>
        <w:spacing w:after="0" w:line="259" w:lineRule="auto"/>
        <w:ind w:left="140" w:firstLine="0"/>
        <w:jc w:val="center"/>
      </w:pPr>
      <w:r>
        <w:rPr>
          <w:b/>
          <w:sz w:val="56"/>
        </w:rPr>
        <w:t xml:space="preserve"> </w:t>
      </w:r>
    </w:p>
    <w:p w14:paraId="3DC0FD31" w14:textId="77777777" w:rsidR="00124C35" w:rsidRDefault="00023C30">
      <w:pPr>
        <w:spacing w:after="0" w:line="259" w:lineRule="auto"/>
        <w:ind w:left="240"/>
        <w:jc w:val="left"/>
      </w:pPr>
      <w:r>
        <w:rPr>
          <w:b/>
          <w:sz w:val="56"/>
        </w:rPr>
        <w:t xml:space="preserve">A Life Course Approach to Health and </w:t>
      </w:r>
    </w:p>
    <w:p w14:paraId="2FBE16DC" w14:textId="77777777" w:rsidR="00124C35" w:rsidRDefault="00023C30">
      <w:pPr>
        <w:spacing w:after="0" w:line="249" w:lineRule="auto"/>
        <w:ind w:left="19"/>
        <w:jc w:val="center"/>
      </w:pPr>
      <w:r>
        <w:rPr>
          <w:b/>
          <w:sz w:val="56"/>
        </w:rPr>
        <w:t xml:space="preserve">Wellbeing: Analysing the Impact of </w:t>
      </w:r>
    </w:p>
    <w:p w14:paraId="2A7FC4C0" w14:textId="77777777" w:rsidR="00124C35" w:rsidRDefault="00023C30">
      <w:pPr>
        <w:spacing w:after="0" w:line="259" w:lineRule="auto"/>
        <w:ind w:left="431"/>
        <w:jc w:val="left"/>
      </w:pPr>
      <w:r>
        <w:rPr>
          <w:b/>
          <w:sz w:val="56"/>
        </w:rPr>
        <w:t xml:space="preserve">Social, Economic and Environmental </w:t>
      </w:r>
    </w:p>
    <w:p w14:paraId="02ABB087" w14:textId="77777777" w:rsidR="00124C35" w:rsidRDefault="00023C30">
      <w:pPr>
        <w:spacing w:after="0" w:line="249" w:lineRule="auto"/>
        <w:ind w:left="19" w:right="9"/>
        <w:jc w:val="center"/>
      </w:pPr>
      <w:r>
        <w:rPr>
          <w:b/>
          <w:sz w:val="56"/>
        </w:rPr>
        <w:t xml:space="preserve">Factors and the Effectiveness of Related Interventions </w:t>
      </w:r>
    </w:p>
    <w:p w14:paraId="0F9FD60E" w14:textId="77777777" w:rsidR="00124C35" w:rsidRDefault="00023C30">
      <w:pPr>
        <w:spacing w:after="5" w:line="355" w:lineRule="auto"/>
        <w:ind w:left="0" w:firstLine="0"/>
        <w:jc w:val="center"/>
      </w:pPr>
      <w:r>
        <w:rPr>
          <w:b/>
          <w:color w:val="595959"/>
          <w:sz w:val="28"/>
        </w:rPr>
        <w:t>Module (code and name):</w:t>
      </w:r>
      <w:r>
        <w:rPr>
          <w:b/>
        </w:rPr>
        <w:t xml:space="preserve"> </w:t>
      </w:r>
      <w:r>
        <w:rPr>
          <w:color w:val="595959"/>
          <w:sz w:val="28"/>
        </w:rPr>
        <w:t xml:space="preserve">Living well: A Life course approach to Health &amp; Wellbeing - BMNS4014 </w:t>
      </w:r>
    </w:p>
    <w:p w14:paraId="01E3949C" w14:textId="4C404E79" w:rsidR="00124C35" w:rsidRDefault="00023C30">
      <w:pPr>
        <w:spacing w:after="127" w:line="259" w:lineRule="auto"/>
        <w:ind w:right="21"/>
        <w:jc w:val="center"/>
      </w:pPr>
      <w:r>
        <w:rPr>
          <w:b/>
          <w:color w:val="595959"/>
          <w:sz w:val="28"/>
        </w:rPr>
        <w:t xml:space="preserve">Student name: </w:t>
      </w:r>
      <w:r w:rsidR="008F2AE0">
        <w:rPr>
          <w:b/>
          <w:color w:val="595959"/>
          <w:sz w:val="28"/>
        </w:rPr>
        <w:t>YOVANA TORREZ</w:t>
      </w:r>
    </w:p>
    <w:p w14:paraId="12C8CDA9" w14:textId="6ED1C19C" w:rsidR="00124C35" w:rsidRDefault="00023C30">
      <w:pPr>
        <w:spacing w:after="127" w:line="259" w:lineRule="auto"/>
        <w:ind w:right="17"/>
        <w:jc w:val="center"/>
      </w:pPr>
      <w:r>
        <w:rPr>
          <w:b/>
          <w:color w:val="595959"/>
          <w:sz w:val="28"/>
        </w:rPr>
        <w:t xml:space="preserve">Student number: </w:t>
      </w:r>
      <w:r w:rsidR="008F2AE0">
        <w:rPr>
          <w:b/>
          <w:color w:val="595959"/>
          <w:sz w:val="28"/>
        </w:rPr>
        <w:t>2517024</w:t>
      </w:r>
    </w:p>
    <w:p w14:paraId="3C868D96" w14:textId="6E8C1970" w:rsidR="00124C35" w:rsidRDefault="00023C30">
      <w:pPr>
        <w:spacing w:after="127" w:line="259" w:lineRule="auto"/>
        <w:ind w:right="21"/>
        <w:jc w:val="center"/>
      </w:pPr>
      <w:r>
        <w:rPr>
          <w:b/>
          <w:color w:val="595959"/>
          <w:sz w:val="28"/>
        </w:rPr>
        <w:t xml:space="preserve">Lecturer name: </w:t>
      </w:r>
      <w:r w:rsidR="008F2AE0">
        <w:rPr>
          <w:b/>
          <w:color w:val="595959"/>
          <w:sz w:val="28"/>
        </w:rPr>
        <w:t>BEN DUXBURY</w:t>
      </w:r>
    </w:p>
    <w:p w14:paraId="10F27F06" w14:textId="77777777" w:rsidR="00124C35" w:rsidRDefault="00023C30">
      <w:pPr>
        <w:spacing w:after="0" w:line="259" w:lineRule="auto"/>
        <w:ind w:left="0" w:firstLine="0"/>
        <w:jc w:val="left"/>
      </w:pPr>
      <w:r>
        <w:t xml:space="preserve"> </w:t>
      </w:r>
      <w:r>
        <w:tab/>
        <w:t xml:space="preserve"> </w:t>
      </w:r>
    </w:p>
    <w:p w14:paraId="41FFC041" w14:textId="77777777" w:rsidR="00124C35" w:rsidRDefault="00023C30">
      <w:pPr>
        <w:spacing w:after="0" w:line="259" w:lineRule="auto"/>
        <w:ind w:right="3"/>
        <w:jc w:val="center"/>
      </w:pPr>
      <w:r>
        <w:rPr>
          <w:b/>
          <w:sz w:val="32"/>
        </w:rPr>
        <w:t xml:space="preserve">Abstract </w:t>
      </w:r>
    </w:p>
    <w:p w14:paraId="0B7F4480" w14:textId="77777777" w:rsidR="00124C35" w:rsidRDefault="00023C30">
      <w:pPr>
        <w:spacing w:after="1"/>
        <w:ind w:left="-5"/>
      </w:pPr>
      <w:r>
        <w:t xml:space="preserve">This report evaluates the life course approach to health and wellbeing, including the influence of social, economic and environmental determinants across the life course. The report draws on peerreviewed literature, cohort studies and policy documents from the World Health Organization, Public Health England and the Health Foundation to assess the effectiveness and suitability of three life course targeted interventions: the Sure Start early years policy, the Healthy Child </w:t>
      </w:r>
    </w:p>
    <w:p w14:paraId="2C738F89" w14:textId="77777777" w:rsidR="00124C35" w:rsidRDefault="00023C30">
      <w:pPr>
        <w:spacing w:after="2"/>
        <w:ind w:left="-5"/>
      </w:pPr>
      <w:r>
        <w:t xml:space="preserve">Programme (0-19 years), and the National Health Service (NHS) Health Checks (40-74 years). The report draws on Elder's four principles of the life course - linked lives, timing, historical time and place, and agency - and Dahlgren and Whitehead's rainbow model of health determinants. Results suggest socioeconomic disadvantage is cumulative across the life course, with early years </w:t>
      </w:r>
      <w:r>
        <w:lastRenderedPageBreak/>
        <w:t xml:space="preserve">having greater impact through critical periods. Sure Start and the Healthy Child Programme work when properly funded, but are fragmented post-austerity. NHS Health Checks are not enough, since changing individual behaviour cannot address structural inequalities. The report recommends a life course approach needs long-term, inter-sectoral investment rather than shortterm interventions. The report makes recommendations for policy, practice, education and research.  </w:t>
      </w:r>
      <w:r>
        <w:tab/>
        <w:t xml:space="preserve"> </w:t>
      </w:r>
      <w:r>
        <w:br w:type="page"/>
      </w:r>
    </w:p>
    <w:sdt>
      <w:sdtPr>
        <w:id w:val="-567573920"/>
        <w:docPartObj>
          <w:docPartGallery w:val="Table of Contents"/>
        </w:docPartObj>
      </w:sdtPr>
      <w:sdtEndPr/>
      <w:sdtContent>
        <w:p w14:paraId="6856349D" w14:textId="77777777" w:rsidR="00124C35" w:rsidRDefault="00023C30">
          <w:pPr>
            <w:spacing w:after="0" w:line="259" w:lineRule="auto"/>
            <w:ind w:left="-5"/>
            <w:jc w:val="left"/>
          </w:pPr>
          <w:r>
            <w:rPr>
              <w:b/>
              <w:sz w:val="32"/>
            </w:rPr>
            <w:t xml:space="preserve">Table of Contents </w:t>
          </w:r>
        </w:p>
        <w:p w14:paraId="4E2D4D91" w14:textId="77777777" w:rsidR="00124C35" w:rsidRDefault="00023C30">
          <w:pPr>
            <w:pStyle w:val="TOC1"/>
            <w:tabs>
              <w:tab w:val="right" w:leader="dot" w:pos="9364"/>
            </w:tabs>
          </w:pPr>
          <w:r>
            <w:fldChar w:fldCharType="begin"/>
          </w:r>
          <w:r>
            <w:instrText xml:space="preserve"> TOC \o "1-2" \h \z \u </w:instrText>
          </w:r>
          <w:r>
            <w:fldChar w:fldCharType="separate"/>
          </w:r>
          <w:hyperlink w:anchor="_Toc8653">
            <w:r>
              <w:t>Introduction</w:t>
            </w:r>
            <w:r>
              <w:tab/>
            </w:r>
            <w:r>
              <w:fldChar w:fldCharType="begin"/>
            </w:r>
            <w:r>
              <w:instrText>PAGEREF _Toc8653 \h</w:instrText>
            </w:r>
            <w:r>
              <w:fldChar w:fldCharType="separate"/>
            </w:r>
            <w:r>
              <w:t xml:space="preserve">5 </w:t>
            </w:r>
            <w:r>
              <w:fldChar w:fldCharType="end"/>
            </w:r>
          </w:hyperlink>
        </w:p>
        <w:p w14:paraId="3B05880C" w14:textId="77777777" w:rsidR="00124C35" w:rsidRDefault="00023C30">
          <w:pPr>
            <w:pStyle w:val="TOC2"/>
            <w:tabs>
              <w:tab w:val="right" w:leader="dot" w:pos="9364"/>
            </w:tabs>
          </w:pPr>
          <w:hyperlink w:anchor="_Toc8654">
            <w:r>
              <w:t>The life course approach and Social Factors</w:t>
            </w:r>
            <w:r>
              <w:tab/>
            </w:r>
            <w:r>
              <w:fldChar w:fldCharType="begin"/>
            </w:r>
            <w:r>
              <w:instrText>PAGEREF _Toc8654 \h</w:instrText>
            </w:r>
            <w:r>
              <w:fldChar w:fldCharType="separate"/>
            </w:r>
            <w:r>
              <w:t xml:space="preserve">5 </w:t>
            </w:r>
            <w:r>
              <w:fldChar w:fldCharType="end"/>
            </w:r>
          </w:hyperlink>
        </w:p>
        <w:p w14:paraId="5E40FC10" w14:textId="77777777" w:rsidR="00124C35" w:rsidRDefault="00023C30">
          <w:pPr>
            <w:pStyle w:val="TOC2"/>
            <w:tabs>
              <w:tab w:val="right" w:leader="dot" w:pos="9364"/>
            </w:tabs>
          </w:pPr>
          <w:hyperlink w:anchor="_Toc8655">
            <w:r>
              <w:t>The life course approach and Economic Factors</w:t>
            </w:r>
            <w:r>
              <w:tab/>
            </w:r>
            <w:r>
              <w:fldChar w:fldCharType="begin"/>
            </w:r>
            <w:r>
              <w:instrText>PAGEREF _Toc8655 \h</w:instrText>
            </w:r>
            <w:r>
              <w:fldChar w:fldCharType="separate"/>
            </w:r>
            <w:r>
              <w:t xml:space="preserve">6 </w:t>
            </w:r>
            <w:r>
              <w:fldChar w:fldCharType="end"/>
            </w:r>
          </w:hyperlink>
        </w:p>
        <w:p w14:paraId="7E12EB7E" w14:textId="77777777" w:rsidR="00124C35" w:rsidRDefault="00023C30">
          <w:pPr>
            <w:pStyle w:val="TOC2"/>
            <w:tabs>
              <w:tab w:val="right" w:leader="dot" w:pos="9364"/>
            </w:tabs>
          </w:pPr>
          <w:hyperlink w:anchor="_Toc8656">
            <w:r>
              <w:t>The life course approach and Environmental Factors</w:t>
            </w:r>
            <w:r>
              <w:tab/>
            </w:r>
            <w:r>
              <w:fldChar w:fldCharType="begin"/>
            </w:r>
            <w:r>
              <w:instrText>PAGEREF _Toc8656 \h</w:instrText>
            </w:r>
            <w:r>
              <w:fldChar w:fldCharType="separate"/>
            </w:r>
            <w:r>
              <w:t xml:space="preserve">7 </w:t>
            </w:r>
            <w:r>
              <w:fldChar w:fldCharType="end"/>
            </w:r>
          </w:hyperlink>
        </w:p>
        <w:p w14:paraId="36E14061" w14:textId="77777777" w:rsidR="00124C35" w:rsidRDefault="00023C30">
          <w:pPr>
            <w:pStyle w:val="TOC2"/>
            <w:tabs>
              <w:tab w:val="right" w:leader="dot" w:pos="9364"/>
            </w:tabs>
          </w:pPr>
          <w:hyperlink w:anchor="_Toc8657">
            <w:r>
              <w:t>Synthesis: The Dahlgren and Whitehead Model</w:t>
            </w:r>
            <w:r>
              <w:tab/>
            </w:r>
            <w:r>
              <w:fldChar w:fldCharType="begin"/>
            </w:r>
            <w:r>
              <w:instrText>PAGEREF _Toc8657 \h</w:instrText>
            </w:r>
            <w:r>
              <w:fldChar w:fldCharType="separate"/>
            </w:r>
            <w:r>
              <w:t xml:space="preserve">8 </w:t>
            </w:r>
            <w:r>
              <w:fldChar w:fldCharType="end"/>
            </w:r>
          </w:hyperlink>
        </w:p>
        <w:p w14:paraId="7A6F8999" w14:textId="77777777" w:rsidR="00124C35" w:rsidRDefault="00023C30">
          <w:pPr>
            <w:pStyle w:val="TOC1"/>
            <w:tabs>
              <w:tab w:val="right" w:leader="dot" w:pos="9364"/>
            </w:tabs>
          </w:pPr>
          <w:hyperlink w:anchor="_Toc8658">
            <w:r>
              <w:t>Conclusion and Recommendations</w:t>
            </w:r>
            <w:r>
              <w:tab/>
            </w:r>
            <w:r>
              <w:fldChar w:fldCharType="begin"/>
            </w:r>
            <w:r>
              <w:instrText>PAGEREF _Toc8658 \h</w:instrText>
            </w:r>
            <w:r>
              <w:fldChar w:fldCharType="separate"/>
            </w:r>
            <w:r>
              <w:t xml:space="preserve">9 </w:t>
            </w:r>
            <w:r>
              <w:fldChar w:fldCharType="end"/>
            </w:r>
          </w:hyperlink>
        </w:p>
        <w:p w14:paraId="23FEB3E9" w14:textId="77777777" w:rsidR="00124C35" w:rsidRDefault="00023C30">
          <w:pPr>
            <w:pStyle w:val="TOC2"/>
            <w:tabs>
              <w:tab w:val="right" w:leader="dot" w:pos="9364"/>
            </w:tabs>
          </w:pPr>
          <w:hyperlink w:anchor="_Toc8659">
            <w:r>
              <w:t>Recommendations</w:t>
            </w:r>
            <w:r>
              <w:tab/>
            </w:r>
            <w:r>
              <w:fldChar w:fldCharType="begin"/>
            </w:r>
            <w:r>
              <w:instrText>PAGEREF _Toc8659 \h</w:instrText>
            </w:r>
            <w:r>
              <w:fldChar w:fldCharType="separate"/>
            </w:r>
            <w:r>
              <w:t xml:space="preserve">9 </w:t>
            </w:r>
            <w:r>
              <w:fldChar w:fldCharType="end"/>
            </w:r>
          </w:hyperlink>
        </w:p>
        <w:p w14:paraId="7D48B8E6" w14:textId="77777777" w:rsidR="00124C35" w:rsidRDefault="00023C30">
          <w:pPr>
            <w:pStyle w:val="TOC1"/>
            <w:tabs>
              <w:tab w:val="right" w:leader="dot" w:pos="9364"/>
            </w:tabs>
          </w:pPr>
          <w:hyperlink w:anchor="_Toc8660">
            <w:r>
              <w:t>References</w:t>
            </w:r>
            <w:r>
              <w:tab/>
            </w:r>
            <w:r>
              <w:fldChar w:fldCharType="begin"/>
            </w:r>
            <w:r>
              <w:instrText>PAGEREF _Toc8660 \h</w:instrText>
            </w:r>
            <w:r>
              <w:fldChar w:fldCharType="separate"/>
            </w:r>
            <w:r>
              <w:t xml:space="preserve">10 </w:t>
            </w:r>
            <w:r>
              <w:fldChar w:fldCharType="end"/>
            </w:r>
          </w:hyperlink>
        </w:p>
        <w:p w14:paraId="69EA45CA" w14:textId="77777777" w:rsidR="00124C35" w:rsidRDefault="00023C30">
          <w:r>
            <w:fldChar w:fldCharType="end"/>
          </w:r>
        </w:p>
      </w:sdtContent>
    </w:sdt>
    <w:p w14:paraId="5B84487F" w14:textId="77777777" w:rsidR="00124C35" w:rsidRDefault="00023C30">
      <w:pPr>
        <w:spacing w:after="4" w:line="259" w:lineRule="auto"/>
        <w:ind w:left="0" w:firstLine="0"/>
        <w:jc w:val="left"/>
      </w:pPr>
      <w:r>
        <w:t xml:space="preserve"> </w:t>
      </w:r>
    </w:p>
    <w:p w14:paraId="7CDE2279" w14:textId="77777777" w:rsidR="00124C35" w:rsidRDefault="00023C30">
      <w:pPr>
        <w:spacing w:after="0" w:line="259" w:lineRule="auto"/>
        <w:ind w:left="0" w:firstLine="0"/>
        <w:jc w:val="left"/>
      </w:pPr>
      <w:r>
        <w:t xml:space="preserve"> </w:t>
      </w:r>
      <w:r>
        <w:tab/>
        <w:t xml:space="preserve"> </w:t>
      </w:r>
      <w:r>
        <w:br w:type="page"/>
      </w:r>
    </w:p>
    <w:p w14:paraId="70DD8333" w14:textId="77777777" w:rsidR="00124C35" w:rsidRDefault="00023C30">
      <w:pPr>
        <w:spacing w:after="110" w:line="259" w:lineRule="auto"/>
        <w:ind w:right="3"/>
        <w:jc w:val="center"/>
      </w:pPr>
      <w:r>
        <w:rPr>
          <w:b/>
          <w:sz w:val="32"/>
        </w:rPr>
        <w:lastRenderedPageBreak/>
        <w:t xml:space="preserve">List of Figures </w:t>
      </w:r>
      <w:r>
        <w:rPr>
          <w:b/>
        </w:rPr>
        <w:t xml:space="preserve"> </w:t>
      </w:r>
    </w:p>
    <w:p w14:paraId="7CFF367B" w14:textId="77777777" w:rsidR="00124C35" w:rsidRDefault="00023C30">
      <w:pPr>
        <w:spacing w:after="5" w:line="259" w:lineRule="auto"/>
        <w:ind w:left="-5"/>
      </w:pPr>
      <w:r>
        <w:t xml:space="preserve">Figure 1: The Main Determinants of Health (Dahlgren and Whitehead, 2006, p.20) .................... 8 </w:t>
      </w:r>
    </w:p>
    <w:p w14:paraId="65DA0FBB" w14:textId="77777777" w:rsidR="00124C35" w:rsidRDefault="00023C30">
      <w:pPr>
        <w:spacing w:after="0" w:line="259" w:lineRule="auto"/>
        <w:ind w:left="0" w:firstLine="0"/>
        <w:jc w:val="left"/>
      </w:pPr>
      <w:r>
        <w:t xml:space="preserve"> </w:t>
      </w:r>
      <w:r>
        <w:tab/>
        <w:t xml:space="preserve"> </w:t>
      </w:r>
      <w:r>
        <w:br w:type="page"/>
      </w:r>
    </w:p>
    <w:p w14:paraId="799A6D4B" w14:textId="77777777" w:rsidR="00124C35" w:rsidRDefault="00023C30">
      <w:pPr>
        <w:pStyle w:val="Heading1"/>
        <w:ind w:left="-5" w:right="0"/>
      </w:pPr>
      <w:bookmarkStart w:id="0" w:name="_Toc8653"/>
      <w:r>
        <w:lastRenderedPageBreak/>
        <w:t xml:space="preserve">Introduction </w:t>
      </w:r>
      <w:bookmarkEnd w:id="0"/>
    </w:p>
    <w:p w14:paraId="345FD9D2" w14:textId="77777777" w:rsidR="00124C35" w:rsidRDefault="00023C30">
      <w:pPr>
        <w:spacing w:after="200"/>
        <w:ind w:left="-5"/>
      </w:pPr>
      <w:r>
        <w:t>The World Health Organisation (WHO) defines the life course approach to health and wellbeing as, "a temporal and societal perspective on the health of individuals and on the intergenerational determinants of health" (WHO, 2025, p.3). A life course approach is a concept that views how biological, social and environmental factors during preconception to later life influence health and wellbeing across the lifespan (Lewis and Buffel, 2020). It has turned into a field of increasing international attention and i</w:t>
      </w:r>
      <w:r>
        <w:t>nvestment (Scambler, 2018). By 2040, one in seven people in the world will be older than 75 years, placing new demands on health systems that are largely geared to acute and episodic rather than longer-term and preventive health approaches (WHO, 2025). The WHO has consequently prioritized the application of life course interventions as part of its world plan (WHO, 2025). It is against this background and context that this report will take into account, sequentially, the social, economic and environmental de</w:t>
      </w:r>
      <w:r>
        <w:t xml:space="preserve">terminants of health and wellbeing along the life course. Subsequently, the report evaluates the suitability and the consequences of pertinent life course interventions and closes with conclusions and suggestions on future research and development in the field. </w:t>
      </w:r>
    </w:p>
    <w:p w14:paraId="5C3425A1" w14:textId="77777777" w:rsidR="00124C35" w:rsidRDefault="00023C30">
      <w:pPr>
        <w:pStyle w:val="Heading2"/>
        <w:spacing w:after="170"/>
        <w:ind w:left="-5"/>
      </w:pPr>
      <w:bookmarkStart w:id="1" w:name="_Toc8654"/>
      <w:r>
        <w:t xml:space="preserve">The life course approach and Social Factors </w:t>
      </w:r>
      <w:bookmarkEnd w:id="1"/>
    </w:p>
    <w:p w14:paraId="5794713F" w14:textId="77777777" w:rsidR="00124C35" w:rsidRDefault="00023C30">
      <w:pPr>
        <w:spacing w:after="160"/>
        <w:ind w:left="-5"/>
      </w:pPr>
      <w:r>
        <w:t>The social gradient in health shows that people at every level in the social hierarchy enjoy better health than those below (Marmot, 2020), rather than two distinct categories of poor and non-poor. This confirms the idea of linked lives by Elder (1998), where an individual's health is affected by the social position of their family. Longitudinal data from the Doetinchem Cohort Study by Verschuren, Spijkerman and Blokstra (2017) shows lower occupational classes experience worse health over 40 years. The grad</w:t>
      </w:r>
      <w:r>
        <w:t xml:space="preserve">ient builds up over the life course, with early childhood social position predicting adult ill-health regardless of later life opportunities (Marmot, 2020). </w:t>
      </w:r>
    </w:p>
    <w:p w14:paraId="74C95CF8" w14:textId="77777777" w:rsidR="00124C35" w:rsidRDefault="00023C30">
      <w:pPr>
        <w:ind w:left="-5"/>
      </w:pPr>
      <w:r>
        <w:t>Adverse childhood experiences (ACEs) - events that occur prior to age 18, including victimisation and family dysfunction, have a dose-response relationship on health (Felitti et al., 1998). Individuals in the UK who have reported four or above ACEs are four times more likely to develop cardiovascular disease and 15 times more likely to experience problematic drug use (Public Health Wales, 2015). Elder's principle of timing accounts for the disproportional and enduring consequences of adverse events occurrin</w:t>
      </w:r>
      <w:r>
        <w:t xml:space="preserve">g during sensitive periods of development, compared with the same events occurring later in life (Elder and Giele, 2009). </w:t>
      </w:r>
    </w:p>
    <w:p w14:paraId="6C008330" w14:textId="77777777" w:rsidR="00124C35" w:rsidRDefault="00023C30">
      <w:pPr>
        <w:spacing w:after="195"/>
        <w:ind w:left="-5"/>
      </w:pPr>
      <w:r>
        <w:lastRenderedPageBreak/>
        <w:t>Sure Start evaluation offers lessons on early years interventions. Sure Start was introduced in England from 1999 as integrated services for children under the age of five and their families (Melhuish et al., 2004). National evaluation findings show better school readiness, fewer child protection referrals and fewer accidental hospitalisations (Cattan, Carneiro and Conti, 2025). But critical appraisal shows two weaknesses. First, effects were largest in disadvantaged neighbourhoods, implying universal servi</w:t>
      </w:r>
      <w:r>
        <w:t xml:space="preserve">ces may not be as cost effective as local targeting (Melhuish et al., 2004). Second, benefits faded when primary school support stopped, suggesting early intervention must be complemented with ongoing efforts (Cattan, Carneiro and Conti, 2025). Therefore, even with its proven effect, the Sure Start is not able to entirely cover the longer-term outcomes alone, in particular where more inclusive structural and resource limitations remain to influence the growth of children. </w:t>
      </w:r>
    </w:p>
    <w:p w14:paraId="6AB5B442" w14:textId="77777777" w:rsidR="00124C35" w:rsidRDefault="00023C30">
      <w:pPr>
        <w:pStyle w:val="Heading2"/>
        <w:ind w:left="-5"/>
      </w:pPr>
      <w:bookmarkStart w:id="2" w:name="_Toc8655"/>
      <w:r>
        <w:t xml:space="preserve">The life course approach and Economic Factors </w:t>
      </w:r>
      <w:bookmarkEnd w:id="2"/>
    </w:p>
    <w:p w14:paraId="57D13080" w14:textId="77777777" w:rsidR="00124C35" w:rsidRDefault="00023C30">
      <w:pPr>
        <w:spacing w:after="160"/>
        <w:ind w:left="-5"/>
      </w:pPr>
      <w:r>
        <w:t>Countries with greater income inequality have worse health outcomes, even when controlling for absolute levels of wealth, including lower life expectancy, infant mortality and mental health (Walton, 2019). Elder's historical time and place principle applies as UK income inequality has increased since the 1980s, with the top 10% of households having incomes more than ten times larger than the bottom 10% (ONS, 2020). Inequality has intergenerational impacts through linked lives: low parental income limits chi</w:t>
      </w:r>
      <w:r>
        <w:t xml:space="preserve">ldhood nutrition, housing and education, which limit adult incomes and health choices. </w:t>
      </w:r>
    </w:p>
    <w:p w14:paraId="0F3E8741" w14:textId="77777777" w:rsidR="00124C35" w:rsidRDefault="00023C30">
      <w:pPr>
        <w:spacing w:after="160"/>
        <w:ind w:left="-5"/>
      </w:pPr>
      <w:r>
        <w:t>Poverty, absence of material means to purchase basic needs like food, heating and clothing have compound effects throughout the life course. According to the Marmot Review (2020), life expectancy in the most deprived neighbourhoods in England is nearly a decade lower than in the least deprived areas, and the disability-free life expectancy in the worst neighbourhoods is about 18 years lower. The buildup occurs in multiple domains: poor nutrition and chronic inflammation in the developmental period; insecure</w:t>
      </w:r>
      <w:r>
        <w:t xml:space="preserve"> employment and housing in adulthood; lead to the development of various chronic diseases in old age (Verschuren, Spijkerman and Blokstra, 2017). </w:t>
      </w:r>
    </w:p>
    <w:p w14:paraId="6CD7798A" w14:textId="77777777" w:rsidR="00124C35" w:rsidRDefault="00023C30">
      <w:pPr>
        <w:spacing w:after="197"/>
        <w:ind w:left="-5"/>
      </w:pPr>
      <w:r>
        <w:t xml:space="preserve">The Healthy Child Programme (HCP) offers universal screening, immunisation and reviews for children aged 0-19 in the UK. In an article on GOV.UK (2023) from the department of Health and Social Care, it's reported HCP reduces emergency admissions and increases vaccination rates when delivered as planned. However, critical analysis shows under-resourcing after 2010 as a result of </w:t>
      </w:r>
      <w:r>
        <w:lastRenderedPageBreak/>
        <w:t xml:space="preserve">austerity, with poor delivery and fewer health visitors (Royal College of Nursing, 2023). As a result, families most in economic need are least likely to receive the full HCP schedule, due to a disproportionate impact of staffing shortages in disadvantaged regions (Geller, Polsky and Burke, 2023). This report finds HCP is well designed but poorly executed. Disadvantage is often associated with poor environmental factors, as discussed next. </w:t>
      </w:r>
    </w:p>
    <w:p w14:paraId="215E946D" w14:textId="77777777" w:rsidR="00124C35" w:rsidRDefault="00023C30">
      <w:pPr>
        <w:pStyle w:val="Heading2"/>
        <w:ind w:left="-5"/>
      </w:pPr>
      <w:bookmarkStart w:id="3" w:name="_Toc8656"/>
      <w:r>
        <w:t xml:space="preserve">The life course approach and Environmental Factors </w:t>
      </w:r>
      <w:bookmarkEnd w:id="3"/>
    </w:p>
    <w:p w14:paraId="4470E5A6" w14:textId="77777777" w:rsidR="00124C35" w:rsidRDefault="00023C30">
      <w:pPr>
        <w:spacing w:after="161"/>
        <w:ind w:left="-5"/>
      </w:pPr>
      <w:r>
        <w:t>Environmental factors include housing quality (NHS, 2022). The World Health Organization (2018) identifies cold, damp, crowded and unsafe housing as a direct cause of respiratory problems, cardiovascular disease, injuries and mental health. Effects differ across the life course: high childhood asthma and childhood injuries; cardiovascular stress and depression in adulthood; hypothermia and falls in older adulthood (Shelter, 2017). The agency principle introduced by Elder is applicable: inadequate housing re</w:t>
      </w:r>
      <w:r>
        <w:t xml:space="preserve">stricts the freedom of choice: individuals are unable to relocate or heat their house (Marshall, 2024). </w:t>
      </w:r>
    </w:p>
    <w:p w14:paraId="3A26F928" w14:textId="77777777" w:rsidR="00124C35" w:rsidRDefault="00023C30">
      <w:pPr>
        <w:spacing w:after="160"/>
        <w:ind w:left="-5"/>
      </w:pPr>
      <w:r>
        <w:t>Effects of housing deprivation are magnified by the neighbourhood environment. The difference between access to green space, healthy food, safe play and social infrastructure at postcode level is enormous, with poor neighbourhoods invariably lacking such facilities (Marshall, 2024). Individuals residing in the poorest neighbourhoods are 20% more likely to die, despite considering their own socioeconomic status (ONS, 2022). This is mediated through the lack of physical activity prospects, inferior food suppl</w:t>
      </w:r>
      <w:r>
        <w:t xml:space="preserve">y and increased exposure to pollution and social isolation (WHO, 2025). The linked lives principle is evident again, with children in deprived neighbourhoods facing limited opportunities for education and employment, reinforcing intergenerational cycles of deprivation. </w:t>
      </w:r>
    </w:p>
    <w:p w14:paraId="043143EF" w14:textId="77777777" w:rsidR="00124C35" w:rsidRDefault="00023C30">
      <w:pPr>
        <w:spacing w:after="189"/>
        <w:ind w:left="-5"/>
      </w:pPr>
      <w:r>
        <w:t>Assessment of NHS Health Checks highlights individual approaches. This England-wide programme, launched in 2009, invites people aged 40-</w:t>
      </w:r>
      <w:r>
        <w:t>74 for cardiovascular risk assessment every five years, providing behavioural advice and statin medication (Robson et al., 2016). It has been found to improve risk factor identification, but little sustained behaviour change, and no population level reduction in cardiovascular disease (Robson et al., 2016). Critical analysis shows a major shortcoming that, while the programme focuses on the individual, it fails to account for the environmental and economic outer layers (Figure 1). People advised to be activ</w:t>
      </w:r>
      <w:r>
        <w:t xml:space="preserve">e without safe green spaces or to eat healthily without access to affordable fresh food have little power to do so (Ziso, </w:t>
      </w:r>
      <w:r>
        <w:lastRenderedPageBreak/>
        <w:t xml:space="preserve">Chun and Puglisi, 2022). NHS Health Checks have limited effectiveness when implemented in isolation without considering the broader social, economic and environmental determinants of health. </w:t>
      </w:r>
    </w:p>
    <w:p w14:paraId="7107D77A" w14:textId="77777777" w:rsidR="00124C35" w:rsidRDefault="00023C30">
      <w:pPr>
        <w:pStyle w:val="Heading2"/>
        <w:ind w:left="-5"/>
      </w:pPr>
      <w:bookmarkStart w:id="4" w:name="_Toc8657"/>
      <w:r>
        <w:t xml:space="preserve">Synthesis: The Dahlgren and Whitehead Model </w:t>
      </w:r>
      <w:bookmarkEnd w:id="4"/>
    </w:p>
    <w:p w14:paraId="54E2513D" w14:textId="77777777" w:rsidR="00124C35" w:rsidRDefault="00023C30">
      <w:pPr>
        <w:ind w:left="-5"/>
      </w:pPr>
      <w:r>
        <w:t xml:space="preserve">Dahlgren and Whitehead's (2006) model of health determinants is shown in Figure 1. It places the individual at the centre, with four layers around them: individual lifestyle, social and community networks, living and working conditions, and general socioeconomic, cultural and environmental conditions. </w:t>
      </w:r>
    </w:p>
    <w:p w14:paraId="09537CFC" w14:textId="77777777" w:rsidR="00124C35" w:rsidRDefault="00023C30">
      <w:pPr>
        <w:spacing w:after="170" w:line="259" w:lineRule="auto"/>
        <w:ind w:left="0" w:right="360" w:firstLine="0"/>
        <w:jc w:val="right"/>
      </w:pPr>
      <w:r>
        <w:rPr>
          <w:noProof/>
        </w:rPr>
        <w:drawing>
          <wp:inline distT="0" distB="0" distL="0" distR="0" wp14:anchorId="73A19271" wp14:editId="187BF7D5">
            <wp:extent cx="5403088" cy="4004310"/>
            <wp:effectExtent l="0" t="0" r="0" b="0"/>
            <wp:docPr id="451" name="Picture 451"/>
            <wp:cNvGraphicFramePr/>
            <a:graphic xmlns:a="http://schemas.openxmlformats.org/drawingml/2006/main">
              <a:graphicData uri="http://schemas.openxmlformats.org/drawingml/2006/picture">
                <pic:pic xmlns:pic="http://schemas.openxmlformats.org/drawingml/2006/picture">
                  <pic:nvPicPr>
                    <pic:cNvPr id="451" name="Picture 451"/>
                    <pic:cNvPicPr/>
                  </pic:nvPicPr>
                  <pic:blipFill>
                    <a:blip r:embed="rId4"/>
                    <a:stretch>
                      <a:fillRect/>
                    </a:stretch>
                  </pic:blipFill>
                  <pic:spPr>
                    <a:xfrm>
                      <a:off x="0" y="0"/>
                      <a:ext cx="5403088" cy="4004310"/>
                    </a:xfrm>
                    <a:prstGeom prst="rect">
                      <a:avLst/>
                    </a:prstGeom>
                  </pic:spPr>
                </pic:pic>
              </a:graphicData>
            </a:graphic>
          </wp:inline>
        </w:drawing>
      </w:r>
      <w:r>
        <w:t xml:space="preserve"> </w:t>
      </w:r>
    </w:p>
    <w:p w14:paraId="62EE91A2" w14:textId="77777777" w:rsidR="00124C35" w:rsidRDefault="00023C30">
      <w:pPr>
        <w:spacing w:after="235" w:line="259" w:lineRule="auto"/>
        <w:ind w:left="0" w:right="1" w:firstLine="0"/>
        <w:jc w:val="center"/>
      </w:pPr>
      <w:r>
        <w:rPr>
          <w:i/>
          <w:sz w:val="18"/>
        </w:rPr>
        <w:t xml:space="preserve">Figure 1: The Main Determinants of Health (Dahlgren and Whitehead, 2006, p.20) </w:t>
      </w:r>
    </w:p>
    <w:p w14:paraId="7555D5A1" w14:textId="77777777" w:rsidR="00124C35" w:rsidRDefault="00023C30">
      <w:pPr>
        <w:spacing w:after="429"/>
        <w:ind w:left="-5"/>
      </w:pPr>
      <w:r>
        <w:t>The life course perspective adds a time dimension, noting that exposures and experiences build over time and interact (Elder and Giele, 2009). This model highlights the limited effectiveness of interventions solely addressing innermost layers, such as the NHS Health Checks that target individual lifestyle, without addressing the outer layers. If people live in poor housing, have low incomes or live in unsafe environments, they cannot improve health through changing individual behaviours alone. This is congr</w:t>
      </w:r>
      <w:r>
        <w:t xml:space="preserve">uent with the report's overarching message: life course </w:t>
      </w:r>
      <w:r>
        <w:lastRenderedPageBreak/>
        <w:t>interventions need to be multi-level. The next section is the report's conclusion and recommendations, following the discussion of social, economic and environmental factors</w:t>
      </w:r>
      <w:r>
        <w:rPr>
          <w:i/>
        </w:rPr>
        <w:t>.</w:t>
      </w:r>
      <w:r>
        <w:t xml:space="preserve"> </w:t>
      </w:r>
    </w:p>
    <w:p w14:paraId="78F18343" w14:textId="77777777" w:rsidR="00124C35" w:rsidRDefault="00023C30">
      <w:pPr>
        <w:pStyle w:val="Heading1"/>
        <w:spacing w:after="160"/>
        <w:ind w:left="-5" w:right="0"/>
      </w:pPr>
      <w:bookmarkStart w:id="5" w:name="_Toc8658"/>
      <w:r>
        <w:t xml:space="preserve">Conclusion and Recommendations </w:t>
      </w:r>
      <w:bookmarkEnd w:id="5"/>
    </w:p>
    <w:p w14:paraId="64459241" w14:textId="77777777" w:rsidR="00124C35" w:rsidRDefault="00023C30">
      <w:pPr>
        <w:spacing w:after="200"/>
        <w:ind w:left="-5"/>
      </w:pPr>
      <w:r>
        <w:t>This report focused on social, economic and environmental determinants from a life course perspective. Inequality builds up over time, with early years having a strong influence (Elder's principle of timing). Sure Start works but needs more follow-up. The Healthy Child Programme is well intentioned but poorly funded NHS Health Checks are not enough because individual behaviour change cannot trump poor housing, socioeconomic status or neighbourhood safety. A life course approach needs long-term, multi-sector</w:t>
      </w:r>
      <w:r>
        <w:t xml:space="preserve">ial investment from pregnancy to old age. </w:t>
      </w:r>
    </w:p>
    <w:p w14:paraId="5C08BDA0" w14:textId="77777777" w:rsidR="00124C35" w:rsidRDefault="00023C30">
      <w:pPr>
        <w:pStyle w:val="Heading2"/>
        <w:spacing w:after="170"/>
        <w:ind w:left="-5"/>
      </w:pPr>
      <w:bookmarkStart w:id="6" w:name="_Toc8659"/>
      <w:r>
        <w:t xml:space="preserve">Recommendations </w:t>
      </w:r>
      <w:bookmarkEnd w:id="6"/>
    </w:p>
    <w:p w14:paraId="565F802F" w14:textId="77777777" w:rsidR="00124C35" w:rsidRDefault="00023C30">
      <w:pPr>
        <w:spacing w:after="115" w:line="259" w:lineRule="auto"/>
        <w:ind w:left="-5"/>
        <w:jc w:val="left"/>
      </w:pPr>
      <w:r>
        <w:rPr>
          <w:b/>
        </w:rPr>
        <w:t xml:space="preserve">Policy: </w:t>
      </w:r>
    </w:p>
    <w:p w14:paraId="28C57BD8" w14:textId="77777777" w:rsidR="00124C35" w:rsidRDefault="00023C30">
      <w:pPr>
        <w:spacing w:after="1"/>
        <w:ind w:left="-5"/>
      </w:pPr>
      <w:r>
        <w:t xml:space="preserve">Make life course health impact assessments mandatory for all housing, transport and economic policies across the UK devolved nations, so the health consequences are considered before policy is implemented. </w:t>
      </w:r>
    </w:p>
    <w:p w14:paraId="3B2CCF1B" w14:textId="77777777" w:rsidR="00124C35" w:rsidRDefault="00023C30">
      <w:pPr>
        <w:spacing w:after="115" w:line="259" w:lineRule="auto"/>
        <w:ind w:left="-5"/>
        <w:jc w:val="left"/>
      </w:pPr>
      <w:r>
        <w:rPr>
          <w:b/>
        </w:rPr>
        <w:t xml:space="preserve">Practice: </w:t>
      </w:r>
    </w:p>
    <w:p w14:paraId="41121D25" w14:textId="77777777" w:rsidR="00124C35" w:rsidRDefault="00023C30">
      <w:pPr>
        <w:spacing w:after="0"/>
        <w:ind w:left="-5"/>
      </w:pPr>
      <w:r>
        <w:t xml:space="preserve">Appoint a life course lead practitioner for each primary care network to guide integrated, crossage interventions and care, monitoring transitions (e.g., school to work) to avoid </w:t>
      </w:r>
      <w:r>
        <w:t>“</w:t>
      </w:r>
      <w:r>
        <w:t>falling through the cracks</w:t>
      </w:r>
      <w:r>
        <w:t>”</w:t>
      </w:r>
      <w:r>
        <w:t xml:space="preserve">. </w:t>
      </w:r>
      <w:r>
        <w:rPr>
          <w:b/>
        </w:rPr>
        <w:t xml:space="preserve">Education: </w:t>
      </w:r>
    </w:p>
    <w:p w14:paraId="6EF4E237" w14:textId="77777777" w:rsidR="00124C35" w:rsidRDefault="00023C30">
      <w:pPr>
        <w:spacing w:after="0"/>
        <w:ind w:left="-5"/>
      </w:pPr>
      <w:r>
        <w:t xml:space="preserve">Train all health and social care pre-registration students with summative assessment in life course theory (including Elder's four concepts) and ACE-aware practice. </w:t>
      </w:r>
    </w:p>
    <w:p w14:paraId="439746A6" w14:textId="77777777" w:rsidR="00124C35" w:rsidRDefault="00023C30">
      <w:pPr>
        <w:spacing w:after="115" w:line="259" w:lineRule="auto"/>
        <w:ind w:left="-5"/>
        <w:jc w:val="left"/>
      </w:pPr>
      <w:r>
        <w:rPr>
          <w:b/>
        </w:rPr>
        <w:t xml:space="preserve">Research: </w:t>
      </w:r>
    </w:p>
    <w:p w14:paraId="1D7E3316" w14:textId="77777777" w:rsidR="00124C35" w:rsidRDefault="00023C30">
      <w:pPr>
        <w:spacing w:after="30"/>
        <w:ind w:left="-5"/>
      </w:pPr>
      <w:r>
        <w:t xml:space="preserve">Invest in a new UK longitudinal birth cohort study that follows the same people from preconception through adolescence, with integrated qualitative interviews to determine when and how to intervene. </w:t>
      </w:r>
    </w:p>
    <w:p w14:paraId="0D7A923C" w14:textId="77777777" w:rsidR="00124C35" w:rsidRDefault="00023C30">
      <w:pPr>
        <w:spacing w:after="0" w:line="259" w:lineRule="auto"/>
        <w:ind w:left="0" w:firstLine="0"/>
        <w:jc w:val="left"/>
      </w:pPr>
      <w:r>
        <w:t xml:space="preserve"> </w:t>
      </w:r>
      <w:r>
        <w:tab/>
        <w:t xml:space="preserve"> </w:t>
      </w:r>
    </w:p>
    <w:p w14:paraId="3248C6F6" w14:textId="77777777" w:rsidR="00124C35" w:rsidRDefault="00023C30">
      <w:pPr>
        <w:pStyle w:val="Heading1"/>
        <w:spacing w:after="315"/>
        <w:ind w:left="-5" w:right="0"/>
      </w:pPr>
      <w:bookmarkStart w:id="7" w:name="_Toc8660"/>
      <w:r>
        <w:t xml:space="preserve">References </w:t>
      </w:r>
      <w:bookmarkEnd w:id="7"/>
    </w:p>
    <w:p w14:paraId="2D05A9EE" w14:textId="77777777" w:rsidR="00124C35" w:rsidRDefault="00023C30">
      <w:pPr>
        <w:spacing w:after="0"/>
        <w:ind w:left="706" w:right="-12" w:hanging="721"/>
        <w:jc w:val="left"/>
      </w:pPr>
      <w:r>
        <w:t xml:space="preserve">Cattan, S., Carneiro, P. and Conti, G. (2025) </w:t>
      </w:r>
      <w:r>
        <w:rPr>
          <w:i/>
        </w:rPr>
        <w:t>The short- and medium-term effects of Sure Start on children’s outcomes | Institute for Fiscal Studies</w:t>
      </w:r>
      <w:r>
        <w:t xml:space="preserve">, </w:t>
      </w:r>
      <w:r>
        <w:rPr>
          <w:i/>
        </w:rPr>
        <w:t>Institute for Fiscal Studies</w:t>
      </w:r>
      <w:r>
        <w:t xml:space="preserve">. Available at: </w:t>
      </w:r>
    </w:p>
    <w:p w14:paraId="4D54CBC7" w14:textId="77777777" w:rsidR="00124C35" w:rsidRDefault="00023C30">
      <w:pPr>
        <w:spacing w:after="240" w:line="356" w:lineRule="auto"/>
        <w:ind w:left="716"/>
      </w:pPr>
      <w:r>
        <w:rPr>
          <w:color w:val="0563C1"/>
          <w:u w:val="single" w:color="0563C1"/>
        </w:rPr>
        <w:lastRenderedPageBreak/>
        <w:t>https://ifs.org.uk/publications/short-and-medium-term-effects-sure-start-childrensoutcomes</w:t>
      </w:r>
      <w:r>
        <w:t xml:space="preserve"> (Accessed: 29 April 2026). </w:t>
      </w:r>
    </w:p>
    <w:p w14:paraId="491A7399" w14:textId="77777777" w:rsidR="00124C35" w:rsidRDefault="00023C30">
      <w:pPr>
        <w:spacing w:after="107" w:line="265" w:lineRule="auto"/>
        <w:ind w:left="-5"/>
      </w:pPr>
      <w:r>
        <w:t>Dahlgren, G. and Whitehead, M. (2021) ‘The Dahlgren</w:t>
      </w:r>
      <w:r>
        <w:t xml:space="preserve">-Whitehead Model of Health Determinants: </w:t>
      </w:r>
    </w:p>
    <w:p w14:paraId="16D19A6A" w14:textId="77777777" w:rsidR="00124C35" w:rsidRDefault="00023C30">
      <w:pPr>
        <w:spacing w:after="349" w:line="265" w:lineRule="auto"/>
        <w:ind w:left="731"/>
      </w:pPr>
      <w:r>
        <w:t xml:space="preserve">30 Years on and Still Chasing Rainbows’, </w:t>
      </w:r>
      <w:r>
        <w:rPr>
          <w:i/>
        </w:rPr>
        <w:t>Public Health</w:t>
      </w:r>
      <w:r>
        <w:t>, 199(1), pp. 20</w:t>
      </w:r>
      <w:r>
        <w:t>–</w:t>
      </w:r>
      <w:r>
        <w:t xml:space="preserve">24.  </w:t>
      </w:r>
    </w:p>
    <w:p w14:paraId="021D8238" w14:textId="77777777" w:rsidR="00124C35" w:rsidRDefault="00023C30">
      <w:pPr>
        <w:spacing w:after="107" w:line="265" w:lineRule="auto"/>
        <w:ind w:left="-5"/>
      </w:pPr>
      <w:r>
        <w:t xml:space="preserve">Elder, G.H. (1998) ‘The life course as developmental theory’, </w:t>
      </w:r>
      <w:r>
        <w:rPr>
          <w:i/>
        </w:rPr>
        <w:t>Child Development</w:t>
      </w:r>
      <w:r>
        <w:t>, 69(1), pp. 1</w:t>
      </w:r>
      <w:r>
        <w:t>–</w:t>
      </w:r>
    </w:p>
    <w:p w14:paraId="41194A2D" w14:textId="77777777" w:rsidR="00124C35" w:rsidRDefault="00023C30">
      <w:pPr>
        <w:spacing w:after="355" w:line="259" w:lineRule="auto"/>
        <w:ind w:left="731"/>
      </w:pPr>
      <w:r>
        <w:t xml:space="preserve">12.  </w:t>
      </w:r>
    </w:p>
    <w:p w14:paraId="023F8429" w14:textId="77777777" w:rsidR="00124C35" w:rsidRDefault="00023C30">
      <w:pPr>
        <w:spacing w:after="115" w:line="259" w:lineRule="auto"/>
        <w:ind w:left="-5"/>
      </w:pPr>
      <w:r>
        <w:t xml:space="preserve">Elder, G.H. and Giele, J.Z. (2009) </w:t>
      </w:r>
      <w:r>
        <w:rPr>
          <w:i/>
        </w:rPr>
        <w:t>Life course studies: An evolving field</w:t>
      </w:r>
      <w:r>
        <w:t xml:space="preserve">. Available at: </w:t>
      </w:r>
    </w:p>
    <w:p w14:paraId="59BDBAE9" w14:textId="77777777" w:rsidR="00124C35" w:rsidRDefault="00023C30">
      <w:pPr>
        <w:spacing w:after="240" w:line="356" w:lineRule="auto"/>
        <w:ind w:left="716"/>
      </w:pPr>
      <w:r>
        <w:rPr>
          <w:color w:val="0563C1"/>
          <w:u w:val="single" w:color="0563C1"/>
        </w:rPr>
        <w:t>https://www.researchgate.net/publication/232504768_Life_course_studies_An_evolving_ field</w:t>
      </w:r>
      <w:r>
        <w:t xml:space="preserve">.  </w:t>
      </w:r>
    </w:p>
    <w:p w14:paraId="5EB86851" w14:textId="77777777" w:rsidR="00124C35" w:rsidRDefault="00023C30">
      <w:pPr>
        <w:spacing w:after="240"/>
        <w:ind w:left="706" w:hanging="721"/>
      </w:pPr>
      <w:r>
        <w:t xml:space="preserve">Felitti, V.J., Anda, R.F., Nordenberg, D., Williamson, D.F., Spitz, A.M., Edwards, V. and Marks, </w:t>
      </w:r>
      <w:r>
        <w:t xml:space="preserve">J.S. (1998) ‘Relationship of childhood abuse and household dysfunction to many of the </w:t>
      </w:r>
      <w:r>
        <w:t xml:space="preserve">leading causes of death in adults: The Adverse Childhood Experiences (ACE) </w:t>
      </w:r>
      <w:r>
        <w:t>Study’,</w:t>
      </w:r>
      <w:r>
        <w:t xml:space="preserve"> </w:t>
      </w:r>
      <w:r>
        <w:rPr>
          <w:i/>
        </w:rPr>
        <w:t>American journal of preventive medicine</w:t>
      </w:r>
      <w:r>
        <w:t xml:space="preserve">, </w:t>
      </w:r>
      <w:r>
        <w:rPr>
          <w:i/>
        </w:rPr>
        <w:t>14</w:t>
      </w:r>
      <w:r>
        <w:t xml:space="preserve">(4), pp.245-258. </w:t>
      </w:r>
    </w:p>
    <w:p w14:paraId="6386DCF1" w14:textId="77777777" w:rsidR="00124C35" w:rsidRDefault="00023C30">
      <w:pPr>
        <w:spacing w:after="240"/>
        <w:ind w:left="706" w:hanging="721"/>
      </w:pPr>
      <w:r>
        <w:t xml:space="preserve">Geller, A.B., Polsky, D.E. and Burke, S.P. (2023) </w:t>
      </w:r>
      <w:r>
        <w:rPr>
          <w:i/>
        </w:rPr>
        <w:t>Health care access and quality</w:t>
      </w:r>
      <w:r>
        <w:t xml:space="preserve">, </w:t>
      </w:r>
      <w:r>
        <w:rPr>
          <w:i/>
        </w:rPr>
        <w:t>National Library of Medicine</w:t>
      </w:r>
      <w:r>
        <w:t xml:space="preserve">. National Academies Press (US).  </w:t>
      </w:r>
    </w:p>
    <w:p w14:paraId="47D6EA82" w14:textId="77777777" w:rsidR="00124C35" w:rsidRDefault="00023C30">
      <w:pPr>
        <w:spacing w:after="3" w:line="356" w:lineRule="auto"/>
        <w:ind w:left="721" w:hanging="721"/>
      </w:pPr>
      <w:r>
        <w:t xml:space="preserve">GOV.UK (2023) </w:t>
      </w:r>
      <w:r>
        <w:rPr>
          <w:i/>
        </w:rPr>
        <w:t>Healthy Child Programme</w:t>
      </w:r>
      <w:r>
        <w:t xml:space="preserve">, </w:t>
      </w:r>
      <w:r>
        <w:rPr>
          <w:i/>
        </w:rPr>
        <w:t>GOV.UK</w:t>
      </w:r>
      <w:r>
        <w:t xml:space="preserve">. Available at: </w:t>
      </w:r>
      <w:r>
        <w:rPr>
          <w:color w:val="0563C1"/>
          <w:u w:val="single" w:color="0563C1"/>
        </w:rPr>
        <w:t>https://www.gov.uk/government/collections/healthy-child-programme</w:t>
      </w:r>
      <w:r>
        <w:t xml:space="preserve"> (Accessed: 29 April 2026). </w:t>
      </w:r>
    </w:p>
    <w:p w14:paraId="1AEF58B7" w14:textId="77777777" w:rsidR="00124C35" w:rsidRDefault="00023C30">
      <w:pPr>
        <w:spacing w:after="240"/>
        <w:ind w:left="706" w:hanging="721"/>
      </w:pPr>
      <w:r>
        <w:t>Lewis, C. and Buffel, T. (2020) ‘Aging in place and the places of aging: A longitudinal study’,</w:t>
      </w:r>
      <w:r>
        <w:t xml:space="preserve"> </w:t>
      </w:r>
      <w:r>
        <w:rPr>
          <w:i/>
        </w:rPr>
        <w:t>Journal of aging studies</w:t>
      </w:r>
      <w:r>
        <w:t xml:space="preserve">, </w:t>
      </w:r>
      <w:r>
        <w:rPr>
          <w:i/>
        </w:rPr>
        <w:t>54</w:t>
      </w:r>
      <w:r>
        <w:t xml:space="preserve">, p.100870. </w:t>
      </w:r>
    </w:p>
    <w:p w14:paraId="6B2B3600" w14:textId="77777777" w:rsidR="00124C35" w:rsidRDefault="00023C30">
      <w:pPr>
        <w:spacing w:after="235" w:line="359" w:lineRule="auto"/>
        <w:ind w:left="706" w:hanging="721"/>
      </w:pPr>
      <w:r>
        <w:t xml:space="preserve">Marmot, M. (2020) ‘Health Equity in England: The Marmot Review 10 Years on’, </w:t>
      </w:r>
      <w:r>
        <w:rPr>
          <w:i/>
        </w:rPr>
        <w:t>British Medical Journal</w:t>
      </w:r>
      <w:r>
        <w:t xml:space="preserve">, 368(1).  </w:t>
      </w:r>
    </w:p>
    <w:p w14:paraId="73C38FD0" w14:textId="77777777" w:rsidR="00124C35" w:rsidRDefault="00023C30">
      <w:pPr>
        <w:spacing w:after="349" w:line="265" w:lineRule="auto"/>
        <w:ind w:left="-5"/>
      </w:pPr>
      <w:r>
        <w:t xml:space="preserve">Marshall, L. (2024) ‘What builds good health? An introduction to the building blocks of health’, </w:t>
      </w:r>
      <w:r>
        <w:rPr>
          <w:i/>
        </w:rPr>
        <w:t>the health foundation</w:t>
      </w:r>
      <w:r>
        <w:t xml:space="preserve"> [Preprint].  </w:t>
      </w:r>
    </w:p>
    <w:p w14:paraId="30711B78" w14:textId="77777777" w:rsidR="00124C35" w:rsidRDefault="00023C30">
      <w:pPr>
        <w:spacing w:after="241"/>
        <w:ind w:left="706" w:hanging="721"/>
      </w:pPr>
      <w:r>
        <w:lastRenderedPageBreak/>
        <w:t xml:space="preserve">Melhuish, E., Belsky, J., Leyland, A.H., Anning, A., Kurtz, Z., Tunstill, J., Ball, M., Meadows, P., Barnes, J., Frost, M. and Botting, B. (2004) The impact of Sure Start local programmes on child development and family functioning: A report on preliminary findings. </w:t>
      </w:r>
    </w:p>
    <w:p w14:paraId="7E379CA3" w14:textId="77777777" w:rsidR="00124C35" w:rsidRDefault="00023C30">
      <w:pPr>
        <w:spacing w:after="240" w:line="356" w:lineRule="auto"/>
        <w:ind w:left="721" w:hanging="721"/>
      </w:pPr>
      <w:r>
        <w:t xml:space="preserve">NHS (2022) </w:t>
      </w:r>
      <w:r>
        <w:rPr>
          <w:i/>
        </w:rPr>
        <w:t>The Cold Weather Plan for England</w:t>
      </w:r>
      <w:r>
        <w:t xml:space="preserve">. Available at: </w:t>
      </w:r>
      <w:r>
        <w:rPr>
          <w:color w:val="0563C1"/>
          <w:u w:val="single" w:color="0563C1"/>
        </w:rPr>
        <w:t>https://www.smartenergygb.org/media/n4rjai41/nhs-cold-weather-plan.pdf</w:t>
      </w:r>
      <w:r>
        <w:t xml:space="preserve"> (Accessed: 29 April 2026). </w:t>
      </w:r>
    </w:p>
    <w:p w14:paraId="36811572" w14:textId="77777777" w:rsidR="00124C35" w:rsidRDefault="00023C30">
      <w:pPr>
        <w:spacing w:after="140" w:line="259" w:lineRule="auto"/>
        <w:ind w:left="-5" w:right="-12"/>
        <w:jc w:val="left"/>
      </w:pPr>
      <w:r>
        <w:t xml:space="preserve">ONS (2020) </w:t>
      </w:r>
      <w:r>
        <w:rPr>
          <w:i/>
        </w:rPr>
        <w:t>Health state life expectancies, UK QMI: 2020 to 2022 - Office for National Statistics</w:t>
      </w:r>
      <w:r>
        <w:t xml:space="preserve">, </w:t>
      </w:r>
    </w:p>
    <w:p w14:paraId="1120968D" w14:textId="77777777" w:rsidR="00124C35" w:rsidRDefault="00023C30">
      <w:pPr>
        <w:tabs>
          <w:tab w:val="center" w:pos="1291"/>
          <w:tab w:val="center" w:pos="5493"/>
          <w:tab w:val="right" w:pos="9364"/>
        </w:tabs>
        <w:spacing w:after="121" w:line="259" w:lineRule="auto"/>
        <w:ind w:left="0" w:firstLine="0"/>
        <w:jc w:val="left"/>
      </w:pPr>
      <w:r>
        <w:rPr>
          <w:rFonts w:ascii="Calibri" w:eastAsia="Calibri" w:hAnsi="Calibri" w:cs="Calibri"/>
          <w:sz w:val="22"/>
        </w:rPr>
        <w:tab/>
      </w:r>
      <w:r>
        <w:rPr>
          <w:i/>
        </w:rPr>
        <w:t>Ons.gov.uk</w:t>
      </w:r>
      <w:r>
        <w:t xml:space="preserve">. </w:t>
      </w:r>
      <w:r>
        <w:tab/>
        <w:t xml:space="preserve">Available </w:t>
      </w:r>
      <w:r>
        <w:tab/>
        <w:t xml:space="preserve">at: </w:t>
      </w:r>
    </w:p>
    <w:p w14:paraId="2A3C546C" w14:textId="77777777" w:rsidR="00124C35" w:rsidRDefault="00023C30">
      <w:pPr>
        <w:spacing w:after="27" w:line="356" w:lineRule="auto"/>
        <w:ind w:left="716"/>
      </w:pPr>
      <w:r>
        <w:rPr>
          <w:color w:val="0563C1"/>
          <w:u w:val="single" w:color="0563C1"/>
        </w:rPr>
        <w:t>https://www.ons.gov.uk/peoplepopulationandcommunity/healthandsocialcare/healthandli feexpectancies/methodologies/healthstatelifeexpectanciesukqmi2020to2022</w:t>
      </w:r>
      <w:r>
        <w:t xml:space="preserve"> </w:t>
      </w:r>
      <w:r>
        <w:tab/>
        <w:t xml:space="preserve">(Accessed: </w:t>
      </w:r>
    </w:p>
    <w:p w14:paraId="677F8BB9" w14:textId="77777777" w:rsidR="00124C35" w:rsidRDefault="00023C30">
      <w:pPr>
        <w:spacing w:after="355" w:line="259" w:lineRule="auto"/>
        <w:ind w:left="731"/>
      </w:pPr>
      <w:r>
        <w:t xml:space="preserve">29 April 2026). </w:t>
      </w:r>
    </w:p>
    <w:p w14:paraId="232025E7" w14:textId="77777777" w:rsidR="00124C35" w:rsidRDefault="00023C30">
      <w:pPr>
        <w:spacing w:after="110" w:line="259" w:lineRule="auto"/>
        <w:ind w:left="-5" w:right="-12"/>
        <w:jc w:val="left"/>
      </w:pPr>
      <w:r>
        <w:t xml:space="preserve">Public Health Wales (2015) </w:t>
      </w:r>
      <w:r>
        <w:rPr>
          <w:i/>
        </w:rPr>
        <w:t>Adverse Childhood Experiences (ACEs) in Wales</w:t>
      </w:r>
      <w:r>
        <w:t xml:space="preserve">. Available at: </w:t>
      </w:r>
    </w:p>
    <w:p w14:paraId="235AE5C3" w14:textId="77777777" w:rsidR="00124C35" w:rsidRDefault="00023C30">
      <w:pPr>
        <w:spacing w:after="240" w:line="356" w:lineRule="auto"/>
        <w:ind w:left="716"/>
      </w:pPr>
      <w:r>
        <w:rPr>
          <w:color w:val="0563C1"/>
          <w:u w:val="single" w:color="0563C1"/>
        </w:rPr>
        <w:t>https://phw.nhs.wales/files/aces/infographic-aces-and-their-impact-on-health-harmingbehaviours-in-the-welsh-adult-population/</w:t>
      </w:r>
      <w:r>
        <w:t xml:space="preserve"> (Accessed: 29 April 2026). </w:t>
      </w:r>
    </w:p>
    <w:p w14:paraId="712D3152" w14:textId="77777777" w:rsidR="00124C35" w:rsidRDefault="00023C30">
      <w:pPr>
        <w:spacing w:after="241"/>
        <w:ind w:left="706" w:hanging="721"/>
      </w:pPr>
      <w:r>
        <w:t xml:space="preserve">Robson, J., Dostal, I., Sheikh, A., Eldridge, S., Madurasinghe, V., Griffiths, C., Coupland, C. and Hippisley-Cox, J. (2016) </w:t>
      </w:r>
      <w:r>
        <w:t>‘</w:t>
      </w:r>
      <w:r>
        <w:t>The NHS Health Check in England: an evaluation of the first 4 years</w:t>
      </w:r>
      <w:r>
        <w:t>’,</w:t>
      </w:r>
      <w:r>
        <w:t xml:space="preserve"> </w:t>
      </w:r>
      <w:r>
        <w:rPr>
          <w:i/>
        </w:rPr>
        <w:t>BMJ open</w:t>
      </w:r>
      <w:r>
        <w:t xml:space="preserve">, </w:t>
      </w:r>
      <w:r>
        <w:rPr>
          <w:i/>
        </w:rPr>
        <w:t>6</w:t>
      </w:r>
      <w:r>
        <w:t xml:space="preserve">(1), p.e008840. </w:t>
      </w:r>
    </w:p>
    <w:p w14:paraId="6DC9FB91" w14:textId="77777777" w:rsidR="00124C35" w:rsidRDefault="00023C30">
      <w:pPr>
        <w:spacing w:after="0"/>
        <w:ind w:left="706" w:right="-12" w:hanging="721"/>
        <w:jc w:val="left"/>
      </w:pPr>
      <w:r>
        <w:t xml:space="preserve">Royal College of Nursing (2023) </w:t>
      </w:r>
      <w:r>
        <w:rPr>
          <w:i/>
        </w:rPr>
        <w:t>Royal College of Nursing Response to the Department of Health and Social Care’s Major Conditions Strategy -call for evidence</w:t>
      </w:r>
      <w:r>
        <w:t xml:space="preserve">. Available at: </w:t>
      </w:r>
    </w:p>
    <w:p w14:paraId="78C4CF5A" w14:textId="77777777" w:rsidR="00124C35" w:rsidRDefault="00023C30">
      <w:pPr>
        <w:spacing w:after="240" w:line="356" w:lineRule="auto"/>
        <w:ind w:left="716"/>
      </w:pPr>
      <w:r>
        <w:rPr>
          <w:color w:val="0563C1"/>
          <w:u w:val="single" w:color="0563C1"/>
        </w:rPr>
        <w:t>https://www.rcn.org.uk/-/media/Royal-College-Of-Nursing/Documents/Policies-andbriefings/Consultation-responses/2023/CONR-3923.pdf</w:t>
      </w:r>
      <w:r>
        <w:t xml:space="preserve"> (Accessed: 29 April 2026). </w:t>
      </w:r>
    </w:p>
    <w:p w14:paraId="31539C45" w14:textId="77777777" w:rsidR="00124C35" w:rsidRDefault="00023C30">
      <w:pPr>
        <w:spacing w:after="384" w:line="259" w:lineRule="auto"/>
        <w:ind w:left="-5"/>
      </w:pPr>
      <w:r>
        <w:t xml:space="preserve">Scambler, G. (2018) </w:t>
      </w:r>
      <w:r>
        <w:rPr>
          <w:i/>
        </w:rPr>
        <w:t>Sociology as Applied to Health and Medicine</w:t>
      </w:r>
      <w:r>
        <w:t xml:space="preserve">. Bloomsbury Publishing. </w:t>
      </w:r>
    </w:p>
    <w:p w14:paraId="6F9EBE2F" w14:textId="77777777" w:rsidR="00124C35" w:rsidRDefault="00023C30">
      <w:pPr>
        <w:tabs>
          <w:tab w:val="center" w:pos="1309"/>
          <w:tab w:val="center" w:pos="2353"/>
          <w:tab w:val="center" w:pos="3256"/>
          <w:tab w:val="center" w:pos="4076"/>
          <w:tab w:val="center" w:pos="5046"/>
          <w:tab w:val="center" w:pos="6031"/>
          <w:tab w:val="center" w:pos="7122"/>
          <w:tab w:val="center" w:pos="8338"/>
          <w:tab w:val="right" w:pos="9364"/>
        </w:tabs>
        <w:spacing w:after="121" w:line="259" w:lineRule="auto"/>
        <w:ind w:left="-15" w:right="-12" w:firstLine="0"/>
        <w:jc w:val="left"/>
      </w:pPr>
      <w:r>
        <w:t xml:space="preserve">Shelter </w:t>
      </w:r>
      <w:r>
        <w:tab/>
        <w:t xml:space="preserve">(2017) </w:t>
      </w:r>
      <w:r>
        <w:tab/>
      </w:r>
      <w:r>
        <w:rPr>
          <w:i/>
        </w:rPr>
        <w:t xml:space="preserve">Housing </w:t>
      </w:r>
      <w:r>
        <w:rPr>
          <w:i/>
        </w:rPr>
        <w:tab/>
        <w:t xml:space="preserve">and </w:t>
      </w:r>
      <w:r>
        <w:rPr>
          <w:i/>
        </w:rPr>
        <w:tab/>
        <w:t xml:space="preserve">mental </w:t>
      </w:r>
      <w:r>
        <w:rPr>
          <w:i/>
        </w:rPr>
        <w:tab/>
        <w:t>health</w:t>
      </w:r>
      <w:r>
        <w:t xml:space="preserve">, </w:t>
      </w:r>
      <w:r>
        <w:tab/>
      </w:r>
      <w:r>
        <w:rPr>
          <w:i/>
        </w:rPr>
        <w:t xml:space="preserve">Shelter </w:t>
      </w:r>
      <w:r>
        <w:rPr>
          <w:i/>
        </w:rPr>
        <w:tab/>
        <w:t>England</w:t>
      </w:r>
      <w:r>
        <w:t xml:space="preserve">. </w:t>
      </w:r>
      <w:r>
        <w:tab/>
        <w:t xml:space="preserve">Available </w:t>
      </w:r>
      <w:r>
        <w:tab/>
        <w:t xml:space="preserve">at: </w:t>
      </w:r>
    </w:p>
    <w:p w14:paraId="37F2F6FA" w14:textId="77777777" w:rsidR="00124C35" w:rsidRDefault="00023C30">
      <w:pPr>
        <w:spacing w:after="240" w:line="356" w:lineRule="auto"/>
        <w:ind w:left="716"/>
      </w:pPr>
      <w:r>
        <w:rPr>
          <w:color w:val="0563C1"/>
          <w:u w:val="single" w:color="0563C1"/>
        </w:rPr>
        <w:t>https://england.shelter.org.uk/professional_resources/housing_and_mental_health</w:t>
      </w:r>
      <w:r>
        <w:t xml:space="preserve"> (Accessed: 29 April 2026). </w:t>
      </w:r>
    </w:p>
    <w:p w14:paraId="7EF9AFDB" w14:textId="77777777" w:rsidR="00124C35" w:rsidRDefault="00023C30">
      <w:pPr>
        <w:spacing w:after="235"/>
        <w:ind w:left="706" w:hanging="721"/>
      </w:pPr>
      <w:r>
        <w:lastRenderedPageBreak/>
        <w:t xml:space="preserve">Verschuren, W.M., Spijkerman, A.M. and Blokstra, A. (2017) ‘Cohort Profile Update: The </w:t>
      </w:r>
      <w:r>
        <w:t>Doetinchem Cohort Study 1987</w:t>
      </w:r>
      <w:r>
        <w:t>–</w:t>
      </w:r>
      <w:r>
        <w:t xml:space="preserve">2017: lifestyle, health and chronic diseases in a life course </w:t>
      </w:r>
      <w:r>
        <w:t xml:space="preserve">and ageing perspective’, </w:t>
      </w:r>
      <w:r>
        <w:rPr>
          <w:i/>
        </w:rPr>
        <w:t>International Journal of Epidemiology</w:t>
      </w:r>
      <w:r>
        <w:t>, 46(6), pp. 1751</w:t>
      </w:r>
      <w:r>
        <w:t>–</w:t>
      </w:r>
      <w:r>
        <w:t xml:space="preserve">1751g.  </w:t>
      </w:r>
    </w:p>
    <w:p w14:paraId="4BDC58FF" w14:textId="77777777" w:rsidR="00124C35" w:rsidRDefault="00023C30">
      <w:pPr>
        <w:spacing w:after="269"/>
        <w:ind w:left="706" w:hanging="721"/>
      </w:pPr>
      <w:r>
        <w:t>Walton, E. (2019) ‘Books: The Inner Level: How More Equal Societies Reduce Stress, Restore Sanity and Improve Everyone’s Well</w:t>
      </w:r>
      <w:r>
        <w:t>-</w:t>
      </w:r>
      <w:r>
        <w:t xml:space="preserve">Being’, </w:t>
      </w:r>
      <w:r>
        <w:rPr>
          <w:i/>
        </w:rPr>
        <w:t>British Journal of General Practice</w:t>
      </w:r>
      <w:r>
        <w:t xml:space="preserve">, 69(686), pp. 452.2-453.  </w:t>
      </w:r>
    </w:p>
    <w:p w14:paraId="5F4F12F7" w14:textId="77777777" w:rsidR="00124C35" w:rsidRDefault="00023C30">
      <w:pPr>
        <w:spacing w:after="229" w:line="364" w:lineRule="auto"/>
        <w:ind w:left="0" w:firstLine="0"/>
        <w:jc w:val="center"/>
      </w:pPr>
      <w:r>
        <w:t xml:space="preserve">WHO </w:t>
      </w:r>
      <w:r>
        <w:tab/>
        <w:t xml:space="preserve">(2018) </w:t>
      </w:r>
      <w:r>
        <w:tab/>
      </w:r>
      <w:r>
        <w:rPr>
          <w:i/>
        </w:rPr>
        <w:t xml:space="preserve">WHO </w:t>
      </w:r>
      <w:r>
        <w:rPr>
          <w:i/>
        </w:rPr>
        <w:tab/>
        <w:t xml:space="preserve">Housing </w:t>
      </w:r>
      <w:r>
        <w:rPr>
          <w:i/>
        </w:rPr>
        <w:tab/>
        <w:t xml:space="preserve">and </w:t>
      </w:r>
      <w:r>
        <w:rPr>
          <w:i/>
        </w:rPr>
        <w:tab/>
        <w:t xml:space="preserve">health </w:t>
      </w:r>
      <w:r>
        <w:rPr>
          <w:i/>
        </w:rPr>
        <w:tab/>
        <w:t>guidelines</w:t>
      </w:r>
      <w:r>
        <w:t xml:space="preserve">, </w:t>
      </w:r>
      <w:r>
        <w:tab/>
      </w:r>
      <w:r>
        <w:rPr>
          <w:i/>
        </w:rPr>
        <w:t>www.who.int</w:t>
      </w:r>
      <w:r>
        <w:t xml:space="preserve">. </w:t>
      </w:r>
      <w:r>
        <w:tab/>
        <w:t xml:space="preserve">Available </w:t>
      </w:r>
      <w:r>
        <w:tab/>
        <w:t xml:space="preserve">at: </w:t>
      </w:r>
      <w:r>
        <w:rPr>
          <w:color w:val="0563C1"/>
          <w:u w:val="single" w:color="0563C1"/>
        </w:rPr>
        <w:t>https://www.who.int/publications/i/item/9789241550376</w:t>
      </w:r>
      <w:r>
        <w:t xml:space="preserve"> (Accessed: 29 April 2026). </w:t>
      </w:r>
    </w:p>
    <w:p w14:paraId="77976FE2" w14:textId="77777777" w:rsidR="00124C35" w:rsidRDefault="00023C30">
      <w:pPr>
        <w:spacing w:after="241"/>
        <w:ind w:left="706" w:hanging="721"/>
      </w:pPr>
      <w:r>
        <w:t xml:space="preserve">WHO (2025) </w:t>
      </w:r>
      <w:r>
        <w:rPr>
          <w:i/>
        </w:rPr>
        <w:t>Framework to implement a life course approach in practice</w:t>
      </w:r>
      <w:r>
        <w:t xml:space="preserve">, </w:t>
      </w:r>
      <w:r>
        <w:rPr>
          <w:i/>
        </w:rPr>
        <w:t>Who.int</w:t>
      </w:r>
      <w:r>
        <w:t xml:space="preserve">. World Health Organization. Available at: </w:t>
      </w:r>
      <w:r>
        <w:rPr>
          <w:color w:val="0563C1"/>
          <w:u w:val="single" w:color="0563C1"/>
        </w:rPr>
        <w:t>https://www.who.int/publications/i/item/9789240112575</w:t>
      </w:r>
      <w:r>
        <w:t xml:space="preserve"> (Accessed: 29 April 2026). </w:t>
      </w:r>
    </w:p>
    <w:p w14:paraId="07AC2F5C" w14:textId="77777777" w:rsidR="00124C35" w:rsidRDefault="00023C30">
      <w:pPr>
        <w:ind w:left="706" w:hanging="721"/>
      </w:pPr>
      <w:r>
        <w:t xml:space="preserve">Ziso, D., Chun, O.K. and Puglisi, M.J. (2022) ‘Increasing access to healthy foods through </w:t>
      </w:r>
      <w:r>
        <w:t>improving food environment: A review of mixed methods intervention studies with residents of low-</w:t>
      </w:r>
      <w:r>
        <w:t xml:space="preserve">income communities’, </w:t>
      </w:r>
      <w:r>
        <w:rPr>
          <w:i/>
        </w:rPr>
        <w:t>Nutrients</w:t>
      </w:r>
      <w:r>
        <w:t xml:space="preserve">, 14(11), p. 2278.  </w:t>
      </w:r>
    </w:p>
    <w:sectPr w:rsidR="00124C35">
      <w:pgSz w:w="12240" w:h="15840"/>
      <w:pgMar w:top="1499" w:right="1436" w:bottom="1474"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C35"/>
    <w:rsid w:val="00023C30"/>
    <w:rsid w:val="00124C35"/>
    <w:rsid w:val="006E6252"/>
    <w:rsid w:val="008F2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3F7C0"/>
  <w15:docId w15:val="{4783120D-A0C8-42BF-8B1A-F1350520D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7" w:line="358" w:lineRule="auto"/>
      <w:ind w:left="1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line="259" w:lineRule="auto"/>
      <w:ind w:left="10" w:right="3" w:hanging="10"/>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17" w:line="259" w:lineRule="auto"/>
      <w:ind w:left="10" w:hanging="10"/>
      <w:outlineLvl w:val="1"/>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8"/>
    </w:rPr>
  </w:style>
  <w:style w:type="character" w:customStyle="1" w:styleId="Heading1Char">
    <w:name w:val="Heading 1 Char"/>
    <w:link w:val="Heading1"/>
    <w:rPr>
      <w:rFonts w:ascii="Times New Roman" w:eastAsia="Times New Roman" w:hAnsi="Times New Roman" w:cs="Times New Roman"/>
      <w:b/>
      <w:color w:val="000000"/>
      <w:sz w:val="32"/>
    </w:rPr>
  </w:style>
  <w:style w:type="paragraph" w:styleId="TOC1">
    <w:name w:val="toc 1"/>
    <w:hidden/>
    <w:pPr>
      <w:spacing w:after="87" w:line="259" w:lineRule="auto"/>
      <w:ind w:left="25" w:right="23" w:hanging="10"/>
      <w:jc w:val="both"/>
    </w:pPr>
    <w:rPr>
      <w:rFonts w:ascii="Times New Roman" w:eastAsia="Times New Roman" w:hAnsi="Times New Roman" w:cs="Times New Roman"/>
      <w:color w:val="000000"/>
    </w:rPr>
  </w:style>
  <w:style w:type="paragraph" w:styleId="TOC2">
    <w:name w:val="toc 2"/>
    <w:hidden/>
    <w:pPr>
      <w:spacing w:after="87" w:line="259" w:lineRule="auto"/>
      <w:ind w:left="265" w:right="23" w:hanging="10"/>
      <w:jc w:val="both"/>
    </w:pPr>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2695</Words>
  <Characters>15363</Characters>
  <Application>Microsoft Office Word</Application>
  <DocSecurity>0</DocSecurity>
  <Lines>128</Lines>
  <Paragraphs>36</Paragraphs>
  <ScaleCrop>false</ScaleCrop>
  <Company/>
  <LinksUpToDate>false</LinksUpToDate>
  <CharactersWithSpaces>18022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torrez</dc:creator>
  <cp:keywords/>
  <cp:lastModifiedBy>wendy torrez</cp:lastModifiedBy>
  <cp:revision>2</cp:revision>
  <dcterms:created xsi:type="dcterms:W3CDTF">2026-05-01T21:44:00Z</dcterms:created>
  <dcterms:modified xsi:type="dcterms:W3CDTF">2026-05-01T21:44:00Z</dcterms:modified>
</cp:coreProperties>
</file>