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00BA7A61" w:rsidR="007D1947" w:rsidRDefault="005921F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5921F1">
                <w:rPr>
                  <w:rFonts w:asciiTheme="majorHAnsi" w:eastAsiaTheme="majorEastAsia" w:hAnsiTheme="majorHAnsi" w:cstheme="majorBidi"/>
                  <w:caps/>
                  <w:color w:val="5B9BD5" w:themeColor="accent1"/>
                  <w:sz w:val="72"/>
                  <w:szCs w:val="72"/>
                </w:rPr>
                <w:t>Approache</w:t>
              </w:r>
              <w:r>
                <w:rPr>
                  <w:rFonts w:asciiTheme="majorHAnsi" w:eastAsiaTheme="majorEastAsia" w:hAnsiTheme="majorHAnsi" w:cstheme="majorBidi"/>
                  <w:caps/>
                  <w:color w:val="5B9BD5" w:themeColor="accent1"/>
                  <w:sz w:val="72"/>
                  <w:szCs w:val="72"/>
                </w:rPr>
                <w:t xml:space="preserve">s </w:t>
              </w:r>
              <w:r w:rsidRPr="005921F1">
                <w:rPr>
                  <w:rFonts w:asciiTheme="majorHAnsi" w:eastAsiaTheme="majorEastAsia" w:hAnsiTheme="majorHAnsi" w:cstheme="majorBidi"/>
                  <w:caps/>
                  <w:color w:val="5B9BD5" w:themeColor="accent1"/>
                  <w:sz w:val="72"/>
                  <w:szCs w:val="72"/>
                </w:rPr>
                <w:t>to Innovation</w:t>
              </w:r>
              <w:r>
                <w:rPr>
                  <w:rFonts w:asciiTheme="majorHAnsi" w:eastAsiaTheme="majorEastAsia" w:hAnsiTheme="majorHAnsi" w:cstheme="majorBidi"/>
                  <w:caps/>
                  <w:color w:val="5B9BD5" w:themeColor="accent1"/>
                  <w:sz w:val="72"/>
                  <w:szCs w:val="72"/>
                </w:rPr>
                <w:t xml:space="preserve"> </w:t>
              </w:r>
              <w:r w:rsidRPr="005921F1">
                <w:rPr>
                  <w:rFonts w:asciiTheme="majorHAnsi" w:eastAsiaTheme="majorEastAsia" w:hAnsiTheme="majorHAnsi" w:cstheme="majorBidi"/>
                  <w:caps/>
                  <w:color w:val="5B9BD5" w:themeColor="accent1"/>
                  <w:sz w:val="72"/>
                  <w:szCs w:val="72"/>
                </w:rPr>
                <w:t>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6A300E08" w:rsidR="007D1947" w:rsidRDefault="003B3121">
              <w:pPr>
                <w:pStyle w:val="NoSpacing"/>
                <w:jc w:val="center"/>
                <w:rPr>
                  <w:color w:val="5B9BD5" w:themeColor="accent1"/>
                  <w:sz w:val="28"/>
                  <w:szCs w:val="28"/>
                </w:rPr>
              </w:pPr>
              <w:r>
                <w:rPr>
                  <w:color w:val="5B9BD5" w:themeColor="accent1"/>
                  <w:sz w:val="28"/>
                  <w:szCs w:val="28"/>
                </w:rPr>
                <w:t>Georgia Cox (2510065)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3632"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15T00:00:00Z">
                                    <w:dateFormat w:val="MMMM d, yyyy"/>
                                    <w:lid w:val="en-US"/>
                                    <w:storeMappedDataAs w:val="dateTime"/>
                                    <w:calendar w:val="gregorian"/>
                                  </w:date>
                                </w:sdtPr>
                                <w:sdtEndPr/>
                                <w:sdtContent>
                                  <w:p w14:paraId="52BAF8D9" w14:textId="51463CF3" w:rsidR="007D1947" w:rsidRDefault="00EB4333">
                                    <w:pPr>
                                      <w:pStyle w:val="NoSpacing"/>
                                      <w:spacing w:after="40"/>
                                      <w:jc w:val="center"/>
                                      <w:rPr>
                                        <w:caps/>
                                        <w:color w:val="5B9BD5" w:themeColor="accent1"/>
                                        <w:sz w:val="28"/>
                                        <w:szCs w:val="28"/>
                                      </w:rPr>
                                    </w:pPr>
                                    <w:r>
                                      <w:rPr>
                                        <w:caps/>
                                        <w:color w:val="5B9BD5" w:themeColor="accent1"/>
                                        <w:sz w:val="28"/>
                                        <w:szCs w:val="28"/>
                                      </w:rPr>
                                      <w:t>April 15, 2026</w:t>
                                    </w:r>
                                  </w:p>
                                </w:sdtContent>
                              </w:sdt>
                              <w:p w14:paraId="69E98CB3" w14:textId="77777777" w:rsidR="007D1947" w:rsidRDefault="00E76CE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76CE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363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15T00:00:00Z">
                              <w:dateFormat w:val="MMMM d, yyyy"/>
                              <w:lid w:val="en-US"/>
                              <w:storeMappedDataAs w:val="dateTime"/>
                              <w:calendar w:val="gregorian"/>
                            </w:date>
                          </w:sdtPr>
                          <w:sdtEndPr/>
                          <w:sdtContent>
                            <w:p w14:paraId="52BAF8D9" w14:textId="51463CF3" w:rsidR="007D1947" w:rsidRDefault="00EB4333">
                              <w:pPr>
                                <w:pStyle w:val="NoSpacing"/>
                                <w:spacing w:after="40"/>
                                <w:jc w:val="center"/>
                                <w:rPr>
                                  <w:caps/>
                                  <w:color w:val="5B9BD5" w:themeColor="accent1"/>
                                  <w:sz w:val="28"/>
                                  <w:szCs w:val="28"/>
                                </w:rPr>
                              </w:pPr>
                              <w:r>
                                <w:rPr>
                                  <w:caps/>
                                  <w:color w:val="5B9BD5" w:themeColor="accent1"/>
                                  <w:sz w:val="28"/>
                                  <w:szCs w:val="28"/>
                                </w:rPr>
                                <w:t>April 15, 2026</w:t>
                              </w:r>
                            </w:p>
                          </w:sdtContent>
                        </w:sdt>
                        <w:p w14:paraId="69E98CB3" w14:textId="77777777" w:rsidR="007D1947" w:rsidRDefault="00E76CE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76CE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27564965"/>
          <w:r>
            <w:lastRenderedPageBreak/>
            <w:t>Executive Summary</w:t>
          </w:r>
          <w:bookmarkEnd w:id="0"/>
        </w:p>
        <w:p w14:paraId="564D990C" w14:textId="77777777" w:rsidR="00983564" w:rsidRPr="00983564" w:rsidRDefault="00983564" w:rsidP="00983564">
          <w:r w:rsidRPr="00983564">
            <w:t>The purpose of this report is to critically examine how organisational change was managed within Tata Steel UK following the sudden closure of the Morfa Coke Ovens at Port Talbot, set against the wider strategic transition toward low</w:t>
          </w:r>
          <w:r w:rsidRPr="00983564">
            <w:noBreakHyphen/>
            <w:t>carbon, sustainable steelmaking. The report analyses the effectiveness of the change process using established change</w:t>
          </w:r>
          <w:r w:rsidRPr="00983564">
            <w:noBreakHyphen/>
            <w:t>management and motivation theories, with particular emphasis on Lewin’s Force Field Analysis and Lewin’s Three</w:t>
          </w:r>
          <w:r w:rsidRPr="00983564">
            <w:noBreakHyphen/>
            <w:t>Step Change Model, alongside relevant organisational behaviour literature.</w:t>
          </w:r>
        </w:p>
        <w:p w14:paraId="79F538F3" w14:textId="77777777" w:rsidR="00983564" w:rsidRPr="00983564" w:rsidRDefault="00983564" w:rsidP="00983564">
          <w:r w:rsidRPr="00983564">
            <w:t>The findings demonstrate that while the closure of the coke ovens was strategically and operationally necessary due to safety concerns, asset deterioration and decarbonisation pressures, the manner in which the change was implemented exposed significant weaknesses in change management. Lewin’s Force Field Analysis shows that strong driving forces outweighed restraining forces, but insufficient effort was made to reduce employee resistance through early communication, consultation and phased planning. As a result, the organisation shifted abruptly from a state of equilibrium into disruptive change.</w:t>
          </w:r>
        </w:p>
        <w:p w14:paraId="4F96A914" w14:textId="77777777" w:rsidR="00983564" w:rsidRPr="00983564" w:rsidRDefault="00983564" w:rsidP="00983564">
          <w:r w:rsidRPr="00983564">
            <w:t>Application of Lewin’s Three</w:t>
          </w:r>
          <w:r w:rsidRPr="00983564">
            <w:noBreakHyphen/>
            <w:t>Step Change Model highlights that the unfreezing stage was largely ineffective, with employees given minimal notice and limited opportunity to psychologically prepare for change. The change stage was reactive rather than planned, placing considerable strain on laboratory management and frontline teams, while the refreezing stage remains incomplete due to ongoing uncertainty around further closures and redundancies. This prolonged transition has prevented employees from establishing a stable new way of working.</w:t>
          </w:r>
        </w:p>
        <w:p w14:paraId="6846CF66" w14:textId="36BB5956" w:rsidR="007D1947" w:rsidRDefault="00983564">
          <w:r w:rsidRPr="00983564">
            <w:t>The report also identifies shortcomings in employee support, guidance and motivation. Drawing on Maslow, Herzberg, Mayo, Likert and Kotter, the analysis shows that weakened job security, limited leadership visibility and reduced participative management undermined morale and engagement, particularly among long</w:t>
          </w:r>
          <w:r w:rsidRPr="00983564">
            <w:noBreakHyphen/>
            <w:t>serving employees. Overall, the report concludes that earlier engagement, clearer communication, participative leadership and sustained employee support would have significantly improved the effectiveness and acceptance of the change process.</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2136052" w14:textId="35079031" w:rsidR="00E76CE6"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564965" w:history="1">
                <w:r w:rsidR="00E76CE6" w:rsidRPr="00934446">
                  <w:rPr>
                    <w:rStyle w:val="Hyperlink"/>
                    <w:noProof/>
                  </w:rPr>
                  <w:t>Executive Summary</w:t>
                </w:r>
                <w:r w:rsidR="00E76CE6">
                  <w:rPr>
                    <w:noProof/>
                    <w:webHidden/>
                  </w:rPr>
                  <w:tab/>
                </w:r>
                <w:r w:rsidR="00E76CE6">
                  <w:rPr>
                    <w:noProof/>
                    <w:webHidden/>
                  </w:rPr>
                  <w:fldChar w:fldCharType="begin"/>
                </w:r>
                <w:r w:rsidR="00E76CE6">
                  <w:rPr>
                    <w:noProof/>
                    <w:webHidden/>
                  </w:rPr>
                  <w:instrText xml:space="preserve"> PAGEREF _Toc227564965 \h </w:instrText>
                </w:r>
                <w:r w:rsidR="00E76CE6">
                  <w:rPr>
                    <w:noProof/>
                    <w:webHidden/>
                  </w:rPr>
                </w:r>
                <w:r w:rsidR="00E76CE6">
                  <w:rPr>
                    <w:noProof/>
                    <w:webHidden/>
                  </w:rPr>
                  <w:fldChar w:fldCharType="separate"/>
                </w:r>
                <w:r w:rsidR="00E76CE6">
                  <w:rPr>
                    <w:noProof/>
                    <w:webHidden/>
                  </w:rPr>
                  <w:t>1</w:t>
                </w:r>
                <w:r w:rsidR="00E76CE6">
                  <w:rPr>
                    <w:noProof/>
                    <w:webHidden/>
                  </w:rPr>
                  <w:fldChar w:fldCharType="end"/>
                </w:r>
              </w:hyperlink>
            </w:p>
            <w:p w14:paraId="2C62F53E" w14:textId="15D3C6DA" w:rsidR="00E76CE6" w:rsidRDefault="00E76CE6">
              <w:pPr>
                <w:pStyle w:val="TOC1"/>
                <w:tabs>
                  <w:tab w:val="right" w:leader="dot" w:pos="9016"/>
                </w:tabs>
                <w:rPr>
                  <w:rFonts w:eastAsiaTheme="minorEastAsia"/>
                  <w:noProof/>
                  <w:kern w:val="2"/>
                  <w:sz w:val="24"/>
                  <w:szCs w:val="24"/>
                  <w:lang w:eastAsia="en-GB"/>
                  <w14:ligatures w14:val="standardContextual"/>
                </w:rPr>
              </w:pPr>
              <w:hyperlink w:anchor="_Toc227564966" w:history="1">
                <w:r w:rsidRPr="00934446">
                  <w:rPr>
                    <w:rStyle w:val="Hyperlink"/>
                    <w:noProof/>
                  </w:rPr>
                  <w:t>Introduction</w:t>
                </w:r>
                <w:r>
                  <w:rPr>
                    <w:noProof/>
                    <w:webHidden/>
                  </w:rPr>
                  <w:tab/>
                </w:r>
                <w:r>
                  <w:rPr>
                    <w:noProof/>
                    <w:webHidden/>
                  </w:rPr>
                  <w:fldChar w:fldCharType="begin"/>
                </w:r>
                <w:r>
                  <w:rPr>
                    <w:noProof/>
                    <w:webHidden/>
                  </w:rPr>
                  <w:instrText xml:space="preserve"> PAGEREF _Toc227564966 \h </w:instrText>
                </w:r>
                <w:r>
                  <w:rPr>
                    <w:noProof/>
                    <w:webHidden/>
                  </w:rPr>
                </w:r>
                <w:r>
                  <w:rPr>
                    <w:noProof/>
                    <w:webHidden/>
                  </w:rPr>
                  <w:fldChar w:fldCharType="separate"/>
                </w:r>
                <w:r>
                  <w:rPr>
                    <w:noProof/>
                    <w:webHidden/>
                  </w:rPr>
                  <w:t>3</w:t>
                </w:r>
                <w:r>
                  <w:rPr>
                    <w:noProof/>
                    <w:webHidden/>
                  </w:rPr>
                  <w:fldChar w:fldCharType="end"/>
                </w:r>
              </w:hyperlink>
            </w:p>
            <w:p w14:paraId="6B6721FD" w14:textId="6F491A4A" w:rsidR="00E76CE6" w:rsidRDefault="00E76CE6">
              <w:pPr>
                <w:pStyle w:val="TOC1"/>
                <w:tabs>
                  <w:tab w:val="right" w:leader="dot" w:pos="9016"/>
                </w:tabs>
                <w:rPr>
                  <w:rFonts w:eastAsiaTheme="minorEastAsia"/>
                  <w:noProof/>
                  <w:kern w:val="2"/>
                  <w:sz w:val="24"/>
                  <w:szCs w:val="24"/>
                  <w:lang w:eastAsia="en-GB"/>
                  <w14:ligatures w14:val="standardContextual"/>
                </w:rPr>
              </w:pPr>
              <w:hyperlink w:anchor="_Toc227564967" w:history="1">
                <w:r w:rsidRPr="00934446">
                  <w:rPr>
                    <w:rStyle w:val="Hyperlink"/>
                    <w:noProof/>
                  </w:rPr>
                  <w:t>Main Findings</w:t>
                </w:r>
                <w:r>
                  <w:rPr>
                    <w:noProof/>
                    <w:webHidden/>
                  </w:rPr>
                  <w:tab/>
                </w:r>
                <w:r>
                  <w:rPr>
                    <w:noProof/>
                    <w:webHidden/>
                  </w:rPr>
                  <w:fldChar w:fldCharType="begin"/>
                </w:r>
                <w:r>
                  <w:rPr>
                    <w:noProof/>
                    <w:webHidden/>
                  </w:rPr>
                  <w:instrText xml:space="preserve"> PAGEREF _Toc227564967 \h </w:instrText>
                </w:r>
                <w:r>
                  <w:rPr>
                    <w:noProof/>
                    <w:webHidden/>
                  </w:rPr>
                </w:r>
                <w:r>
                  <w:rPr>
                    <w:noProof/>
                    <w:webHidden/>
                  </w:rPr>
                  <w:fldChar w:fldCharType="separate"/>
                </w:r>
                <w:r>
                  <w:rPr>
                    <w:noProof/>
                    <w:webHidden/>
                  </w:rPr>
                  <w:t>4</w:t>
                </w:r>
                <w:r>
                  <w:rPr>
                    <w:noProof/>
                    <w:webHidden/>
                  </w:rPr>
                  <w:fldChar w:fldCharType="end"/>
                </w:r>
              </w:hyperlink>
            </w:p>
            <w:p w14:paraId="6E8FD846" w14:textId="41FD8354" w:rsidR="00E76CE6" w:rsidRDefault="00E76CE6">
              <w:pPr>
                <w:pStyle w:val="TOC2"/>
                <w:tabs>
                  <w:tab w:val="right" w:leader="dot" w:pos="9016"/>
                </w:tabs>
                <w:rPr>
                  <w:rFonts w:eastAsiaTheme="minorEastAsia"/>
                  <w:noProof/>
                  <w:kern w:val="2"/>
                  <w:sz w:val="24"/>
                  <w:szCs w:val="24"/>
                  <w:lang w:eastAsia="en-GB"/>
                  <w14:ligatures w14:val="standardContextual"/>
                </w:rPr>
              </w:pPr>
              <w:hyperlink w:anchor="_Toc227564968" w:history="1">
                <w:r w:rsidRPr="00934446">
                  <w:rPr>
                    <w:rStyle w:val="Hyperlink"/>
                    <w:noProof/>
                  </w:rPr>
                  <w:t>Defining Organisational Change</w:t>
                </w:r>
                <w:r>
                  <w:rPr>
                    <w:noProof/>
                    <w:webHidden/>
                  </w:rPr>
                  <w:tab/>
                </w:r>
                <w:r>
                  <w:rPr>
                    <w:noProof/>
                    <w:webHidden/>
                  </w:rPr>
                  <w:fldChar w:fldCharType="begin"/>
                </w:r>
                <w:r>
                  <w:rPr>
                    <w:noProof/>
                    <w:webHidden/>
                  </w:rPr>
                  <w:instrText xml:space="preserve"> PAGEREF _Toc227564968 \h </w:instrText>
                </w:r>
                <w:r>
                  <w:rPr>
                    <w:noProof/>
                    <w:webHidden/>
                  </w:rPr>
                </w:r>
                <w:r>
                  <w:rPr>
                    <w:noProof/>
                    <w:webHidden/>
                  </w:rPr>
                  <w:fldChar w:fldCharType="separate"/>
                </w:r>
                <w:r>
                  <w:rPr>
                    <w:noProof/>
                    <w:webHidden/>
                  </w:rPr>
                  <w:t>4</w:t>
                </w:r>
                <w:r>
                  <w:rPr>
                    <w:noProof/>
                    <w:webHidden/>
                  </w:rPr>
                  <w:fldChar w:fldCharType="end"/>
                </w:r>
              </w:hyperlink>
            </w:p>
            <w:p w14:paraId="1F68EEE4" w14:textId="721C8FD2" w:rsidR="00E76CE6" w:rsidRDefault="00E76CE6">
              <w:pPr>
                <w:pStyle w:val="TOC2"/>
                <w:tabs>
                  <w:tab w:val="right" w:leader="dot" w:pos="9016"/>
                </w:tabs>
                <w:rPr>
                  <w:rFonts w:eastAsiaTheme="minorEastAsia"/>
                  <w:noProof/>
                  <w:kern w:val="2"/>
                  <w:sz w:val="24"/>
                  <w:szCs w:val="24"/>
                  <w:lang w:eastAsia="en-GB"/>
                  <w14:ligatures w14:val="standardContextual"/>
                </w:rPr>
              </w:pPr>
              <w:hyperlink w:anchor="_Toc227564969" w:history="1">
                <w:r w:rsidRPr="00934446">
                  <w:rPr>
                    <w:rStyle w:val="Hyperlink"/>
                    <w:noProof/>
                  </w:rPr>
                  <w:t>Lewin’s Force Field Analysis</w:t>
                </w:r>
                <w:r>
                  <w:rPr>
                    <w:noProof/>
                    <w:webHidden/>
                  </w:rPr>
                  <w:tab/>
                </w:r>
                <w:r>
                  <w:rPr>
                    <w:noProof/>
                    <w:webHidden/>
                  </w:rPr>
                  <w:fldChar w:fldCharType="begin"/>
                </w:r>
                <w:r>
                  <w:rPr>
                    <w:noProof/>
                    <w:webHidden/>
                  </w:rPr>
                  <w:instrText xml:space="preserve"> PAGEREF _Toc227564969 \h </w:instrText>
                </w:r>
                <w:r>
                  <w:rPr>
                    <w:noProof/>
                    <w:webHidden/>
                  </w:rPr>
                </w:r>
                <w:r>
                  <w:rPr>
                    <w:noProof/>
                    <w:webHidden/>
                  </w:rPr>
                  <w:fldChar w:fldCharType="separate"/>
                </w:r>
                <w:r>
                  <w:rPr>
                    <w:noProof/>
                    <w:webHidden/>
                  </w:rPr>
                  <w:t>5</w:t>
                </w:r>
                <w:r>
                  <w:rPr>
                    <w:noProof/>
                    <w:webHidden/>
                  </w:rPr>
                  <w:fldChar w:fldCharType="end"/>
                </w:r>
              </w:hyperlink>
            </w:p>
            <w:p w14:paraId="17A1653E" w14:textId="71CC0151" w:rsidR="00E76CE6" w:rsidRDefault="00E76CE6">
              <w:pPr>
                <w:pStyle w:val="TOC2"/>
                <w:tabs>
                  <w:tab w:val="right" w:leader="dot" w:pos="9016"/>
                </w:tabs>
                <w:rPr>
                  <w:rFonts w:eastAsiaTheme="minorEastAsia"/>
                  <w:noProof/>
                  <w:kern w:val="2"/>
                  <w:sz w:val="24"/>
                  <w:szCs w:val="24"/>
                  <w:lang w:eastAsia="en-GB"/>
                  <w14:ligatures w14:val="standardContextual"/>
                </w:rPr>
              </w:pPr>
              <w:hyperlink w:anchor="_Toc227564970" w:history="1">
                <w:r w:rsidRPr="00934446">
                  <w:rPr>
                    <w:rStyle w:val="Hyperlink"/>
                    <w:noProof/>
                  </w:rPr>
                  <w:t>Lewin’s Three</w:t>
                </w:r>
                <w:r w:rsidRPr="00934446">
                  <w:rPr>
                    <w:rStyle w:val="Hyperlink"/>
                    <w:noProof/>
                  </w:rPr>
                  <w:noBreakHyphen/>
                  <w:t>Step Change Model</w:t>
                </w:r>
                <w:r>
                  <w:rPr>
                    <w:noProof/>
                    <w:webHidden/>
                  </w:rPr>
                  <w:tab/>
                </w:r>
                <w:r>
                  <w:rPr>
                    <w:noProof/>
                    <w:webHidden/>
                  </w:rPr>
                  <w:fldChar w:fldCharType="begin"/>
                </w:r>
                <w:r>
                  <w:rPr>
                    <w:noProof/>
                    <w:webHidden/>
                  </w:rPr>
                  <w:instrText xml:space="preserve"> PAGEREF _Toc227564970 \h </w:instrText>
                </w:r>
                <w:r>
                  <w:rPr>
                    <w:noProof/>
                    <w:webHidden/>
                  </w:rPr>
                </w:r>
                <w:r>
                  <w:rPr>
                    <w:noProof/>
                    <w:webHidden/>
                  </w:rPr>
                  <w:fldChar w:fldCharType="separate"/>
                </w:r>
                <w:r>
                  <w:rPr>
                    <w:noProof/>
                    <w:webHidden/>
                  </w:rPr>
                  <w:t>6</w:t>
                </w:r>
                <w:r>
                  <w:rPr>
                    <w:noProof/>
                    <w:webHidden/>
                  </w:rPr>
                  <w:fldChar w:fldCharType="end"/>
                </w:r>
              </w:hyperlink>
            </w:p>
            <w:p w14:paraId="25B5A8C8" w14:textId="5F99BDE4" w:rsidR="00E76CE6" w:rsidRDefault="00E76CE6">
              <w:pPr>
                <w:pStyle w:val="TOC3"/>
                <w:tabs>
                  <w:tab w:val="right" w:leader="dot" w:pos="9016"/>
                </w:tabs>
                <w:rPr>
                  <w:rFonts w:eastAsiaTheme="minorEastAsia"/>
                  <w:noProof/>
                  <w:kern w:val="2"/>
                  <w:sz w:val="24"/>
                  <w:szCs w:val="24"/>
                  <w:lang w:eastAsia="en-GB"/>
                  <w14:ligatures w14:val="standardContextual"/>
                </w:rPr>
              </w:pPr>
              <w:hyperlink w:anchor="_Toc227564971" w:history="1">
                <w:r w:rsidRPr="00934446">
                  <w:rPr>
                    <w:rStyle w:val="Hyperlink"/>
                    <w:noProof/>
                  </w:rPr>
                  <w:t>Unfreeze Stage</w:t>
                </w:r>
                <w:r>
                  <w:rPr>
                    <w:noProof/>
                    <w:webHidden/>
                  </w:rPr>
                  <w:tab/>
                </w:r>
                <w:r>
                  <w:rPr>
                    <w:noProof/>
                    <w:webHidden/>
                  </w:rPr>
                  <w:fldChar w:fldCharType="begin"/>
                </w:r>
                <w:r>
                  <w:rPr>
                    <w:noProof/>
                    <w:webHidden/>
                  </w:rPr>
                  <w:instrText xml:space="preserve"> PAGEREF _Toc227564971 \h </w:instrText>
                </w:r>
                <w:r>
                  <w:rPr>
                    <w:noProof/>
                    <w:webHidden/>
                  </w:rPr>
                </w:r>
                <w:r>
                  <w:rPr>
                    <w:noProof/>
                    <w:webHidden/>
                  </w:rPr>
                  <w:fldChar w:fldCharType="separate"/>
                </w:r>
                <w:r>
                  <w:rPr>
                    <w:noProof/>
                    <w:webHidden/>
                  </w:rPr>
                  <w:t>6</w:t>
                </w:r>
                <w:r>
                  <w:rPr>
                    <w:noProof/>
                    <w:webHidden/>
                  </w:rPr>
                  <w:fldChar w:fldCharType="end"/>
                </w:r>
              </w:hyperlink>
            </w:p>
            <w:p w14:paraId="4518CF68" w14:textId="0C3EC632" w:rsidR="00E76CE6" w:rsidRDefault="00E76CE6">
              <w:pPr>
                <w:pStyle w:val="TOC3"/>
                <w:tabs>
                  <w:tab w:val="right" w:leader="dot" w:pos="9016"/>
                </w:tabs>
                <w:rPr>
                  <w:rFonts w:eastAsiaTheme="minorEastAsia"/>
                  <w:noProof/>
                  <w:kern w:val="2"/>
                  <w:sz w:val="24"/>
                  <w:szCs w:val="24"/>
                  <w:lang w:eastAsia="en-GB"/>
                  <w14:ligatures w14:val="standardContextual"/>
                </w:rPr>
              </w:pPr>
              <w:hyperlink w:anchor="_Toc227564972" w:history="1">
                <w:r w:rsidRPr="00934446">
                  <w:rPr>
                    <w:rStyle w:val="Hyperlink"/>
                    <w:noProof/>
                  </w:rPr>
                  <w:t>Change Stage</w:t>
                </w:r>
                <w:r>
                  <w:rPr>
                    <w:noProof/>
                    <w:webHidden/>
                  </w:rPr>
                  <w:tab/>
                </w:r>
                <w:r>
                  <w:rPr>
                    <w:noProof/>
                    <w:webHidden/>
                  </w:rPr>
                  <w:fldChar w:fldCharType="begin"/>
                </w:r>
                <w:r>
                  <w:rPr>
                    <w:noProof/>
                    <w:webHidden/>
                  </w:rPr>
                  <w:instrText xml:space="preserve"> PAGEREF _Toc227564972 \h </w:instrText>
                </w:r>
                <w:r>
                  <w:rPr>
                    <w:noProof/>
                    <w:webHidden/>
                  </w:rPr>
                </w:r>
                <w:r>
                  <w:rPr>
                    <w:noProof/>
                    <w:webHidden/>
                  </w:rPr>
                  <w:fldChar w:fldCharType="separate"/>
                </w:r>
                <w:r>
                  <w:rPr>
                    <w:noProof/>
                    <w:webHidden/>
                  </w:rPr>
                  <w:t>7</w:t>
                </w:r>
                <w:r>
                  <w:rPr>
                    <w:noProof/>
                    <w:webHidden/>
                  </w:rPr>
                  <w:fldChar w:fldCharType="end"/>
                </w:r>
              </w:hyperlink>
            </w:p>
            <w:p w14:paraId="63D99EF2" w14:textId="2399E153" w:rsidR="00E76CE6" w:rsidRDefault="00E76CE6">
              <w:pPr>
                <w:pStyle w:val="TOC3"/>
                <w:tabs>
                  <w:tab w:val="right" w:leader="dot" w:pos="9016"/>
                </w:tabs>
                <w:rPr>
                  <w:rFonts w:eastAsiaTheme="minorEastAsia"/>
                  <w:noProof/>
                  <w:kern w:val="2"/>
                  <w:sz w:val="24"/>
                  <w:szCs w:val="24"/>
                  <w:lang w:eastAsia="en-GB"/>
                  <w14:ligatures w14:val="standardContextual"/>
                </w:rPr>
              </w:pPr>
              <w:hyperlink w:anchor="_Toc227564973" w:history="1">
                <w:r w:rsidRPr="00934446">
                  <w:rPr>
                    <w:rStyle w:val="Hyperlink"/>
                    <w:noProof/>
                  </w:rPr>
                  <w:t>Refreeze Stage</w:t>
                </w:r>
                <w:r>
                  <w:rPr>
                    <w:noProof/>
                    <w:webHidden/>
                  </w:rPr>
                  <w:tab/>
                </w:r>
                <w:r>
                  <w:rPr>
                    <w:noProof/>
                    <w:webHidden/>
                  </w:rPr>
                  <w:fldChar w:fldCharType="begin"/>
                </w:r>
                <w:r>
                  <w:rPr>
                    <w:noProof/>
                    <w:webHidden/>
                  </w:rPr>
                  <w:instrText xml:space="preserve"> PAGEREF _Toc227564973 \h </w:instrText>
                </w:r>
                <w:r>
                  <w:rPr>
                    <w:noProof/>
                    <w:webHidden/>
                  </w:rPr>
                </w:r>
                <w:r>
                  <w:rPr>
                    <w:noProof/>
                    <w:webHidden/>
                  </w:rPr>
                  <w:fldChar w:fldCharType="separate"/>
                </w:r>
                <w:r>
                  <w:rPr>
                    <w:noProof/>
                    <w:webHidden/>
                  </w:rPr>
                  <w:t>7</w:t>
                </w:r>
                <w:r>
                  <w:rPr>
                    <w:noProof/>
                    <w:webHidden/>
                  </w:rPr>
                  <w:fldChar w:fldCharType="end"/>
                </w:r>
              </w:hyperlink>
            </w:p>
            <w:p w14:paraId="2EB3A5C6" w14:textId="202A46D7" w:rsidR="00E76CE6" w:rsidRDefault="00E76CE6">
              <w:pPr>
                <w:pStyle w:val="TOC2"/>
                <w:tabs>
                  <w:tab w:val="right" w:leader="dot" w:pos="9016"/>
                </w:tabs>
                <w:rPr>
                  <w:rFonts w:eastAsiaTheme="minorEastAsia"/>
                  <w:noProof/>
                  <w:kern w:val="2"/>
                  <w:sz w:val="24"/>
                  <w:szCs w:val="24"/>
                  <w:lang w:eastAsia="en-GB"/>
                  <w14:ligatures w14:val="standardContextual"/>
                </w:rPr>
              </w:pPr>
              <w:hyperlink w:anchor="_Toc227564974" w:history="1">
                <w:r w:rsidRPr="00934446">
                  <w:rPr>
                    <w:rStyle w:val="Hyperlink"/>
                    <w:noProof/>
                  </w:rPr>
                  <w:t>Employee Support, Guidance and Motivation During Change</w:t>
                </w:r>
                <w:r>
                  <w:rPr>
                    <w:noProof/>
                    <w:webHidden/>
                  </w:rPr>
                  <w:tab/>
                </w:r>
                <w:r>
                  <w:rPr>
                    <w:noProof/>
                    <w:webHidden/>
                  </w:rPr>
                  <w:fldChar w:fldCharType="begin"/>
                </w:r>
                <w:r>
                  <w:rPr>
                    <w:noProof/>
                    <w:webHidden/>
                  </w:rPr>
                  <w:instrText xml:space="preserve"> PAGEREF _Toc227564974 \h </w:instrText>
                </w:r>
                <w:r>
                  <w:rPr>
                    <w:noProof/>
                    <w:webHidden/>
                  </w:rPr>
                </w:r>
                <w:r>
                  <w:rPr>
                    <w:noProof/>
                    <w:webHidden/>
                  </w:rPr>
                  <w:fldChar w:fldCharType="separate"/>
                </w:r>
                <w:r>
                  <w:rPr>
                    <w:noProof/>
                    <w:webHidden/>
                  </w:rPr>
                  <w:t>7</w:t>
                </w:r>
                <w:r>
                  <w:rPr>
                    <w:noProof/>
                    <w:webHidden/>
                  </w:rPr>
                  <w:fldChar w:fldCharType="end"/>
                </w:r>
              </w:hyperlink>
            </w:p>
            <w:p w14:paraId="3CEB5A12" w14:textId="56385AAC" w:rsidR="00E76CE6" w:rsidRDefault="00E76CE6">
              <w:pPr>
                <w:pStyle w:val="TOC3"/>
                <w:tabs>
                  <w:tab w:val="right" w:leader="dot" w:pos="9016"/>
                </w:tabs>
                <w:rPr>
                  <w:rFonts w:eastAsiaTheme="minorEastAsia"/>
                  <w:noProof/>
                  <w:kern w:val="2"/>
                  <w:sz w:val="24"/>
                  <w:szCs w:val="24"/>
                  <w:lang w:eastAsia="en-GB"/>
                  <w14:ligatures w14:val="standardContextual"/>
                </w:rPr>
              </w:pPr>
              <w:hyperlink w:anchor="_Toc227564975" w:history="1">
                <w:r w:rsidRPr="00934446">
                  <w:rPr>
                    <w:rStyle w:val="Hyperlink"/>
                    <w:noProof/>
                  </w:rPr>
                  <w:t>Support</w:t>
                </w:r>
                <w:r>
                  <w:rPr>
                    <w:noProof/>
                    <w:webHidden/>
                  </w:rPr>
                  <w:tab/>
                </w:r>
                <w:r>
                  <w:rPr>
                    <w:noProof/>
                    <w:webHidden/>
                  </w:rPr>
                  <w:fldChar w:fldCharType="begin"/>
                </w:r>
                <w:r>
                  <w:rPr>
                    <w:noProof/>
                    <w:webHidden/>
                  </w:rPr>
                  <w:instrText xml:space="preserve"> PAGEREF _Toc227564975 \h </w:instrText>
                </w:r>
                <w:r>
                  <w:rPr>
                    <w:noProof/>
                    <w:webHidden/>
                  </w:rPr>
                </w:r>
                <w:r>
                  <w:rPr>
                    <w:noProof/>
                    <w:webHidden/>
                  </w:rPr>
                  <w:fldChar w:fldCharType="separate"/>
                </w:r>
                <w:r>
                  <w:rPr>
                    <w:noProof/>
                    <w:webHidden/>
                  </w:rPr>
                  <w:t>7</w:t>
                </w:r>
                <w:r>
                  <w:rPr>
                    <w:noProof/>
                    <w:webHidden/>
                  </w:rPr>
                  <w:fldChar w:fldCharType="end"/>
                </w:r>
              </w:hyperlink>
            </w:p>
            <w:p w14:paraId="2BEB46C6" w14:textId="25E2B3B7" w:rsidR="00E76CE6" w:rsidRDefault="00E76CE6">
              <w:pPr>
                <w:pStyle w:val="TOC3"/>
                <w:tabs>
                  <w:tab w:val="right" w:leader="dot" w:pos="9016"/>
                </w:tabs>
                <w:rPr>
                  <w:rFonts w:eastAsiaTheme="minorEastAsia"/>
                  <w:noProof/>
                  <w:kern w:val="2"/>
                  <w:sz w:val="24"/>
                  <w:szCs w:val="24"/>
                  <w:lang w:eastAsia="en-GB"/>
                  <w14:ligatures w14:val="standardContextual"/>
                </w:rPr>
              </w:pPr>
              <w:hyperlink w:anchor="_Toc227564976" w:history="1">
                <w:r w:rsidRPr="00934446">
                  <w:rPr>
                    <w:rStyle w:val="Hyperlink"/>
                    <w:noProof/>
                  </w:rPr>
                  <w:t>Guidance</w:t>
                </w:r>
                <w:r>
                  <w:rPr>
                    <w:noProof/>
                    <w:webHidden/>
                  </w:rPr>
                  <w:tab/>
                </w:r>
                <w:r>
                  <w:rPr>
                    <w:noProof/>
                    <w:webHidden/>
                  </w:rPr>
                  <w:fldChar w:fldCharType="begin"/>
                </w:r>
                <w:r>
                  <w:rPr>
                    <w:noProof/>
                    <w:webHidden/>
                  </w:rPr>
                  <w:instrText xml:space="preserve"> PAGEREF _Toc227564976 \h </w:instrText>
                </w:r>
                <w:r>
                  <w:rPr>
                    <w:noProof/>
                    <w:webHidden/>
                  </w:rPr>
                </w:r>
                <w:r>
                  <w:rPr>
                    <w:noProof/>
                    <w:webHidden/>
                  </w:rPr>
                  <w:fldChar w:fldCharType="separate"/>
                </w:r>
                <w:r>
                  <w:rPr>
                    <w:noProof/>
                    <w:webHidden/>
                  </w:rPr>
                  <w:t>8</w:t>
                </w:r>
                <w:r>
                  <w:rPr>
                    <w:noProof/>
                    <w:webHidden/>
                  </w:rPr>
                  <w:fldChar w:fldCharType="end"/>
                </w:r>
              </w:hyperlink>
            </w:p>
            <w:p w14:paraId="7C06D26C" w14:textId="1AA092DB" w:rsidR="00E76CE6" w:rsidRDefault="00E76CE6">
              <w:pPr>
                <w:pStyle w:val="TOC3"/>
                <w:tabs>
                  <w:tab w:val="right" w:leader="dot" w:pos="9016"/>
                </w:tabs>
                <w:rPr>
                  <w:rFonts w:eastAsiaTheme="minorEastAsia"/>
                  <w:noProof/>
                  <w:kern w:val="2"/>
                  <w:sz w:val="24"/>
                  <w:szCs w:val="24"/>
                  <w:lang w:eastAsia="en-GB"/>
                  <w14:ligatures w14:val="standardContextual"/>
                </w:rPr>
              </w:pPr>
              <w:hyperlink w:anchor="_Toc227564977" w:history="1">
                <w:r w:rsidRPr="00934446">
                  <w:rPr>
                    <w:rStyle w:val="Hyperlink"/>
                    <w:noProof/>
                  </w:rPr>
                  <w:t>Motivation</w:t>
                </w:r>
                <w:r>
                  <w:rPr>
                    <w:noProof/>
                    <w:webHidden/>
                  </w:rPr>
                  <w:tab/>
                </w:r>
                <w:r>
                  <w:rPr>
                    <w:noProof/>
                    <w:webHidden/>
                  </w:rPr>
                  <w:fldChar w:fldCharType="begin"/>
                </w:r>
                <w:r>
                  <w:rPr>
                    <w:noProof/>
                    <w:webHidden/>
                  </w:rPr>
                  <w:instrText xml:space="preserve"> PAGEREF _Toc227564977 \h </w:instrText>
                </w:r>
                <w:r>
                  <w:rPr>
                    <w:noProof/>
                    <w:webHidden/>
                  </w:rPr>
                </w:r>
                <w:r>
                  <w:rPr>
                    <w:noProof/>
                    <w:webHidden/>
                  </w:rPr>
                  <w:fldChar w:fldCharType="separate"/>
                </w:r>
                <w:r>
                  <w:rPr>
                    <w:noProof/>
                    <w:webHidden/>
                  </w:rPr>
                  <w:t>8</w:t>
                </w:r>
                <w:r>
                  <w:rPr>
                    <w:noProof/>
                    <w:webHidden/>
                  </w:rPr>
                  <w:fldChar w:fldCharType="end"/>
                </w:r>
              </w:hyperlink>
            </w:p>
            <w:p w14:paraId="2CC377CA" w14:textId="1F882E8E" w:rsidR="00E76CE6" w:rsidRDefault="00E76CE6">
              <w:pPr>
                <w:pStyle w:val="TOC1"/>
                <w:tabs>
                  <w:tab w:val="right" w:leader="dot" w:pos="9016"/>
                </w:tabs>
                <w:rPr>
                  <w:rFonts w:eastAsiaTheme="minorEastAsia"/>
                  <w:noProof/>
                  <w:kern w:val="2"/>
                  <w:sz w:val="24"/>
                  <w:szCs w:val="24"/>
                  <w:lang w:eastAsia="en-GB"/>
                  <w14:ligatures w14:val="standardContextual"/>
                </w:rPr>
              </w:pPr>
              <w:hyperlink w:anchor="_Toc227564978" w:history="1">
                <w:r w:rsidRPr="00934446">
                  <w:rPr>
                    <w:rStyle w:val="Hyperlink"/>
                    <w:noProof/>
                  </w:rPr>
                  <w:t>Conclusion</w:t>
                </w:r>
                <w:r>
                  <w:rPr>
                    <w:noProof/>
                    <w:webHidden/>
                  </w:rPr>
                  <w:tab/>
                </w:r>
                <w:r>
                  <w:rPr>
                    <w:noProof/>
                    <w:webHidden/>
                  </w:rPr>
                  <w:fldChar w:fldCharType="begin"/>
                </w:r>
                <w:r>
                  <w:rPr>
                    <w:noProof/>
                    <w:webHidden/>
                  </w:rPr>
                  <w:instrText xml:space="preserve"> PAGEREF _Toc227564978 \h </w:instrText>
                </w:r>
                <w:r>
                  <w:rPr>
                    <w:noProof/>
                    <w:webHidden/>
                  </w:rPr>
                </w:r>
                <w:r>
                  <w:rPr>
                    <w:noProof/>
                    <w:webHidden/>
                  </w:rPr>
                  <w:fldChar w:fldCharType="separate"/>
                </w:r>
                <w:r>
                  <w:rPr>
                    <w:noProof/>
                    <w:webHidden/>
                  </w:rPr>
                  <w:t>8</w:t>
                </w:r>
                <w:r>
                  <w:rPr>
                    <w:noProof/>
                    <w:webHidden/>
                  </w:rPr>
                  <w:fldChar w:fldCharType="end"/>
                </w:r>
              </w:hyperlink>
            </w:p>
            <w:p w14:paraId="61D75247" w14:textId="20B956E8" w:rsidR="00E76CE6" w:rsidRDefault="00E76CE6">
              <w:pPr>
                <w:pStyle w:val="TOC1"/>
                <w:tabs>
                  <w:tab w:val="right" w:leader="dot" w:pos="9016"/>
                </w:tabs>
                <w:rPr>
                  <w:rFonts w:eastAsiaTheme="minorEastAsia"/>
                  <w:noProof/>
                  <w:kern w:val="2"/>
                  <w:sz w:val="24"/>
                  <w:szCs w:val="24"/>
                  <w:lang w:eastAsia="en-GB"/>
                  <w14:ligatures w14:val="standardContextual"/>
                </w:rPr>
              </w:pPr>
              <w:hyperlink w:anchor="_Toc227564979" w:history="1">
                <w:r w:rsidRPr="00934446">
                  <w:rPr>
                    <w:rStyle w:val="Hyperlink"/>
                    <w:noProof/>
                  </w:rPr>
                  <w:t>Bibliography</w:t>
                </w:r>
                <w:r>
                  <w:rPr>
                    <w:noProof/>
                    <w:webHidden/>
                  </w:rPr>
                  <w:tab/>
                </w:r>
                <w:r>
                  <w:rPr>
                    <w:noProof/>
                    <w:webHidden/>
                  </w:rPr>
                  <w:fldChar w:fldCharType="begin"/>
                </w:r>
                <w:r>
                  <w:rPr>
                    <w:noProof/>
                    <w:webHidden/>
                  </w:rPr>
                  <w:instrText xml:space="preserve"> PAGEREF _Toc227564979 \h </w:instrText>
                </w:r>
                <w:r>
                  <w:rPr>
                    <w:noProof/>
                    <w:webHidden/>
                  </w:rPr>
                </w:r>
                <w:r>
                  <w:rPr>
                    <w:noProof/>
                    <w:webHidden/>
                  </w:rPr>
                  <w:fldChar w:fldCharType="separate"/>
                </w:r>
                <w:r>
                  <w:rPr>
                    <w:noProof/>
                    <w:webHidden/>
                  </w:rPr>
                  <w:t>9</w:t>
                </w:r>
                <w:r>
                  <w:rPr>
                    <w:noProof/>
                    <w:webHidden/>
                  </w:rPr>
                  <w:fldChar w:fldCharType="end"/>
                </w:r>
              </w:hyperlink>
            </w:p>
            <w:p w14:paraId="05194699" w14:textId="1C7C5C17"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0ED321E6" w14:textId="0F0FB166" w:rsidR="007D1947" w:rsidRDefault="007D1947" w:rsidP="00A12B58">
          <w:pPr>
            <w:pStyle w:val="Heading1"/>
          </w:pPr>
          <w:bookmarkStart w:id="1" w:name="_Toc227564966"/>
          <w:r>
            <w:lastRenderedPageBreak/>
            <w:t>Introduction</w:t>
          </w:r>
          <w:bookmarkEnd w:id="1"/>
          <w:r w:rsidR="00480872">
            <w:t xml:space="preserve"> </w:t>
          </w:r>
          <w:r w:rsidR="00E91208">
            <w:t xml:space="preserve"> </w:t>
          </w:r>
        </w:p>
        <w:p w14:paraId="6E47AA9A" w14:textId="49266FEC" w:rsidR="00B15779" w:rsidRPr="00CC7A49" w:rsidRDefault="00B15779" w:rsidP="00CC7A49">
          <w:pPr>
            <w:rPr>
              <w:shd w:val="clear" w:color="auto" w:fill="FFFFFF"/>
            </w:rPr>
          </w:pPr>
          <w:r w:rsidRPr="00CC7A49">
            <w:rPr>
              <w:shd w:val="clear" w:color="auto" w:fill="FFFFFF"/>
            </w:rPr>
            <w:t>Tata Steel UK is the country’s largest steel producer and one of the main suppliers of flat steel products in Europe, with downstream businesses that manufacture products for sectors including automotive, construction, engineering, infrastructure and packaging</w:t>
          </w:r>
          <w:r w:rsidR="00547C8D">
            <w:rPr>
              <w:shd w:val="clear" w:color="auto" w:fill="FFFFFF"/>
            </w:rPr>
            <w:t xml:space="preserve"> </w:t>
          </w:r>
          <w:r w:rsidRPr="00CC7A49">
            <w:rPr>
              <w:shd w:val="clear" w:color="auto" w:fill="FFFFFF"/>
            </w:rPr>
            <w:t>(Tata Steel UK, 2024)</w:t>
          </w:r>
          <w:r w:rsidR="00547C8D">
            <w:rPr>
              <w:shd w:val="clear" w:color="auto" w:fill="FFFFFF"/>
            </w:rPr>
            <w:t xml:space="preserve">. </w:t>
          </w:r>
          <w:r w:rsidRPr="00CC7A49">
            <w:rPr>
              <w:shd w:val="clear" w:color="auto" w:fill="FFFFFF"/>
            </w:rPr>
            <w:t>The site’s six laboratories perform essential functions that support the full steelmaking process. Activities include the physical and chemical analysis of raw materials and by</w:t>
          </w:r>
          <w:r w:rsidRPr="00CC7A49">
            <w:rPr>
              <w:rFonts w:ascii="Cambria Math" w:hAnsi="Cambria Math" w:cs="Cambria Math"/>
              <w:shd w:val="clear" w:color="auto" w:fill="FFFFFF"/>
            </w:rPr>
            <w:t>‑</w:t>
          </w:r>
          <w:r w:rsidRPr="00CC7A49">
            <w:rPr>
              <w:shd w:val="clear" w:color="auto" w:fill="FFFFFF"/>
            </w:rPr>
            <w:t xml:space="preserve">products, environmental monitoring surveys for the coke ovens, mechanical testing of coil for certification, chemical assessment of molten steel ladles before casting, effluent analysis to ensure compliance with environmental permits, and investigations into customer complaints. </w:t>
          </w:r>
        </w:p>
        <w:p w14:paraId="4E68C7C3" w14:textId="2C63235F" w:rsidR="00B15779" w:rsidRPr="00CC7A49" w:rsidRDefault="00B15779" w:rsidP="00CC7A49">
          <w:pPr>
            <w:rPr>
              <w:shd w:val="clear" w:color="auto" w:fill="FFFFFF"/>
            </w:rPr>
          </w:pPr>
          <w:r w:rsidRPr="00CC7A49">
            <w:rPr>
              <w:shd w:val="clear" w:color="auto" w:fill="FFFFFF"/>
            </w:rPr>
            <w:t>In 2023, Tata Steel announced a major transformation of its UK operations following a joint investment proposal with the UK Government to deliver the largest upgrade to the UK steel industry in decades- to install Electric Arc Furnace (EAF) steelmaking at Port Talbot as part of a shift toward low</w:t>
          </w:r>
          <w:r w:rsidRPr="00CC7A49">
            <w:rPr>
              <w:shd w:val="clear" w:color="auto" w:fill="FFFFFF"/>
            </w:rPr>
            <w:noBreakHyphen/>
            <w:t>carbon, sustainable production. This transition was deemed essential due to the ageing conditions and unsustainable operating costs of the existing heavy</w:t>
          </w:r>
          <w:r w:rsidRPr="00CC7A49">
            <w:rPr>
              <w:shd w:val="clear" w:color="auto" w:fill="FFFFFF"/>
            </w:rPr>
            <w:noBreakHyphen/>
            <w:t>end assets, including the blast furnaces and coke ovens, which were acknowledged as approaching the end of their operational life (Tata Steel UK, 2025). On 18 March 2024, Tata Steel UK CEO announced that operations at the Morfa Coke Ovens would cease with effect from 20 March, giving employees two days’ notice (Tata Steel UK, 2024). This shutdown was attributed to “significantly deteriorating operational stability” (Tata Steel UK, 2024) and an operational condition that was no longer safe to sustain.</w:t>
          </w:r>
        </w:p>
        <w:p w14:paraId="2F757D32" w14:textId="0CF4815F" w:rsidR="004A11F6" w:rsidRDefault="00B15779" w:rsidP="007D1947">
          <w:pPr>
            <w:rPr>
              <w:shd w:val="clear" w:color="auto" w:fill="FFFFFF"/>
            </w:rPr>
          </w:pPr>
          <w:r w:rsidRPr="00CC7A49">
            <w:rPr>
              <w:shd w:val="clear" w:color="auto" w:fill="FFFFFF"/>
            </w:rPr>
            <w:t>The short</w:t>
          </w:r>
          <w:r w:rsidRPr="00CC7A49">
            <w:rPr>
              <w:shd w:val="clear" w:color="auto" w:fill="FFFFFF"/>
            </w:rPr>
            <w:noBreakHyphen/>
            <w:t>notice announcement illustrated a predominantly centralised and top</w:t>
          </w:r>
          <w:r w:rsidRPr="00CC7A49">
            <w:rPr>
              <w:shd w:val="clear" w:color="auto" w:fill="FFFFFF"/>
            </w:rPr>
            <w:noBreakHyphen/>
            <w:t>down decision</w:t>
          </w:r>
          <w:r w:rsidRPr="00CC7A49">
            <w:rPr>
              <w:shd w:val="clear" w:color="auto" w:fill="FFFFFF"/>
            </w:rPr>
            <w:noBreakHyphen/>
            <w:t>making approach and what had been an anticipated, strategic, future</w:t>
          </w:r>
          <w:r w:rsidRPr="00CC7A49">
            <w:rPr>
              <w:shd w:val="clear" w:color="auto" w:fill="FFFFFF"/>
            </w:rPr>
            <w:noBreakHyphen/>
            <w:t>oriented change became immediate and unexpected. The laborator</w:t>
          </w:r>
          <w:r w:rsidR="007E5A40" w:rsidRPr="00CC7A49">
            <w:rPr>
              <w:shd w:val="clear" w:color="auto" w:fill="FFFFFF"/>
            </w:rPr>
            <w:t xml:space="preserve">ies’ management were </w:t>
          </w:r>
          <w:r w:rsidRPr="00CC7A49">
            <w:rPr>
              <w:shd w:val="clear" w:color="auto" w:fill="FFFFFF"/>
            </w:rPr>
            <w:t>compelled to rely on participative, team</w:t>
          </w:r>
          <w:r w:rsidRPr="00CC7A49">
            <w:rPr>
              <w:shd w:val="clear" w:color="auto" w:fill="FFFFFF"/>
            </w:rPr>
            <w:noBreakHyphen/>
            <w:t xml:space="preserve">led coordination </w:t>
          </w:r>
          <w:r w:rsidR="00BC3CD0" w:rsidRPr="00CC7A49">
            <w:rPr>
              <w:shd w:val="clear" w:color="auto" w:fill="FFFFFF"/>
            </w:rPr>
            <w:t>with limited strategic guidance from senior leadership, to rapidly develop a Management of Change (</w:t>
          </w:r>
          <w:proofErr w:type="spellStart"/>
          <w:r w:rsidR="00BC3CD0" w:rsidRPr="00CC7A49">
            <w:rPr>
              <w:shd w:val="clear" w:color="auto" w:fill="FFFFFF"/>
            </w:rPr>
            <w:t>MoC</w:t>
          </w:r>
          <w:proofErr w:type="spellEnd"/>
          <w:r w:rsidR="00BC3CD0" w:rsidRPr="00CC7A49">
            <w:rPr>
              <w:shd w:val="clear" w:color="auto" w:fill="FFFFFF"/>
            </w:rPr>
            <w:t>)</w:t>
          </w:r>
          <w:r w:rsidR="00F354B3" w:rsidRPr="00CC7A49">
            <w:rPr>
              <w:shd w:val="clear" w:color="auto" w:fill="FFFFFF"/>
            </w:rPr>
            <w:t xml:space="preserve">, </w:t>
          </w:r>
          <w:r w:rsidR="00BC3CD0" w:rsidRPr="00CC7A49">
            <w:rPr>
              <w:shd w:val="clear" w:color="auto" w:fill="FFFFFF"/>
            </w:rPr>
            <w:t xml:space="preserve">to </w:t>
          </w:r>
          <w:r w:rsidR="00F354B3" w:rsidRPr="00CC7A49">
            <w:rPr>
              <w:shd w:val="clear" w:color="auto" w:fill="FFFFFF"/>
            </w:rPr>
            <w:t xml:space="preserve">reassess workflows </w:t>
          </w:r>
          <w:r w:rsidR="00EF6164" w:rsidRPr="00CC7A49">
            <w:rPr>
              <w:shd w:val="clear" w:color="auto" w:fill="FFFFFF"/>
            </w:rPr>
            <w:t xml:space="preserve">and keep the shift employees motivated </w:t>
          </w:r>
          <w:r w:rsidR="00634311" w:rsidRPr="00CC7A49">
            <w:rPr>
              <w:shd w:val="clear" w:color="auto" w:fill="FFFFFF"/>
            </w:rPr>
            <w:t>to continue essential process and compliance testing.</w:t>
          </w:r>
          <w:r w:rsidR="00BC3CD0" w:rsidRPr="00CC7A49">
            <w:rPr>
              <w:shd w:val="clear" w:color="auto" w:fill="FFFFFF"/>
            </w:rPr>
            <w:t xml:space="preserve"> A </w:t>
          </w:r>
          <w:r w:rsidR="002B0733" w:rsidRPr="00CC7A49">
            <w:rPr>
              <w:shd w:val="clear" w:color="auto" w:fill="FFFFFF"/>
            </w:rPr>
            <w:t xml:space="preserve">significant volume of testing within the Raw Materials Laboratory </w:t>
          </w:r>
          <w:r w:rsidR="00BC3CD0" w:rsidRPr="00CC7A49">
            <w:rPr>
              <w:shd w:val="clear" w:color="auto" w:fill="FFFFFF"/>
            </w:rPr>
            <w:t xml:space="preserve">stopped </w:t>
          </w:r>
          <w:r w:rsidR="002B0733" w:rsidRPr="00CC7A49">
            <w:rPr>
              <w:shd w:val="clear" w:color="auto" w:fill="FFFFFF"/>
            </w:rPr>
            <w:t>leaving employees concerned about job security while still being required to attend work</w:t>
          </w:r>
          <w:r w:rsidR="007B2DF6" w:rsidRPr="00CC7A49">
            <w:rPr>
              <w:shd w:val="clear" w:color="auto" w:fill="FFFFFF"/>
            </w:rPr>
            <w:t xml:space="preserve">. </w:t>
          </w:r>
          <w:r w:rsidR="002B0733" w:rsidRPr="00CC7A49">
            <w:rPr>
              <w:shd w:val="clear" w:color="auto" w:fill="FFFFFF"/>
            </w:rPr>
            <w:t xml:space="preserve">This illustrates how abrupt change, when poorly supported, can </w:t>
          </w:r>
          <w:r w:rsidR="007B2DF6" w:rsidRPr="00CC7A49">
            <w:rPr>
              <w:shd w:val="clear" w:color="auto" w:fill="FFFFFF"/>
            </w:rPr>
            <w:t xml:space="preserve">effect </w:t>
          </w:r>
          <w:r w:rsidR="002B0733" w:rsidRPr="00CC7A49">
            <w:rPr>
              <w:shd w:val="clear" w:color="auto" w:fill="FFFFFF"/>
            </w:rPr>
            <w:t>psychological security and place additional emotional and managerial strain on frontline teams</w:t>
          </w:r>
          <w:r w:rsidR="00547C8D">
            <w:rPr>
              <w:shd w:val="clear" w:color="auto" w:fill="FFFFFF"/>
            </w:rPr>
            <w:t>.</w:t>
          </w:r>
        </w:p>
        <w:p w14:paraId="64E1F298" w14:textId="77777777" w:rsidR="00547C8D" w:rsidRDefault="00547C8D" w:rsidP="007D1947">
          <w:pPr>
            <w:rPr>
              <w:shd w:val="clear" w:color="auto" w:fill="FFFFFF"/>
            </w:rPr>
          </w:pPr>
        </w:p>
        <w:p w14:paraId="557E7E88" w14:textId="77777777" w:rsidR="00547C8D" w:rsidRDefault="00547C8D" w:rsidP="007D1947">
          <w:pPr>
            <w:rPr>
              <w:shd w:val="clear" w:color="auto" w:fill="FFFFFF"/>
            </w:rPr>
          </w:pPr>
        </w:p>
        <w:p w14:paraId="23384591" w14:textId="77777777" w:rsidR="00547C8D" w:rsidRDefault="00547C8D" w:rsidP="007D1947">
          <w:pPr>
            <w:rPr>
              <w:shd w:val="clear" w:color="auto" w:fill="FFFFFF"/>
            </w:rPr>
          </w:pPr>
        </w:p>
        <w:p w14:paraId="35025C83" w14:textId="77777777" w:rsidR="00547C8D" w:rsidRDefault="00547C8D" w:rsidP="007D1947">
          <w:pPr>
            <w:rPr>
              <w:shd w:val="clear" w:color="auto" w:fill="FFFFFF"/>
            </w:rPr>
          </w:pPr>
        </w:p>
        <w:p w14:paraId="65F5CB68" w14:textId="77777777" w:rsidR="00547C8D" w:rsidRDefault="00547C8D" w:rsidP="007D1947">
          <w:pPr>
            <w:rPr>
              <w:shd w:val="clear" w:color="auto" w:fill="FFFFFF"/>
            </w:rPr>
          </w:pPr>
        </w:p>
        <w:p w14:paraId="56888A0B" w14:textId="77777777" w:rsidR="00547C8D" w:rsidRDefault="00547C8D" w:rsidP="007D1947">
          <w:pPr>
            <w:rPr>
              <w:shd w:val="clear" w:color="auto" w:fill="FFFFFF"/>
            </w:rPr>
          </w:pPr>
        </w:p>
        <w:p w14:paraId="5EAAF55F" w14:textId="77777777" w:rsidR="00547C8D" w:rsidRDefault="00547C8D" w:rsidP="007D1947">
          <w:pPr>
            <w:rPr>
              <w:shd w:val="clear" w:color="auto" w:fill="FFFFFF"/>
            </w:rPr>
          </w:pPr>
        </w:p>
        <w:p w14:paraId="24807C65" w14:textId="77777777" w:rsidR="00547C8D" w:rsidRDefault="00547C8D" w:rsidP="007D1947">
          <w:pPr>
            <w:rPr>
              <w:shd w:val="clear" w:color="auto" w:fill="FFFFFF"/>
            </w:rPr>
          </w:pPr>
        </w:p>
        <w:p w14:paraId="0D3F6DA9" w14:textId="77777777" w:rsidR="00547C8D" w:rsidRDefault="00547C8D" w:rsidP="007D1947"/>
        <w:p w14:paraId="2E293EB9" w14:textId="77777777" w:rsidR="00480872" w:rsidRDefault="00480872" w:rsidP="008D4C45">
          <w:pPr>
            <w:pStyle w:val="Heading1"/>
          </w:pPr>
          <w:bookmarkStart w:id="2" w:name="_Toc227564967"/>
          <w:r>
            <w:lastRenderedPageBreak/>
            <w:t xml:space="preserve">Main </w:t>
          </w:r>
          <w:r w:rsidRPr="008D4C45">
            <w:t>Findings</w:t>
          </w:r>
          <w:bookmarkEnd w:id="2"/>
        </w:p>
        <w:p w14:paraId="4133DA70" w14:textId="6B002404" w:rsidR="00480872" w:rsidRDefault="0083673A" w:rsidP="00351348">
          <w:pPr>
            <w:pStyle w:val="Heading2"/>
          </w:pPr>
          <w:bookmarkStart w:id="3" w:name="_Toc226468157"/>
          <w:bookmarkStart w:id="4" w:name="_Toc227564968"/>
          <w:r>
            <w:t>Defining Organisational Change</w:t>
          </w:r>
          <w:bookmarkEnd w:id="3"/>
          <w:bookmarkEnd w:id="4"/>
        </w:p>
        <w:p w14:paraId="005EEB88" w14:textId="20A5F372" w:rsidR="00AD1B2C" w:rsidRPr="00AD1B2C" w:rsidRDefault="00AD1B2C" w:rsidP="00AD1B2C">
          <w:r w:rsidRPr="00AD1B2C">
            <w:t xml:space="preserve">As technological innovation accelerates, “rapid technological changes create huge opportunities for companies bold enough to seize them” (Bezos, cited in Mullins, 2016), positioning organisational change as a strategic necessity rather than an optional response. Mullins </w:t>
          </w:r>
          <w:r w:rsidR="00A779CE">
            <w:t>presents</w:t>
          </w:r>
          <w:r w:rsidRPr="00AD1B2C">
            <w:t xml:space="preserve"> change as inherent and unavoidable in modern organisations, driven by global competition, technological development, customer expectations and wider socio</w:t>
          </w:r>
          <w:r w:rsidRPr="00AD1B2C">
            <w:noBreakHyphen/>
            <w:t>economic and political pressures (Mullins, 2019, p.79). Hannagan (1995, p.27</w:t>
          </w:r>
          <w:r w:rsidR="00250C63">
            <w:t>-</w:t>
          </w:r>
          <w:r w:rsidRPr="00AD1B2C">
            <w:t>31) extends this understanding by positioning change as a core management challenge rather than solely a strategic issue, arguing that managers must balance maintaining control over existing systems with continuously adapting structures and processes in response to change. He emphasises that employees experience change as a transition rather than a single event, often progressing through stages of denial, resistance, exploration and commitment, as illustrated in his transition model (Fig. 1)</w:t>
          </w:r>
          <w:r w:rsidR="000A61CB">
            <w:t xml:space="preserve"> (</w:t>
          </w:r>
          <w:r w:rsidR="000A61CB" w:rsidRPr="000A61CB">
            <w:t>Hannagan, 1995, p.29</w:t>
          </w:r>
          <w:r w:rsidR="003537BC">
            <w:t>-</w:t>
          </w:r>
          <w:r w:rsidR="000A61CB" w:rsidRPr="000A61CB">
            <w:t>31</w:t>
          </w:r>
          <w:r w:rsidR="000A61CB">
            <w:t>)</w:t>
          </w:r>
          <w:r w:rsidRPr="00AD1B2C">
            <w:t>. This perspective reinforces the critical role of management in providing clarity, stability and emotional support, as employees may experience loss of security, competence, relationships and direction during periods of organisational change.</w:t>
          </w:r>
        </w:p>
        <w:p w14:paraId="6F4C81A9" w14:textId="77777777" w:rsidR="005C6278" w:rsidRDefault="00C0404B" w:rsidP="005C6278">
          <w:pPr>
            <w:keepNext/>
            <w:jc w:val="center"/>
          </w:pPr>
          <w:r w:rsidRPr="00C0404B">
            <w:rPr>
              <w:noProof/>
            </w:rPr>
            <w:drawing>
              <wp:inline distT="0" distB="0" distL="0" distR="0" wp14:anchorId="409EBDDD" wp14:editId="40EDC135">
                <wp:extent cx="2762392" cy="2686188"/>
                <wp:effectExtent l="0" t="0" r="0" b="0"/>
                <wp:docPr id="139803923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39236" name="Picture 1" descr="A diagram of a diagram&#10;&#10;AI-generated content may be incorrect."/>
                        <pic:cNvPicPr/>
                      </pic:nvPicPr>
                      <pic:blipFill>
                        <a:blip r:embed="rId11"/>
                        <a:stretch>
                          <a:fillRect/>
                        </a:stretch>
                      </pic:blipFill>
                      <pic:spPr>
                        <a:xfrm>
                          <a:off x="0" y="0"/>
                          <a:ext cx="2762392" cy="2686188"/>
                        </a:xfrm>
                        <a:prstGeom prst="rect">
                          <a:avLst/>
                        </a:prstGeom>
                      </pic:spPr>
                    </pic:pic>
                  </a:graphicData>
                </a:graphic>
              </wp:inline>
            </w:drawing>
          </w:r>
        </w:p>
        <w:p w14:paraId="0BE81067" w14:textId="5D1D936A" w:rsidR="00C0404B" w:rsidRPr="00B62CEC" w:rsidRDefault="005C6278" w:rsidP="005C6278">
          <w:pPr>
            <w:pStyle w:val="Caption"/>
            <w:jc w:val="center"/>
          </w:pPr>
          <w:r>
            <w:t xml:space="preserve">Figure </w:t>
          </w:r>
          <w:r>
            <w:fldChar w:fldCharType="begin"/>
          </w:r>
          <w:r>
            <w:instrText xml:space="preserve"> SEQ Figure \* ARABIC </w:instrText>
          </w:r>
          <w:r>
            <w:fldChar w:fldCharType="separate"/>
          </w:r>
          <w:r w:rsidR="00A60163">
            <w:rPr>
              <w:noProof/>
            </w:rPr>
            <w:t>1</w:t>
          </w:r>
          <w:r>
            <w:fldChar w:fldCharType="end"/>
          </w:r>
          <w:r>
            <w:t>. Transition Model</w:t>
          </w:r>
        </w:p>
        <w:p w14:paraId="037A9F3E" w14:textId="1BDCF001" w:rsidR="00634668" w:rsidRPr="00634668" w:rsidRDefault="00634668" w:rsidP="00634668">
          <w:r w:rsidRPr="00634668">
            <w:t>Tata Steel’s transition represents a planned, transformational response to decarbonisation pressures, changing customer demand and technological advancement, aligning with Mullins’ view that organisations must proactively adapt to remain viable. However, the unplanned and safety</w:t>
          </w:r>
          <w:r w:rsidRPr="00634668">
            <w:noBreakHyphen/>
            <w:t>driven closure of the Morfa Coke Ovens introduced sudden operational disruption alongside long</w:t>
          </w:r>
          <w:r w:rsidRPr="00634668">
            <w:noBreakHyphen/>
            <w:t>term strategic change, giving employees</w:t>
          </w:r>
          <w:r w:rsidR="00A024B3">
            <w:t xml:space="preserve"> </w:t>
          </w:r>
          <w:r w:rsidRPr="00634668">
            <w:t>little opportunity to progress from resistance to exploration</w:t>
          </w:r>
          <w:r w:rsidR="00DD1D84">
            <w:t>. U</w:t>
          </w:r>
          <w:r w:rsidRPr="00634668">
            <w:t>ncertainty increased, resistance intensified</w:t>
          </w:r>
          <w:r w:rsidR="00DD1D84">
            <w:t>,</w:t>
          </w:r>
          <w:r w:rsidRPr="00634668">
            <w:t xml:space="preserve"> and employee adjustment became more difficult.</w:t>
          </w:r>
        </w:p>
        <w:p w14:paraId="7A6618CC" w14:textId="77777777" w:rsidR="003E76D3" w:rsidRDefault="003E76D3" w:rsidP="003E76D3"/>
        <w:p w14:paraId="7A548E61" w14:textId="77777777" w:rsidR="00547C8D" w:rsidRDefault="00547C8D" w:rsidP="003E76D3"/>
        <w:p w14:paraId="39D25075" w14:textId="77777777" w:rsidR="003E76D3" w:rsidRDefault="003E76D3" w:rsidP="003E76D3"/>
        <w:p w14:paraId="2FA89B3F" w14:textId="77777777" w:rsidR="00CE5AA3" w:rsidRPr="00294AED" w:rsidRDefault="00CE5AA3" w:rsidP="00CE5AA3">
          <w:pPr>
            <w:pStyle w:val="Heading2"/>
          </w:pPr>
          <w:bookmarkStart w:id="5" w:name="_Toc226468158"/>
          <w:bookmarkStart w:id="6" w:name="_Toc227564969"/>
          <w:r w:rsidRPr="00294AED">
            <w:lastRenderedPageBreak/>
            <w:t>Lewin’s Force Field Analysis</w:t>
          </w:r>
          <w:bookmarkEnd w:id="5"/>
          <w:bookmarkEnd w:id="6"/>
        </w:p>
        <w:p w14:paraId="1A8C4DB2" w14:textId="44BFE3DD" w:rsidR="009C1400" w:rsidRPr="009C1400" w:rsidRDefault="00CE5AA3" w:rsidP="009C1400">
          <w:r>
            <w:t>Force</w:t>
          </w:r>
          <w:r>
            <w:rPr>
              <w:rFonts w:ascii="Cambria Math" w:hAnsi="Cambria Math" w:cs="Cambria Math"/>
            </w:rPr>
            <w:t>‑</w:t>
          </w:r>
          <w:r>
            <w:t>Field Analysis, first introduced by Kurt Lewin, is a change</w:t>
          </w:r>
          <w:r>
            <w:rPr>
              <w:rFonts w:ascii="Cambria Math" w:hAnsi="Cambria Math" w:cs="Cambria Math"/>
            </w:rPr>
            <w:t>‑</w:t>
          </w:r>
          <w:r>
            <w:t xml:space="preserve">management tool used to understand the forces influencing and restraining organisational change. </w:t>
          </w:r>
          <w:r w:rsidR="009C1400" w:rsidRPr="009C1400">
            <w:t xml:space="preserve">Change is conceptualised as occurring within a state of </w:t>
          </w:r>
          <w:r w:rsidR="003738D7" w:rsidRPr="003738D7">
            <w:t>“</w:t>
          </w:r>
          <w:r w:rsidR="009C1400" w:rsidRPr="009C1400">
            <w:t>quasi</w:t>
          </w:r>
          <w:r w:rsidR="009C1400" w:rsidRPr="009C1400">
            <w:noBreakHyphen/>
            <w:t>equilibrium</w:t>
          </w:r>
          <w:r w:rsidR="003738D7" w:rsidRPr="003738D7">
            <w:t>”</w:t>
          </w:r>
          <w:r w:rsidR="009C1400" w:rsidRPr="009C1400">
            <w:t>, where progress only becomes possible when driving forces are strengthened, restraining forces are reduced, or both occur simultaneously (University of Cambridge, 2016).</w:t>
          </w:r>
        </w:p>
        <w:p w14:paraId="05199F3C" w14:textId="3E8898BF" w:rsidR="00A96E61" w:rsidRPr="00A96E61" w:rsidRDefault="00A96E61" w:rsidP="00A96E61">
          <w:r w:rsidRPr="00A96E61">
            <w:t>The model is a useful early diagnostic tool for organisations to anticipate resistance and assess readiness for change due to its simplicity and visual clarity, particularly as resistance to change is an inherent feature of organisational life and may signal operational or psychological concerns (</w:t>
          </w:r>
          <w:r w:rsidR="002562AD">
            <w:t>UWTSD</w:t>
          </w:r>
          <w:r w:rsidRPr="00A96E61">
            <w:t>, 2026). However, it can oversimplify complex organisational dynamics, relies heavily on subjective judgement when weighting forces, and may be less effective in fast</w:t>
          </w:r>
          <w:r w:rsidRPr="00A96E61">
            <w:noBreakHyphen/>
            <w:t xml:space="preserve">moving or highly technical environments. In addition, meaningful </w:t>
          </w:r>
          <w:r w:rsidR="002166A6">
            <w:t>applications</w:t>
          </w:r>
          <w:r w:rsidRPr="00A96E61">
            <w:t xml:space="preserve"> often </w:t>
          </w:r>
          <w:r w:rsidR="002166A6">
            <w:t>require</w:t>
          </w:r>
          <w:r w:rsidRPr="00A96E61">
            <w:t xml:space="preserve"> broad stakeholder input, which can be time</w:t>
          </w:r>
          <w:r w:rsidRPr="00A96E61">
            <w:noBreakHyphen/>
            <w:t>consuming and difficult to coordinate (Wallbridge, 2022).</w:t>
          </w:r>
        </w:p>
        <w:p w14:paraId="54656634" w14:textId="440C66E2" w:rsidR="003E76D3" w:rsidRDefault="002166A6" w:rsidP="003E76D3">
          <w:r>
            <w:rPr>
              <w:noProof/>
            </w:rPr>
            <mc:AlternateContent>
              <mc:Choice Requires="wps">
                <w:drawing>
                  <wp:anchor distT="0" distB="0" distL="114300" distR="114300" simplePos="0" relativeHeight="251667968" behindDoc="0" locked="0" layoutInCell="1" allowOverlap="1" wp14:anchorId="2AD3D24E" wp14:editId="6027AF56">
                    <wp:simplePos x="0" y="0"/>
                    <wp:positionH relativeFrom="column">
                      <wp:posOffset>-2540</wp:posOffset>
                    </wp:positionH>
                    <wp:positionV relativeFrom="paragraph">
                      <wp:posOffset>5748655</wp:posOffset>
                    </wp:positionV>
                    <wp:extent cx="5731510" cy="635"/>
                    <wp:effectExtent l="0" t="0" r="0" b="0"/>
                    <wp:wrapTopAndBottom/>
                    <wp:docPr id="14270988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E35A50" w14:textId="2A18AD27" w:rsidR="002166A6" w:rsidRPr="00B86897" w:rsidRDefault="002166A6" w:rsidP="002166A6">
                                <w:pPr>
                                  <w:pStyle w:val="Caption"/>
                                  <w:rPr>
                                    <w:noProof/>
                                    <w:sz w:val="22"/>
                                    <w:szCs w:val="22"/>
                                  </w:rPr>
                                </w:pPr>
                                <w:r>
                                  <w:t xml:space="preserve">Figure </w:t>
                                </w:r>
                                <w:r>
                                  <w:fldChar w:fldCharType="begin"/>
                                </w:r>
                                <w:r>
                                  <w:instrText xml:space="preserve"> SEQ Figure \* ARABIC </w:instrText>
                                </w:r>
                                <w:r>
                                  <w:fldChar w:fldCharType="separate"/>
                                </w:r>
                                <w:r w:rsidR="00A60163">
                                  <w:rPr>
                                    <w:noProof/>
                                  </w:rPr>
                                  <w:t>2</w:t>
                                </w:r>
                                <w:r>
                                  <w:fldChar w:fldCharType="end"/>
                                </w:r>
                                <w:r>
                                  <w:t xml:space="preserve">. Application of </w:t>
                                </w:r>
                                <w:r w:rsidRPr="00D92751">
                                  <w:t>Force Field Analysis</w:t>
                                </w:r>
                                <w:r>
                                  <w:t xml:space="preserve"> (Self-Produced) </w:t>
                                </w:r>
                                <w:r w:rsidRPr="00D92751">
                                  <w:t>(Tata Steel UK, 2025)</w:t>
                                </w:r>
                                <w:r>
                                  <w:t xml:space="preserve"> </w:t>
                                </w:r>
                                <w:r w:rsidRPr="00D92751">
                                  <w:t>(Tata Steel UK, 2024a)</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D3D24E" id="Text Box 1" o:spid="_x0000_s1027" type="#_x0000_t202" style="position:absolute;margin-left:-.2pt;margin-top:452.65pt;width:451.3pt;height:.05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" stroked="f">
                    <v:textbox style="mso-fit-shape-to-text:t" inset="0,0,0,0">
                      <w:txbxContent>
                        <w:p w14:paraId="03E35A50" w14:textId="2A18AD27" w:rsidR="002166A6" w:rsidRPr="00B86897" w:rsidRDefault="002166A6" w:rsidP="002166A6">
                          <w:pPr>
                            <w:pStyle w:val="Caption"/>
                            <w:rPr>
                              <w:noProof/>
                              <w:sz w:val="22"/>
                              <w:szCs w:val="22"/>
                            </w:rPr>
                          </w:pPr>
                          <w:r>
                            <w:t xml:space="preserve">Figure </w:t>
                          </w:r>
                          <w:r>
                            <w:fldChar w:fldCharType="begin"/>
                          </w:r>
                          <w:r>
                            <w:instrText xml:space="preserve"> SEQ Figure \* ARABIC </w:instrText>
                          </w:r>
                          <w:r>
                            <w:fldChar w:fldCharType="separate"/>
                          </w:r>
                          <w:r w:rsidR="00A60163">
                            <w:rPr>
                              <w:noProof/>
                            </w:rPr>
                            <w:t>2</w:t>
                          </w:r>
                          <w:r>
                            <w:fldChar w:fldCharType="end"/>
                          </w:r>
                          <w:r>
                            <w:t xml:space="preserve">. Application of </w:t>
                          </w:r>
                          <w:r w:rsidRPr="00D92751">
                            <w:t>Force Field Analysis</w:t>
                          </w:r>
                          <w:r>
                            <w:t xml:space="preserve"> (Self-Produced) </w:t>
                          </w:r>
                          <w:r w:rsidRPr="00D92751">
                            <w:t>(Tata Steel UK, 2025)</w:t>
                          </w:r>
                          <w:r>
                            <w:t xml:space="preserve"> </w:t>
                          </w:r>
                          <w:r w:rsidRPr="00D92751">
                            <w:t>(Tata Steel UK, 2024a)</w:t>
                          </w:r>
                          <w:r>
                            <w:t>.</w:t>
                          </w:r>
                        </w:p>
                      </w:txbxContent>
                    </v:textbox>
                    <w10:wrap type="topAndBottom"/>
                  </v:shape>
                </w:pict>
              </mc:Fallback>
            </mc:AlternateContent>
          </w:r>
          <w:r w:rsidR="000A2D9F" w:rsidRPr="00D553FC">
            <w:rPr>
              <w:noProof/>
            </w:rPr>
            <w:drawing>
              <wp:anchor distT="0" distB="0" distL="114300" distR="114300" simplePos="0" relativeHeight="251660800" behindDoc="0" locked="0" layoutInCell="1" allowOverlap="1" wp14:anchorId="3AA8CC0D" wp14:editId="272FD501">
                <wp:simplePos x="0" y="0"/>
                <wp:positionH relativeFrom="margin">
                  <wp:align>right</wp:align>
                </wp:positionH>
                <wp:positionV relativeFrom="paragraph">
                  <wp:posOffset>222250</wp:posOffset>
                </wp:positionV>
                <wp:extent cx="5731510" cy="5469255"/>
                <wp:effectExtent l="0" t="0" r="2540" b="0"/>
                <wp:wrapTopAndBottom/>
                <wp:docPr id="601323811"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323811" name="Picture 1" descr="A diagram of a chang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5469255"/>
                        </a:xfrm>
                        <a:prstGeom prst="rect">
                          <a:avLst/>
                        </a:prstGeom>
                      </pic:spPr>
                    </pic:pic>
                  </a:graphicData>
                </a:graphic>
              </wp:anchor>
            </w:drawing>
          </w:r>
        </w:p>
        <w:p w14:paraId="0447B08D" w14:textId="2588887B" w:rsidR="003E76D3" w:rsidRDefault="003E76D3" w:rsidP="003E76D3"/>
        <w:p w14:paraId="0AECE066" w14:textId="6A0C6352" w:rsidR="00EE5FF0" w:rsidRDefault="006F54CA" w:rsidP="00EE5FF0">
          <w:r w:rsidRPr="006F54CA">
            <w:lastRenderedPageBreak/>
            <w:t>When applied to Tata Steel UK, the model illustrates that the organisation was operating in a state of organisational quasi</w:t>
          </w:r>
          <w:r w:rsidRPr="006F54CA">
            <w:noBreakHyphen/>
            <w:t>equilibrium, where opposing driving and restraining forces had previously maintained operational stability (Lewin, 1951</w:t>
          </w:r>
          <w:r w:rsidR="00D51374">
            <w:t>, p</w:t>
          </w:r>
          <w:r w:rsidR="007E12D4">
            <w:t>.</w:t>
          </w:r>
          <w:r w:rsidR="00C54D56">
            <w:t>202-206</w:t>
          </w:r>
          <w:r w:rsidRPr="006F54CA">
            <w:t xml:space="preserve">). Consistent with Lewin’s field theory, once driving forces increased beyond the organisation’s capacity to compensate, the existing equilibrium collapsed, making the </w:t>
          </w:r>
          <w:r w:rsidR="00EF1B29">
            <w:t xml:space="preserve">change </w:t>
          </w:r>
          <w:r w:rsidRPr="006F54CA">
            <w:t>unavoidable.</w:t>
          </w:r>
          <w:r>
            <w:t xml:space="preserve"> </w:t>
          </w:r>
          <w:r w:rsidR="00EE5FF0" w:rsidRPr="00EE5FF0">
            <w:t>However, this also explains why the change was experienced as abrupt and imposed rather than effectively managed, as restraining forces were not adequately addressed through communication, engagement or phased planning. Hannagan argues that resistance to change should not be ignored or suppressed, as doing so can intensify uncertainty and prolong behavioural and emotional disruption; instead, resistance should be surfaced and managed through clear leadership, communication and involvement (Hannagan, 1995</w:t>
          </w:r>
          <w:r w:rsidR="00EE5FF0">
            <w:t xml:space="preserve">, </w:t>
          </w:r>
          <w:r w:rsidR="0084572E">
            <w:t>p</w:t>
          </w:r>
          <w:r w:rsidR="00A60163">
            <w:t>.</w:t>
          </w:r>
          <w:r w:rsidR="0084572E">
            <w:t>32</w:t>
          </w:r>
          <w:r w:rsidR="00EE5FF0" w:rsidRPr="00EE5FF0">
            <w:t xml:space="preserve">). The model demonstrates that although the decision to close the coke ovens was necessary, particularly from a safety perspective, greater action </w:t>
          </w:r>
          <w:r w:rsidR="004862EC">
            <w:t xml:space="preserve">should have been taken </w:t>
          </w:r>
          <w:r w:rsidR="00EE5FF0" w:rsidRPr="00EE5FF0">
            <w:t xml:space="preserve">to mitigate restraining forces before implementation. This could have included communicating the closure earlier to enable functions, including the laboratories, to complete a </w:t>
          </w:r>
          <w:proofErr w:type="spellStart"/>
          <w:r w:rsidR="00EE5FF0" w:rsidRPr="00EE5FF0">
            <w:t>MoC</w:t>
          </w:r>
          <w:proofErr w:type="spellEnd"/>
          <w:r w:rsidR="00EE5FF0" w:rsidRPr="00EE5FF0">
            <w:t xml:space="preserve"> in advance and address employee concerns ahead of the change.</w:t>
          </w:r>
        </w:p>
        <w:p w14:paraId="29B331A1" w14:textId="77777777" w:rsidR="00136885" w:rsidRPr="00886D71" w:rsidRDefault="00136885" w:rsidP="00136885">
          <w:pPr>
            <w:rPr>
              <w:rStyle w:val="Heading2Char"/>
            </w:rPr>
          </w:pPr>
          <w:bookmarkStart w:id="7" w:name="_Toc227564970"/>
          <w:r w:rsidRPr="00886D71">
            <w:rPr>
              <w:rStyle w:val="Heading2Char"/>
            </w:rPr>
            <w:t>Lewin’s Three</w:t>
          </w:r>
          <w:r w:rsidRPr="00886D71">
            <w:rPr>
              <w:rStyle w:val="Heading2Char"/>
            </w:rPr>
            <w:noBreakHyphen/>
            <w:t>Step Change Model</w:t>
          </w:r>
          <w:bookmarkEnd w:id="7"/>
        </w:p>
        <w:p w14:paraId="5A83C96D" w14:textId="77777777" w:rsidR="00136885" w:rsidRDefault="00136885" w:rsidP="00136885">
          <w:r w:rsidRPr="003C2367">
            <w:t>Lewin’s Three</w:t>
          </w:r>
          <w:r w:rsidRPr="003C2367">
            <w:rPr>
              <w:rFonts w:ascii="Cambria Math" w:hAnsi="Cambria Math" w:cs="Cambria Math"/>
            </w:rPr>
            <w:t>‑</w:t>
          </w:r>
          <w:r w:rsidRPr="003C2367">
            <w:t>Stage Change Model explains organisational change as a structured process consisting of three phases: unfreezing, change, and refreezing</w:t>
          </w:r>
          <w:r>
            <w:t xml:space="preserve"> </w:t>
          </w:r>
          <w:r w:rsidRPr="00AE10D7">
            <w:t>(Hussain et al., 2018)</w:t>
          </w:r>
          <w:r w:rsidRPr="003C2367">
            <w:t>.</w:t>
          </w:r>
        </w:p>
        <w:p w14:paraId="266BE707" w14:textId="77777777" w:rsidR="00A60163" w:rsidRDefault="00FA66FC" w:rsidP="00A60163">
          <w:pPr>
            <w:keepNext/>
            <w:jc w:val="center"/>
          </w:pPr>
          <w:r w:rsidRPr="00FA66FC">
            <w:rPr>
              <w:b/>
              <w:bCs/>
              <w:noProof/>
            </w:rPr>
            <w:drawing>
              <wp:inline distT="0" distB="0" distL="0" distR="0" wp14:anchorId="0564DA32" wp14:editId="6D346E27">
                <wp:extent cx="3759200" cy="2352675"/>
                <wp:effectExtent l="0" t="0" r="0" b="9525"/>
                <wp:docPr id="855854811"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54811" name="Picture 1" descr="A diagram of a change&#10;&#10;AI-generated content may be incorrect."/>
                        <pic:cNvPicPr/>
                      </pic:nvPicPr>
                      <pic:blipFill>
                        <a:blip r:embed="rId13"/>
                        <a:stretch>
                          <a:fillRect/>
                        </a:stretch>
                      </pic:blipFill>
                      <pic:spPr>
                        <a:xfrm>
                          <a:off x="0" y="0"/>
                          <a:ext cx="3759393" cy="2352796"/>
                        </a:xfrm>
                        <a:prstGeom prst="rect">
                          <a:avLst/>
                        </a:prstGeom>
                      </pic:spPr>
                    </pic:pic>
                  </a:graphicData>
                </a:graphic>
              </wp:inline>
            </w:drawing>
          </w:r>
        </w:p>
        <w:p w14:paraId="5E58A65F" w14:textId="145F816B" w:rsidR="00A60163" w:rsidRDefault="00A60163" w:rsidP="00941B5D">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751C70">
            <w:t>Lewin’s Three Step Change Model</w:t>
          </w:r>
          <w:r>
            <w:t xml:space="preserve"> </w:t>
          </w:r>
          <w:r w:rsidRPr="007F3927">
            <w:t>(Cameron and Green, 2024</w:t>
          </w:r>
          <w:r>
            <w:t>, p.98</w:t>
          </w:r>
          <w:r w:rsidRPr="007F3927">
            <w:t>)</w:t>
          </w:r>
          <w:r>
            <w:t>.</w:t>
          </w:r>
        </w:p>
        <w:p w14:paraId="3DCF9A72" w14:textId="77777777" w:rsidR="00A60163" w:rsidRPr="00A60163" w:rsidRDefault="00A60163" w:rsidP="00A60163"/>
        <w:p w14:paraId="0CD32F92" w14:textId="77777777" w:rsidR="00136885" w:rsidRDefault="00136885" w:rsidP="00136885">
          <w:pPr>
            <w:pStyle w:val="Heading3"/>
          </w:pPr>
          <w:bookmarkStart w:id="8" w:name="_Toc226468160"/>
          <w:bookmarkStart w:id="9" w:name="_Toc227564971"/>
          <w:r>
            <w:t>Unfreeze Stage</w:t>
          </w:r>
          <w:bookmarkEnd w:id="8"/>
          <w:bookmarkEnd w:id="9"/>
        </w:p>
        <w:p w14:paraId="42A770EA" w14:textId="31EB8896" w:rsidR="00D869E1" w:rsidRDefault="00136885" w:rsidP="00136885">
          <w:r w:rsidRPr="00AE10D7">
            <w:t>The unfreezing stage requires organisations to prepare employees for change by communicating the need for change, addressing resistance, and creating psychological readiness</w:t>
          </w:r>
          <w:r w:rsidR="00B0718A">
            <w:t xml:space="preserve"> </w:t>
          </w:r>
          <w:r w:rsidR="00B0718A" w:rsidRPr="00B0718A">
            <w:t>(Cameron and Green, 2024, p</w:t>
          </w:r>
          <w:r w:rsidR="00A60163">
            <w:t>.</w:t>
          </w:r>
          <w:r w:rsidR="00B0718A" w:rsidRPr="00B0718A">
            <w:t>98)</w:t>
          </w:r>
          <w:r w:rsidR="00B0718A">
            <w:t xml:space="preserve">. </w:t>
          </w:r>
        </w:p>
        <w:p w14:paraId="7D5D7D6E" w14:textId="72539734" w:rsidR="00EC0CE7" w:rsidRDefault="00136885" w:rsidP="00EC0CE7">
          <w:r w:rsidRPr="00AE10D7">
            <w:t xml:space="preserve">In </w:t>
          </w:r>
          <w:r w:rsidRPr="00B0718A">
            <w:t>this</w:t>
          </w:r>
          <w:r w:rsidRPr="00AE10D7">
            <w:t xml:space="preserve"> case, unfreezing was </w:t>
          </w:r>
          <w:r w:rsidRPr="00B0718A">
            <w:t>significantly</w:t>
          </w:r>
          <w:r w:rsidRPr="00AE10D7">
            <w:t xml:space="preserve"> ineffective. Although the long</w:t>
          </w:r>
          <w:r w:rsidRPr="00AE10D7">
            <w:noBreakHyphen/>
            <w:t xml:space="preserve">term transition toward green steel and </w:t>
          </w:r>
          <w:r w:rsidRPr="00B0718A">
            <w:t xml:space="preserve">the </w:t>
          </w:r>
          <w:r w:rsidRPr="00AE10D7">
            <w:t>EAF</w:t>
          </w:r>
          <w:r w:rsidRPr="00B0718A">
            <w:t xml:space="preserve"> </w:t>
          </w:r>
          <w:r w:rsidRPr="00AE10D7">
            <w:t xml:space="preserve">production had been communicated as a strategic direction, the timing and immediacy of the coke oven closure were not adequately prepared for. </w:t>
          </w:r>
          <w:r w:rsidRPr="00B0718A">
            <w:t xml:space="preserve">During this stage, </w:t>
          </w:r>
          <w:r w:rsidR="007B03FA">
            <w:t>employees should have been communicated to</w:t>
          </w:r>
          <w:r w:rsidRPr="00B0718A">
            <w:t xml:space="preserve"> earlier about the likelihood of accelerated closure, explaining the safety and cost factors driving the decision, </w:t>
          </w:r>
          <w:r w:rsidR="00EC567B">
            <w:t xml:space="preserve">management should have worked on minimising the resisting factors such as workforce anxiety </w:t>
          </w:r>
          <w:r w:rsidR="00375696">
            <w:t xml:space="preserve">and a change plan with a timeline should have been in place </w:t>
          </w:r>
          <w:r w:rsidR="00EC0CE7" w:rsidRPr="00EC0CE7">
            <w:t>(Cameron and Green, 2024</w:t>
          </w:r>
          <w:r w:rsidR="00EC0CE7">
            <w:t>, p</w:t>
          </w:r>
          <w:r w:rsidR="00A60163">
            <w:t>.</w:t>
          </w:r>
          <w:r w:rsidR="00EC0CE7">
            <w:t>99</w:t>
          </w:r>
          <w:r w:rsidR="00EC0CE7" w:rsidRPr="00EC0CE7">
            <w:t>)</w:t>
          </w:r>
          <w:bookmarkStart w:id="10" w:name="_Toc226468161"/>
          <w:r w:rsidR="00EC0CE7">
            <w:t>.</w:t>
          </w:r>
        </w:p>
        <w:p w14:paraId="3934649C" w14:textId="1D95229C" w:rsidR="00136885" w:rsidRDefault="00136885" w:rsidP="00E76CE6">
          <w:pPr>
            <w:pStyle w:val="Heading3"/>
          </w:pPr>
          <w:bookmarkStart w:id="11" w:name="_Toc227564972"/>
          <w:r>
            <w:lastRenderedPageBreak/>
            <w:t>Change Stage</w:t>
          </w:r>
          <w:bookmarkEnd w:id="10"/>
          <w:bookmarkEnd w:id="11"/>
          <w:r>
            <w:t xml:space="preserve"> </w:t>
          </w:r>
        </w:p>
        <w:p w14:paraId="3EE31453" w14:textId="65767712" w:rsidR="00733026" w:rsidRPr="00787C32" w:rsidRDefault="00136885" w:rsidP="00733026">
          <w:r w:rsidRPr="00AE10D7">
            <w:t>The change stage involves implementing new processes, structures or behaviours while supporting employees through the transition</w:t>
          </w:r>
          <w:r w:rsidR="003A1503" w:rsidRPr="00787C32">
            <w:t xml:space="preserve"> (Mullins, 2016, p</w:t>
          </w:r>
          <w:r w:rsidR="00A60163">
            <w:t>.</w:t>
          </w:r>
          <w:r w:rsidR="003A1503" w:rsidRPr="00787C32">
            <w:t>553)</w:t>
          </w:r>
          <w:r w:rsidRPr="00AE10D7">
            <w:t>. In</w:t>
          </w:r>
          <w:r w:rsidRPr="00787C32">
            <w:t xml:space="preserve"> this case, </w:t>
          </w:r>
          <w:r w:rsidRPr="00AE10D7">
            <w:t>the change phase occurred rapidly and under pressure, driven by urgent safety concerns and deteriorating asset conditions.</w:t>
          </w:r>
          <w:r w:rsidR="009B1784" w:rsidRPr="00787C32">
            <w:t xml:space="preserve"> </w:t>
          </w:r>
          <w:bookmarkStart w:id="12" w:name="_Toc226468162"/>
          <w:r w:rsidR="00733026" w:rsidRPr="00787C32">
            <w:t xml:space="preserve">Laboratory management teams were required to react to sudden disruption to workflows, testing priorities and safety procedures, relying on collaborative and flexible responses without guidance. The Raw Materials’ Laboratory was </w:t>
          </w:r>
          <w:r w:rsidR="00A60163">
            <w:t>closed</w:t>
          </w:r>
          <w:r w:rsidR="00733026" w:rsidRPr="00787C32">
            <w:t xml:space="preserve"> due to reduced testing demand, resulting in redundant shifts, management roles and equipment, alongside the need to manage chemicals under COSHH, decommission and sell assets, and update and communicate procedures.</w:t>
          </w:r>
        </w:p>
        <w:p w14:paraId="288F7A23" w14:textId="1F2EF115" w:rsidR="00733026" w:rsidRPr="00733026" w:rsidRDefault="00733026" w:rsidP="00733026">
          <w:r w:rsidRPr="00733026">
            <w:t>As a result, the change relied heavily on reactive, team</w:t>
          </w:r>
          <w:r w:rsidRPr="00733026">
            <w:noBreakHyphen/>
            <w:t>led problem</w:t>
          </w:r>
          <w:r w:rsidRPr="00733026">
            <w:noBreakHyphen/>
            <w:t xml:space="preserve">solving rather than a planned organisational change process, leaving the organisation in a prolonged state of transition. A proactive </w:t>
          </w:r>
          <w:proofErr w:type="spellStart"/>
          <w:r w:rsidRPr="00733026">
            <w:t>MoC</w:t>
          </w:r>
          <w:proofErr w:type="spellEnd"/>
          <w:r w:rsidRPr="00787C32">
            <w:t xml:space="preserve"> </w:t>
          </w:r>
          <w:r w:rsidRPr="00733026">
            <w:t xml:space="preserve">should have provided clear guidance on revised workflows, temporary role adjustments, updated safety responsibilities and prioritised testing requirements, supported by visible leadership and consistent communication. Instead, the </w:t>
          </w:r>
          <w:proofErr w:type="spellStart"/>
          <w:r w:rsidRPr="00733026">
            <w:t>MoC</w:t>
          </w:r>
          <w:proofErr w:type="spellEnd"/>
          <w:r w:rsidRPr="00733026">
            <w:t xml:space="preserve"> documentation was produced in response to the change rather than as a preparatory measure, limiting its effectiveness. Greater preparation of line managers to support employees, respond to concerns and provide consistent direction would have reduced uncertainty and enabled a more controlled and supported progression through the change stage.</w:t>
          </w:r>
        </w:p>
        <w:p w14:paraId="44F95D25" w14:textId="234D5D38" w:rsidR="00136885" w:rsidRPr="00E76CE6" w:rsidRDefault="00136885" w:rsidP="00E76CE6">
          <w:pPr>
            <w:pStyle w:val="Heading3"/>
          </w:pPr>
          <w:bookmarkStart w:id="13" w:name="_Toc227564973"/>
          <w:r w:rsidRPr="00E76CE6">
            <w:t>Refreeze Stage</w:t>
          </w:r>
          <w:bookmarkEnd w:id="12"/>
          <w:bookmarkEnd w:id="13"/>
        </w:p>
        <w:p w14:paraId="2D772298" w14:textId="534C5218" w:rsidR="00136885" w:rsidRPr="00787C32" w:rsidRDefault="00136885" w:rsidP="00136885">
          <w:r w:rsidRPr="00AE10D7">
            <w:t>The refreezing stage aims to stabilise the organisation by embedding new ways of working and restoring equilibrium</w:t>
          </w:r>
          <w:r w:rsidR="0087496A" w:rsidRPr="00787C32">
            <w:t xml:space="preserve"> (Mullins, 2016, </w:t>
          </w:r>
          <w:r w:rsidR="008D6B1C">
            <w:t>p.553</w:t>
          </w:r>
          <w:r w:rsidR="0087496A" w:rsidRPr="00787C32">
            <w:t>)</w:t>
          </w:r>
          <w:r w:rsidRPr="00AE10D7">
            <w:t>. In this case, refreezing</w:t>
          </w:r>
          <w:r w:rsidR="007708E6" w:rsidRPr="00787C32">
            <w:t xml:space="preserve"> has yet to be</w:t>
          </w:r>
          <w:r w:rsidRPr="00AE10D7">
            <w:t xml:space="preserve"> fully achieved. The closure of the coke ovens occurred </w:t>
          </w:r>
          <w:r w:rsidR="00BC6EEF">
            <w:t>alongside the anticipation of</w:t>
          </w:r>
          <w:r w:rsidR="00951522" w:rsidRPr="00787C32">
            <w:t xml:space="preserve"> </w:t>
          </w:r>
          <w:r w:rsidR="00711DAC" w:rsidRPr="00787C32">
            <w:t>the closure of the blast furnaces and the sinter plant</w:t>
          </w:r>
          <w:r w:rsidR="00BC6EEF">
            <w:t>,</w:t>
          </w:r>
          <w:r w:rsidR="00711DAC" w:rsidRPr="00787C32">
            <w:t xml:space="preserve"> </w:t>
          </w:r>
          <w:r w:rsidR="00886786" w:rsidRPr="00787C32">
            <w:t xml:space="preserve">which comes with further </w:t>
          </w:r>
          <w:r w:rsidR="000778FF" w:rsidRPr="00787C32">
            <w:t>redundancies</w:t>
          </w:r>
          <w:r w:rsidR="00886786" w:rsidRPr="00787C32">
            <w:t xml:space="preserve"> and changes to </w:t>
          </w:r>
          <w:r w:rsidR="00BC6EEF">
            <w:t>workload</w:t>
          </w:r>
          <w:r w:rsidR="00886786" w:rsidRPr="00787C32">
            <w:t xml:space="preserve"> and demands. </w:t>
          </w:r>
          <w:r w:rsidRPr="00AE10D7">
            <w:t>Without clear reinforcement of long</w:t>
          </w:r>
          <w:r w:rsidRPr="00AE10D7">
            <w:noBreakHyphen/>
            <w:t xml:space="preserve">term direction at </w:t>
          </w:r>
          <w:r w:rsidRPr="00787C32">
            <w:t xml:space="preserve">the </w:t>
          </w:r>
          <w:r w:rsidRPr="00AE10D7">
            <w:t>departmental level, the change remained unsettled, preventing employees from fully adapting to a new “normal</w:t>
          </w:r>
          <w:r w:rsidRPr="00787C32">
            <w:t>” and contributing to ongoing concern about the potential for further sudden change.</w:t>
          </w:r>
        </w:p>
        <w:p w14:paraId="26A1DB74" w14:textId="5E0F1831" w:rsidR="00605B85" w:rsidRPr="00605B85" w:rsidRDefault="00136885" w:rsidP="00605B85">
          <w:r w:rsidRPr="00512880">
            <w:t xml:space="preserve">For laboratory staff, </w:t>
          </w:r>
          <w:r w:rsidR="00247131">
            <w:t>t</w:t>
          </w:r>
          <w:r w:rsidR="00247131" w:rsidRPr="00787C32">
            <w:t xml:space="preserve">his </w:t>
          </w:r>
          <w:r w:rsidR="00247131" w:rsidRPr="00512880">
            <w:t xml:space="preserve">stage could have been strengthened by </w:t>
          </w:r>
          <w:r w:rsidRPr="00512880">
            <w:t>clarifying future testing requirements, workloads and responsibilities</w:t>
          </w:r>
          <w:r w:rsidR="007708E6" w:rsidRPr="00787C32">
            <w:t xml:space="preserve"> of the laboratories</w:t>
          </w:r>
          <w:r w:rsidRPr="00512880">
            <w:t>, alongside reassurance over stability and support mechanisms.</w:t>
          </w:r>
          <w:r w:rsidR="00605B85" w:rsidRPr="00605B85">
            <w:t xml:space="preserve"> Lewin’s model</w:t>
          </w:r>
          <w:r w:rsidR="00247131">
            <w:t xml:space="preserve">, however, </w:t>
          </w:r>
          <w:r w:rsidR="00605B85" w:rsidRPr="00605B85">
            <w:t>assumes a relatively stable end</w:t>
          </w:r>
          <w:r w:rsidR="00605B85" w:rsidRPr="00605B85">
            <w:noBreakHyphen/>
            <w:t>state, which limits its effectiveness in contexts such as Tata Steel UK, where overlapping closures, redundancies and future uncertainty prevent refreezing from being fully achieved.</w:t>
          </w:r>
        </w:p>
        <w:p w14:paraId="3BAC81C2" w14:textId="77777777" w:rsidR="00941B5D" w:rsidRDefault="00941B5D" w:rsidP="00623E80">
          <w:pPr>
            <w:pStyle w:val="Heading2"/>
          </w:pPr>
        </w:p>
        <w:p w14:paraId="2593DF8C" w14:textId="278BDD10" w:rsidR="00623E80" w:rsidRPr="003174B8" w:rsidRDefault="00623E80" w:rsidP="00623E80">
          <w:pPr>
            <w:pStyle w:val="Heading2"/>
          </w:pPr>
          <w:bookmarkStart w:id="14" w:name="_Toc227564974"/>
          <w:r w:rsidRPr="003174B8">
            <w:t>Employee Support, Guidance and Motivation During Change</w:t>
          </w:r>
          <w:bookmarkEnd w:id="14"/>
        </w:p>
        <w:p w14:paraId="7820AD2A" w14:textId="0007C2B1" w:rsidR="00480872" w:rsidRDefault="00F63C6F" w:rsidP="00E76CE6">
          <w:pPr>
            <w:pStyle w:val="Heading3"/>
          </w:pPr>
          <w:bookmarkStart w:id="15" w:name="_Toc227564975"/>
          <w:r>
            <w:t>Support</w:t>
          </w:r>
          <w:bookmarkEnd w:id="15"/>
          <w:r>
            <w:t xml:space="preserve"> </w:t>
          </w:r>
        </w:p>
        <w:p w14:paraId="1F21E79D" w14:textId="3751F56B" w:rsidR="00BC6EEF" w:rsidRDefault="006D67D4" w:rsidP="00BC6EEF">
          <w:r w:rsidRPr="006D67D4">
            <w:t>The abrupt closure of the coke ovens caused significant behavioural disruption, destabilising</w:t>
          </w:r>
          <w:r>
            <w:t xml:space="preserve"> </w:t>
          </w:r>
          <w:r w:rsidRPr="006D67D4">
            <w:t>routines</w:t>
          </w:r>
          <w:r w:rsidR="00242ECA">
            <w:t xml:space="preserve"> and </w:t>
          </w:r>
          <w:r w:rsidRPr="006D67D4">
            <w:t xml:space="preserve">roles </w:t>
          </w:r>
          <w:r w:rsidR="00242ECA">
            <w:t>w</w:t>
          </w:r>
          <w:r w:rsidRPr="006D67D4">
            <w:t>ithin the laborator</w:t>
          </w:r>
          <w:r w:rsidR="00242ECA">
            <w:t>ies</w:t>
          </w:r>
          <w:r w:rsidRPr="006D67D4">
            <w:t>, consistent with Mullins’ argument that sudden organisational change undermines psychological stability and performance (Mullins, 1993). This disruption heightened uncertainty and eroded employees’ sense of job security, aligning with Maslow’s Hierarchy of Needs, where unmet safety needs restrict engagement with higher</w:t>
          </w:r>
          <w:r w:rsidRPr="006D67D4">
            <w:noBreakHyphen/>
            <w:t>order motivations such as self</w:t>
          </w:r>
          <w:r w:rsidRPr="006D67D4">
            <w:noBreakHyphen/>
            <w:t>development and achievement</w:t>
          </w:r>
          <w:r w:rsidR="0025795A">
            <w:t xml:space="preserve"> </w:t>
          </w:r>
          <w:r w:rsidR="00351602" w:rsidRPr="00351602">
            <w:t>(McLeod, 2025)</w:t>
          </w:r>
          <w:r w:rsidRPr="006D67D4">
            <w:t>. Kotter’s Eight</w:t>
          </w:r>
          <w:r w:rsidRPr="006D67D4">
            <w:noBreakHyphen/>
            <w:t>Step Change Model highlights the organisation’s insufficient focus on the human dimensions of change, particularly the limited communication of vision, weak engagement of affected teams and lack of visible leadership support (Kotter, 1996). From a human relations perspective, Mayo’s theory emphasises that motivation is strongly influenced by social factors such as communication, managerial attention and emotional support</w:t>
          </w:r>
          <w:r w:rsidR="006C423D">
            <w:t xml:space="preserve"> </w:t>
          </w:r>
          <w:r w:rsidR="006C423D" w:rsidRPr="006C423D">
            <w:t>(Peek, 2025)</w:t>
          </w:r>
          <w:r w:rsidRPr="006D67D4">
            <w:t xml:space="preserve">; however, these were notably absent, </w:t>
          </w:r>
          <w:r w:rsidRPr="006D67D4">
            <w:lastRenderedPageBreak/>
            <w:t>illustrated by the removal of the mental health hub during redundancies, signalling a withdrawal of organisational care at a critical time</w:t>
          </w:r>
          <w:r w:rsidR="006C423D">
            <w:t>.</w:t>
          </w:r>
          <w:r w:rsidRPr="006D67D4">
            <w:t xml:space="preserve"> Likert’s theory reinforces this critique, suggesting that supportive and participative leadership fosters trust and commitment during disruption</w:t>
          </w:r>
          <w:r w:rsidR="00B42202">
            <w:t xml:space="preserve"> </w:t>
          </w:r>
          <w:r w:rsidR="00B42202" w:rsidRPr="00B42202">
            <w:t>(Wang, Hou and Li, 2022)</w:t>
          </w:r>
          <w:r w:rsidRPr="006D67D4">
            <w:t>. Tata Steel UK’s approach more closely reflected authoritative systems rather than participative</w:t>
          </w:r>
          <w:r w:rsidR="007972ED">
            <w:t>,</w:t>
          </w:r>
          <w:r w:rsidRPr="006D67D4">
            <w:t xml:space="preserve"> limiting employee voice and involvement. Greater alignment with a participative system</w:t>
          </w:r>
          <w:r w:rsidR="007972ED">
            <w:t>-</w:t>
          </w:r>
          <w:r w:rsidRPr="006D67D4">
            <w:t>actively involving employees in decision</w:t>
          </w:r>
          <w:r w:rsidRPr="006D67D4">
            <w:noBreakHyphen/>
            <w:t>making</w:t>
          </w:r>
          <w:r w:rsidR="00AD2BC1">
            <w:t>-</w:t>
          </w:r>
          <w:r w:rsidRPr="006D67D4">
            <w:t>could have strengthened ownership of the change, stabilised morale and enabled the change process to support itself through collective engagement</w:t>
          </w:r>
          <w:r w:rsidR="00F664D8">
            <w:t>.</w:t>
          </w:r>
        </w:p>
        <w:p w14:paraId="79633066" w14:textId="25007F57" w:rsidR="00F63C6F" w:rsidRDefault="00F63C6F" w:rsidP="00E76CE6">
          <w:pPr>
            <w:pStyle w:val="Heading3"/>
          </w:pPr>
          <w:bookmarkStart w:id="16" w:name="_Toc227564976"/>
          <w:r>
            <w:t>Guidance</w:t>
          </w:r>
          <w:bookmarkEnd w:id="16"/>
          <w:r>
            <w:t xml:space="preserve"> </w:t>
          </w:r>
        </w:p>
        <w:p w14:paraId="0BA3FC4F" w14:textId="50B892C5" w:rsidR="00F63C6F" w:rsidRDefault="00EB1A93" w:rsidP="00BC6EEF">
          <w:r w:rsidRPr="00EB1A93">
            <w:t xml:space="preserve">The decision to close the coke ovens was made at </w:t>
          </w:r>
          <w:r w:rsidR="00657967">
            <w:t xml:space="preserve">the </w:t>
          </w:r>
          <w:r w:rsidRPr="00EB1A93">
            <w:t>senior management level using a Theory X approach, with change imposed through top</w:t>
          </w:r>
          <w:r w:rsidRPr="00EB1A93">
            <w:rPr>
              <w:rFonts w:ascii="Cambria Math" w:hAnsi="Cambria Math" w:cs="Cambria Math"/>
            </w:rPr>
            <w:t>‑</w:t>
          </w:r>
          <w:r w:rsidRPr="00EB1A93">
            <w:t>down control and minimal consultation, consistent with McGregor</w:t>
          </w:r>
          <w:r w:rsidRPr="00EB1A93">
            <w:rPr>
              <w:rFonts w:ascii="Calibri" w:hAnsi="Calibri" w:cs="Calibri"/>
            </w:rPr>
            <w:t>’</w:t>
          </w:r>
          <w:r w:rsidRPr="00EB1A93">
            <w:t>s view that managers in high</w:t>
          </w:r>
          <w:r w:rsidRPr="00EB1A93">
            <w:rPr>
              <w:rFonts w:ascii="Cambria Math" w:hAnsi="Cambria Math" w:cs="Cambria Math"/>
            </w:rPr>
            <w:t>‑</w:t>
          </w:r>
          <w:r w:rsidRPr="00EB1A93">
            <w:t xml:space="preserve">risk organisations prioritise compliance and output (Channell, 2025). Once the decision had been implemented, responsibility for guiding laboratory employees through the transition was largely delegated to middle laboratory management, </w:t>
          </w:r>
          <w:r w:rsidR="00F126A1">
            <w:t xml:space="preserve">reflecting a Theory </w:t>
          </w:r>
          <w:r w:rsidR="00EA27F4">
            <w:t>X approach</w:t>
          </w:r>
          <w:r w:rsidR="008C13C5">
            <w:t xml:space="preserve">. </w:t>
          </w:r>
          <w:r w:rsidR="00657967">
            <w:t xml:space="preserve">Laboratory management </w:t>
          </w:r>
          <w:r w:rsidR="00C504F6">
            <w:t xml:space="preserve">had to adapt </w:t>
          </w:r>
          <w:r w:rsidR="00734148">
            <w:t>g</w:t>
          </w:r>
          <w:r w:rsidRPr="00EB1A93">
            <w:t xml:space="preserve">uidance </w:t>
          </w:r>
          <w:r w:rsidR="00A63357">
            <w:t xml:space="preserve">to shift employees </w:t>
          </w:r>
          <w:r w:rsidRPr="00EB1A93">
            <w:t xml:space="preserve">based on </w:t>
          </w:r>
          <w:r w:rsidR="00A63357">
            <w:t xml:space="preserve">the </w:t>
          </w:r>
          <w:r w:rsidRPr="00EB1A93">
            <w:t>individual</w:t>
          </w:r>
          <w:r w:rsidR="00A63357">
            <w:t xml:space="preserve">. </w:t>
          </w:r>
          <w:r w:rsidRPr="00EB1A93">
            <w:t xml:space="preserve">Some responded well to </w:t>
          </w:r>
          <w:r w:rsidR="00EB7975">
            <w:t xml:space="preserve">Theory Y, </w:t>
          </w:r>
          <w:r w:rsidRPr="00EB1A93">
            <w:t>minimal direction, independently identifying their competency gaps and taking action to address them. In contrast, longer</w:t>
          </w:r>
          <w:r w:rsidRPr="00EB1A93">
            <w:rPr>
              <w:rFonts w:ascii="Cambria Math" w:hAnsi="Cambria Math" w:cs="Cambria Math"/>
            </w:rPr>
            <w:t>‑</w:t>
          </w:r>
          <w:r w:rsidRPr="00EB1A93">
            <w:t>serving employees, required more structured guidance and closer line</w:t>
          </w:r>
          <w:r w:rsidRPr="00EB1A93">
            <w:rPr>
              <w:rFonts w:ascii="Cambria Math" w:hAnsi="Cambria Math" w:cs="Cambria Math"/>
            </w:rPr>
            <w:t>‑</w:t>
          </w:r>
          <w:r w:rsidRPr="00EB1A93">
            <w:t>management support, including clearer instructions and oversight aligned with a Theory X style where necessary.</w:t>
          </w:r>
          <w:r w:rsidR="006E704E">
            <w:t xml:space="preserve"> </w:t>
          </w:r>
          <w:r w:rsidR="00FD6BFB" w:rsidRPr="00FD6BFB">
            <w:t>Ouchi’s Theory Z could have provided a more effective approach by strengthening collaboration and trust between senior and laboratory management. By promoting shared responsibility, employee involvement and consistent communication</w:t>
          </w:r>
          <w:r w:rsidR="003F1547">
            <w:t xml:space="preserve"> </w:t>
          </w:r>
          <w:r w:rsidR="003F1547" w:rsidRPr="003F1547">
            <w:t>(Daft, 2004)</w:t>
          </w:r>
          <w:r w:rsidR="00FD6BFB" w:rsidRPr="00FD6BFB">
            <w:t>, a Theory Z approach could have better aligned strategic decisions with local implementation, reducing uncertainty and supporting a smoother transition through collective engagement rather than reactive management.</w:t>
          </w:r>
        </w:p>
        <w:p w14:paraId="59B0E598" w14:textId="77777777" w:rsidR="00281A15" w:rsidRDefault="00281A15" w:rsidP="00F63C6F">
          <w:pPr>
            <w:pStyle w:val="Heading2"/>
          </w:pPr>
        </w:p>
        <w:p w14:paraId="50914AA8" w14:textId="01FB7FC2" w:rsidR="00F63C6F" w:rsidRDefault="00F63C6F" w:rsidP="00E76CE6">
          <w:pPr>
            <w:pStyle w:val="Heading3"/>
          </w:pPr>
          <w:bookmarkStart w:id="17" w:name="_Toc227564977"/>
          <w:r>
            <w:t>Motivation</w:t>
          </w:r>
          <w:bookmarkEnd w:id="17"/>
          <w:r>
            <w:t xml:space="preserve"> </w:t>
          </w:r>
        </w:p>
        <w:p w14:paraId="3BECC254" w14:textId="244781A9" w:rsidR="005014C5" w:rsidRDefault="00F732D1" w:rsidP="005014C5">
          <w:r>
            <w:t xml:space="preserve">Herzberg’s Two Factor Theory differentiates between hygiene factors, which prevent employee dissatisfaction, and motivators, which enhance engagement and job satisfaction (Channell, 2021). In the Tata Steel UK case, the change negatively impacted both factors: key hygiene factors were undermined by extremely short notice, limited consultation and unclear communication regarding job security, increasing uncertainty, anxiety and disruption to workflows, safety responsibilities and working conditions. At the same time, motivators were weakened as the abrupt loss of </w:t>
          </w:r>
          <w:r w:rsidR="00167085">
            <w:t>Coke-related</w:t>
          </w:r>
          <w:r>
            <w:t xml:space="preserve"> testing reduced opportunities for achievement, technical contribution and meaningful work. Notably, younger employees within the laboratories were able to identify potential positives and were motivated by perceived opportunities for growth, technical enhancement and new career pathways</w:t>
          </w:r>
          <w:r w:rsidR="000859C6">
            <w:t>, whereas longer serving employees were less motivated by progression as they had got to where they want to be in their career</w:t>
          </w:r>
          <w:r w:rsidR="007666C0">
            <w:t>, didn’t want a change of role</w:t>
          </w:r>
          <w:r w:rsidR="000859C6">
            <w:t xml:space="preserve"> and either took </w:t>
          </w:r>
          <w:r w:rsidR="007666C0">
            <w:t>redundancy</w:t>
          </w:r>
          <w:r w:rsidR="000859C6">
            <w:t xml:space="preserve"> by the motivation of money and early retirement</w:t>
          </w:r>
          <w:r w:rsidR="008B1C64">
            <w:t xml:space="preserve">. Greater alignment with Kotter’s approach could have supported employee motivation by improving communication, providing </w:t>
          </w:r>
          <w:r w:rsidR="00C62E0B">
            <w:t xml:space="preserve">a </w:t>
          </w:r>
          <w:r w:rsidR="008B1C64">
            <w:t xml:space="preserve">clearer context for the change, and formally involving laboratory teams in transition planning. </w:t>
          </w:r>
        </w:p>
        <w:p w14:paraId="277A150E" w14:textId="77777777" w:rsidR="00941B5D" w:rsidRPr="005014C5" w:rsidRDefault="00941B5D" w:rsidP="005014C5"/>
        <w:p w14:paraId="735EB39C" w14:textId="3F14B0F0" w:rsidR="00AA2A91" w:rsidRDefault="00AA2A91" w:rsidP="00BA6C68">
          <w:pPr>
            <w:pStyle w:val="Heading1"/>
          </w:pPr>
          <w:bookmarkStart w:id="18" w:name="_Toc227564978"/>
          <w:r>
            <w:t>Conclusion</w:t>
          </w:r>
          <w:bookmarkEnd w:id="18"/>
        </w:p>
        <w:p w14:paraId="437CA5BA" w14:textId="3AD3A44F" w:rsidR="006D0B85" w:rsidRPr="006D0B85" w:rsidRDefault="006D0B85" w:rsidP="006D0B85">
          <w:r w:rsidRPr="006D0B85">
            <w:t xml:space="preserve">This report demonstrates that while the closure was strategically necessary and environmentally justified, the way the change was managed revealed significant weaknesses in </w:t>
          </w:r>
          <w:r w:rsidR="00897A36">
            <w:t xml:space="preserve">the </w:t>
          </w:r>
          <w:r w:rsidRPr="006D0B85">
            <w:t xml:space="preserve">approach to </w:t>
          </w:r>
          <w:r w:rsidRPr="006D0B85">
            <w:lastRenderedPageBreak/>
            <w:t>organisational change, particularly in relation to employee experience and operational implementation. Drawing on Mullins, th</w:t>
          </w:r>
          <w:r w:rsidR="00A86673">
            <w:t>is case</w:t>
          </w:r>
          <w:r w:rsidRPr="006D0B85">
            <w:t xml:space="preserve"> confirms that organisational change is not a linear or purely technical process, but a socially embedded one in which employee understanding, behavioural adaptation and psychological security are central to effective outcomes.</w:t>
          </w:r>
          <w:r w:rsidR="00F33266">
            <w:t xml:space="preserve"> </w:t>
          </w:r>
          <w:r w:rsidRPr="006D0B85">
            <w:t>Although strong driving forces</w:t>
          </w:r>
          <w:r w:rsidR="00A86673">
            <w:t xml:space="preserve"> </w:t>
          </w:r>
          <w:r w:rsidRPr="006D0B85">
            <w:t>made the closure unavoidable,</w:t>
          </w:r>
          <w:r w:rsidR="006628C5">
            <w:t xml:space="preserve"> </w:t>
          </w:r>
          <w:r w:rsidR="007A1181">
            <w:t>application</w:t>
          </w:r>
          <w:r w:rsidR="006628C5" w:rsidRPr="006628C5">
            <w:t xml:space="preserve"> of Lewin’s Force Field Analysis indicates that factors such as uncertainty, anxiety and limited consultation were inadequately addressed prior to implementation</w:t>
          </w:r>
          <w:r w:rsidRPr="006D0B85">
            <w:t>. Consequently, resistance was intensified rather than managed. Application of Lewin’s Three</w:t>
          </w:r>
          <w:r w:rsidRPr="006D0B85">
            <w:noBreakHyphen/>
            <w:t xml:space="preserve">Step Change Model further indicates that </w:t>
          </w:r>
          <w:r w:rsidR="00943A02">
            <w:t>e</w:t>
          </w:r>
          <w:r w:rsidR="00943A02" w:rsidRPr="00943A02">
            <w:t>arly preparation for change was absent, implementation became reactive, and longer</w:t>
          </w:r>
          <w:r w:rsidR="00943A02" w:rsidRPr="00943A02">
            <w:noBreakHyphen/>
            <w:t>term stabilisation was never fully achieved</w:t>
          </w:r>
          <w:r w:rsidRPr="006D0B85">
            <w:t>, leaving employees without clarity, stability or a settled new way of working. Consistent with Mullins’ emphasis on behavioural disruption, the sudden loss of established roles, routines and sources of competence, particularly within laboratory teams, reduced morale and heightened resistance.</w:t>
          </w:r>
          <w:r w:rsidR="00F33266">
            <w:t xml:space="preserve"> </w:t>
          </w:r>
          <w:r w:rsidRPr="006D0B85">
            <w:t xml:space="preserve">From an employee support perspective, </w:t>
          </w:r>
          <w:r w:rsidR="00256D2A">
            <w:t>c</w:t>
          </w:r>
          <w:r w:rsidR="00256D2A" w:rsidRPr="00256D2A">
            <w:t>oncerns surrounding job security undermined employee motivation, consistent with Maslow’s hierarchy of needs</w:t>
          </w:r>
          <w:r w:rsidRPr="006D0B85">
            <w:t>, as employees struggled to move beyond concerns over redundancy and job stability. The reduction of support mechanisms conflicted with Mayo’s Human Relations Theory, while Likert’s work indicates that more participative leadership could have strengthened trust and commitment during the transition. Similarly, Ouchi’s Theory Z suggests that greater employee involvement and shared responsibility could have improved alignment between senior management decisions and local implementation. Herzberg’s Two</w:t>
          </w:r>
          <w:r w:rsidRPr="006D0B85">
            <w:noBreakHyphen/>
            <w:t xml:space="preserve">Factor Theory further highlights how </w:t>
          </w:r>
          <w:r w:rsidR="00FC32A0">
            <w:t>d</w:t>
          </w:r>
          <w:r w:rsidR="00FC32A0" w:rsidRPr="00FC32A0">
            <w:t xml:space="preserve">eterioration of hygiene factors, </w:t>
          </w:r>
          <w:r w:rsidR="008769BB" w:rsidRPr="006D0B85">
            <w:t>, alongside reduced motivators</w:t>
          </w:r>
          <w:r w:rsidR="00FC32A0" w:rsidRPr="00FC32A0">
            <w:t>, contributed to declining employee engagement</w:t>
          </w:r>
          <w:r w:rsidR="008769BB">
            <w:t xml:space="preserve">, </w:t>
          </w:r>
          <w:r w:rsidRPr="006D0B85">
            <w:t>particularly among longer</w:t>
          </w:r>
          <w:r w:rsidRPr="006D0B85">
            <w:noBreakHyphen/>
            <w:t>serving employees.</w:t>
          </w:r>
        </w:p>
        <w:p w14:paraId="1FEEA072" w14:textId="4337C369" w:rsidR="006D0B85" w:rsidRPr="006D0B85" w:rsidRDefault="006D0B85" w:rsidP="006D0B85">
          <w:r w:rsidRPr="006D0B85">
            <w:t xml:space="preserve">Overall, earlier communication, </w:t>
          </w:r>
          <w:r w:rsidR="00F33266">
            <w:t xml:space="preserve">a visible </w:t>
          </w:r>
          <w:r w:rsidRPr="006D0B85">
            <w:t>change plan and sustained employee involvement would have reduced resistance and supported a more effective and accepted transition. Embedding participative leadership and consistent support structures will be essential for Tata Steel UK in managing future transformational change more successfully.</w:t>
          </w:r>
        </w:p>
        <w:p w14:paraId="22020C63" w14:textId="77777777" w:rsidR="00AA2A91" w:rsidRDefault="00AA2A91" w:rsidP="00AA2A91"/>
        <w:p w14:paraId="0274910A" w14:textId="77777777" w:rsidR="00547C8D" w:rsidRDefault="00547C8D" w:rsidP="00AA2A91"/>
        <w:p w14:paraId="37AEB4B7" w14:textId="77777777" w:rsidR="00547C8D" w:rsidRDefault="00547C8D" w:rsidP="00AA2A91"/>
        <w:p w14:paraId="6ECEF463" w14:textId="77777777" w:rsidR="00956289" w:rsidRDefault="00956289" w:rsidP="00AA2A91"/>
        <w:p w14:paraId="6A3CF4B4" w14:textId="77777777" w:rsidR="00956289" w:rsidRDefault="00956289" w:rsidP="00AA2A91"/>
        <w:p w14:paraId="597CD17B" w14:textId="77777777" w:rsidR="00956289" w:rsidRDefault="00956289" w:rsidP="00AA2A91"/>
        <w:p w14:paraId="7577C4F3" w14:textId="77777777" w:rsidR="00956289" w:rsidRDefault="00956289" w:rsidP="00AA2A91"/>
        <w:p w14:paraId="312D4D3B" w14:textId="77777777" w:rsidR="00956289" w:rsidRDefault="00956289" w:rsidP="00AA2A91"/>
        <w:p w14:paraId="7C88B1C5" w14:textId="77777777" w:rsidR="00F33266" w:rsidRDefault="00F33266" w:rsidP="00AA2A91"/>
        <w:p w14:paraId="4DB67C42" w14:textId="57D6BAE9" w:rsidR="000A2B45" w:rsidRDefault="00AA2A91" w:rsidP="00F33266">
          <w:pPr>
            <w:pStyle w:val="Heading1"/>
          </w:pPr>
          <w:bookmarkStart w:id="19" w:name="_Toc227564979"/>
          <w:r>
            <w:t>Bibliography</w:t>
          </w:r>
        </w:p>
      </w:sdtContent>
    </w:sdt>
    <w:bookmarkEnd w:id="19" w:displacedByCustomXml="prev"/>
    <w:p w14:paraId="2B052160" w14:textId="3CE23921" w:rsidR="000A2B45" w:rsidRPr="000A2B45" w:rsidRDefault="000A2B45" w:rsidP="000A2B45">
      <w:r w:rsidRPr="000A2B45">
        <w:t xml:space="preserve">Britannica (2019). </w:t>
      </w:r>
      <w:proofErr w:type="spellStart"/>
      <w:r w:rsidRPr="000A2B45">
        <w:t>Rensis</w:t>
      </w:r>
      <w:proofErr w:type="spellEnd"/>
      <w:r w:rsidRPr="000A2B45">
        <w:t xml:space="preserve"> Likert | American social scientist. In: </w:t>
      </w:r>
      <w:proofErr w:type="spellStart"/>
      <w:r w:rsidRPr="000A2B45">
        <w:rPr>
          <w:i/>
          <w:iCs/>
        </w:rPr>
        <w:t>Encyclopædia</w:t>
      </w:r>
      <w:proofErr w:type="spellEnd"/>
      <w:r w:rsidRPr="000A2B45">
        <w:rPr>
          <w:i/>
          <w:iCs/>
        </w:rPr>
        <w:t xml:space="preserve"> Britannica</w:t>
      </w:r>
      <w:r w:rsidRPr="000A2B45">
        <w:t>. [online] Available at: https://www.britannica.com/biography/Rensis-Likert.</w:t>
      </w:r>
    </w:p>
    <w:p w14:paraId="7EDE3CA2" w14:textId="77777777" w:rsidR="000A2B45" w:rsidRPr="000A2B45" w:rsidRDefault="000A2B45" w:rsidP="000A2B45">
      <w:proofErr w:type="spellStart"/>
      <w:r w:rsidRPr="000A2B45">
        <w:t>BusinessBalls</w:t>
      </w:r>
      <w:proofErr w:type="spellEnd"/>
      <w:r w:rsidRPr="000A2B45">
        <w:t xml:space="preserve"> (2019). </w:t>
      </w:r>
      <w:r w:rsidRPr="000A2B45">
        <w:rPr>
          <w:i/>
          <w:iCs/>
        </w:rPr>
        <w:t>Likert’s Management Systems</w:t>
      </w:r>
      <w:r w:rsidRPr="000A2B45">
        <w:t>. [online] Businessballs.com. Available at: https://www.businessballs.com/organisational-culture/likerts-management-systems/.</w:t>
      </w:r>
    </w:p>
    <w:p w14:paraId="2EC90E1C" w14:textId="77777777" w:rsidR="000A2B45" w:rsidRPr="000A2B45" w:rsidRDefault="000A2B45" w:rsidP="000A2B45">
      <w:r w:rsidRPr="000A2B45">
        <w:lastRenderedPageBreak/>
        <w:t xml:space="preserve">Cameron, E. and Green, M. (2024). </w:t>
      </w:r>
      <w:r w:rsidRPr="000A2B45">
        <w:rPr>
          <w:i/>
          <w:iCs/>
        </w:rPr>
        <w:t>Making Sense of Change Management : a Complete Guide to the models, Tools and Techniques of ... Organizational change.</w:t>
      </w:r>
      <w:r w:rsidRPr="000A2B45">
        <w:t xml:space="preserve"> 6th ed. [online] Kogan Page Stylus. Available at: http://www.uop.edu.pk/ocontents/Change%20Management%20Book.pdf.</w:t>
      </w:r>
    </w:p>
    <w:p w14:paraId="722F1A5E" w14:textId="77777777" w:rsidR="000A2B45" w:rsidRPr="000A2B45" w:rsidRDefault="000A2B45" w:rsidP="000A2B45">
      <w:r w:rsidRPr="000A2B45">
        <w:t xml:space="preserve">Channell, M. (2021). </w:t>
      </w:r>
      <w:r w:rsidRPr="000A2B45">
        <w:rPr>
          <w:i/>
          <w:iCs/>
        </w:rPr>
        <w:t>Herzberg’s Two-Factor Theory: A Guide To Motivating Your Team</w:t>
      </w:r>
      <w:r w:rsidRPr="000A2B45">
        <w:t>. [online] TSW Training. Available at: https://www.tsw.co.uk/insights/herzbergs-two-factor-theory/ [Accessed 22 Feb. 2026].</w:t>
      </w:r>
    </w:p>
    <w:p w14:paraId="14136BF5" w14:textId="77777777" w:rsidR="000A2B45" w:rsidRPr="000A2B45" w:rsidRDefault="000A2B45" w:rsidP="000A2B45">
      <w:r w:rsidRPr="000A2B45">
        <w:t xml:space="preserve">Channell, M. (2025). </w:t>
      </w:r>
      <w:r w:rsidRPr="000A2B45">
        <w:rPr>
          <w:i/>
          <w:iCs/>
        </w:rPr>
        <w:t>McGregor’s Theory X and Y: How to Increase Team Performance</w:t>
      </w:r>
      <w:r w:rsidRPr="000A2B45">
        <w:t>. [online] TSW Training. Available at: https://www.tsw.co.uk/insights/mcgregors-theory-x-vs-theory-y/.</w:t>
      </w:r>
    </w:p>
    <w:p w14:paraId="48214762" w14:textId="77777777" w:rsidR="000A2B45" w:rsidRPr="000A2B45" w:rsidRDefault="000A2B45" w:rsidP="000A2B45">
      <w:r w:rsidRPr="000A2B45">
        <w:t xml:space="preserve">Daft, R.L. (2004). </w:t>
      </w:r>
      <w:r w:rsidRPr="000A2B45">
        <w:rPr>
          <w:i/>
          <w:iCs/>
        </w:rPr>
        <w:t xml:space="preserve">(PDF) Theory Z: Opening the corporate door for participative </w:t>
      </w:r>
      <w:proofErr w:type="spellStart"/>
      <w:r w:rsidRPr="000A2B45">
        <w:rPr>
          <w:i/>
          <w:iCs/>
        </w:rPr>
        <w:t>managment</w:t>
      </w:r>
      <w:proofErr w:type="spellEnd"/>
      <w:r w:rsidRPr="000A2B45">
        <w:t>. [online] ResearchGate. Available at: https://www.researchgate.net/publication/292279521_Theory_Z_Opening_the_corporate_door_for_participative_managment.</w:t>
      </w:r>
    </w:p>
    <w:p w14:paraId="3FBC48FA" w14:textId="77777777" w:rsidR="000A2B45" w:rsidRPr="000A2B45" w:rsidRDefault="000A2B45" w:rsidP="000A2B45">
      <w:r w:rsidRPr="000A2B45">
        <w:t xml:space="preserve">Hannagan, T. (1995). </w:t>
      </w:r>
      <w:r w:rsidRPr="000A2B45">
        <w:rPr>
          <w:i/>
          <w:iCs/>
        </w:rPr>
        <w:t>Management : Concepts &amp; Practices</w:t>
      </w:r>
      <w:r w:rsidRPr="000A2B45">
        <w:t>. London : Pitman.</w:t>
      </w:r>
    </w:p>
    <w:p w14:paraId="35487883" w14:textId="77777777" w:rsidR="000A2B45" w:rsidRPr="000A2B45" w:rsidRDefault="000A2B45" w:rsidP="000A2B45">
      <w:r w:rsidRPr="000A2B45">
        <w:t xml:space="preserve">Hussain, S.T., Lei, S., Akram, T., Haider, M.J., Hussain, S.H. and Ali, M. (2018). Kurt Lewin’s Change model: a Critical Review of the Role of Leadership and Employee Involvement in Organizational Change. </w:t>
      </w:r>
      <w:r w:rsidRPr="000A2B45">
        <w:rPr>
          <w:i/>
          <w:iCs/>
        </w:rPr>
        <w:t>Journal of Innovation &amp; Knowledge</w:t>
      </w:r>
      <w:r w:rsidRPr="000A2B45">
        <w:t>, 3(3), pp.123–127.</w:t>
      </w:r>
    </w:p>
    <w:p w14:paraId="3843FD53" w14:textId="77777777" w:rsidR="000A2B45" w:rsidRPr="000A2B45" w:rsidRDefault="000A2B45" w:rsidP="000A2B45">
      <w:r w:rsidRPr="000A2B45">
        <w:t xml:space="preserve">Lewin, K. (1951). </w:t>
      </w:r>
      <w:r w:rsidRPr="000A2B45">
        <w:rPr>
          <w:i/>
          <w:iCs/>
        </w:rPr>
        <w:t>Field theory in social science</w:t>
      </w:r>
      <w:r w:rsidRPr="000A2B45">
        <w:t>. New York: Harper and Row.</w:t>
      </w:r>
    </w:p>
    <w:p w14:paraId="235A3AC9" w14:textId="77777777" w:rsidR="000A2B45" w:rsidRPr="000A2B45" w:rsidRDefault="000A2B45" w:rsidP="000A2B45">
      <w:r w:rsidRPr="000A2B45">
        <w:t xml:space="preserve">McLeod, S. (2025). </w:t>
      </w:r>
      <w:r w:rsidRPr="000A2B45">
        <w:rPr>
          <w:i/>
          <w:iCs/>
        </w:rPr>
        <w:t>Maslow’s Hierarchy of Needs</w:t>
      </w:r>
      <w:r w:rsidRPr="000A2B45">
        <w:t>. [online] ResearchGate. Available at: https://www.researchgate.net/publication/383241976_Maslow.</w:t>
      </w:r>
    </w:p>
    <w:p w14:paraId="578DFE7F" w14:textId="77777777" w:rsidR="000A2B45" w:rsidRPr="000A2B45" w:rsidRDefault="000A2B45" w:rsidP="000A2B45">
      <w:r w:rsidRPr="000A2B45">
        <w:t xml:space="preserve">Mullins, L.J. (2016). </w:t>
      </w:r>
      <w:r w:rsidRPr="000A2B45">
        <w:rPr>
          <w:i/>
          <w:iCs/>
        </w:rPr>
        <w:t>Management and Organisational Behaviour</w:t>
      </w:r>
      <w:r w:rsidRPr="000A2B45">
        <w:t>. [online] Available at: https://dpvipracollege.in/wp-content/uploads/2023/01/Management-Concept-Organisational-Behaviour-PDFDrive-.pdf.</w:t>
      </w:r>
    </w:p>
    <w:p w14:paraId="7D6920EE" w14:textId="77777777" w:rsidR="000A2B45" w:rsidRPr="000A2B45" w:rsidRDefault="000A2B45" w:rsidP="000A2B45">
      <w:r w:rsidRPr="000A2B45">
        <w:t xml:space="preserve">Mullins, L.J. (2019). </w:t>
      </w:r>
      <w:r w:rsidRPr="000A2B45">
        <w:rPr>
          <w:i/>
          <w:iCs/>
        </w:rPr>
        <w:t>Organisational Behaviour in the Workplace</w:t>
      </w:r>
      <w:r w:rsidRPr="000A2B45">
        <w:t>. 12th ed. Harlow: Pearson.</w:t>
      </w:r>
    </w:p>
    <w:p w14:paraId="45213FA6" w14:textId="77777777" w:rsidR="000A2B45" w:rsidRPr="000A2B45" w:rsidRDefault="000A2B45" w:rsidP="000A2B45">
      <w:r w:rsidRPr="000A2B45">
        <w:t xml:space="preserve">Peek, S. (2025). </w:t>
      </w:r>
      <w:r w:rsidRPr="000A2B45">
        <w:rPr>
          <w:i/>
          <w:iCs/>
        </w:rPr>
        <w:t>Management Theory of Elton Mayo</w:t>
      </w:r>
      <w:r w:rsidRPr="000A2B45">
        <w:t>. [online] business.com. Available at: https://www.business.com/articles/management-theory-of-elton-mayo/.</w:t>
      </w:r>
    </w:p>
    <w:p w14:paraId="2793A071" w14:textId="77777777" w:rsidR="000A2B45" w:rsidRPr="000A2B45" w:rsidRDefault="000A2B45" w:rsidP="000A2B45">
      <w:r w:rsidRPr="000A2B45">
        <w:t xml:space="preserve">Tata Steel (2026). </w:t>
      </w:r>
      <w:r w:rsidRPr="000A2B45">
        <w:rPr>
          <w:i/>
          <w:iCs/>
        </w:rPr>
        <w:t>UK Intranet</w:t>
      </w:r>
      <w:r w:rsidRPr="000A2B45">
        <w:t>. [online] Sharepoint.com. Available at: https://tsx.sharepoint.com/sites/UKIntranet [Accessed 15 Apr. 2026].</w:t>
      </w:r>
    </w:p>
    <w:p w14:paraId="657EE06C" w14:textId="77777777" w:rsidR="000A2B45" w:rsidRPr="000A2B45" w:rsidRDefault="000A2B45" w:rsidP="000A2B45">
      <w:r w:rsidRPr="000A2B45">
        <w:t xml:space="preserve">Tata Steel UK (2024a). </w:t>
      </w:r>
      <w:r w:rsidRPr="000A2B45">
        <w:rPr>
          <w:i/>
          <w:iCs/>
        </w:rPr>
        <w:t>At a glance</w:t>
      </w:r>
      <w:r w:rsidRPr="000A2B45">
        <w:t>. [online] Tata Steel UK. Available at: https://www.tatasteeluk.com/about-us/at-a-glance.</w:t>
      </w:r>
    </w:p>
    <w:p w14:paraId="4F74731D" w14:textId="77777777" w:rsidR="000A2B45" w:rsidRPr="000A2B45" w:rsidRDefault="000A2B45" w:rsidP="000A2B45">
      <w:r w:rsidRPr="000A2B45">
        <w:t xml:space="preserve">Tata Steel UK (2024b). </w:t>
      </w:r>
      <w:r w:rsidRPr="000A2B45">
        <w:rPr>
          <w:i/>
          <w:iCs/>
        </w:rPr>
        <w:t>New Employment &amp; Skills Fund to support Tata Steel UK and supply chain workers in Wales</w:t>
      </w:r>
      <w:r w:rsidRPr="000A2B45">
        <w:t>. [online] Tata Steel UK. Available at: https://www.tatasteeluk.com/corporate/news/new-employment-%26-skills-fund-to-support-tata-steel-uk-and-supply-chain-workers-in-wales.</w:t>
      </w:r>
    </w:p>
    <w:p w14:paraId="4170FE3F" w14:textId="77777777" w:rsidR="000A2B45" w:rsidRPr="000A2B45" w:rsidRDefault="000A2B45" w:rsidP="000A2B45">
      <w:r w:rsidRPr="000A2B45">
        <w:t xml:space="preserve">Tata Steel UK (2024c). </w:t>
      </w:r>
      <w:r w:rsidRPr="000A2B45">
        <w:rPr>
          <w:i/>
          <w:iCs/>
        </w:rPr>
        <w:t>Tata Steel to Close Coke Ovens</w:t>
      </w:r>
      <w:r w:rsidRPr="000A2B45">
        <w:t>. [online] Tata Steel UK. Available at: https://www.tatasteeluk.com/corporate/news/tata-steel-to-close-coke-ovens [Accessed 30 Mar. 2026].</w:t>
      </w:r>
    </w:p>
    <w:p w14:paraId="26D68124" w14:textId="77777777" w:rsidR="000A2B45" w:rsidRPr="000A2B45" w:rsidRDefault="000A2B45" w:rsidP="000A2B45">
      <w:r w:rsidRPr="000A2B45">
        <w:t xml:space="preserve">Tata Steel UK (2025). </w:t>
      </w:r>
      <w:r w:rsidRPr="000A2B45">
        <w:rPr>
          <w:i/>
          <w:iCs/>
        </w:rPr>
        <w:t>Tata Steel and the UK Government jointly agree on investment proposal</w:t>
      </w:r>
      <w:r w:rsidRPr="000A2B45">
        <w:t>. [online] Tata Steel UK. Available at: https://www.tatasteeluk.com/corporate/news/tata-steel-and-uk-government-jointly-agree-investment-proposal.</w:t>
      </w:r>
    </w:p>
    <w:p w14:paraId="0E251C25" w14:textId="77777777" w:rsidR="000A2B45" w:rsidRPr="000A2B45" w:rsidRDefault="000A2B45" w:rsidP="000A2B45">
      <w:r w:rsidRPr="000A2B45">
        <w:lastRenderedPageBreak/>
        <w:t xml:space="preserve">Tata Steel UK (2026). </w:t>
      </w:r>
      <w:r w:rsidRPr="000A2B45">
        <w:rPr>
          <w:i/>
          <w:iCs/>
        </w:rPr>
        <w:t>The last time coke was made in the UK</w:t>
      </w:r>
      <w:r w:rsidRPr="000A2B45">
        <w:t>. [online] Tata Steel UK. Available at: https://www.tatasteeluk.com/corporate/news/the-last-time-coke-was-made-in-the-uk [Accessed 10 Apr. 2026].</w:t>
      </w:r>
    </w:p>
    <w:p w14:paraId="40B577A8" w14:textId="77777777" w:rsidR="000A2B45" w:rsidRPr="000A2B45" w:rsidRDefault="000A2B45" w:rsidP="000A2B45">
      <w:r w:rsidRPr="000A2B45">
        <w:t xml:space="preserve">University of Cambridge (2016). </w:t>
      </w:r>
      <w:r w:rsidRPr="000A2B45">
        <w:rPr>
          <w:i/>
          <w:iCs/>
        </w:rPr>
        <w:t>Force field Analysis</w:t>
      </w:r>
      <w:r w:rsidRPr="000A2B45">
        <w:t>. [online] Cam.ac.uk. Available at: https://www.ifm.eng.cam.ac.uk/research/dstools/force-field-analysis/.</w:t>
      </w:r>
    </w:p>
    <w:p w14:paraId="0CBC3510" w14:textId="77777777" w:rsidR="000A2B45" w:rsidRPr="000A2B45" w:rsidRDefault="000A2B45" w:rsidP="000A2B45">
      <w:r w:rsidRPr="000A2B45">
        <w:t xml:space="preserve">UWTSD (2026a). </w:t>
      </w:r>
      <w:r w:rsidRPr="000A2B45">
        <w:rPr>
          <w:i/>
          <w:iCs/>
        </w:rPr>
        <w:t>Motivation Theories</w:t>
      </w:r>
      <w:r w:rsidRPr="000A2B45">
        <w:t>. UWTSD.</w:t>
      </w:r>
    </w:p>
    <w:p w14:paraId="2B4C4FCD" w14:textId="77777777" w:rsidR="000A2B45" w:rsidRPr="000A2B45" w:rsidRDefault="000A2B45" w:rsidP="000A2B45">
      <w:r w:rsidRPr="000A2B45">
        <w:t xml:space="preserve">UWTSD (2026b). </w:t>
      </w:r>
      <w:r w:rsidRPr="000A2B45">
        <w:rPr>
          <w:i/>
          <w:iCs/>
        </w:rPr>
        <w:t>The Management of Change, Lecture 2</w:t>
      </w:r>
      <w:r w:rsidRPr="000A2B45">
        <w:t>.</w:t>
      </w:r>
    </w:p>
    <w:p w14:paraId="299E2CA9" w14:textId="77777777" w:rsidR="000A2B45" w:rsidRPr="000A2B45" w:rsidRDefault="000A2B45" w:rsidP="000A2B45">
      <w:r w:rsidRPr="000A2B45">
        <w:t xml:space="preserve">Wallbridge, A. (2022). </w:t>
      </w:r>
      <w:r w:rsidRPr="000A2B45">
        <w:rPr>
          <w:i/>
          <w:iCs/>
        </w:rPr>
        <w:t>Force Field Analysis – how can leaders drive change and make better decisions?</w:t>
      </w:r>
      <w:r w:rsidRPr="000A2B45">
        <w:t xml:space="preserve"> [online] TSW Training. Available at: https://www.tsw.co.uk/blog/leadership-and-management/force-field-analysis/ [Accessed 29 Aug. 2024].</w:t>
      </w:r>
    </w:p>
    <w:p w14:paraId="34242A49" w14:textId="77777777" w:rsidR="000A2B45" w:rsidRPr="000A2B45" w:rsidRDefault="000A2B45" w:rsidP="000A2B45">
      <w:pPr>
        <w:rPr>
          <w:lang w:val="de-DE"/>
        </w:rPr>
      </w:pPr>
      <w:r w:rsidRPr="000A2B45">
        <w:t xml:space="preserve">Wang, Q., Hou, H. and Li, Z. (2022). Participative leadership: A literature review and prospects for future research. </w:t>
      </w:r>
      <w:r w:rsidRPr="000A2B45">
        <w:rPr>
          <w:i/>
          <w:iCs/>
          <w:lang w:val="de-DE"/>
        </w:rPr>
        <w:t>Frontiers in Psychology</w:t>
      </w:r>
      <w:r w:rsidRPr="000A2B45">
        <w:rPr>
          <w:lang w:val="de-DE"/>
        </w:rPr>
        <w:t>, [online] 13(1), pp.1–12. doi:https://doi.org/10.3389/fpsyg.2022.924357.</w:t>
      </w:r>
    </w:p>
    <w:p w14:paraId="7F890C1F" w14:textId="6A76F2A8" w:rsidR="00CA09F3" w:rsidRPr="0074071F" w:rsidRDefault="00CA09F3">
      <w:pPr>
        <w:rPr>
          <w:lang w:val="de-DE"/>
        </w:rPr>
      </w:pPr>
    </w:p>
    <w:sectPr w:rsidR="00CA09F3" w:rsidRPr="0074071F" w:rsidSect="007D1947">
      <w:footerReference w:type="even" r:id="rId14"/>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569DC" w14:textId="77777777" w:rsidR="00425E95" w:rsidRDefault="00425E95" w:rsidP="00425E95">
      <w:pPr>
        <w:spacing w:after="0" w:line="240" w:lineRule="auto"/>
      </w:pPr>
      <w:r>
        <w:separator/>
      </w:r>
    </w:p>
  </w:endnote>
  <w:endnote w:type="continuationSeparator" w:id="0">
    <w:p w14:paraId="4E859BFE" w14:textId="77777777" w:rsidR="00425E95" w:rsidRDefault="00425E95" w:rsidP="0042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75C7C" w14:textId="417D5B32" w:rsidR="00425E95" w:rsidRDefault="00425E95">
    <w:pPr>
      <w:pStyle w:val="Footer"/>
    </w:pPr>
    <w:r>
      <w:rPr>
        <w:noProof/>
      </w:rPr>
      <mc:AlternateContent>
        <mc:Choice Requires="wps">
          <w:drawing>
            <wp:anchor distT="0" distB="0" distL="0" distR="0" simplePos="0" relativeHeight="251659264" behindDoc="0" locked="0" layoutInCell="1" allowOverlap="1" wp14:anchorId="01206BE1" wp14:editId="33900FB9">
              <wp:simplePos x="635" y="635"/>
              <wp:positionH relativeFrom="page">
                <wp:align>left</wp:align>
              </wp:positionH>
              <wp:positionV relativeFrom="page">
                <wp:align>bottom</wp:align>
              </wp:positionV>
              <wp:extent cx="1034415" cy="324485"/>
              <wp:effectExtent l="0" t="0" r="13335" b="0"/>
              <wp:wrapNone/>
              <wp:docPr id="896004860"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2EC6BB3" w14:textId="32EC76F6"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1206BE1" id="_x0000_t202" coordsize="21600,21600" o:spt="202" path="m,l,21600r21600,l21600,xe">
              <v:stroke joinstyle="miter"/>
              <v:path gradientshapeok="t" o:connecttype="rect"/>
            </v:shapetype>
            <v:shape id="Text Box 2" o:spid="_x0000_s1028"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32EC6BB3" w14:textId="32EC76F6"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61FFD" w14:textId="066270D2" w:rsidR="00425E95" w:rsidRDefault="00425E95">
    <w:pPr>
      <w:pStyle w:val="Footer"/>
    </w:pPr>
    <w:r>
      <w:rPr>
        <w:noProof/>
      </w:rPr>
      <mc:AlternateContent>
        <mc:Choice Requires="wps">
          <w:drawing>
            <wp:anchor distT="0" distB="0" distL="0" distR="0" simplePos="0" relativeHeight="251660288" behindDoc="0" locked="0" layoutInCell="1" allowOverlap="1" wp14:anchorId="098EDA58" wp14:editId="0D7E7F24">
              <wp:simplePos x="915035" y="10072370"/>
              <wp:positionH relativeFrom="page">
                <wp:align>left</wp:align>
              </wp:positionH>
              <wp:positionV relativeFrom="page">
                <wp:align>bottom</wp:align>
              </wp:positionV>
              <wp:extent cx="1034415" cy="324485"/>
              <wp:effectExtent l="0" t="0" r="13335" b="0"/>
              <wp:wrapNone/>
              <wp:docPr id="1596386444"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58AB294" w14:textId="24F199C8"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98EDA58" id="_x0000_t202" coordsize="21600,21600" o:spt="202" path="m,l,21600r21600,l21600,xe">
              <v:stroke joinstyle="miter"/>
              <v:path gradientshapeok="t" o:connecttype="rect"/>
            </v:shapetype>
            <v:shape id="Text Box 3" o:spid="_x0000_s1029" type="#_x0000_t202" alt="Sensitivity: general" style="position:absolute;margin-left:0;margin-top:0;width:81.45pt;height:25.5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58AB294" w14:textId="24F199C8"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C767C" w14:textId="17305746" w:rsidR="00425E95" w:rsidRDefault="00425E95">
    <w:pPr>
      <w:pStyle w:val="Footer"/>
    </w:pPr>
    <w:r>
      <w:rPr>
        <w:noProof/>
      </w:rPr>
      <mc:AlternateContent>
        <mc:Choice Requires="wps">
          <w:drawing>
            <wp:anchor distT="0" distB="0" distL="0" distR="0" simplePos="0" relativeHeight="251658240" behindDoc="0" locked="0" layoutInCell="1" allowOverlap="1" wp14:anchorId="3490C444" wp14:editId="28DEAE5E">
              <wp:simplePos x="914400" y="10071100"/>
              <wp:positionH relativeFrom="page">
                <wp:align>left</wp:align>
              </wp:positionH>
              <wp:positionV relativeFrom="page">
                <wp:align>bottom</wp:align>
              </wp:positionV>
              <wp:extent cx="1034415" cy="324485"/>
              <wp:effectExtent l="0" t="0" r="13335" b="0"/>
              <wp:wrapNone/>
              <wp:docPr id="207580732"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1C1E8274" w14:textId="597F4F77"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490C444" id="_x0000_t202" coordsize="21600,21600" o:spt="202" path="m,l,21600r21600,l21600,xe">
              <v:stroke joinstyle="miter"/>
              <v:path gradientshapeok="t" o:connecttype="rect"/>
            </v:shapetype>
            <v:shape id="_x0000_s1030"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1C1E8274" w14:textId="597F4F77" w:rsidR="00425E95" w:rsidRPr="00425E95" w:rsidRDefault="00425E95" w:rsidP="00425E95">
                    <w:pPr>
                      <w:spacing w:after="0"/>
                      <w:rPr>
                        <w:rFonts w:ascii="Calibri" w:eastAsia="Calibri" w:hAnsi="Calibri" w:cs="Calibri"/>
                        <w:noProof/>
                        <w:color w:val="000000"/>
                        <w:sz w:val="16"/>
                        <w:szCs w:val="16"/>
                      </w:rPr>
                    </w:pPr>
                    <w:r w:rsidRPr="00425E9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3E57A" w14:textId="77777777" w:rsidR="00425E95" w:rsidRDefault="00425E95" w:rsidP="00425E95">
      <w:pPr>
        <w:spacing w:after="0" w:line="240" w:lineRule="auto"/>
      </w:pPr>
      <w:r>
        <w:separator/>
      </w:r>
    </w:p>
  </w:footnote>
  <w:footnote w:type="continuationSeparator" w:id="0">
    <w:p w14:paraId="5C6AC247" w14:textId="77777777" w:rsidR="00425E95" w:rsidRDefault="00425E95" w:rsidP="00425E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36391C"/>
    <w:multiLevelType w:val="multilevel"/>
    <w:tmpl w:val="46685E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510D9B"/>
    <w:multiLevelType w:val="multilevel"/>
    <w:tmpl w:val="62443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7400AE"/>
    <w:multiLevelType w:val="multilevel"/>
    <w:tmpl w:val="6972CA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9091199">
    <w:abstractNumId w:val="1"/>
  </w:num>
  <w:num w:numId="2" w16cid:durableId="605965065">
    <w:abstractNumId w:val="0"/>
  </w:num>
  <w:num w:numId="3" w16cid:durableId="1195970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2086"/>
    <w:rsid w:val="0002320E"/>
    <w:rsid w:val="000232C6"/>
    <w:rsid w:val="00032191"/>
    <w:rsid w:val="000321D0"/>
    <w:rsid w:val="0003552F"/>
    <w:rsid w:val="00047158"/>
    <w:rsid w:val="00061168"/>
    <w:rsid w:val="000706FA"/>
    <w:rsid w:val="000715D4"/>
    <w:rsid w:val="00075646"/>
    <w:rsid w:val="000778FF"/>
    <w:rsid w:val="000805C6"/>
    <w:rsid w:val="000859C6"/>
    <w:rsid w:val="00094219"/>
    <w:rsid w:val="00094CAC"/>
    <w:rsid w:val="00097AAB"/>
    <w:rsid w:val="000A2B45"/>
    <w:rsid w:val="000A2D9F"/>
    <w:rsid w:val="000A537B"/>
    <w:rsid w:val="000A61CB"/>
    <w:rsid w:val="000C4860"/>
    <w:rsid w:val="000D280B"/>
    <w:rsid w:val="00107936"/>
    <w:rsid w:val="00107F46"/>
    <w:rsid w:val="00115B96"/>
    <w:rsid w:val="00120EFE"/>
    <w:rsid w:val="00132E5B"/>
    <w:rsid w:val="00136885"/>
    <w:rsid w:val="00151113"/>
    <w:rsid w:val="0015372F"/>
    <w:rsid w:val="00167085"/>
    <w:rsid w:val="00173225"/>
    <w:rsid w:val="00176C45"/>
    <w:rsid w:val="00181838"/>
    <w:rsid w:val="00187719"/>
    <w:rsid w:val="001A231E"/>
    <w:rsid w:val="001A5FDD"/>
    <w:rsid w:val="001B71E8"/>
    <w:rsid w:val="001D07B7"/>
    <w:rsid w:val="002166A6"/>
    <w:rsid w:val="002218F8"/>
    <w:rsid w:val="002272F2"/>
    <w:rsid w:val="0023584D"/>
    <w:rsid w:val="00242ECA"/>
    <w:rsid w:val="00247131"/>
    <w:rsid w:val="00250C63"/>
    <w:rsid w:val="002562AD"/>
    <w:rsid w:val="00256D2A"/>
    <w:rsid w:val="0025795A"/>
    <w:rsid w:val="00267D50"/>
    <w:rsid w:val="00281A15"/>
    <w:rsid w:val="00292977"/>
    <w:rsid w:val="002941D3"/>
    <w:rsid w:val="00296A12"/>
    <w:rsid w:val="002A04A5"/>
    <w:rsid w:val="002A2442"/>
    <w:rsid w:val="002B0733"/>
    <w:rsid w:val="002B4AEF"/>
    <w:rsid w:val="002E655E"/>
    <w:rsid w:val="002F66C9"/>
    <w:rsid w:val="00324CCD"/>
    <w:rsid w:val="003425FC"/>
    <w:rsid w:val="00350888"/>
    <w:rsid w:val="00351348"/>
    <w:rsid w:val="00351602"/>
    <w:rsid w:val="003537BC"/>
    <w:rsid w:val="00364301"/>
    <w:rsid w:val="003738D7"/>
    <w:rsid w:val="00375696"/>
    <w:rsid w:val="003759BF"/>
    <w:rsid w:val="003A1503"/>
    <w:rsid w:val="003B3121"/>
    <w:rsid w:val="003B7624"/>
    <w:rsid w:val="003C4F54"/>
    <w:rsid w:val="003D0524"/>
    <w:rsid w:val="003E0D08"/>
    <w:rsid w:val="003E76D3"/>
    <w:rsid w:val="003F1547"/>
    <w:rsid w:val="00414654"/>
    <w:rsid w:val="004148BB"/>
    <w:rsid w:val="00415457"/>
    <w:rsid w:val="00425E95"/>
    <w:rsid w:val="00443F3D"/>
    <w:rsid w:val="00447D9B"/>
    <w:rsid w:val="00455CE1"/>
    <w:rsid w:val="00474A67"/>
    <w:rsid w:val="00480872"/>
    <w:rsid w:val="00481981"/>
    <w:rsid w:val="00481D11"/>
    <w:rsid w:val="004862EC"/>
    <w:rsid w:val="0049283C"/>
    <w:rsid w:val="00494FF0"/>
    <w:rsid w:val="004975C5"/>
    <w:rsid w:val="004A11F6"/>
    <w:rsid w:val="004C6133"/>
    <w:rsid w:val="004C6A55"/>
    <w:rsid w:val="004D519C"/>
    <w:rsid w:val="004F3A3B"/>
    <w:rsid w:val="0050011E"/>
    <w:rsid w:val="005014C5"/>
    <w:rsid w:val="0050383E"/>
    <w:rsid w:val="00504255"/>
    <w:rsid w:val="005376B1"/>
    <w:rsid w:val="00547C8D"/>
    <w:rsid w:val="005921F1"/>
    <w:rsid w:val="005B5C5F"/>
    <w:rsid w:val="005B5F53"/>
    <w:rsid w:val="005C6278"/>
    <w:rsid w:val="005E1B98"/>
    <w:rsid w:val="005F5A9D"/>
    <w:rsid w:val="005F6DA3"/>
    <w:rsid w:val="00605B85"/>
    <w:rsid w:val="00606B1D"/>
    <w:rsid w:val="0061676F"/>
    <w:rsid w:val="006208FD"/>
    <w:rsid w:val="00623E80"/>
    <w:rsid w:val="00634311"/>
    <w:rsid w:val="00634668"/>
    <w:rsid w:val="00657967"/>
    <w:rsid w:val="006628C5"/>
    <w:rsid w:val="00663470"/>
    <w:rsid w:val="00690736"/>
    <w:rsid w:val="00693E27"/>
    <w:rsid w:val="006C423D"/>
    <w:rsid w:val="006C5CD8"/>
    <w:rsid w:val="006D0B85"/>
    <w:rsid w:val="006D67D4"/>
    <w:rsid w:val="006E3B6D"/>
    <w:rsid w:val="006E704E"/>
    <w:rsid w:val="006F54CA"/>
    <w:rsid w:val="00711DAC"/>
    <w:rsid w:val="00716AA4"/>
    <w:rsid w:val="00733026"/>
    <w:rsid w:val="00733693"/>
    <w:rsid w:val="00733ECB"/>
    <w:rsid w:val="00734148"/>
    <w:rsid w:val="007376C5"/>
    <w:rsid w:val="0074071F"/>
    <w:rsid w:val="007446A7"/>
    <w:rsid w:val="00756BC2"/>
    <w:rsid w:val="007644E9"/>
    <w:rsid w:val="007666C0"/>
    <w:rsid w:val="007708E6"/>
    <w:rsid w:val="00773BB8"/>
    <w:rsid w:val="00787C32"/>
    <w:rsid w:val="007972ED"/>
    <w:rsid w:val="007A1181"/>
    <w:rsid w:val="007A2BA1"/>
    <w:rsid w:val="007A5F44"/>
    <w:rsid w:val="007A6FC6"/>
    <w:rsid w:val="007B03FA"/>
    <w:rsid w:val="007B2DF6"/>
    <w:rsid w:val="007B7B7B"/>
    <w:rsid w:val="007D1947"/>
    <w:rsid w:val="007D3BCA"/>
    <w:rsid w:val="007E12D4"/>
    <w:rsid w:val="007E4D7C"/>
    <w:rsid w:val="007E5808"/>
    <w:rsid w:val="007E5A40"/>
    <w:rsid w:val="007E7F18"/>
    <w:rsid w:val="007F3927"/>
    <w:rsid w:val="008018D8"/>
    <w:rsid w:val="0083074D"/>
    <w:rsid w:val="008344E7"/>
    <w:rsid w:val="0083673A"/>
    <w:rsid w:val="0084572E"/>
    <w:rsid w:val="008702C7"/>
    <w:rsid w:val="0087496A"/>
    <w:rsid w:val="008769BB"/>
    <w:rsid w:val="00886786"/>
    <w:rsid w:val="00897A36"/>
    <w:rsid w:val="008B1C64"/>
    <w:rsid w:val="008C13C5"/>
    <w:rsid w:val="008D2E5D"/>
    <w:rsid w:val="008D37AD"/>
    <w:rsid w:val="008D4C45"/>
    <w:rsid w:val="008D6B1C"/>
    <w:rsid w:val="008E4286"/>
    <w:rsid w:val="008E6578"/>
    <w:rsid w:val="009132A0"/>
    <w:rsid w:val="00916D92"/>
    <w:rsid w:val="00931CAA"/>
    <w:rsid w:val="00941B5D"/>
    <w:rsid w:val="00943A02"/>
    <w:rsid w:val="00951522"/>
    <w:rsid w:val="00956289"/>
    <w:rsid w:val="0095730A"/>
    <w:rsid w:val="00980088"/>
    <w:rsid w:val="00983564"/>
    <w:rsid w:val="00987E8E"/>
    <w:rsid w:val="009A110F"/>
    <w:rsid w:val="009B1784"/>
    <w:rsid w:val="009C1400"/>
    <w:rsid w:val="009C77C2"/>
    <w:rsid w:val="009E14EF"/>
    <w:rsid w:val="009F0714"/>
    <w:rsid w:val="00A024B3"/>
    <w:rsid w:val="00A0393C"/>
    <w:rsid w:val="00A053E6"/>
    <w:rsid w:val="00A12B58"/>
    <w:rsid w:val="00A33540"/>
    <w:rsid w:val="00A40FC8"/>
    <w:rsid w:val="00A4233F"/>
    <w:rsid w:val="00A60163"/>
    <w:rsid w:val="00A61CFA"/>
    <w:rsid w:val="00A63357"/>
    <w:rsid w:val="00A779CE"/>
    <w:rsid w:val="00A83CC6"/>
    <w:rsid w:val="00A86673"/>
    <w:rsid w:val="00A96E61"/>
    <w:rsid w:val="00AA06BF"/>
    <w:rsid w:val="00AA2A91"/>
    <w:rsid w:val="00AB37CF"/>
    <w:rsid w:val="00AB3C46"/>
    <w:rsid w:val="00AB44A6"/>
    <w:rsid w:val="00AC677E"/>
    <w:rsid w:val="00AD1B2C"/>
    <w:rsid w:val="00AD2BC1"/>
    <w:rsid w:val="00B0718A"/>
    <w:rsid w:val="00B15625"/>
    <w:rsid w:val="00B15779"/>
    <w:rsid w:val="00B41F30"/>
    <w:rsid w:val="00B42202"/>
    <w:rsid w:val="00B434AD"/>
    <w:rsid w:val="00B50B8F"/>
    <w:rsid w:val="00B51C2C"/>
    <w:rsid w:val="00B60F7E"/>
    <w:rsid w:val="00B614D1"/>
    <w:rsid w:val="00B62CEC"/>
    <w:rsid w:val="00B70BF4"/>
    <w:rsid w:val="00B97525"/>
    <w:rsid w:val="00BA6C68"/>
    <w:rsid w:val="00BB6498"/>
    <w:rsid w:val="00BC3CD0"/>
    <w:rsid w:val="00BC6EEF"/>
    <w:rsid w:val="00BC7E5A"/>
    <w:rsid w:val="00BE63B2"/>
    <w:rsid w:val="00C0404B"/>
    <w:rsid w:val="00C154FB"/>
    <w:rsid w:val="00C31BB7"/>
    <w:rsid w:val="00C4271A"/>
    <w:rsid w:val="00C504F6"/>
    <w:rsid w:val="00C54D56"/>
    <w:rsid w:val="00C62E0B"/>
    <w:rsid w:val="00C754D5"/>
    <w:rsid w:val="00C855F6"/>
    <w:rsid w:val="00C86A48"/>
    <w:rsid w:val="00CA09F3"/>
    <w:rsid w:val="00CA1B86"/>
    <w:rsid w:val="00CA34AD"/>
    <w:rsid w:val="00CC7A49"/>
    <w:rsid w:val="00CE23BC"/>
    <w:rsid w:val="00CE5AA3"/>
    <w:rsid w:val="00D0335E"/>
    <w:rsid w:val="00D1709C"/>
    <w:rsid w:val="00D51374"/>
    <w:rsid w:val="00D557E3"/>
    <w:rsid w:val="00D57D3E"/>
    <w:rsid w:val="00D63891"/>
    <w:rsid w:val="00D8405A"/>
    <w:rsid w:val="00D854A5"/>
    <w:rsid w:val="00D869E1"/>
    <w:rsid w:val="00D94CDD"/>
    <w:rsid w:val="00DD1D84"/>
    <w:rsid w:val="00E05220"/>
    <w:rsid w:val="00E37EDF"/>
    <w:rsid w:val="00E414A1"/>
    <w:rsid w:val="00E7537A"/>
    <w:rsid w:val="00E76CE6"/>
    <w:rsid w:val="00E91208"/>
    <w:rsid w:val="00EA27F4"/>
    <w:rsid w:val="00EA481F"/>
    <w:rsid w:val="00EB1A93"/>
    <w:rsid w:val="00EB4333"/>
    <w:rsid w:val="00EB7975"/>
    <w:rsid w:val="00EC0CE7"/>
    <w:rsid w:val="00EC567B"/>
    <w:rsid w:val="00ED1558"/>
    <w:rsid w:val="00EE1795"/>
    <w:rsid w:val="00EE5FF0"/>
    <w:rsid w:val="00EE78D8"/>
    <w:rsid w:val="00EF1B29"/>
    <w:rsid w:val="00EF3028"/>
    <w:rsid w:val="00EF6164"/>
    <w:rsid w:val="00F01E37"/>
    <w:rsid w:val="00F12474"/>
    <w:rsid w:val="00F126A1"/>
    <w:rsid w:val="00F13E79"/>
    <w:rsid w:val="00F17FA6"/>
    <w:rsid w:val="00F33266"/>
    <w:rsid w:val="00F354B3"/>
    <w:rsid w:val="00F63C6F"/>
    <w:rsid w:val="00F63DE9"/>
    <w:rsid w:val="00F664D8"/>
    <w:rsid w:val="00F732D1"/>
    <w:rsid w:val="00F80BDB"/>
    <w:rsid w:val="00FA1521"/>
    <w:rsid w:val="00FA1783"/>
    <w:rsid w:val="00FA66FC"/>
    <w:rsid w:val="00FC32A0"/>
    <w:rsid w:val="00FD0B2B"/>
    <w:rsid w:val="00FD6766"/>
    <w:rsid w:val="00FD6BFB"/>
    <w:rsid w:val="00FE01E8"/>
    <w:rsid w:val="00FF2BBB"/>
    <w:rsid w:val="00FF2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76D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425E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E95"/>
  </w:style>
  <w:style w:type="character" w:customStyle="1" w:styleId="Heading3Char">
    <w:name w:val="Heading 3 Char"/>
    <w:basedOn w:val="DefaultParagraphFont"/>
    <w:link w:val="Heading3"/>
    <w:uiPriority w:val="9"/>
    <w:rsid w:val="003E76D3"/>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FA66FC"/>
    <w:pPr>
      <w:spacing w:after="200" w:line="240" w:lineRule="auto"/>
    </w:pPr>
    <w:rPr>
      <w:i/>
      <w:iCs/>
      <w:color w:val="44546A" w:themeColor="text2"/>
      <w:sz w:val="18"/>
      <w:szCs w:val="18"/>
    </w:rPr>
  </w:style>
  <w:style w:type="paragraph" w:styleId="NormalWeb">
    <w:name w:val="Normal (Web)"/>
    <w:basedOn w:val="Normal"/>
    <w:uiPriority w:val="99"/>
    <w:semiHidden/>
    <w:unhideWhenUsed/>
    <w:rsid w:val="00733026"/>
    <w:rPr>
      <w:rFonts w:ascii="Times New Roman" w:hAnsi="Times New Roman" w:cs="Times New Roman"/>
      <w:sz w:val="24"/>
      <w:szCs w:val="24"/>
    </w:rPr>
  </w:style>
  <w:style w:type="paragraph" w:styleId="TOC3">
    <w:name w:val="toc 3"/>
    <w:basedOn w:val="Normal"/>
    <w:next w:val="Normal"/>
    <w:autoRedefine/>
    <w:uiPriority w:val="39"/>
    <w:unhideWhenUsed/>
    <w:rsid w:val="0003552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0235">
      <w:bodyDiv w:val="1"/>
      <w:marLeft w:val="0"/>
      <w:marRight w:val="0"/>
      <w:marTop w:val="0"/>
      <w:marBottom w:val="0"/>
      <w:divBdr>
        <w:top w:val="none" w:sz="0" w:space="0" w:color="auto"/>
        <w:left w:val="none" w:sz="0" w:space="0" w:color="auto"/>
        <w:bottom w:val="none" w:sz="0" w:space="0" w:color="auto"/>
        <w:right w:val="none" w:sz="0" w:space="0" w:color="auto"/>
      </w:divBdr>
    </w:div>
    <w:div w:id="10571196">
      <w:bodyDiv w:val="1"/>
      <w:marLeft w:val="0"/>
      <w:marRight w:val="0"/>
      <w:marTop w:val="0"/>
      <w:marBottom w:val="0"/>
      <w:divBdr>
        <w:top w:val="none" w:sz="0" w:space="0" w:color="auto"/>
        <w:left w:val="none" w:sz="0" w:space="0" w:color="auto"/>
        <w:bottom w:val="none" w:sz="0" w:space="0" w:color="auto"/>
        <w:right w:val="none" w:sz="0" w:space="0" w:color="auto"/>
      </w:divBdr>
      <w:divsChild>
        <w:div w:id="680011532">
          <w:marLeft w:val="0"/>
          <w:marRight w:val="0"/>
          <w:marTop w:val="0"/>
          <w:marBottom w:val="0"/>
          <w:divBdr>
            <w:top w:val="none" w:sz="0" w:space="0" w:color="auto"/>
            <w:left w:val="none" w:sz="0" w:space="0" w:color="auto"/>
            <w:bottom w:val="none" w:sz="0" w:space="0" w:color="auto"/>
            <w:right w:val="none" w:sz="0" w:space="0" w:color="auto"/>
          </w:divBdr>
        </w:div>
      </w:divsChild>
    </w:div>
    <w:div w:id="21784133">
      <w:bodyDiv w:val="1"/>
      <w:marLeft w:val="0"/>
      <w:marRight w:val="0"/>
      <w:marTop w:val="0"/>
      <w:marBottom w:val="0"/>
      <w:divBdr>
        <w:top w:val="none" w:sz="0" w:space="0" w:color="auto"/>
        <w:left w:val="none" w:sz="0" w:space="0" w:color="auto"/>
        <w:bottom w:val="none" w:sz="0" w:space="0" w:color="auto"/>
        <w:right w:val="none" w:sz="0" w:space="0" w:color="auto"/>
      </w:divBdr>
      <w:divsChild>
        <w:div w:id="2144426497">
          <w:marLeft w:val="0"/>
          <w:marRight w:val="0"/>
          <w:marTop w:val="0"/>
          <w:marBottom w:val="0"/>
          <w:divBdr>
            <w:top w:val="none" w:sz="0" w:space="0" w:color="auto"/>
            <w:left w:val="none" w:sz="0" w:space="0" w:color="auto"/>
            <w:bottom w:val="none" w:sz="0" w:space="0" w:color="auto"/>
            <w:right w:val="none" w:sz="0" w:space="0" w:color="auto"/>
          </w:divBdr>
        </w:div>
      </w:divsChild>
    </w:div>
    <w:div w:id="53437300">
      <w:bodyDiv w:val="1"/>
      <w:marLeft w:val="0"/>
      <w:marRight w:val="0"/>
      <w:marTop w:val="0"/>
      <w:marBottom w:val="0"/>
      <w:divBdr>
        <w:top w:val="none" w:sz="0" w:space="0" w:color="auto"/>
        <w:left w:val="none" w:sz="0" w:space="0" w:color="auto"/>
        <w:bottom w:val="none" w:sz="0" w:space="0" w:color="auto"/>
        <w:right w:val="none" w:sz="0" w:space="0" w:color="auto"/>
      </w:divBdr>
      <w:divsChild>
        <w:div w:id="836119425">
          <w:marLeft w:val="0"/>
          <w:marRight w:val="0"/>
          <w:marTop w:val="0"/>
          <w:marBottom w:val="0"/>
          <w:divBdr>
            <w:top w:val="none" w:sz="0" w:space="0" w:color="auto"/>
            <w:left w:val="none" w:sz="0" w:space="0" w:color="auto"/>
            <w:bottom w:val="none" w:sz="0" w:space="0" w:color="auto"/>
            <w:right w:val="none" w:sz="0" w:space="0" w:color="auto"/>
          </w:divBdr>
        </w:div>
      </w:divsChild>
    </w:div>
    <w:div w:id="53744754">
      <w:bodyDiv w:val="1"/>
      <w:marLeft w:val="0"/>
      <w:marRight w:val="0"/>
      <w:marTop w:val="0"/>
      <w:marBottom w:val="0"/>
      <w:divBdr>
        <w:top w:val="none" w:sz="0" w:space="0" w:color="auto"/>
        <w:left w:val="none" w:sz="0" w:space="0" w:color="auto"/>
        <w:bottom w:val="none" w:sz="0" w:space="0" w:color="auto"/>
        <w:right w:val="none" w:sz="0" w:space="0" w:color="auto"/>
      </w:divBdr>
      <w:divsChild>
        <w:div w:id="2033259918">
          <w:marLeft w:val="0"/>
          <w:marRight w:val="0"/>
          <w:marTop w:val="0"/>
          <w:marBottom w:val="0"/>
          <w:divBdr>
            <w:top w:val="none" w:sz="0" w:space="0" w:color="auto"/>
            <w:left w:val="none" w:sz="0" w:space="0" w:color="auto"/>
            <w:bottom w:val="none" w:sz="0" w:space="0" w:color="auto"/>
            <w:right w:val="none" w:sz="0" w:space="0" w:color="auto"/>
          </w:divBdr>
        </w:div>
      </w:divsChild>
    </w:div>
    <w:div w:id="65079115">
      <w:bodyDiv w:val="1"/>
      <w:marLeft w:val="0"/>
      <w:marRight w:val="0"/>
      <w:marTop w:val="0"/>
      <w:marBottom w:val="0"/>
      <w:divBdr>
        <w:top w:val="none" w:sz="0" w:space="0" w:color="auto"/>
        <w:left w:val="none" w:sz="0" w:space="0" w:color="auto"/>
        <w:bottom w:val="none" w:sz="0" w:space="0" w:color="auto"/>
        <w:right w:val="none" w:sz="0" w:space="0" w:color="auto"/>
      </w:divBdr>
    </w:div>
    <w:div w:id="75440034">
      <w:bodyDiv w:val="1"/>
      <w:marLeft w:val="0"/>
      <w:marRight w:val="0"/>
      <w:marTop w:val="0"/>
      <w:marBottom w:val="0"/>
      <w:divBdr>
        <w:top w:val="none" w:sz="0" w:space="0" w:color="auto"/>
        <w:left w:val="none" w:sz="0" w:space="0" w:color="auto"/>
        <w:bottom w:val="none" w:sz="0" w:space="0" w:color="auto"/>
        <w:right w:val="none" w:sz="0" w:space="0" w:color="auto"/>
      </w:divBdr>
      <w:divsChild>
        <w:div w:id="1596015494">
          <w:marLeft w:val="0"/>
          <w:marRight w:val="0"/>
          <w:marTop w:val="0"/>
          <w:marBottom w:val="0"/>
          <w:divBdr>
            <w:top w:val="none" w:sz="0" w:space="0" w:color="auto"/>
            <w:left w:val="none" w:sz="0" w:space="0" w:color="auto"/>
            <w:bottom w:val="none" w:sz="0" w:space="0" w:color="auto"/>
            <w:right w:val="none" w:sz="0" w:space="0" w:color="auto"/>
          </w:divBdr>
        </w:div>
      </w:divsChild>
    </w:div>
    <w:div w:id="95449627">
      <w:bodyDiv w:val="1"/>
      <w:marLeft w:val="0"/>
      <w:marRight w:val="0"/>
      <w:marTop w:val="0"/>
      <w:marBottom w:val="0"/>
      <w:divBdr>
        <w:top w:val="none" w:sz="0" w:space="0" w:color="auto"/>
        <w:left w:val="none" w:sz="0" w:space="0" w:color="auto"/>
        <w:bottom w:val="none" w:sz="0" w:space="0" w:color="auto"/>
        <w:right w:val="none" w:sz="0" w:space="0" w:color="auto"/>
      </w:divBdr>
      <w:divsChild>
        <w:div w:id="969020758">
          <w:marLeft w:val="0"/>
          <w:marRight w:val="0"/>
          <w:marTop w:val="0"/>
          <w:marBottom w:val="0"/>
          <w:divBdr>
            <w:top w:val="none" w:sz="0" w:space="0" w:color="auto"/>
            <w:left w:val="none" w:sz="0" w:space="0" w:color="auto"/>
            <w:bottom w:val="none" w:sz="0" w:space="0" w:color="auto"/>
            <w:right w:val="none" w:sz="0" w:space="0" w:color="auto"/>
          </w:divBdr>
        </w:div>
      </w:divsChild>
    </w:div>
    <w:div w:id="129565110">
      <w:bodyDiv w:val="1"/>
      <w:marLeft w:val="0"/>
      <w:marRight w:val="0"/>
      <w:marTop w:val="0"/>
      <w:marBottom w:val="0"/>
      <w:divBdr>
        <w:top w:val="none" w:sz="0" w:space="0" w:color="auto"/>
        <w:left w:val="none" w:sz="0" w:space="0" w:color="auto"/>
        <w:bottom w:val="none" w:sz="0" w:space="0" w:color="auto"/>
        <w:right w:val="none" w:sz="0" w:space="0" w:color="auto"/>
      </w:divBdr>
      <w:divsChild>
        <w:div w:id="1350639265">
          <w:marLeft w:val="0"/>
          <w:marRight w:val="0"/>
          <w:marTop w:val="0"/>
          <w:marBottom w:val="0"/>
          <w:divBdr>
            <w:top w:val="none" w:sz="0" w:space="0" w:color="auto"/>
            <w:left w:val="none" w:sz="0" w:space="0" w:color="auto"/>
            <w:bottom w:val="none" w:sz="0" w:space="0" w:color="auto"/>
            <w:right w:val="none" w:sz="0" w:space="0" w:color="auto"/>
          </w:divBdr>
        </w:div>
      </w:divsChild>
    </w:div>
    <w:div w:id="141240966">
      <w:bodyDiv w:val="1"/>
      <w:marLeft w:val="0"/>
      <w:marRight w:val="0"/>
      <w:marTop w:val="0"/>
      <w:marBottom w:val="0"/>
      <w:divBdr>
        <w:top w:val="none" w:sz="0" w:space="0" w:color="auto"/>
        <w:left w:val="none" w:sz="0" w:space="0" w:color="auto"/>
        <w:bottom w:val="none" w:sz="0" w:space="0" w:color="auto"/>
        <w:right w:val="none" w:sz="0" w:space="0" w:color="auto"/>
      </w:divBdr>
      <w:divsChild>
        <w:div w:id="1259945842">
          <w:marLeft w:val="0"/>
          <w:marRight w:val="0"/>
          <w:marTop w:val="0"/>
          <w:marBottom w:val="0"/>
          <w:divBdr>
            <w:top w:val="none" w:sz="0" w:space="0" w:color="auto"/>
            <w:left w:val="none" w:sz="0" w:space="0" w:color="auto"/>
            <w:bottom w:val="none" w:sz="0" w:space="0" w:color="auto"/>
            <w:right w:val="none" w:sz="0" w:space="0" w:color="auto"/>
          </w:divBdr>
        </w:div>
      </w:divsChild>
    </w:div>
    <w:div w:id="144972208">
      <w:bodyDiv w:val="1"/>
      <w:marLeft w:val="0"/>
      <w:marRight w:val="0"/>
      <w:marTop w:val="0"/>
      <w:marBottom w:val="0"/>
      <w:divBdr>
        <w:top w:val="none" w:sz="0" w:space="0" w:color="auto"/>
        <w:left w:val="none" w:sz="0" w:space="0" w:color="auto"/>
        <w:bottom w:val="none" w:sz="0" w:space="0" w:color="auto"/>
        <w:right w:val="none" w:sz="0" w:space="0" w:color="auto"/>
      </w:divBdr>
      <w:divsChild>
        <w:div w:id="544608531">
          <w:marLeft w:val="0"/>
          <w:marRight w:val="0"/>
          <w:marTop w:val="0"/>
          <w:marBottom w:val="0"/>
          <w:divBdr>
            <w:top w:val="none" w:sz="0" w:space="0" w:color="auto"/>
            <w:left w:val="none" w:sz="0" w:space="0" w:color="auto"/>
            <w:bottom w:val="none" w:sz="0" w:space="0" w:color="auto"/>
            <w:right w:val="none" w:sz="0" w:space="0" w:color="auto"/>
          </w:divBdr>
        </w:div>
      </w:divsChild>
    </w:div>
    <w:div w:id="174662184">
      <w:bodyDiv w:val="1"/>
      <w:marLeft w:val="0"/>
      <w:marRight w:val="0"/>
      <w:marTop w:val="0"/>
      <w:marBottom w:val="0"/>
      <w:divBdr>
        <w:top w:val="none" w:sz="0" w:space="0" w:color="auto"/>
        <w:left w:val="none" w:sz="0" w:space="0" w:color="auto"/>
        <w:bottom w:val="none" w:sz="0" w:space="0" w:color="auto"/>
        <w:right w:val="none" w:sz="0" w:space="0" w:color="auto"/>
      </w:divBdr>
      <w:divsChild>
        <w:div w:id="157498172">
          <w:marLeft w:val="0"/>
          <w:marRight w:val="0"/>
          <w:marTop w:val="0"/>
          <w:marBottom w:val="0"/>
          <w:divBdr>
            <w:top w:val="none" w:sz="0" w:space="0" w:color="auto"/>
            <w:left w:val="none" w:sz="0" w:space="0" w:color="auto"/>
            <w:bottom w:val="none" w:sz="0" w:space="0" w:color="auto"/>
            <w:right w:val="none" w:sz="0" w:space="0" w:color="auto"/>
          </w:divBdr>
        </w:div>
      </w:divsChild>
    </w:div>
    <w:div w:id="271330274">
      <w:bodyDiv w:val="1"/>
      <w:marLeft w:val="0"/>
      <w:marRight w:val="0"/>
      <w:marTop w:val="0"/>
      <w:marBottom w:val="0"/>
      <w:divBdr>
        <w:top w:val="none" w:sz="0" w:space="0" w:color="auto"/>
        <w:left w:val="none" w:sz="0" w:space="0" w:color="auto"/>
        <w:bottom w:val="none" w:sz="0" w:space="0" w:color="auto"/>
        <w:right w:val="none" w:sz="0" w:space="0" w:color="auto"/>
      </w:divBdr>
      <w:divsChild>
        <w:div w:id="1256210500">
          <w:marLeft w:val="0"/>
          <w:marRight w:val="0"/>
          <w:marTop w:val="0"/>
          <w:marBottom w:val="0"/>
          <w:divBdr>
            <w:top w:val="none" w:sz="0" w:space="0" w:color="auto"/>
            <w:left w:val="none" w:sz="0" w:space="0" w:color="auto"/>
            <w:bottom w:val="none" w:sz="0" w:space="0" w:color="auto"/>
            <w:right w:val="none" w:sz="0" w:space="0" w:color="auto"/>
          </w:divBdr>
        </w:div>
      </w:divsChild>
    </w:div>
    <w:div w:id="372313395">
      <w:bodyDiv w:val="1"/>
      <w:marLeft w:val="0"/>
      <w:marRight w:val="0"/>
      <w:marTop w:val="0"/>
      <w:marBottom w:val="0"/>
      <w:divBdr>
        <w:top w:val="none" w:sz="0" w:space="0" w:color="auto"/>
        <w:left w:val="none" w:sz="0" w:space="0" w:color="auto"/>
        <w:bottom w:val="none" w:sz="0" w:space="0" w:color="auto"/>
        <w:right w:val="none" w:sz="0" w:space="0" w:color="auto"/>
      </w:divBdr>
    </w:div>
    <w:div w:id="375354129">
      <w:bodyDiv w:val="1"/>
      <w:marLeft w:val="0"/>
      <w:marRight w:val="0"/>
      <w:marTop w:val="0"/>
      <w:marBottom w:val="0"/>
      <w:divBdr>
        <w:top w:val="none" w:sz="0" w:space="0" w:color="auto"/>
        <w:left w:val="none" w:sz="0" w:space="0" w:color="auto"/>
        <w:bottom w:val="none" w:sz="0" w:space="0" w:color="auto"/>
        <w:right w:val="none" w:sz="0" w:space="0" w:color="auto"/>
      </w:divBdr>
      <w:divsChild>
        <w:div w:id="395474706">
          <w:marLeft w:val="0"/>
          <w:marRight w:val="0"/>
          <w:marTop w:val="0"/>
          <w:marBottom w:val="0"/>
          <w:divBdr>
            <w:top w:val="none" w:sz="0" w:space="0" w:color="auto"/>
            <w:left w:val="none" w:sz="0" w:space="0" w:color="auto"/>
            <w:bottom w:val="none" w:sz="0" w:space="0" w:color="auto"/>
            <w:right w:val="none" w:sz="0" w:space="0" w:color="auto"/>
          </w:divBdr>
        </w:div>
      </w:divsChild>
    </w:div>
    <w:div w:id="413361422">
      <w:bodyDiv w:val="1"/>
      <w:marLeft w:val="0"/>
      <w:marRight w:val="0"/>
      <w:marTop w:val="0"/>
      <w:marBottom w:val="0"/>
      <w:divBdr>
        <w:top w:val="none" w:sz="0" w:space="0" w:color="auto"/>
        <w:left w:val="none" w:sz="0" w:space="0" w:color="auto"/>
        <w:bottom w:val="none" w:sz="0" w:space="0" w:color="auto"/>
        <w:right w:val="none" w:sz="0" w:space="0" w:color="auto"/>
      </w:divBdr>
      <w:divsChild>
        <w:div w:id="946809239">
          <w:marLeft w:val="0"/>
          <w:marRight w:val="0"/>
          <w:marTop w:val="0"/>
          <w:marBottom w:val="0"/>
          <w:divBdr>
            <w:top w:val="none" w:sz="0" w:space="0" w:color="auto"/>
            <w:left w:val="none" w:sz="0" w:space="0" w:color="auto"/>
            <w:bottom w:val="none" w:sz="0" w:space="0" w:color="auto"/>
            <w:right w:val="none" w:sz="0" w:space="0" w:color="auto"/>
          </w:divBdr>
        </w:div>
      </w:divsChild>
    </w:div>
    <w:div w:id="458574609">
      <w:bodyDiv w:val="1"/>
      <w:marLeft w:val="0"/>
      <w:marRight w:val="0"/>
      <w:marTop w:val="0"/>
      <w:marBottom w:val="0"/>
      <w:divBdr>
        <w:top w:val="none" w:sz="0" w:space="0" w:color="auto"/>
        <w:left w:val="none" w:sz="0" w:space="0" w:color="auto"/>
        <w:bottom w:val="none" w:sz="0" w:space="0" w:color="auto"/>
        <w:right w:val="none" w:sz="0" w:space="0" w:color="auto"/>
      </w:divBdr>
    </w:div>
    <w:div w:id="526869731">
      <w:bodyDiv w:val="1"/>
      <w:marLeft w:val="0"/>
      <w:marRight w:val="0"/>
      <w:marTop w:val="0"/>
      <w:marBottom w:val="0"/>
      <w:divBdr>
        <w:top w:val="none" w:sz="0" w:space="0" w:color="auto"/>
        <w:left w:val="none" w:sz="0" w:space="0" w:color="auto"/>
        <w:bottom w:val="none" w:sz="0" w:space="0" w:color="auto"/>
        <w:right w:val="none" w:sz="0" w:space="0" w:color="auto"/>
      </w:divBdr>
      <w:divsChild>
        <w:div w:id="645090317">
          <w:marLeft w:val="0"/>
          <w:marRight w:val="0"/>
          <w:marTop w:val="0"/>
          <w:marBottom w:val="0"/>
          <w:divBdr>
            <w:top w:val="none" w:sz="0" w:space="0" w:color="auto"/>
            <w:left w:val="none" w:sz="0" w:space="0" w:color="auto"/>
            <w:bottom w:val="none" w:sz="0" w:space="0" w:color="auto"/>
            <w:right w:val="none" w:sz="0" w:space="0" w:color="auto"/>
          </w:divBdr>
        </w:div>
      </w:divsChild>
    </w:div>
    <w:div w:id="537206573">
      <w:bodyDiv w:val="1"/>
      <w:marLeft w:val="0"/>
      <w:marRight w:val="0"/>
      <w:marTop w:val="0"/>
      <w:marBottom w:val="0"/>
      <w:divBdr>
        <w:top w:val="none" w:sz="0" w:space="0" w:color="auto"/>
        <w:left w:val="none" w:sz="0" w:space="0" w:color="auto"/>
        <w:bottom w:val="none" w:sz="0" w:space="0" w:color="auto"/>
        <w:right w:val="none" w:sz="0" w:space="0" w:color="auto"/>
      </w:divBdr>
    </w:div>
    <w:div w:id="575282304">
      <w:bodyDiv w:val="1"/>
      <w:marLeft w:val="0"/>
      <w:marRight w:val="0"/>
      <w:marTop w:val="0"/>
      <w:marBottom w:val="0"/>
      <w:divBdr>
        <w:top w:val="none" w:sz="0" w:space="0" w:color="auto"/>
        <w:left w:val="none" w:sz="0" w:space="0" w:color="auto"/>
        <w:bottom w:val="none" w:sz="0" w:space="0" w:color="auto"/>
        <w:right w:val="none" w:sz="0" w:space="0" w:color="auto"/>
      </w:divBdr>
      <w:divsChild>
        <w:div w:id="1344740491">
          <w:marLeft w:val="0"/>
          <w:marRight w:val="0"/>
          <w:marTop w:val="0"/>
          <w:marBottom w:val="0"/>
          <w:divBdr>
            <w:top w:val="none" w:sz="0" w:space="0" w:color="auto"/>
            <w:left w:val="none" w:sz="0" w:space="0" w:color="auto"/>
            <w:bottom w:val="none" w:sz="0" w:space="0" w:color="auto"/>
            <w:right w:val="none" w:sz="0" w:space="0" w:color="auto"/>
          </w:divBdr>
        </w:div>
      </w:divsChild>
    </w:div>
    <w:div w:id="585041945">
      <w:bodyDiv w:val="1"/>
      <w:marLeft w:val="0"/>
      <w:marRight w:val="0"/>
      <w:marTop w:val="0"/>
      <w:marBottom w:val="0"/>
      <w:divBdr>
        <w:top w:val="none" w:sz="0" w:space="0" w:color="auto"/>
        <w:left w:val="none" w:sz="0" w:space="0" w:color="auto"/>
        <w:bottom w:val="none" w:sz="0" w:space="0" w:color="auto"/>
        <w:right w:val="none" w:sz="0" w:space="0" w:color="auto"/>
      </w:divBdr>
      <w:divsChild>
        <w:div w:id="267855018">
          <w:marLeft w:val="0"/>
          <w:marRight w:val="0"/>
          <w:marTop w:val="0"/>
          <w:marBottom w:val="0"/>
          <w:divBdr>
            <w:top w:val="none" w:sz="0" w:space="0" w:color="auto"/>
            <w:left w:val="none" w:sz="0" w:space="0" w:color="auto"/>
            <w:bottom w:val="none" w:sz="0" w:space="0" w:color="auto"/>
            <w:right w:val="none" w:sz="0" w:space="0" w:color="auto"/>
          </w:divBdr>
        </w:div>
      </w:divsChild>
    </w:div>
    <w:div w:id="598101878">
      <w:bodyDiv w:val="1"/>
      <w:marLeft w:val="0"/>
      <w:marRight w:val="0"/>
      <w:marTop w:val="0"/>
      <w:marBottom w:val="0"/>
      <w:divBdr>
        <w:top w:val="none" w:sz="0" w:space="0" w:color="auto"/>
        <w:left w:val="none" w:sz="0" w:space="0" w:color="auto"/>
        <w:bottom w:val="none" w:sz="0" w:space="0" w:color="auto"/>
        <w:right w:val="none" w:sz="0" w:space="0" w:color="auto"/>
      </w:divBdr>
      <w:divsChild>
        <w:div w:id="1798373777">
          <w:marLeft w:val="0"/>
          <w:marRight w:val="0"/>
          <w:marTop w:val="0"/>
          <w:marBottom w:val="0"/>
          <w:divBdr>
            <w:top w:val="none" w:sz="0" w:space="0" w:color="auto"/>
            <w:left w:val="none" w:sz="0" w:space="0" w:color="auto"/>
            <w:bottom w:val="none" w:sz="0" w:space="0" w:color="auto"/>
            <w:right w:val="none" w:sz="0" w:space="0" w:color="auto"/>
          </w:divBdr>
        </w:div>
      </w:divsChild>
    </w:div>
    <w:div w:id="628510590">
      <w:bodyDiv w:val="1"/>
      <w:marLeft w:val="0"/>
      <w:marRight w:val="0"/>
      <w:marTop w:val="0"/>
      <w:marBottom w:val="0"/>
      <w:divBdr>
        <w:top w:val="none" w:sz="0" w:space="0" w:color="auto"/>
        <w:left w:val="none" w:sz="0" w:space="0" w:color="auto"/>
        <w:bottom w:val="none" w:sz="0" w:space="0" w:color="auto"/>
        <w:right w:val="none" w:sz="0" w:space="0" w:color="auto"/>
      </w:divBdr>
      <w:divsChild>
        <w:div w:id="260068215">
          <w:marLeft w:val="0"/>
          <w:marRight w:val="0"/>
          <w:marTop w:val="0"/>
          <w:marBottom w:val="0"/>
          <w:divBdr>
            <w:top w:val="none" w:sz="0" w:space="0" w:color="auto"/>
            <w:left w:val="none" w:sz="0" w:space="0" w:color="auto"/>
            <w:bottom w:val="none" w:sz="0" w:space="0" w:color="auto"/>
            <w:right w:val="none" w:sz="0" w:space="0" w:color="auto"/>
          </w:divBdr>
        </w:div>
      </w:divsChild>
    </w:div>
    <w:div w:id="638653749">
      <w:bodyDiv w:val="1"/>
      <w:marLeft w:val="0"/>
      <w:marRight w:val="0"/>
      <w:marTop w:val="0"/>
      <w:marBottom w:val="0"/>
      <w:divBdr>
        <w:top w:val="none" w:sz="0" w:space="0" w:color="auto"/>
        <w:left w:val="none" w:sz="0" w:space="0" w:color="auto"/>
        <w:bottom w:val="none" w:sz="0" w:space="0" w:color="auto"/>
        <w:right w:val="none" w:sz="0" w:space="0" w:color="auto"/>
      </w:divBdr>
      <w:divsChild>
        <w:div w:id="1845050967">
          <w:marLeft w:val="0"/>
          <w:marRight w:val="0"/>
          <w:marTop w:val="0"/>
          <w:marBottom w:val="0"/>
          <w:divBdr>
            <w:top w:val="none" w:sz="0" w:space="0" w:color="auto"/>
            <w:left w:val="none" w:sz="0" w:space="0" w:color="auto"/>
            <w:bottom w:val="none" w:sz="0" w:space="0" w:color="auto"/>
            <w:right w:val="none" w:sz="0" w:space="0" w:color="auto"/>
          </w:divBdr>
        </w:div>
      </w:divsChild>
    </w:div>
    <w:div w:id="661003397">
      <w:bodyDiv w:val="1"/>
      <w:marLeft w:val="0"/>
      <w:marRight w:val="0"/>
      <w:marTop w:val="0"/>
      <w:marBottom w:val="0"/>
      <w:divBdr>
        <w:top w:val="none" w:sz="0" w:space="0" w:color="auto"/>
        <w:left w:val="none" w:sz="0" w:space="0" w:color="auto"/>
        <w:bottom w:val="none" w:sz="0" w:space="0" w:color="auto"/>
        <w:right w:val="none" w:sz="0" w:space="0" w:color="auto"/>
      </w:divBdr>
      <w:divsChild>
        <w:div w:id="1359771551">
          <w:marLeft w:val="0"/>
          <w:marRight w:val="0"/>
          <w:marTop w:val="0"/>
          <w:marBottom w:val="0"/>
          <w:divBdr>
            <w:top w:val="none" w:sz="0" w:space="0" w:color="auto"/>
            <w:left w:val="none" w:sz="0" w:space="0" w:color="auto"/>
            <w:bottom w:val="none" w:sz="0" w:space="0" w:color="auto"/>
            <w:right w:val="none" w:sz="0" w:space="0" w:color="auto"/>
          </w:divBdr>
        </w:div>
      </w:divsChild>
    </w:div>
    <w:div w:id="694111572">
      <w:bodyDiv w:val="1"/>
      <w:marLeft w:val="0"/>
      <w:marRight w:val="0"/>
      <w:marTop w:val="0"/>
      <w:marBottom w:val="0"/>
      <w:divBdr>
        <w:top w:val="none" w:sz="0" w:space="0" w:color="auto"/>
        <w:left w:val="none" w:sz="0" w:space="0" w:color="auto"/>
        <w:bottom w:val="none" w:sz="0" w:space="0" w:color="auto"/>
        <w:right w:val="none" w:sz="0" w:space="0" w:color="auto"/>
      </w:divBdr>
      <w:divsChild>
        <w:div w:id="1007364767">
          <w:marLeft w:val="0"/>
          <w:marRight w:val="0"/>
          <w:marTop w:val="0"/>
          <w:marBottom w:val="0"/>
          <w:divBdr>
            <w:top w:val="none" w:sz="0" w:space="0" w:color="auto"/>
            <w:left w:val="none" w:sz="0" w:space="0" w:color="auto"/>
            <w:bottom w:val="none" w:sz="0" w:space="0" w:color="auto"/>
            <w:right w:val="none" w:sz="0" w:space="0" w:color="auto"/>
          </w:divBdr>
        </w:div>
      </w:divsChild>
    </w:div>
    <w:div w:id="695499644">
      <w:bodyDiv w:val="1"/>
      <w:marLeft w:val="0"/>
      <w:marRight w:val="0"/>
      <w:marTop w:val="0"/>
      <w:marBottom w:val="0"/>
      <w:divBdr>
        <w:top w:val="none" w:sz="0" w:space="0" w:color="auto"/>
        <w:left w:val="none" w:sz="0" w:space="0" w:color="auto"/>
        <w:bottom w:val="none" w:sz="0" w:space="0" w:color="auto"/>
        <w:right w:val="none" w:sz="0" w:space="0" w:color="auto"/>
      </w:divBdr>
    </w:div>
    <w:div w:id="723021806">
      <w:bodyDiv w:val="1"/>
      <w:marLeft w:val="0"/>
      <w:marRight w:val="0"/>
      <w:marTop w:val="0"/>
      <w:marBottom w:val="0"/>
      <w:divBdr>
        <w:top w:val="none" w:sz="0" w:space="0" w:color="auto"/>
        <w:left w:val="none" w:sz="0" w:space="0" w:color="auto"/>
        <w:bottom w:val="none" w:sz="0" w:space="0" w:color="auto"/>
        <w:right w:val="none" w:sz="0" w:space="0" w:color="auto"/>
      </w:divBdr>
      <w:divsChild>
        <w:div w:id="898595199">
          <w:marLeft w:val="0"/>
          <w:marRight w:val="0"/>
          <w:marTop w:val="0"/>
          <w:marBottom w:val="0"/>
          <w:divBdr>
            <w:top w:val="none" w:sz="0" w:space="0" w:color="auto"/>
            <w:left w:val="none" w:sz="0" w:space="0" w:color="auto"/>
            <w:bottom w:val="none" w:sz="0" w:space="0" w:color="auto"/>
            <w:right w:val="none" w:sz="0" w:space="0" w:color="auto"/>
          </w:divBdr>
        </w:div>
      </w:divsChild>
    </w:div>
    <w:div w:id="759522674">
      <w:bodyDiv w:val="1"/>
      <w:marLeft w:val="0"/>
      <w:marRight w:val="0"/>
      <w:marTop w:val="0"/>
      <w:marBottom w:val="0"/>
      <w:divBdr>
        <w:top w:val="none" w:sz="0" w:space="0" w:color="auto"/>
        <w:left w:val="none" w:sz="0" w:space="0" w:color="auto"/>
        <w:bottom w:val="none" w:sz="0" w:space="0" w:color="auto"/>
        <w:right w:val="none" w:sz="0" w:space="0" w:color="auto"/>
      </w:divBdr>
      <w:divsChild>
        <w:div w:id="376777182">
          <w:marLeft w:val="0"/>
          <w:marRight w:val="0"/>
          <w:marTop w:val="0"/>
          <w:marBottom w:val="0"/>
          <w:divBdr>
            <w:top w:val="none" w:sz="0" w:space="0" w:color="auto"/>
            <w:left w:val="none" w:sz="0" w:space="0" w:color="auto"/>
            <w:bottom w:val="none" w:sz="0" w:space="0" w:color="auto"/>
            <w:right w:val="none" w:sz="0" w:space="0" w:color="auto"/>
          </w:divBdr>
        </w:div>
      </w:divsChild>
    </w:div>
    <w:div w:id="793913806">
      <w:bodyDiv w:val="1"/>
      <w:marLeft w:val="0"/>
      <w:marRight w:val="0"/>
      <w:marTop w:val="0"/>
      <w:marBottom w:val="0"/>
      <w:divBdr>
        <w:top w:val="none" w:sz="0" w:space="0" w:color="auto"/>
        <w:left w:val="none" w:sz="0" w:space="0" w:color="auto"/>
        <w:bottom w:val="none" w:sz="0" w:space="0" w:color="auto"/>
        <w:right w:val="none" w:sz="0" w:space="0" w:color="auto"/>
      </w:divBdr>
      <w:divsChild>
        <w:div w:id="1706715438">
          <w:marLeft w:val="0"/>
          <w:marRight w:val="0"/>
          <w:marTop w:val="0"/>
          <w:marBottom w:val="0"/>
          <w:divBdr>
            <w:top w:val="none" w:sz="0" w:space="0" w:color="auto"/>
            <w:left w:val="none" w:sz="0" w:space="0" w:color="auto"/>
            <w:bottom w:val="none" w:sz="0" w:space="0" w:color="auto"/>
            <w:right w:val="none" w:sz="0" w:space="0" w:color="auto"/>
          </w:divBdr>
        </w:div>
      </w:divsChild>
    </w:div>
    <w:div w:id="800343809">
      <w:bodyDiv w:val="1"/>
      <w:marLeft w:val="0"/>
      <w:marRight w:val="0"/>
      <w:marTop w:val="0"/>
      <w:marBottom w:val="0"/>
      <w:divBdr>
        <w:top w:val="none" w:sz="0" w:space="0" w:color="auto"/>
        <w:left w:val="none" w:sz="0" w:space="0" w:color="auto"/>
        <w:bottom w:val="none" w:sz="0" w:space="0" w:color="auto"/>
        <w:right w:val="none" w:sz="0" w:space="0" w:color="auto"/>
      </w:divBdr>
      <w:divsChild>
        <w:div w:id="33427315">
          <w:marLeft w:val="0"/>
          <w:marRight w:val="0"/>
          <w:marTop w:val="0"/>
          <w:marBottom w:val="0"/>
          <w:divBdr>
            <w:top w:val="none" w:sz="0" w:space="0" w:color="auto"/>
            <w:left w:val="none" w:sz="0" w:space="0" w:color="auto"/>
            <w:bottom w:val="none" w:sz="0" w:space="0" w:color="auto"/>
            <w:right w:val="none" w:sz="0" w:space="0" w:color="auto"/>
          </w:divBdr>
        </w:div>
      </w:divsChild>
    </w:div>
    <w:div w:id="829515370">
      <w:bodyDiv w:val="1"/>
      <w:marLeft w:val="0"/>
      <w:marRight w:val="0"/>
      <w:marTop w:val="0"/>
      <w:marBottom w:val="0"/>
      <w:divBdr>
        <w:top w:val="none" w:sz="0" w:space="0" w:color="auto"/>
        <w:left w:val="none" w:sz="0" w:space="0" w:color="auto"/>
        <w:bottom w:val="none" w:sz="0" w:space="0" w:color="auto"/>
        <w:right w:val="none" w:sz="0" w:space="0" w:color="auto"/>
      </w:divBdr>
      <w:divsChild>
        <w:div w:id="2088963461">
          <w:marLeft w:val="0"/>
          <w:marRight w:val="0"/>
          <w:marTop w:val="0"/>
          <w:marBottom w:val="0"/>
          <w:divBdr>
            <w:top w:val="none" w:sz="0" w:space="0" w:color="auto"/>
            <w:left w:val="none" w:sz="0" w:space="0" w:color="auto"/>
            <w:bottom w:val="none" w:sz="0" w:space="0" w:color="auto"/>
            <w:right w:val="none" w:sz="0" w:space="0" w:color="auto"/>
          </w:divBdr>
        </w:div>
      </w:divsChild>
    </w:div>
    <w:div w:id="839999924">
      <w:bodyDiv w:val="1"/>
      <w:marLeft w:val="0"/>
      <w:marRight w:val="0"/>
      <w:marTop w:val="0"/>
      <w:marBottom w:val="0"/>
      <w:divBdr>
        <w:top w:val="none" w:sz="0" w:space="0" w:color="auto"/>
        <w:left w:val="none" w:sz="0" w:space="0" w:color="auto"/>
        <w:bottom w:val="none" w:sz="0" w:space="0" w:color="auto"/>
        <w:right w:val="none" w:sz="0" w:space="0" w:color="auto"/>
      </w:divBdr>
      <w:divsChild>
        <w:div w:id="216474688">
          <w:marLeft w:val="0"/>
          <w:marRight w:val="0"/>
          <w:marTop w:val="0"/>
          <w:marBottom w:val="0"/>
          <w:divBdr>
            <w:top w:val="none" w:sz="0" w:space="0" w:color="auto"/>
            <w:left w:val="none" w:sz="0" w:space="0" w:color="auto"/>
            <w:bottom w:val="none" w:sz="0" w:space="0" w:color="auto"/>
            <w:right w:val="none" w:sz="0" w:space="0" w:color="auto"/>
          </w:divBdr>
        </w:div>
      </w:divsChild>
    </w:div>
    <w:div w:id="869144284">
      <w:bodyDiv w:val="1"/>
      <w:marLeft w:val="0"/>
      <w:marRight w:val="0"/>
      <w:marTop w:val="0"/>
      <w:marBottom w:val="0"/>
      <w:divBdr>
        <w:top w:val="none" w:sz="0" w:space="0" w:color="auto"/>
        <w:left w:val="none" w:sz="0" w:space="0" w:color="auto"/>
        <w:bottom w:val="none" w:sz="0" w:space="0" w:color="auto"/>
        <w:right w:val="none" w:sz="0" w:space="0" w:color="auto"/>
      </w:divBdr>
      <w:divsChild>
        <w:div w:id="1964800420">
          <w:marLeft w:val="0"/>
          <w:marRight w:val="0"/>
          <w:marTop w:val="0"/>
          <w:marBottom w:val="0"/>
          <w:divBdr>
            <w:top w:val="none" w:sz="0" w:space="0" w:color="auto"/>
            <w:left w:val="none" w:sz="0" w:space="0" w:color="auto"/>
            <w:bottom w:val="none" w:sz="0" w:space="0" w:color="auto"/>
            <w:right w:val="none" w:sz="0" w:space="0" w:color="auto"/>
          </w:divBdr>
        </w:div>
      </w:divsChild>
    </w:div>
    <w:div w:id="904726962">
      <w:bodyDiv w:val="1"/>
      <w:marLeft w:val="0"/>
      <w:marRight w:val="0"/>
      <w:marTop w:val="0"/>
      <w:marBottom w:val="0"/>
      <w:divBdr>
        <w:top w:val="none" w:sz="0" w:space="0" w:color="auto"/>
        <w:left w:val="none" w:sz="0" w:space="0" w:color="auto"/>
        <w:bottom w:val="none" w:sz="0" w:space="0" w:color="auto"/>
        <w:right w:val="none" w:sz="0" w:space="0" w:color="auto"/>
      </w:divBdr>
      <w:divsChild>
        <w:div w:id="229001486">
          <w:marLeft w:val="0"/>
          <w:marRight w:val="0"/>
          <w:marTop w:val="0"/>
          <w:marBottom w:val="0"/>
          <w:divBdr>
            <w:top w:val="none" w:sz="0" w:space="0" w:color="auto"/>
            <w:left w:val="none" w:sz="0" w:space="0" w:color="auto"/>
            <w:bottom w:val="none" w:sz="0" w:space="0" w:color="auto"/>
            <w:right w:val="none" w:sz="0" w:space="0" w:color="auto"/>
          </w:divBdr>
        </w:div>
      </w:divsChild>
    </w:div>
    <w:div w:id="991442235">
      <w:bodyDiv w:val="1"/>
      <w:marLeft w:val="0"/>
      <w:marRight w:val="0"/>
      <w:marTop w:val="0"/>
      <w:marBottom w:val="0"/>
      <w:divBdr>
        <w:top w:val="none" w:sz="0" w:space="0" w:color="auto"/>
        <w:left w:val="none" w:sz="0" w:space="0" w:color="auto"/>
        <w:bottom w:val="none" w:sz="0" w:space="0" w:color="auto"/>
        <w:right w:val="none" w:sz="0" w:space="0" w:color="auto"/>
      </w:divBdr>
      <w:divsChild>
        <w:div w:id="2006975063">
          <w:marLeft w:val="0"/>
          <w:marRight w:val="0"/>
          <w:marTop w:val="0"/>
          <w:marBottom w:val="0"/>
          <w:divBdr>
            <w:top w:val="none" w:sz="0" w:space="0" w:color="auto"/>
            <w:left w:val="none" w:sz="0" w:space="0" w:color="auto"/>
            <w:bottom w:val="none" w:sz="0" w:space="0" w:color="auto"/>
            <w:right w:val="none" w:sz="0" w:space="0" w:color="auto"/>
          </w:divBdr>
        </w:div>
      </w:divsChild>
    </w:div>
    <w:div w:id="992489590">
      <w:bodyDiv w:val="1"/>
      <w:marLeft w:val="0"/>
      <w:marRight w:val="0"/>
      <w:marTop w:val="0"/>
      <w:marBottom w:val="0"/>
      <w:divBdr>
        <w:top w:val="none" w:sz="0" w:space="0" w:color="auto"/>
        <w:left w:val="none" w:sz="0" w:space="0" w:color="auto"/>
        <w:bottom w:val="none" w:sz="0" w:space="0" w:color="auto"/>
        <w:right w:val="none" w:sz="0" w:space="0" w:color="auto"/>
      </w:divBdr>
    </w:div>
    <w:div w:id="1005863104">
      <w:bodyDiv w:val="1"/>
      <w:marLeft w:val="0"/>
      <w:marRight w:val="0"/>
      <w:marTop w:val="0"/>
      <w:marBottom w:val="0"/>
      <w:divBdr>
        <w:top w:val="none" w:sz="0" w:space="0" w:color="auto"/>
        <w:left w:val="none" w:sz="0" w:space="0" w:color="auto"/>
        <w:bottom w:val="none" w:sz="0" w:space="0" w:color="auto"/>
        <w:right w:val="none" w:sz="0" w:space="0" w:color="auto"/>
      </w:divBdr>
      <w:divsChild>
        <w:div w:id="815798872">
          <w:marLeft w:val="0"/>
          <w:marRight w:val="0"/>
          <w:marTop w:val="0"/>
          <w:marBottom w:val="0"/>
          <w:divBdr>
            <w:top w:val="none" w:sz="0" w:space="0" w:color="auto"/>
            <w:left w:val="none" w:sz="0" w:space="0" w:color="auto"/>
            <w:bottom w:val="none" w:sz="0" w:space="0" w:color="auto"/>
            <w:right w:val="none" w:sz="0" w:space="0" w:color="auto"/>
          </w:divBdr>
        </w:div>
      </w:divsChild>
    </w:div>
    <w:div w:id="1052071680">
      <w:bodyDiv w:val="1"/>
      <w:marLeft w:val="0"/>
      <w:marRight w:val="0"/>
      <w:marTop w:val="0"/>
      <w:marBottom w:val="0"/>
      <w:divBdr>
        <w:top w:val="none" w:sz="0" w:space="0" w:color="auto"/>
        <w:left w:val="none" w:sz="0" w:space="0" w:color="auto"/>
        <w:bottom w:val="none" w:sz="0" w:space="0" w:color="auto"/>
        <w:right w:val="none" w:sz="0" w:space="0" w:color="auto"/>
      </w:divBdr>
      <w:divsChild>
        <w:div w:id="697969669">
          <w:marLeft w:val="0"/>
          <w:marRight w:val="0"/>
          <w:marTop w:val="0"/>
          <w:marBottom w:val="0"/>
          <w:divBdr>
            <w:top w:val="none" w:sz="0" w:space="0" w:color="auto"/>
            <w:left w:val="none" w:sz="0" w:space="0" w:color="auto"/>
            <w:bottom w:val="none" w:sz="0" w:space="0" w:color="auto"/>
            <w:right w:val="none" w:sz="0" w:space="0" w:color="auto"/>
          </w:divBdr>
        </w:div>
      </w:divsChild>
    </w:div>
    <w:div w:id="1085497795">
      <w:bodyDiv w:val="1"/>
      <w:marLeft w:val="0"/>
      <w:marRight w:val="0"/>
      <w:marTop w:val="0"/>
      <w:marBottom w:val="0"/>
      <w:divBdr>
        <w:top w:val="none" w:sz="0" w:space="0" w:color="auto"/>
        <w:left w:val="none" w:sz="0" w:space="0" w:color="auto"/>
        <w:bottom w:val="none" w:sz="0" w:space="0" w:color="auto"/>
        <w:right w:val="none" w:sz="0" w:space="0" w:color="auto"/>
      </w:divBdr>
      <w:divsChild>
        <w:div w:id="1032222837">
          <w:marLeft w:val="0"/>
          <w:marRight w:val="0"/>
          <w:marTop w:val="0"/>
          <w:marBottom w:val="0"/>
          <w:divBdr>
            <w:top w:val="none" w:sz="0" w:space="0" w:color="auto"/>
            <w:left w:val="none" w:sz="0" w:space="0" w:color="auto"/>
            <w:bottom w:val="none" w:sz="0" w:space="0" w:color="auto"/>
            <w:right w:val="none" w:sz="0" w:space="0" w:color="auto"/>
          </w:divBdr>
        </w:div>
      </w:divsChild>
    </w:div>
    <w:div w:id="1091121956">
      <w:bodyDiv w:val="1"/>
      <w:marLeft w:val="0"/>
      <w:marRight w:val="0"/>
      <w:marTop w:val="0"/>
      <w:marBottom w:val="0"/>
      <w:divBdr>
        <w:top w:val="none" w:sz="0" w:space="0" w:color="auto"/>
        <w:left w:val="none" w:sz="0" w:space="0" w:color="auto"/>
        <w:bottom w:val="none" w:sz="0" w:space="0" w:color="auto"/>
        <w:right w:val="none" w:sz="0" w:space="0" w:color="auto"/>
      </w:divBdr>
      <w:divsChild>
        <w:div w:id="1449856610">
          <w:marLeft w:val="0"/>
          <w:marRight w:val="0"/>
          <w:marTop w:val="0"/>
          <w:marBottom w:val="0"/>
          <w:divBdr>
            <w:top w:val="none" w:sz="0" w:space="0" w:color="auto"/>
            <w:left w:val="none" w:sz="0" w:space="0" w:color="auto"/>
            <w:bottom w:val="none" w:sz="0" w:space="0" w:color="auto"/>
            <w:right w:val="none" w:sz="0" w:space="0" w:color="auto"/>
          </w:divBdr>
        </w:div>
      </w:divsChild>
    </w:div>
    <w:div w:id="1102802028">
      <w:bodyDiv w:val="1"/>
      <w:marLeft w:val="0"/>
      <w:marRight w:val="0"/>
      <w:marTop w:val="0"/>
      <w:marBottom w:val="0"/>
      <w:divBdr>
        <w:top w:val="none" w:sz="0" w:space="0" w:color="auto"/>
        <w:left w:val="none" w:sz="0" w:space="0" w:color="auto"/>
        <w:bottom w:val="none" w:sz="0" w:space="0" w:color="auto"/>
        <w:right w:val="none" w:sz="0" w:space="0" w:color="auto"/>
      </w:divBdr>
      <w:divsChild>
        <w:div w:id="1369912228">
          <w:marLeft w:val="0"/>
          <w:marRight w:val="0"/>
          <w:marTop w:val="0"/>
          <w:marBottom w:val="0"/>
          <w:divBdr>
            <w:top w:val="none" w:sz="0" w:space="0" w:color="auto"/>
            <w:left w:val="none" w:sz="0" w:space="0" w:color="auto"/>
            <w:bottom w:val="none" w:sz="0" w:space="0" w:color="auto"/>
            <w:right w:val="none" w:sz="0" w:space="0" w:color="auto"/>
          </w:divBdr>
        </w:div>
      </w:divsChild>
    </w:div>
    <w:div w:id="1120689093">
      <w:bodyDiv w:val="1"/>
      <w:marLeft w:val="0"/>
      <w:marRight w:val="0"/>
      <w:marTop w:val="0"/>
      <w:marBottom w:val="0"/>
      <w:divBdr>
        <w:top w:val="none" w:sz="0" w:space="0" w:color="auto"/>
        <w:left w:val="none" w:sz="0" w:space="0" w:color="auto"/>
        <w:bottom w:val="none" w:sz="0" w:space="0" w:color="auto"/>
        <w:right w:val="none" w:sz="0" w:space="0" w:color="auto"/>
      </w:divBdr>
      <w:divsChild>
        <w:div w:id="315455058">
          <w:marLeft w:val="0"/>
          <w:marRight w:val="0"/>
          <w:marTop w:val="0"/>
          <w:marBottom w:val="0"/>
          <w:divBdr>
            <w:top w:val="none" w:sz="0" w:space="0" w:color="auto"/>
            <w:left w:val="none" w:sz="0" w:space="0" w:color="auto"/>
            <w:bottom w:val="none" w:sz="0" w:space="0" w:color="auto"/>
            <w:right w:val="none" w:sz="0" w:space="0" w:color="auto"/>
          </w:divBdr>
        </w:div>
      </w:divsChild>
    </w:div>
    <w:div w:id="1137602191">
      <w:bodyDiv w:val="1"/>
      <w:marLeft w:val="0"/>
      <w:marRight w:val="0"/>
      <w:marTop w:val="0"/>
      <w:marBottom w:val="0"/>
      <w:divBdr>
        <w:top w:val="none" w:sz="0" w:space="0" w:color="auto"/>
        <w:left w:val="none" w:sz="0" w:space="0" w:color="auto"/>
        <w:bottom w:val="none" w:sz="0" w:space="0" w:color="auto"/>
        <w:right w:val="none" w:sz="0" w:space="0" w:color="auto"/>
      </w:divBdr>
      <w:divsChild>
        <w:div w:id="203256982">
          <w:marLeft w:val="0"/>
          <w:marRight w:val="0"/>
          <w:marTop w:val="0"/>
          <w:marBottom w:val="0"/>
          <w:divBdr>
            <w:top w:val="none" w:sz="0" w:space="0" w:color="auto"/>
            <w:left w:val="none" w:sz="0" w:space="0" w:color="auto"/>
            <w:bottom w:val="none" w:sz="0" w:space="0" w:color="auto"/>
            <w:right w:val="none" w:sz="0" w:space="0" w:color="auto"/>
          </w:divBdr>
        </w:div>
      </w:divsChild>
    </w:div>
    <w:div w:id="1139760886">
      <w:bodyDiv w:val="1"/>
      <w:marLeft w:val="0"/>
      <w:marRight w:val="0"/>
      <w:marTop w:val="0"/>
      <w:marBottom w:val="0"/>
      <w:divBdr>
        <w:top w:val="none" w:sz="0" w:space="0" w:color="auto"/>
        <w:left w:val="none" w:sz="0" w:space="0" w:color="auto"/>
        <w:bottom w:val="none" w:sz="0" w:space="0" w:color="auto"/>
        <w:right w:val="none" w:sz="0" w:space="0" w:color="auto"/>
      </w:divBdr>
      <w:divsChild>
        <w:div w:id="1062017918">
          <w:marLeft w:val="0"/>
          <w:marRight w:val="0"/>
          <w:marTop w:val="0"/>
          <w:marBottom w:val="0"/>
          <w:divBdr>
            <w:top w:val="none" w:sz="0" w:space="0" w:color="auto"/>
            <w:left w:val="none" w:sz="0" w:space="0" w:color="auto"/>
            <w:bottom w:val="none" w:sz="0" w:space="0" w:color="auto"/>
            <w:right w:val="none" w:sz="0" w:space="0" w:color="auto"/>
          </w:divBdr>
        </w:div>
      </w:divsChild>
    </w:div>
    <w:div w:id="1143235664">
      <w:bodyDiv w:val="1"/>
      <w:marLeft w:val="0"/>
      <w:marRight w:val="0"/>
      <w:marTop w:val="0"/>
      <w:marBottom w:val="0"/>
      <w:divBdr>
        <w:top w:val="none" w:sz="0" w:space="0" w:color="auto"/>
        <w:left w:val="none" w:sz="0" w:space="0" w:color="auto"/>
        <w:bottom w:val="none" w:sz="0" w:space="0" w:color="auto"/>
        <w:right w:val="none" w:sz="0" w:space="0" w:color="auto"/>
      </w:divBdr>
      <w:divsChild>
        <w:div w:id="2021470100">
          <w:marLeft w:val="0"/>
          <w:marRight w:val="0"/>
          <w:marTop w:val="0"/>
          <w:marBottom w:val="0"/>
          <w:divBdr>
            <w:top w:val="none" w:sz="0" w:space="0" w:color="auto"/>
            <w:left w:val="none" w:sz="0" w:space="0" w:color="auto"/>
            <w:bottom w:val="none" w:sz="0" w:space="0" w:color="auto"/>
            <w:right w:val="none" w:sz="0" w:space="0" w:color="auto"/>
          </w:divBdr>
        </w:div>
      </w:divsChild>
    </w:div>
    <w:div w:id="1225875324">
      <w:bodyDiv w:val="1"/>
      <w:marLeft w:val="0"/>
      <w:marRight w:val="0"/>
      <w:marTop w:val="0"/>
      <w:marBottom w:val="0"/>
      <w:divBdr>
        <w:top w:val="none" w:sz="0" w:space="0" w:color="auto"/>
        <w:left w:val="none" w:sz="0" w:space="0" w:color="auto"/>
        <w:bottom w:val="none" w:sz="0" w:space="0" w:color="auto"/>
        <w:right w:val="none" w:sz="0" w:space="0" w:color="auto"/>
      </w:divBdr>
      <w:divsChild>
        <w:div w:id="1992830851">
          <w:marLeft w:val="0"/>
          <w:marRight w:val="0"/>
          <w:marTop w:val="0"/>
          <w:marBottom w:val="0"/>
          <w:divBdr>
            <w:top w:val="none" w:sz="0" w:space="0" w:color="auto"/>
            <w:left w:val="none" w:sz="0" w:space="0" w:color="auto"/>
            <w:bottom w:val="none" w:sz="0" w:space="0" w:color="auto"/>
            <w:right w:val="none" w:sz="0" w:space="0" w:color="auto"/>
          </w:divBdr>
        </w:div>
      </w:divsChild>
    </w:div>
    <w:div w:id="1229070428">
      <w:bodyDiv w:val="1"/>
      <w:marLeft w:val="0"/>
      <w:marRight w:val="0"/>
      <w:marTop w:val="0"/>
      <w:marBottom w:val="0"/>
      <w:divBdr>
        <w:top w:val="none" w:sz="0" w:space="0" w:color="auto"/>
        <w:left w:val="none" w:sz="0" w:space="0" w:color="auto"/>
        <w:bottom w:val="none" w:sz="0" w:space="0" w:color="auto"/>
        <w:right w:val="none" w:sz="0" w:space="0" w:color="auto"/>
      </w:divBdr>
      <w:divsChild>
        <w:div w:id="549851880">
          <w:marLeft w:val="0"/>
          <w:marRight w:val="0"/>
          <w:marTop w:val="0"/>
          <w:marBottom w:val="0"/>
          <w:divBdr>
            <w:top w:val="none" w:sz="0" w:space="0" w:color="auto"/>
            <w:left w:val="none" w:sz="0" w:space="0" w:color="auto"/>
            <w:bottom w:val="none" w:sz="0" w:space="0" w:color="auto"/>
            <w:right w:val="none" w:sz="0" w:space="0" w:color="auto"/>
          </w:divBdr>
        </w:div>
      </w:divsChild>
    </w:div>
    <w:div w:id="1271819952">
      <w:bodyDiv w:val="1"/>
      <w:marLeft w:val="0"/>
      <w:marRight w:val="0"/>
      <w:marTop w:val="0"/>
      <w:marBottom w:val="0"/>
      <w:divBdr>
        <w:top w:val="none" w:sz="0" w:space="0" w:color="auto"/>
        <w:left w:val="none" w:sz="0" w:space="0" w:color="auto"/>
        <w:bottom w:val="none" w:sz="0" w:space="0" w:color="auto"/>
        <w:right w:val="none" w:sz="0" w:space="0" w:color="auto"/>
      </w:divBdr>
      <w:divsChild>
        <w:div w:id="904267745">
          <w:marLeft w:val="0"/>
          <w:marRight w:val="0"/>
          <w:marTop w:val="0"/>
          <w:marBottom w:val="0"/>
          <w:divBdr>
            <w:top w:val="none" w:sz="0" w:space="0" w:color="auto"/>
            <w:left w:val="none" w:sz="0" w:space="0" w:color="auto"/>
            <w:bottom w:val="none" w:sz="0" w:space="0" w:color="auto"/>
            <w:right w:val="none" w:sz="0" w:space="0" w:color="auto"/>
          </w:divBdr>
        </w:div>
      </w:divsChild>
    </w:div>
    <w:div w:id="1273056710">
      <w:bodyDiv w:val="1"/>
      <w:marLeft w:val="0"/>
      <w:marRight w:val="0"/>
      <w:marTop w:val="0"/>
      <w:marBottom w:val="0"/>
      <w:divBdr>
        <w:top w:val="none" w:sz="0" w:space="0" w:color="auto"/>
        <w:left w:val="none" w:sz="0" w:space="0" w:color="auto"/>
        <w:bottom w:val="none" w:sz="0" w:space="0" w:color="auto"/>
        <w:right w:val="none" w:sz="0" w:space="0" w:color="auto"/>
      </w:divBdr>
      <w:divsChild>
        <w:div w:id="1470721">
          <w:marLeft w:val="0"/>
          <w:marRight w:val="0"/>
          <w:marTop w:val="0"/>
          <w:marBottom w:val="0"/>
          <w:divBdr>
            <w:top w:val="none" w:sz="0" w:space="0" w:color="auto"/>
            <w:left w:val="none" w:sz="0" w:space="0" w:color="auto"/>
            <w:bottom w:val="none" w:sz="0" w:space="0" w:color="auto"/>
            <w:right w:val="none" w:sz="0" w:space="0" w:color="auto"/>
          </w:divBdr>
        </w:div>
      </w:divsChild>
    </w:div>
    <w:div w:id="1288856783">
      <w:bodyDiv w:val="1"/>
      <w:marLeft w:val="0"/>
      <w:marRight w:val="0"/>
      <w:marTop w:val="0"/>
      <w:marBottom w:val="0"/>
      <w:divBdr>
        <w:top w:val="none" w:sz="0" w:space="0" w:color="auto"/>
        <w:left w:val="none" w:sz="0" w:space="0" w:color="auto"/>
        <w:bottom w:val="none" w:sz="0" w:space="0" w:color="auto"/>
        <w:right w:val="none" w:sz="0" w:space="0" w:color="auto"/>
      </w:divBdr>
      <w:divsChild>
        <w:div w:id="1339308845">
          <w:marLeft w:val="0"/>
          <w:marRight w:val="0"/>
          <w:marTop w:val="0"/>
          <w:marBottom w:val="0"/>
          <w:divBdr>
            <w:top w:val="none" w:sz="0" w:space="0" w:color="auto"/>
            <w:left w:val="none" w:sz="0" w:space="0" w:color="auto"/>
            <w:bottom w:val="none" w:sz="0" w:space="0" w:color="auto"/>
            <w:right w:val="none" w:sz="0" w:space="0" w:color="auto"/>
          </w:divBdr>
        </w:div>
      </w:divsChild>
    </w:div>
    <w:div w:id="1310404680">
      <w:bodyDiv w:val="1"/>
      <w:marLeft w:val="0"/>
      <w:marRight w:val="0"/>
      <w:marTop w:val="0"/>
      <w:marBottom w:val="0"/>
      <w:divBdr>
        <w:top w:val="none" w:sz="0" w:space="0" w:color="auto"/>
        <w:left w:val="none" w:sz="0" w:space="0" w:color="auto"/>
        <w:bottom w:val="none" w:sz="0" w:space="0" w:color="auto"/>
        <w:right w:val="none" w:sz="0" w:space="0" w:color="auto"/>
      </w:divBdr>
      <w:divsChild>
        <w:div w:id="161894858">
          <w:marLeft w:val="0"/>
          <w:marRight w:val="0"/>
          <w:marTop w:val="0"/>
          <w:marBottom w:val="0"/>
          <w:divBdr>
            <w:top w:val="none" w:sz="0" w:space="0" w:color="auto"/>
            <w:left w:val="none" w:sz="0" w:space="0" w:color="auto"/>
            <w:bottom w:val="none" w:sz="0" w:space="0" w:color="auto"/>
            <w:right w:val="none" w:sz="0" w:space="0" w:color="auto"/>
          </w:divBdr>
        </w:div>
      </w:divsChild>
    </w:div>
    <w:div w:id="1319577516">
      <w:bodyDiv w:val="1"/>
      <w:marLeft w:val="0"/>
      <w:marRight w:val="0"/>
      <w:marTop w:val="0"/>
      <w:marBottom w:val="0"/>
      <w:divBdr>
        <w:top w:val="none" w:sz="0" w:space="0" w:color="auto"/>
        <w:left w:val="none" w:sz="0" w:space="0" w:color="auto"/>
        <w:bottom w:val="none" w:sz="0" w:space="0" w:color="auto"/>
        <w:right w:val="none" w:sz="0" w:space="0" w:color="auto"/>
      </w:divBdr>
    </w:div>
    <w:div w:id="1322664108">
      <w:bodyDiv w:val="1"/>
      <w:marLeft w:val="0"/>
      <w:marRight w:val="0"/>
      <w:marTop w:val="0"/>
      <w:marBottom w:val="0"/>
      <w:divBdr>
        <w:top w:val="none" w:sz="0" w:space="0" w:color="auto"/>
        <w:left w:val="none" w:sz="0" w:space="0" w:color="auto"/>
        <w:bottom w:val="none" w:sz="0" w:space="0" w:color="auto"/>
        <w:right w:val="none" w:sz="0" w:space="0" w:color="auto"/>
      </w:divBdr>
      <w:divsChild>
        <w:div w:id="2060475097">
          <w:marLeft w:val="0"/>
          <w:marRight w:val="0"/>
          <w:marTop w:val="0"/>
          <w:marBottom w:val="0"/>
          <w:divBdr>
            <w:top w:val="none" w:sz="0" w:space="0" w:color="auto"/>
            <w:left w:val="none" w:sz="0" w:space="0" w:color="auto"/>
            <w:bottom w:val="none" w:sz="0" w:space="0" w:color="auto"/>
            <w:right w:val="none" w:sz="0" w:space="0" w:color="auto"/>
          </w:divBdr>
        </w:div>
      </w:divsChild>
    </w:div>
    <w:div w:id="1323268361">
      <w:bodyDiv w:val="1"/>
      <w:marLeft w:val="0"/>
      <w:marRight w:val="0"/>
      <w:marTop w:val="0"/>
      <w:marBottom w:val="0"/>
      <w:divBdr>
        <w:top w:val="none" w:sz="0" w:space="0" w:color="auto"/>
        <w:left w:val="none" w:sz="0" w:space="0" w:color="auto"/>
        <w:bottom w:val="none" w:sz="0" w:space="0" w:color="auto"/>
        <w:right w:val="none" w:sz="0" w:space="0" w:color="auto"/>
      </w:divBdr>
      <w:divsChild>
        <w:div w:id="486632965">
          <w:marLeft w:val="0"/>
          <w:marRight w:val="0"/>
          <w:marTop w:val="0"/>
          <w:marBottom w:val="0"/>
          <w:divBdr>
            <w:top w:val="none" w:sz="0" w:space="0" w:color="auto"/>
            <w:left w:val="none" w:sz="0" w:space="0" w:color="auto"/>
            <w:bottom w:val="none" w:sz="0" w:space="0" w:color="auto"/>
            <w:right w:val="none" w:sz="0" w:space="0" w:color="auto"/>
          </w:divBdr>
        </w:div>
      </w:divsChild>
    </w:div>
    <w:div w:id="1360859685">
      <w:bodyDiv w:val="1"/>
      <w:marLeft w:val="0"/>
      <w:marRight w:val="0"/>
      <w:marTop w:val="0"/>
      <w:marBottom w:val="0"/>
      <w:divBdr>
        <w:top w:val="none" w:sz="0" w:space="0" w:color="auto"/>
        <w:left w:val="none" w:sz="0" w:space="0" w:color="auto"/>
        <w:bottom w:val="none" w:sz="0" w:space="0" w:color="auto"/>
        <w:right w:val="none" w:sz="0" w:space="0" w:color="auto"/>
      </w:divBdr>
      <w:divsChild>
        <w:div w:id="991448355">
          <w:marLeft w:val="0"/>
          <w:marRight w:val="0"/>
          <w:marTop w:val="0"/>
          <w:marBottom w:val="0"/>
          <w:divBdr>
            <w:top w:val="none" w:sz="0" w:space="0" w:color="auto"/>
            <w:left w:val="none" w:sz="0" w:space="0" w:color="auto"/>
            <w:bottom w:val="none" w:sz="0" w:space="0" w:color="auto"/>
            <w:right w:val="none" w:sz="0" w:space="0" w:color="auto"/>
          </w:divBdr>
        </w:div>
      </w:divsChild>
    </w:div>
    <w:div w:id="1377854976">
      <w:bodyDiv w:val="1"/>
      <w:marLeft w:val="0"/>
      <w:marRight w:val="0"/>
      <w:marTop w:val="0"/>
      <w:marBottom w:val="0"/>
      <w:divBdr>
        <w:top w:val="none" w:sz="0" w:space="0" w:color="auto"/>
        <w:left w:val="none" w:sz="0" w:space="0" w:color="auto"/>
        <w:bottom w:val="none" w:sz="0" w:space="0" w:color="auto"/>
        <w:right w:val="none" w:sz="0" w:space="0" w:color="auto"/>
      </w:divBdr>
      <w:divsChild>
        <w:div w:id="1541894060">
          <w:marLeft w:val="0"/>
          <w:marRight w:val="0"/>
          <w:marTop w:val="0"/>
          <w:marBottom w:val="0"/>
          <w:divBdr>
            <w:top w:val="none" w:sz="0" w:space="0" w:color="auto"/>
            <w:left w:val="none" w:sz="0" w:space="0" w:color="auto"/>
            <w:bottom w:val="none" w:sz="0" w:space="0" w:color="auto"/>
            <w:right w:val="none" w:sz="0" w:space="0" w:color="auto"/>
          </w:divBdr>
        </w:div>
      </w:divsChild>
    </w:div>
    <w:div w:id="1389038192">
      <w:bodyDiv w:val="1"/>
      <w:marLeft w:val="0"/>
      <w:marRight w:val="0"/>
      <w:marTop w:val="0"/>
      <w:marBottom w:val="0"/>
      <w:divBdr>
        <w:top w:val="none" w:sz="0" w:space="0" w:color="auto"/>
        <w:left w:val="none" w:sz="0" w:space="0" w:color="auto"/>
        <w:bottom w:val="none" w:sz="0" w:space="0" w:color="auto"/>
        <w:right w:val="none" w:sz="0" w:space="0" w:color="auto"/>
      </w:divBdr>
      <w:divsChild>
        <w:div w:id="138688995">
          <w:marLeft w:val="0"/>
          <w:marRight w:val="0"/>
          <w:marTop w:val="0"/>
          <w:marBottom w:val="0"/>
          <w:divBdr>
            <w:top w:val="none" w:sz="0" w:space="0" w:color="auto"/>
            <w:left w:val="none" w:sz="0" w:space="0" w:color="auto"/>
            <w:bottom w:val="none" w:sz="0" w:space="0" w:color="auto"/>
            <w:right w:val="none" w:sz="0" w:space="0" w:color="auto"/>
          </w:divBdr>
        </w:div>
      </w:divsChild>
    </w:div>
    <w:div w:id="1399940727">
      <w:bodyDiv w:val="1"/>
      <w:marLeft w:val="0"/>
      <w:marRight w:val="0"/>
      <w:marTop w:val="0"/>
      <w:marBottom w:val="0"/>
      <w:divBdr>
        <w:top w:val="none" w:sz="0" w:space="0" w:color="auto"/>
        <w:left w:val="none" w:sz="0" w:space="0" w:color="auto"/>
        <w:bottom w:val="none" w:sz="0" w:space="0" w:color="auto"/>
        <w:right w:val="none" w:sz="0" w:space="0" w:color="auto"/>
      </w:divBdr>
    </w:div>
    <w:div w:id="1420565749">
      <w:bodyDiv w:val="1"/>
      <w:marLeft w:val="0"/>
      <w:marRight w:val="0"/>
      <w:marTop w:val="0"/>
      <w:marBottom w:val="0"/>
      <w:divBdr>
        <w:top w:val="none" w:sz="0" w:space="0" w:color="auto"/>
        <w:left w:val="none" w:sz="0" w:space="0" w:color="auto"/>
        <w:bottom w:val="none" w:sz="0" w:space="0" w:color="auto"/>
        <w:right w:val="none" w:sz="0" w:space="0" w:color="auto"/>
      </w:divBdr>
      <w:divsChild>
        <w:div w:id="653488385">
          <w:marLeft w:val="0"/>
          <w:marRight w:val="0"/>
          <w:marTop w:val="0"/>
          <w:marBottom w:val="0"/>
          <w:divBdr>
            <w:top w:val="none" w:sz="0" w:space="0" w:color="auto"/>
            <w:left w:val="none" w:sz="0" w:space="0" w:color="auto"/>
            <w:bottom w:val="none" w:sz="0" w:space="0" w:color="auto"/>
            <w:right w:val="none" w:sz="0" w:space="0" w:color="auto"/>
          </w:divBdr>
        </w:div>
      </w:divsChild>
    </w:div>
    <w:div w:id="1427725252">
      <w:bodyDiv w:val="1"/>
      <w:marLeft w:val="0"/>
      <w:marRight w:val="0"/>
      <w:marTop w:val="0"/>
      <w:marBottom w:val="0"/>
      <w:divBdr>
        <w:top w:val="none" w:sz="0" w:space="0" w:color="auto"/>
        <w:left w:val="none" w:sz="0" w:space="0" w:color="auto"/>
        <w:bottom w:val="none" w:sz="0" w:space="0" w:color="auto"/>
        <w:right w:val="none" w:sz="0" w:space="0" w:color="auto"/>
      </w:divBdr>
    </w:div>
    <w:div w:id="1439914534">
      <w:bodyDiv w:val="1"/>
      <w:marLeft w:val="0"/>
      <w:marRight w:val="0"/>
      <w:marTop w:val="0"/>
      <w:marBottom w:val="0"/>
      <w:divBdr>
        <w:top w:val="none" w:sz="0" w:space="0" w:color="auto"/>
        <w:left w:val="none" w:sz="0" w:space="0" w:color="auto"/>
        <w:bottom w:val="none" w:sz="0" w:space="0" w:color="auto"/>
        <w:right w:val="none" w:sz="0" w:space="0" w:color="auto"/>
      </w:divBdr>
      <w:divsChild>
        <w:div w:id="264266804">
          <w:marLeft w:val="0"/>
          <w:marRight w:val="0"/>
          <w:marTop w:val="0"/>
          <w:marBottom w:val="0"/>
          <w:divBdr>
            <w:top w:val="none" w:sz="0" w:space="0" w:color="auto"/>
            <w:left w:val="none" w:sz="0" w:space="0" w:color="auto"/>
            <w:bottom w:val="none" w:sz="0" w:space="0" w:color="auto"/>
            <w:right w:val="none" w:sz="0" w:space="0" w:color="auto"/>
          </w:divBdr>
        </w:div>
      </w:divsChild>
    </w:div>
    <w:div w:id="1444424571">
      <w:bodyDiv w:val="1"/>
      <w:marLeft w:val="0"/>
      <w:marRight w:val="0"/>
      <w:marTop w:val="0"/>
      <w:marBottom w:val="0"/>
      <w:divBdr>
        <w:top w:val="none" w:sz="0" w:space="0" w:color="auto"/>
        <w:left w:val="none" w:sz="0" w:space="0" w:color="auto"/>
        <w:bottom w:val="none" w:sz="0" w:space="0" w:color="auto"/>
        <w:right w:val="none" w:sz="0" w:space="0" w:color="auto"/>
      </w:divBdr>
      <w:divsChild>
        <w:div w:id="1608124752">
          <w:marLeft w:val="0"/>
          <w:marRight w:val="0"/>
          <w:marTop w:val="0"/>
          <w:marBottom w:val="0"/>
          <w:divBdr>
            <w:top w:val="none" w:sz="0" w:space="0" w:color="auto"/>
            <w:left w:val="none" w:sz="0" w:space="0" w:color="auto"/>
            <w:bottom w:val="none" w:sz="0" w:space="0" w:color="auto"/>
            <w:right w:val="none" w:sz="0" w:space="0" w:color="auto"/>
          </w:divBdr>
        </w:div>
      </w:divsChild>
    </w:div>
    <w:div w:id="1462066832">
      <w:bodyDiv w:val="1"/>
      <w:marLeft w:val="0"/>
      <w:marRight w:val="0"/>
      <w:marTop w:val="0"/>
      <w:marBottom w:val="0"/>
      <w:divBdr>
        <w:top w:val="none" w:sz="0" w:space="0" w:color="auto"/>
        <w:left w:val="none" w:sz="0" w:space="0" w:color="auto"/>
        <w:bottom w:val="none" w:sz="0" w:space="0" w:color="auto"/>
        <w:right w:val="none" w:sz="0" w:space="0" w:color="auto"/>
      </w:divBdr>
      <w:divsChild>
        <w:div w:id="1848590933">
          <w:marLeft w:val="0"/>
          <w:marRight w:val="0"/>
          <w:marTop w:val="0"/>
          <w:marBottom w:val="0"/>
          <w:divBdr>
            <w:top w:val="none" w:sz="0" w:space="0" w:color="auto"/>
            <w:left w:val="none" w:sz="0" w:space="0" w:color="auto"/>
            <w:bottom w:val="none" w:sz="0" w:space="0" w:color="auto"/>
            <w:right w:val="none" w:sz="0" w:space="0" w:color="auto"/>
          </w:divBdr>
        </w:div>
      </w:divsChild>
    </w:div>
    <w:div w:id="1473710547">
      <w:bodyDiv w:val="1"/>
      <w:marLeft w:val="0"/>
      <w:marRight w:val="0"/>
      <w:marTop w:val="0"/>
      <w:marBottom w:val="0"/>
      <w:divBdr>
        <w:top w:val="none" w:sz="0" w:space="0" w:color="auto"/>
        <w:left w:val="none" w:sz="0" w:space="0" w:color="auto"/>
        <w:bottom w:val="none" w:sz="0" w:space="0" w:color="auto"/>
        <w:right w:val="none" w:sz="0" w:space="0" w:color="auto"/>
      </w:divBdr>
      <w:divsChild>
        <w:div w:id="136727513">
          <w:marLeft w:val="0"/>
          <w:marRight w:val="0"/>
          <w:marTop w:val="0"/>
          <w:marBottom w:val="0"/>
          <w:divBdr>
            <w:top w:val="none" w:sz="0" w:space="0" w:color="auto"/>
            <w:left w:val="none" w:sz="0" w:space="0" w:color="auto"/>
            <w:bottom w:val="none" w:sz="0" w:space="0" w:color="auto"/>
            <w:right w:val="none" w:sz="0" w:space="0" w:color="auto"/>
          </w:divBdr>
        </w:div>
      </w:divsChild>
    </w:div>
    <w:div w:id="1481463359">
      <w:bodyDiv w:val="1"/>
      <w:marLeft w:val="0"/>
      <w:marRight w:val="0"/>
      <w:marTop w:val="0"/>
      <w:marBottom w:val="0"/>
      <w:divBdr>
        <w:top w:val="none" w:sz="0" w:space="0" w:color="auto"/>
        <w:left w:val="none" w:sz="0" w:space="0" w:color="auto"/>
        <w:bottom w:val="none" w:sz="0" w:space="0" w:color="auto"/>
        <w:right w:val="none" w:sz="0" w:space="0" w:color="auto"/>
      </w:divBdr>
      <w:divsChild>
        <w:div w:id="1056667148">
          <w:marLeft w:val="0"/>
          <w:marRight w:val="0"/>
          <w:marTop w:val="0"/>
          <w:marBottom w:val="0"/>
          <w:divBdr>
            <w:top w:val="none" w:sz="0" w:space="0" w:color="auto"/>
            <w:left w:val="none" w:sz="0" w:space="0" w:color="auto"/>
            <w:bottom w:val="none" w:sz="0" w:space="0" w:color="auto"/>
            <w:right w:val="none" w:sz="0" w:space="0" w:color="auto"/>
          </w:divBdr>
        </w:div>
      </w:divsChild>
    </w:div>
    <w:div w:id="1584609711">
      <w:bodyDiv w:val="1"/>
      <w:marLeft w:val="0"/>
      <w:marRight w:val="0"/>
      <w:marTop w:val="0"/>
      <w:marBottom w:val="0"/>
      <w:divBdr>
        <w:top w:val="none" w:sz="0" w:space="0" w:color="auto"/>
        <w:left w:val="none" w:sz="0" w:space="0" w:color="auto"/>
        <w:bottom w:val="none" w:sz="0" w:space="0" w:color="auto"/>
        <w:right w:val="none" w:sz="0" w:space="0" w:color="auto"/>
      </w:divBdr>
      <w:divsChild>
        <w:div w:id="372777185">
          <w:marLeft w:val="0"/>
          <w:marRight w:val="0"/>
          <w:marTop w:val="0"/>
          <w:marBottom w:val="0"/>
          <w:divBdr>
            <w:top w:val="none" w:sz="0" w:space="0" w:color="auto"/>
            <w:left w:val="none" w:sz="0" w:space="0" w:color="auto"/>
            <w:bottom w:val="none" w:sz="0" w:space="0" w:color="auto"/>
            <w:right w:val="none" w:sz="0" w:space="0" w:color="auto"/>
          </w:divBdr>
        </w:div>
      </w:divsChild>
    </w:div>
    <w:div w:id="1588150908">
      <w:bodyDiv w:val="1"/>
      <w:marLeft w:val="0"/>
      <w:marRight w:val="0"/>
      <w:marTop w:val="0"/>
      <w:marBottom w:val="0"/>
      <w:divBdr>
        <w:top w:val="none" w:sz="0" w:space="0" w:color="auto"/>
        <w:left w:val="none" w:sz="0" w:space="0" w:color="auto"/>
        <w:bottom w:val="none" w:sz="0" w:space="0" w:color="auto"/>
        <w:right w:val="none" w:sz="0" w:space="0" w:color="auto"/>
      </w:divBdr>
      <w:divsChild>
        <w:div w:id="1118179879">
          <w:marLeft w:val="0"/>
          <w:marRight w:val="0"/>
          <w:marTop w:val="0"/>
          <w:marBottom w:val="0"/>
          <w:divBdr>
            <w:top w:val="none" w:sz="0" w:space="0" w:color="auto"/>
            <w:left w:val="none" w:sz="0" w:space="0" w:color="auto"/>
            <w:bottom w:val="none" w:sz="0" w:space="0" w:color="auto"/>
            <w:right w:val="none" w:sz="0" w:space="0" w:color="auto"/>
          </w:divBdr>
        </w:div>
      </w:divsChild>
    </w:div>
    <w:div w:id="1593005778">
      <w:bodyDiv w:val="1"/>
      <w:marLeft w:val="0"/>
      <w:marRight w:val="0"/>
      <w:marTop w:val="0"/>
      <w:marBottom w:val="0"/>
      <w:divBdr>
        <w:top w:val="none" w:sz="0" w:space="0" w:color="auto"/>
        <w:left w:val="none" w:sz="0" w:space="0" w:color="auto"/>
        <w:bottom w:val="none" w:sz="0" w:space="0" w:color="auto"/>
        <w:right w:val="none" w:sz="0" w:space="0" w:color="auto"/>
      </w:divBdr>
      <w:divsChild>
        <w:div w:id="920796927">
          <w:marLeft w:val="0"/>
          <w:marRight w:val="0"/>
          <w:marTop w:val="0"/>
          <w:marBottom w:val="0"/>
          <w:divBdr>
            <w:top w:val="none" w:sz="0" w:space="0" w:color="auto"/>
            <w:left w:val="none" w:sz="0" w:space="0" w:color="auto"/>
            <w:bottom w:val="none" w:sz="0" w:space="0" w:color="auto"/>
            <w:right w:val="none" w:sz="0" w:space="0" w:color="auto"/>
          </w:divBdr>
        </w:div>
      </w:divsChild>
    </w:div>
    <w:div w:id="1600983989">
      <w:bodyDiv w:val="1"/>
      <w:marLeft w:val="0"/>
      <w:marRight w:val="0"/>
      <w:marTop w:val="0"/>
      <w:marBottom w:val="0"/>
      <w:divBdr>
        <w:top w:val="none" w:sz="0" w:space="0" w:color="auto"/>
        <w:left w:val="none" w:sz="0" w:space="0" w:color="auto"/>
        <w:bottom w:val="none" w:sz="0" w:space="0" w:color="auto"/>
        <w:right w:val="none" w:sz="0" w:space="0" w:color="auto"/>
      </w:divBdr>
    </w:div>
    <w:div w:id="1606578944">
      <w:bodyDiv w:val="1"/>
      <w:marLeft w:val="0"/>
      <w:marRight w:val="0"/>
      <w:marTop w:val="0"/>
      <w:marBottom w:val="0"/>
      <w:divBdr>
        <w:top w:val="none" w:sz="0" w:space="0" w:color="auto"/>
        <w:left w:val="none" w:sz="0" w:space="0" w:color="auto"/>
        <w:bottom w:val="none" w:sz="0" w:space="0" w:color="auto"/>
        <w:right w:val="none" w:sz="0" w:space="0" w:color="auto"/>
      </w:divBdr>
    </w:div>
    <w:div w:id="1625774972">
      <w:bodyDiv w:val="1"/>
      <w:marLeft w:val="0"/>
      <w:marRight w:val="0"/>
      <w:marTop w:val="0"/>
      <w:marBottom w:val="0"/>
      <w:divBdr>
        <w:top w:val="none" w:sz="0" w:space="0" w:color="auto"/>
        <w:left w:val="none" w:sz="0" w:space="0" w:color="auto"/>
        <w:bottom w:val="none" w:sz="0" w:space="0" w:color="auto"/>
        <w:right w:val="none" w:sz="0" w:space="0" w:color="auto"/>
      </w:divBdr>
      <w:divsChild>
        <w:div w:id="14383932">
          <w:marLeft w:val="0"/>
          <w:marRight w:val="0"/>
          <w:marTop w:val="0"/>
          <w:marBottom w:val="0"/>
          <w:divBdr>
            <w:top w:val="none" w:sz="0" w:space="0" w:color="auto"/>
            <w:left w:val="none" w:sz="0" w:space="0" w:color="auto"/>
            <w:bottom w:val="none" w:sz="0" w:space="0" w:color="auto"/>
            <w:right w:val="none" w:sz="0" w:space="0" w:color="auto"/>
          </w:divBdr>
        </w:div>
      </w:divsChild>
    </w:div>
    <w:div w:id="1662658648">
      <w:bodyDiv w:val="1"/>
      <w:marLeft w:val="0"/>
      <w:marRight w:val="0"/>
      <w:marTop w:val="0"/>
      <w:marBottom w:val="0"/>
      <w:divBdr>
        <w:top w:val="none" w:sz="0" w:space="0" w:color="auto"/>
        <w:left w:val="none" w:sz="0" w:space="0" w:color="auto"/>
        <w:bottom w:val="none" w:sz="0" w:space="0" w:color="auto"/>
        <w:right w:val="none" w:sz="0" w:space="0" w:color="auto"/>
      </w:divBdr>
    </w:div>
    <w:div w:id="1712874323">
      <w:bodyDiv w:val="1"/>
      <w:marLeft w:val="0"/>
      <w:marRight w:val="0"/>
      <w:marTop w:val="0"/>
      <w:marBottom w:val="0"/>
      <w:divBdr>
        <w:top w:val="none" w:sz="0" w:space="0" w:color="auto"/>
        <w:left w:val="none" w:sz="0" w:space="0" w:color="auto"/>
        <w:bottom w:val="none" w:sz="0" w:space="0" w:color="auto"/>
        <w:right w:val="none" w:sz="0" w:space="0" w:color="auto"/>
      </w:divBdr>
      <w:divsChild>
        <w:div w:id="883759348">
          <w:marLeft w:val="0"/>
          <w:marRight w:val="0"/>
          <w:marTop w:val="0"/>
          <w:marBottom w:val="0"/>
          <w:divBdr>
            <w:top w:val="none" w:sz="0" w:space="0" w:color="auto"/>
            <w:left w:val="none" w:sz="0" w:space="0" w:color="auto"/>
            <w:bottom w:val="none" w:sz="0" w:space="0" w:color="auto"/>
            <w:right w:val="none" w:sz="0" w:space="0" w:color="auto"/>
          </w:divBdr>
        </w:div>
      </w:divsChild>
    </w:div>
    <w:div w:id="1718971728">
      <w:bodyDiv w:val="1"/>
      <w:marLeft w:val="0"/>
      <w:marRight w:val="0"/>
      <w:marTop w:val="0"/>
      <w:marBottom w:val="0"/>
      <w:divBdr>
        <w:top w:val="none" w:sz="0" w:space="0" w:color="auto"/>
        <w:left w:val="none" w:sz="0" w:space="0" w:color="auto"/>
        <w:bottom w:val="none" w:sz="0" w:space="0" w:color="auto"/>
        <w:right w:val="none" w:sz="0" w:space="0" w:color="auto"/>
      </w:divBdr>
    </w:div>
    <w:div w:id="1748503359">
      <w:bodyDiv w:val="1"/>
      <w:marLeft w:val="0"/>
      <w:marRight w:val="0"/>
      <w:marTop w:val="0"/>
      <w:marBottom w:val="0"/>
      <w:divBdr>
        <w:top w:val="none" w:sz="0" w:space="0" w:color="auto"/>
        <w:left w:val="none" w:sz="0" w:space="0" w:color="auto"/>
        <w:bottom w:val="none" w:sz="0" w:space="0" w:color="auto"/>
        <w:right w:val="none" w:sz="0" w:space="0" w:color="auto"/>
      </w:divBdr>
      <w:divsChild>
        <w:div w:id="2099909606">
          <w:marLeft w:val="0"/>
          <w:marRight w:val="0"/>
          <w:marTop w:val="0"/>
          <w:marBottom w:val="0"/>
          <w:divBdr>
            <w:top w:val="none" w:sz="0" w:space="0" w:color="auto"/>
            <w:left w:val="none" w:sz="0" w:space="0" w:color="auto"/>
            <w:bottom w:val="none" w:sz="0" w:space="0" w:color="auto"/>
            <w:right w:val="none" w:sz="0" w:space="0" w:color="auto"/>
          </w:divBdr>
        </w:div>
      </w:divsChild>
    </w:div>
    <w:div w:id="1773863480">
      <w:bodyDiv w:val="1"/>
      <w:marLeft w:val="0"/>
      <w:marRight w:val="0"/>
      <w:marTop w:val="0"/>
      <w:marBottom w:val="0"/>
      <w:divBdr>
        <w:top w:val="none" w:sz="0" w:space="0" w:color="auto"/>
        <w:left w:val="none" w:sz="0" w:space="0" w:color="auto"/>
        <w:bottom w:val="none" w:sz="0" w:space="0" w:color="auto"/>
        <w:right w:val="none" w:sz="0" w:space="0" w:color="auto"/>
      </w:divBdr>
      <w:divsChild>
        <w:div w:id="191505089">
          <w:marLeft w:val="0"/>
          <w:marRight w:val="0"/>
          <w:marTop w:val="0"/>
          <w:marBottom w:val="0"/>
          <w:divBdr>
            <w:top w:val="none" w:sz="0" w:space="0" w:color="auto"/>
            <w:left w:val="none" w:sz="0" w:space="0" w:color="auto"/>
            <w:bottom w:val="none" w:sz="0" w:space="0" w:color="auto"/>
            <w:right w:val="none" w:sz="0" w:space="0" w:color="auto"/>
          </w:divBdr>
        </w:div>
      </w:divsChild>
    </w:div>
    <w:div w:id="1781029437">
      <w:bodyDiv w:val="1"/>
      <w:marLeft w:val="0"/>
      <w:marRight w:val="0"/>
      <w:marTop w:val="0"/>
      <w:marBottom w:val="0"/>
      <w:divBdr>
        <w:top w:val="none" w:sz="0" w:space="0" w:color="auto"/>
        <w:left w:val="none" w:sz="0" w:space="0" w:color="auto"/>
        <w:bottom w:val="none" w:sz="0" w:space="0" w:color="auto"/>
        <w:right w:val="none" w:sz="0" w:space="0" w:color="auto"/>
      </w:divBdr>
      <w:divsChild>
        <w:div w:id="1669208726">
          <w:marLeft w:val="0"/>
          <w:marRight w:val="0"/>
          <w:marTop w:val="0"/>
          <w:marBottom w:val="0"/>
          <w:divBdr>
            <w:top w:val="none" w:sz="0" w:space="0" w:color="auto"/>
            <w:left w:val="none" w:sz="0" w:space="0" w:color="auto"/>
            <w:bottom w:val="none" w:sz="0" w:space="0" w:color="auto"/>
            <w:right w:val="none" w:sz="0" w:space="0" w:color="auto"/>
          </w:divBdr>
        </w:div>
      </w:divsChild>
    </w:div>
    <w:div w:id="1787701134">
      <w:bodyDiv w:val="1"/>
      <w:marLeft w:val="0"/>
      <w:marRight w:val="0"/>
      <w:marTop w:val="0"/>
      <w:marBottom w:val="0"/>
      <w:divBdr>
        <w:top w:val="none" w:sz="0" w:space="0" w:color="auto"/>
        <w:left w:val="none" w:sz="0" w:space="0" w:color="auto"/>
        <w:bottom w:val="none" w:sz="0" w:space="0" w:color="auto"/>
        <w:right w:val="none" w:sz="0" w:space="0" w:color="auto"/>
      </w:divBdr>
    </w:div>
    <w:div w:id="1814909615">
      <w:bodyDiv w:val="1"/>
      <w:marLeft w:val="0"/>
      <w:marRight w:val="0"/>
      <w:marTop w:val="0"/>
      <w:marBottom w:val="0"/>
      <w:divBdr>
        <w:top w:val="none" w:sz="0" w:space="0" w:color="auto"/>
        <w:left w:val="none" w:sz="0" w:space="0" w:color="auto"/>
        <w:bottom w:val="none" w:sz="0" w:space="0" w:color="auto"/>
        <w:right w:val="none" w:sz="0" w:space="0" w:color="auto"/>
      </w:divBdr>
      <w:divsChild>
        <w:div w:id="2085950872">
          <w:marLeft w:val="0"/>
          <w:marRight w:val="0"/>
          <w:marTop w:val="0"/>
          <w:marBottom w:val="0"/>
          <w:divBdr>
            <w:top w:val="none" w:sz="0" w:space="0" w:color="auto"/>
            <w:left w:val="none" w:sz="0" w:space="0" w:color="auto"/>
            <w:bottom w:val="none" w:sz="0" w:space="0" w:color="auto"/>
            <w:right w:val="none" w:sz="0" w:space="0" w:color="auto"/>
          </w:divBdr>
        </w:div>
      </w:divsChild>
    </w:div>
    <w:div w:id="1848400153">
      <w:bodyDiv w:val="1"/>
      <w:marLeft w:val="0"/>
      <w:marRight w:val="0"/>
      <w:marTop w:val="0"/>
      <w:marBottom w:val="0"/>
      <w:divBdr>
        <w:top w:val="none" w:sz="0" w:space="0" w:color="auto"/>
        <w:left w:val="none" w:sz="0" w:space="0" w:color="auto"/>
        <w:bottom w:val="none" w:sz="0" w:space="0" w:color="auto"/>
        <w:right w:val="none" w:sz="0" w:space="0" w:color="auto"/>
      </w:divBdr>
      <w:divsChild>
        <w:div w:id="129052985">
          <w:marLeft w:val="0"/>
          <w:marRight w:val="0"/>
          <w:marTop w:val="0"/>
          <w:marBottom w:val="0"/>
          <w:divBdr>
            <w:top w:val="none" w:sz="0" w:space="0" w:color="auto"/>
            <w:left w:val="none" w:sz="0" w:space="0" w:color="auto"/>
            <w:bottom w:val="none" w:sz="0" w:space="0" w:color="auto"/>
            <w:right w:val="none" w:sz="0" w:space="0" w:color="auto"/>
          </w:divBdr>
        </w:div>
      </w:divsChild>
    </w:div>
    <w:div w:id="1869174132">
      <w:bodyDiv w:val="1"/>
      <w:marLeft w:val="0"/>
      <w:marRight w:val="0"/>
      <w:marTop w:val="0"/>
      <w:marBottom w:val="0"/>
      <w:divBdr>
        <w:top w:val="none" w:sz="0" w:space="0" w:color="auto"/>
        <w:left w:val="none" w:sz="0" w:space="0" w:color="auto"/>
        <w:bottom w:val="none" w:sz="0" w:space="0" w:color="auto"/>
        <w:right w:val="none" w:sz="0" w:space="0" w:color="auto"/>
      </w:divBdr>
    </w:div>
    <w:div w:id="1879925146">
      <w:bodyDiv w:val="1"/>
      <w:marLeft w:val="0"/>
      <w:marRight w:val="0"/>
      <w:marTop w:val="0"/>
      <w:marBottom w:val="0"/>
      <w:divBdr>
        <w:top w:val="none" w:sz="0" w:space="0" w:color="auto"/>
        <w:left w:val="none" w:sz="0" w:space="0" w:color="auto"/>
        <w:bottom w:val="none" w:sz="0" w:space="0" w:color="auto"/>
        <w:right w:val="none" w:sz="0" w:space="0" w:color="auto"/>
      </w:divBdr>
    </w:div>
    <w:div w:id="1917591872">
      <w:bodyDiv w:val="1"/>
      <w:marLeft w:val="0"/>
      <w:marRight w:val="0"/>
      <w:marTop w:val="0"/>
      <w:marBottom w:val="0"/>
      <w:divBdr>
        <w:top w:val="none" w:sz="0" w:space="0" w:color="auto"/>
        <w:left w:val="none" w:sz="0" w:space="0" w:color="auto"/>
        <w:bottom w:val="none" w:sz="0" w:space="0" w:color="auto"/>
        <w:right w:val="none" w:sz="0" w:space="0" w:color="auto"/>
      </w:divBdr>
      <w:divsChild>
        <w:div w:id="1810511105">
          <w:marLeft w:val="0"/>
          <w:marRight w:val="0"/>
          <w:marTop w:val="0"/>
          <w:marBottom w:val="0"/>
          <w:divBdr>
            <w:top w:val="none" w:sz="0" w:space="0" w:color="auto"/>
            <w:left w:val="none" w:sz="0" w:space="0" w:color="auto"/>
            <w:bottom w:val="none" w:sz="0" w:space="0" w:color="auto"/>
            <w:right w:val="none" w:sz="0" w:space="0" w:color="auto"/>
          </w:divBdr>
        </w:div>
      </w:divsChild>
    </w:div>
    <w:div w:id="1933011117">
      <w:bodyDiv w:val="1"/>
      <w:marLeft w:val="0"/>
      <w:marRight w:val="0"/>
      <w:marTop w:val="0"/>
      <w:marBottom w:val="0"/>
      <w:divBdr>
        <w:top w:val="none" w:sz="0" w:space="0" w:color="auto"/>
        <w:left w:val="none" w:sz="0" w:space="0" w:color="auto"/>
        <w:bottom w:val="none" w:sz="0" w:space="0" w:color="auto"/>
        <w:right w:val="none" w:sz="0" w:space="0" w:color="auto"/>
      </w:divBdr>
      <w:divsChild>
        <w:div w:id="1368145464">
          <w:marLeft w:val="0"/>
          <w:marRight w:val="0"/>
          <w:marTop w:val="0"/>
          <w:marBottom w:val="0"/>
          <w:divBdr>
            <w:top w:val="none" w:sz="0" w:space="0" w:color="auto"/>
            <w:left w:val="none" w:sz="0" w:space="0" w:color="auto"/>
            <w:bottom w:val="none" w:sz="0" w:space="0" w:color="auto"/>
            <w:right w:val="none" w:sz="0" w:space="0" w:color="auto"/>
          </w:divBdr>
        </w:div>
      </w:divsChild>
    </w:div>
    <w:div w:id="1946426764">
      <w:bodyDiv w:val="1"/>
      <w:marLeft w:val="0"/>
      <w:marRight w:val="0"/>
      <w:marTop w:val="0"/>
      <w:marBottom w:val="0"/>
      <w:divBdr>
        <w:top w:val="none" w:sz="0" w:space="0" w:color="auto"/>
        <w:left w:val="none" w:sz="0" w:space="0" w:color="auto"/>
        <w:bottom w:val="none" w:sz="0" w:space="0" w:color="auto"/>
        <w:right w:val="none" w:sz="0" w:space="0" w:color="auto"/>
      </w:divBdr>
    </w:div>
    <w:div w:id="1946618824">
      <w:bodyDiv w:val="1"/>
      <w:marLeft w:val="0"/>
      <w:marRight w:val="0"/>
      <w:marTop w:val="0"/>
      <w:marBottom w:val="0"/>
      <w:divBdr>
        <w:top w:val="none" w:sz="0" w:space="0" w:color="auto"/>
        <w:left w:val="none" w:sz="0" w:space="0" w:color="auto"/>
        <w:bottom w:val="none" w:sz="0" w:space="0" w:color="auto"/>
        <w:right w:val="none" w:sz="0" w:space="0" w:color="auto"/>
      </w:divBdr>
      <w:divsChild>
        <w:div w:id="223296696">
          <w:marLeft w:val="0"/>
          <w:marRight w:val="0"/>
          <w:marTop w:val="0"/>
          <w:marBottom w:val="0"/>
          <w:divBdr>
            <w:top w:val="none" w:sz="0" w:space="0" w:color="auto"/>
            <w:left w:val="none" w:sz="0" w:space="0" w:color="auto"/>
            <w:bottom w:val="none" w:sz="0" w:space="0" w:color="auto"/>
            <w:right w:val="none" w:sz="0" w:space="0" w:color="auto"/>
          </w:divBdr>
        </w:div>
      </w:divsChild>
    </w:div>
    <w:div w:id="1955822814">
      <w:bodyDiv w:val="1"/>
      <w:marLeft w:val="0"/>
      <w:marRight w:val="0"/>
      <w:marTop w:val="0"/>
      <w:marBottom w:val="0"/>
      <w:divBdr>
        <w:top w:val="none" w:sz="0" w:space="0" w:color="auto"/>
        <w:left w:val="none" w:sz="0" w:space="0" w:color="auto"/>
        <w:bottom w:val="none" w:sz="0" w:space="0" w:color="auto"/>
        <w:right w:val="none" w:sz="0" w:space="0" w:color="auto"/>
      </w:divBdr>
    </w:div>
    <w:div w:id="1961565272">
      <w:bodyDiv w:val="1"/>
      <w:marLeft w:val="0"/>
      <w:marRight w:val="0"/>
      <w:marTop w:val="0"/>
      <w:marBottom w:val="0"/>
      <w:divBdr>
        <w:top w:val="none" w:sz="0" w:space="0" w:color="auto"/>
        <w:left w:val="none" w:sz="0" w:space="0" w:color="auto"/>
        <w:bottom w:val="none" w:sz="0" w:space="0" w:color="auto"/>
        <w:right w:val="none" w:sz="0" w:space="0" w:color="auto"/>
      </w:divBdr>
    </w:div>
    <w:div w:id="2011450034">
      <w:bodyDiv w:val="1"/>
      <w:marLeft w:val="0"/>
      <w:marRight w:val="0"/>
      <w:marTop w:val="0"/>
      <w:marBottom w:val="0"/>
      <w:divBdr>
        <w:top w:val="none" w:sz="0" w:space="0" w:color="auto"/>
        <w:left w:val="none" w:sz="0" w:space="0" w:color="auto"/>
        <w:bottom w:val="none" w:sz="0" w:space="0" w:color="auto"/>
        <w:right w:val="none" w:sz="0" w:space="0" w:color="auto"/>
      </w:divBdr>
      <w:divsChild>
        <w:div w:id="1189756238">
          <w:marLeft w:val="0"/>
          <w:marRight w:val="0"/>
          <w:marTop w:val="0"/>
          <w:marBottom w:val="0"/>
          <w:divBdr>
            <w:top w:val="none" w:sz="0" w:space="0" w:color="auto"/>
            <w:left w:val="none" w:sz="0" w:space="0" w:color="auto"/>
            <w:bottom w:val="none" w:sz="0" w:space="0" w:color="auto"/>
            <w:right w:val="none" w:sz="0" w:space="0" w:color="auto"/>
          </w:divBdr>
        </w:div>
      </w:divsChild>
    </w:div>
    <w:div w:id="2063600851">
      <w:bodyDiv w:val="1"/>
      <w:marLeft w:val="0"/>
      <w:marRight w:val="0"/>
      <w:marTop w:val="0"/>
      <w:marBottom w:val="0"/>
      <w:divBdr>
        <w:top w:val="none" w:sz="0" w:space="0" w:color="auto"/>
        <w:left w:val="none" w:sz="0" w:space="0" w:color="auto"/>
        <w:bottom w:val="none" w:sz="0" w:space="0" w:color="auto"/>
        <w:right w:val="none" w:sz="0" w:space="0" w:color="auto"/>
      </w:divBdr>
      <w:divsChild>
        <w:div w:id="584151915">
          <w:marLeft w:val="0"/>
          <w:marRight w:val="0"/>
          <w:marTop w:val="0"/>
          <w:marBottom w:val="0"/>
          <w:divBdr>
            <w:top w:val="none" w:sz="0" w:space="0" w:color="auto"/>
            <w:left w:val="none" w:sz="0" w:space="0" w:color="auto"/>
            <w:bottom w:val="none" w:sz="0" w:space="0" w:color="auto"/>
            <w:right w:val="none" w:sz="0" w:space="0" w:color="auto"/>
          </w:divBdr>
        </w:div>
      </w:divsChild>
    </w:div>
    <w:div w:id="2071296627">
      <w:bodyDiv w:val="1"/>
      <w:marLeft w:val="0"/>
      <w:marRight w:val="0"/>
      <w:marTop w:val="0"/>
      <w:marBottom w:val="0"/>
      <w:divBdr>
        <w:top w:val="none" w:sz="0" w:space="0" w:color="auto"/>
        <w:left w:val="none" w:sz="0" w:space="0" w:color="auto"/>
        <w:bottom w:val="none" w:sz="0" w:space="0" w:color="auto"/>
        <w:right w:val="none" w:sz="0" w:space="0" w:color="auto"/>
      </w:divBdr>
      <w:divsChild>
        <w:div w:id="1628273205">
          <w:marLeft w:val="0"/>
          <w:marRight w:val="0"/>
          <w:marTop w:val="0"/>
          <w:marBottom w:val="0"/>
          <w:divBdr>
            <w:top w:val="none" w:sz="0" w:space="0" w:color="auto"/>
            <w:left w:val="none" w:sz="0" w:space="0" w:color="auto"/>
            <w:bottom w:val="none" w:sz="0" w:space="0" w:color="auto"/>
            <w:right w:val="none" w:sz="0" w:space="0" w:color="auto"/>
          </w:divBdr>
        </w:div>
      </w:divsChild>
    </w:div>
    <w:div w:id="2078892032">
      <w:bodyDiv w:val="1"/>
      <w:marLeft w:val="0"/>
      <w:marRight w:val="0"/>
      <w:marTop w:val="0"/>
      <w:marBottom w:val="0"/>
      <w:divBdr>
        <w:top w:val="none" w:sz="0" w:space="0" w:color="auto"/>
        <w:left w:val="none" w:sz="0" w:space="0" w:color="auto"/>
        <w:bottom w:val="none" w:sz="0" w:space="0" w:color="auto"/>
        <w:right w:val="none" w:sz="0" w:space="0" w:color="auto"/>
      </w:divBdr>
      <w:divsChild>
        <w:div w:id="1652980391">
          <w:marLeft w:val="0"/>
          <w:marRight w:val="0"/>
          <w:marTop w:val="0"/>
          <w:marBottom w:val="0"/>
          <w:divBdr>
            <w:top w:val="none" w:sz="0" w:space="0" w:color="auto"/>
            <w:left w:val="none" w:sz="0" w:space="0" w:color="auto"/>
            <w:bottom w:val="none" w:sz="0" w:space="0" w:color="auto"/>
            <w:right w:val="none" w:sz="0" w:space="0" w:color="auto"/>
          </w:divBdr>
        </w:div>
      </w:divsChild>
    </w:div>
    <w:div w:id="2081054610">
      <w:bodyDiv w:val="1"/>
      <w:marLeft w:val="0"/>
      <w:marRight w:val="0"/>
      <w:marTop w:val="0"/>
      <w:marBottom w:val="0"/>
      <w:divBdr>
        <w:top w:val="none" w:sz="0" w:space="0" w:color="auto"/>
        <w:left w:val="none" w:sz="0" w:space="0" w:color="auto"/>
        <w:bottom w:val="none" w:sz="0" w:space="0" w:color="auto"/>
        <w:right w:val="none" w:sz="0" w:space="0" w:color="auto"/>
      </w:divBdr>
    </w:div>
    <w:div w:id="2090148059">
      <w:bodyDiv w:val="1"/>
      <w:marLeft w:val="0"/>
      <w:marRight w:val="0"/>
      <w:marTop w:val="0"/>
      <w:marBottom w:val="0"/>
      <w:divBdr>
        <w:top w:val="none" w:sz="0" w:space="0" w:color="auto"/>
        <w:left w:val="none" w:sz="0" w:space="0" w:color="auto"/>
        <w:bottom w:val="none" w:sz="0" w:space="0" w:color="auto"/>
        <w:right w:val="none" w:sz="0" w:space="0" w:color="auto"/>
      </w:divBdr>
      <w:divsChild>
        <w:div w:id="1050035985">
          <w:marLeft w:val="0"/>
          <w:marRight w:val="0"/>
          <w:marTop w:val="0"/>
          <w:marBottom w:val="0"/>
          <w:divBdr>
            <w:top w:val="none" w:sz="0" w:space="0" w:color="auto"/>
            <w:left w:val="none" w:sz="0" w:space="0" w:color="auto"/>
            <w:bottom w:val="none" w:sz="0" w:space="0" w:color="auto"/>
            <w:right w:val="none" w:sz="0" w:space="0" w:color="auto"/>
          </w:divBdr>
        </w:div>
      </w:divsChild>
    </w:div>
    <w:div w:id="2128885675">
      <w:bodyDiv w:val="1"/>
      <w:marLeft w:val="0"/>
      <w:marRight w:val="0"/>
      <w:marTop w:val="0"/>
      <w:marBottom w:val="0"/>
      <w:divBdr>
        <w:top w:val="none" w:sz="0" w:space="0" w:color="auto"/>
        <w:left w:val="none" w:sz="0" w:space="0" w:color="auto"/>
        <w:bottom w:val="none" w:sz="0" w:space="0" w:color="auto"/>
        <w:right w:val="none" w:sz="0" w:space="0" w:color="auto"/>
      </w:divBdr>
    </w:div>
    <w:div w:id="2129272087">
      <w:bodyDiv w:val="1"/>
      <w:marLeft w:val="0"/>
      <w:marRight w:val="0"/>
      <w:marTop w:val="0"/>
      <w:marBottom w:val="0"/>
      <w:divBdr>
        <w:top w:val="none" w:sz="0" w:space="0" w:color="auto"/>
        <w:left w:val="none" w:sz="0" w:space="0" w:color="auto"/>
        <w:bottom w:val="none" w:sz="0" w:space="0" w:color="auto"/>
        <w:right w:val="none" w:sz="0" w:space="0" w:color="auto"/>
      </w:divBdr>
      <w:divsChild>
        <w:div w:id="1168717918">
          <w:marLeft w:val="0"/>
          <w:marRight w:val="0"/>
          <w:marTop w:val="0"/>
          <w:marBottom w:val="0"/>
          <w:divBdr>
            <w:top w:val="none" w:sz="0" w:space="0" w:color="auto"/>
            <w:left w:val="none" w:sz="0" w:space="0" w:color="auto"/>
            <w:bottom w:val="none" w:sz="0" w:space="0" w:color="auto"/>
            <w:right w:val="none" w:sz="0" w:space="0" w:color="auto"/>
          </w:divBdr>
        </w:div>
      </w:divsChild>
    </w:div>
    <w:div w:id="213235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208FD"/>
    <w:rsid w:val="009D7389"/>
    <w:rsid w:val="00A34C42"/>
    <w:rsid w:val="00BC1251"/>
    <w:rsid w:val="00C67429"/>
    <w:rsid w:val="00EF30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3836</Words>
  <Characters>21871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25656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Georgia Cox (2510065)</dc:subject>
  <dc:creator>Marie Pitson</dc:creator>
  <cp:keywords/>
  <dc:description/>
  <cp:lastModifiedBy>Cox, Georgia</cp:lastModifiedBy>
  <cp:revision>3</cp:revision>
  <cp:lastPrinted>2026-04-15T11:56:00Z</cp:lastPrinted>
  <dcterms:created xsi:type="dcterms:W3CDTF">2026-04-20T07:08:00Z</dcterms:created>
  <dcterms:modified xsi:type="dcterms:W3CDTF">2026-04-20T07:09:00Z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2a2e9d27-f889-4c0d-adae-db5921d74fd9</vt:lpwstr>
  </property>
  <property fmtid="{D5CDD505-2E9C-101B-9397-08002B2CF9AE}" pid="3" name="ClassificationContentMarkingFooterShapeIds">
    <vt:lpwstr>c5f6e3c,3567f2fc,5f26ec8c</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ies>
</file>