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E60882" w14:textId="77777777" w:rsidR="00385D5F" w:rsidRDefault="00385D5F" w:rsidP="00385D5F">
      <w:pPr>
        <w:jc w:val="center"/>
        <w:rPr>
          <w:rFonts w:ascii="Arial" w:hAnsi="Arial" w:cs="Arial"/>
          <w:b/>
          <w:bCs/>
          <w:sz w:val="28"/>
          <w:szCs w:val="28"/>
          <w:u w:val="single"/>
          <w:lang w:val="en-US"/>
        </w:rPr>
      </w:pPr>
    </w:p>
    <w:p w14:paraId="37350137" w14:textId="77777777" w:rsidR="00385D5F" w:rsidRDefault="00385D5F" w:rsidP="00385D5F">
      <w:pPr>
        <w:jc w:val="center"/>
        <w:rPr>
          <w:rFonts w:ascii="Arial" w:hAnsi="Arial" w:cs="Arial"/>
          <w:b/>
          <w:bCs/>
          <w:sz w:val="28"/>
          <w:szCs w:val="28"/>
          <w:u w:val="single"/>
          <w:lang w:val="en-US"/>
        </w:rPr>
      </w:pPr>
    </w:p>
    <w:p w14:paraId="4B0ADFF0" w14:textId="77777777" w:rsidR="00385D5F" w:rsidRDefault="00385D5F" w:rsidP="00385D5F">
      <w:pPr>
        <w:jc w:val="center"/>
        <w:rPr>
          <w:rFonts w:ascii="Arial" w:hAnsi="Arial" w:cs="Arial"/>
          <w:b/>
          <w:bCs/>
          <w:sz w:val="28"/>
          <w:szCs w:val="28"/>
          <w:u w:val="single"/>
          <w:lang w:val="en-US"/>
        </w:rPr>
      </w:pPr>
    </w:p>
    <w:p w14:paraId="0D860785" w14:textId="77777777" w:rsidR="00385D5F" w:rsidRDefault="00385D5F" w:rsidP="00385D5F">
      <w:pPr>
        <w:jc w:val="center"/>
        <w:rPr>
          <w:rFonts w:ascii="Arial" w:hAnsi="Arial" w:cs="Arial"/>
          <w:b/>
          <w:bCs/>
          <w:sz w:val="28"/>
          <w:szCs w:val="28"/>
          <w:u w:val="single"/>
          <w:lang w:val="en-US"/>
        </w:rPr>
      </w:pPr>
    </w:p>
    <w:p w14:paraId="54F18379" w14:textId="7B3DD0F4" w:rsidR="00362084" w:rsidRPr="00385D5F" w:rsidRDefault="00385D5F" w:rsidP="00385D5F">
      <w:pPr>
        <w:jc w:val="center"/>
        <w:rPr>
          <w:rFonts w:ascii="Arial" w:hAnsi="Arial" w:cs="Arial"/>
          <w:b/>
          <w:bCs/>
          <w:sz w:val="28"/>
          <w:szCs w:val="28"/>
          <w:u w:val="single"/>
          <w:lang w:val="en-US"/>
        </w:rPr>
      </w:pPr>
      <w:r w:rsidRPr="00385D5F">
        <w:rPr>
          <w:rFonts w:ascii="Arial" w:hAnsi="Arial" w:cs="Arial"/>
          <w:b/>
          <w:bCs/>
          <w:sz w:val="28"/>
          <w:szCs w:val="28"/>
          <w:u w:val="single"/>
          <w:lang w:val="en-US"/>
        </w:rPr>
        <w:t>Reflexive Counselling Skills</w:t>
      </w:r>
    </w:p>
    <w:p w14:paraId="450B32D7" w14:textId="77777777" w:rsidR="00385D5F" w:rsidRPr="00385D5F" w:rsidRDefault="00385D5F" w:rsidP="00385D5F">
      <w:pPr>
        <w:jc w:val="center"/>
        <w:rPr>
          <w:rFonts w:ascii="Arial" w:hAnsi="Arial" w:cs="Arial"/>
          <w:b/>
          <w:bCs/>
          <w:sz w:val="28"/>
          <w:szCs w:val="28"/>
          <w:u w:val="single"/>
          <w:lang w:val="en-US"/>
        </w:rPr>
      </w:pPr>
    </w:p>
    <w:p w14:paraId="73CD38F2" w14:textId="74E46F4C" w:rsidR="00385D5F" w:rsidRPr="00385D5F" w:rsidRDefault="00385D5F" w:rsidP="00385D5F">
      <w:pPr>
        <w:jc w:val="center"/>
        <w:rPr>
          <w:rFonts w:ascii="Arial" w:hAnsi="Arial" w:cs="Arial"/>
          <w:b/>
          <w:bCs/>
          <w:sz w:val="28"/>
          <w:szCs w:val="28"/>
          <w:u w:val="single"/>
          <w:lang w:val="en-US"/>
        </w:rPr>
      </w:pPr>
      <w:r w:rsidRPr="00385D5F">
        <w:rPr>
          <w:rFonts w:ascii="Arial" w:hAnsi="Arial" w:cs="Arial"/>
          <w:b/>
          <w:bCs/>
          <w:sz w:val="28"/>
          <w:szCs w:val="28"/>
          <w:u w:val="single"/>
          <w:lang w:val="en-US"/>
        </w:rPr>
        <w:t>ECPS6020</w:t>
      </w:r>
    </w:p>
    <w:p w14:paraId="4FBD5EAC" w14:textId="77777777" w:rsidR="00385D5F" w:rsidRPr="00385D5F" w:rsidRDefault="00385D5F" w:rsidP="00385D5F">
      <w:pPr>
        <w:jc w:val="center"/>
        <w:rPr>
          <w:rFonts w:ascii="Arial" w:hAnsi="Arial" w:cs="Arial"/>
          <w:b/>
          <w:bCs/>
          <w:sz w:val="28"/>
          <w:szCs w:val="28"/>
          <w:u w:val="single"/>
          <w:lang w:val="en-US"/>
        </w:rPr>
      </w:pPr>
    </w:p>
    <w:p w14:paraId="3FC27227" w14:textId="203C2E0F" w:rsidR="00385D5F" w:rsidRPr="00385D5F" w:rsidRDefault="00385D5F" w:rsidP="00385D5F">
      <w:pPr>
        <w:jc w:val="center"/>
        <w:rPr>
          <w:rFonts w:ascii="Arial" w:hAnsi="Arial" w:cs="Arial"/>
          <w:b/>
          <w:bCs/>
          <w:sz w:val="28"/>
          <w:szCs w:val="28"/>
          <w:u w:val="single"/>
          <w:lang w:val="en-US"/>
        </w:rPr>
      </w:pPr>
      <w:r w:rsidRPr="00385D5F">
        <w:rPr>
          <w:rFonts w:ascii="Arial" w:hAnsi="Arial" w:cs="Arial"/>
          <w:b/>
          <w:bCs/>
          <w:sz w:val="28"/>
          <w:szCs w:val="28"/>
          <w:u w:val="single"/>
          <w:lang w:val="en-US"/>
        </w:rPr>
        <w:t>Reflective Piece</w:t>
      </w:r>
    </w:p>
    <w:p w14:paraId="3AB9EFFD" w14:textId="77777777" w:rsidR="00385D5F" w:rsidRDefault="00385D5F" w:rsidP="00385D5F">
      <w:pPr>
        <w:jc w:val="center"/>
        <w:rPr>
          <w:rFonts w:ascii="Arial" w:hAnsi="Arial" w:cs="Arial"/>
          <w:lang w:val="en-US"/>
        </w:rPr>
      </w:pPr>
    </w:p>
    <w:p w14:paraId="1A96DF4C" w14:textId="77777777" w:rsidR="00385D5F" w:rsidRDefault="00385D5F" w:rsidP="00385D5F">
      <w:pPr>
        <w:jc w:val="center"/>
        <w:rPr>
          <w:rFonts w:ascii="Arial" w:hAnsi="Arial" w:cs="Arial"/>
          <w:lang w:val="en-US"/>
        </w:rPr>
      </w:pPr>
    </w:p>
    <w:p w14:paraId="2BFBFC86" w14:textId="77777777" w:rsidR="00385D5F" w:rsidRDefault="00385D5F" w:rsidP="00385D5F">
      <w:pPr>
        <w:jc w:val="center"/>
        <w:rPr>
          <w:rFonts w:ascii="Arial" w:hAnsi="Arial" w:cs="Arial"/>
          <w:lang w:val="en-US"/>
        </w:rPr>
      </w:pPr>
    </w:p>
    <w:p w14:paraId="6FD44C09" w14:textId="77777777" w:rsidR="00385D5F" w:rsidRDefault="00385D5F" w:rsidP="00385D5F">
      <w:pPr>
        <w:jc w:val="center"/>
        <w:rPr>
          <w:rFonts w:ascii="Arial" w:hAnsi="Arial" w:cs="Arial"/>
          <w:lang w:val="en-US"/>
        </w:rPr>
      </w:pPr>
    </w:p>
    <w:p w14:paraId="4E9BF199" w14:textId="77777777" w:rsidR="00385D5F" w:rsidRDefault="00385D5F" w:rsidP="00385D5F">
      <w:pPr>
        <w:jc w:val="center"/>
        <w:rPr>
          <w:rFonts w:ascii="Arial" w:hAnsi="Arial" w:cs="Arial"/>
          <w:lang w:val="en-US"/>
        </w:rPr>
      </w:pPr>
    </w:p>
    <w:p w14:paraId="726A7DB8" w14:textId="77777777" w:rsidR="00385D5F" w:rsidRDefault="00385D5F" w:rsidP="00385D5F">
      <w:pPr>
        <w:jc w:val="center"/>
        <w:rPr>
          <w:rFonts w:ascii="Arial" w:hAnsi="Arial" w:cs="Arial"/>
          <w:lang w:val="en-US"/>
        </w:rPr>
      </w:pPr>
    </w:p>
    <w:p w14:paraId="324A2F26" w14:textId="77777777" w:rsidR="00385D5F" w:rsidRDefault="00385D5F" w:rsidP="00385D5F">
      <w:pPr>
        <w:jc w:val="center"/>
        <w:rPr>
          <w:rFonts w:ascii="Arial" w:hAnsi="Arial" w:cs="Arial"/>
          <w:lang w:val="en-US"/>
        </w:rPr>
      </w:pPr>
    </w:p>
    <w:p w14:paraId="026D7D84" w14:textId="77777777" w:rsidR="00385D5F" w:rsidRDefault="00385D5F" w:rsidP="00385D5F">
      <w:pPr>
        <w:jc w:val="center"/>
        <w:rPr>
          <w:rFonts w:ascii="Arial" w:hAnsi="Arial" w:cs="Arial"/>
          <w:lang w:val="en-US"/>
        </w:rPr>
      </w:pPr>
    </w:p>
    <w:p w14:paraId="47AE6A2C" w14:textId="77777777" w:rsidR="00385D5F" w:rsidRDefault="00385D5F" w:rsidP="00385D5F">
      <w:pPr>
        <w:jc w:val="center"/>
        <w:rPr>
          <w:rFonts w:ascii="Arial" w:hAnsi="Arial" w:cs="Arial"/>
          <w:lang w:val="en-US"/>
        </w:rPr>
      </w:pPr>
    </w:p>
    <w:p w14:paraId="745B6CA9" w14:textId="77777777" w:rsidR="00385D5F" w:rsidRDefault="00385D5F" w:rsidP="00385D5F">
      <w:pPr>
        <w:jc w:val="center"/>
        <w:rPr>
          <w:rFonts w:ascii="Arial" w:hAnsi="Arial" w:cs="Arial"/>
          <w:lang w:val="en-US"/>
        </w:rPr>
      </w:pPr>
    </w:p>
    <w:p w14:paraId="153F2545" w14:textId="77777777" w:rsidR="00385D5F" w:rsidRDefault="00385D5F" w:rsidP="00385D5F">
      <w:pPr>
        <w:jc w:val="center"/>
        <w:rPr>
          <w:rFonts w:ascii="Arial" w:hAnsi="Arial" w:cs="Arial"/>
          <w:lang w:val="en-US"/>
        </w:rPr>
      </w:pPr>
    </w:p>
    <w:p w14:paraId="449F63A7" w14:textId="77777777" w:rsidR="00385D5F" w:rsidRDefault="00385D5F" w:rsidP="00385D5F">
      <w:pPr>
        <w:jc w:val="center"/>
        <w:rPr>
          <w:rFonts w:ascii="Arial" w:hAnsi="Arial" w:cs="Arial"/>
          <w:lang w:val="en-US"/>
        </w:rPr>
      </w:pPr>
    </w:p>
    <w:p w14:paraId="017B269C" w14:textId="77777777" w:rsidR="00385D5F" w:rsidRDefault="00385D5F" w:rsidP="00385D5F">
      <w:pPr>
        <w:jc w:val="center"/>
        <w:rPr>
          <w:rFonts w:ascii="Arial" w:hAnsi="Arial" w:cs="Arial"/>
          <w:lang w:val="en-US"/>
        </w:rPr>
      </w:pPr>
    </w:p>
    <w:p w14:paraId="4066232B" w14:textId="77777777" w:rsidR="00385D5F" w:rsidRDefault="00385D5F" w:rsidP="00385D5F">
      <w:pPr>
        <w:jc w:val="center"/>
        <w:rPr>
          <w:rFonts w:ascii="Arial" w:hAnsi="Arial" w:cs="Arial"/>
          <w:lang w:val="en-US"/>
        </w:rPr>
      </w:pPr>
    </w:p>
    <w:p w14:paraId="63623981" w14:textId="77777777" w:rsidR="00385D5F" w:rsidRDefault="00385D5F" w:rsidP="00385D5F">
      <w:pPr>
        <w:jc w:val="center"/>
        <w:rPr>
          <w:rFonts w:ascii="Arial" w:hAnsi="Arial" w:cs="Arial"/>
          <w:lang w:val="en-US"/>
        </w:rPr>
      </w:pPr>
    </w:p>
    <w:p w14:paraId="509DF987" w14:textId="77777777" w:rsidR="00385D5F" w:rsidRDefault="00385D5F" w:rsidP="00385D5F">
      <w:pPr>
        <w:jc w:val="center"/>
        <w:rPr>
          <w:rFonts w:ascii="Arial" w:hAnsi="Arial" w:cs="Arial"/>
          <w:lang w:val="en-US"/>
        </w:rPr>
      </w:pPr>
    </w:p>
    <w:p w14:paraId="1272FB80" w14:textId="77777777" w:rsidR="00385D5F" w:rsidRDefault="00385D5F" w:rsidP="00385D5F">
      <w:pPr>
        <w:jc w:val="center"/>
        <w:rPr>
          <w:rFonts w:ascii="Arial" w:hAnsi="Arial" w:cs="Arial"/>
          <w:lang w:val="en-US"/>
        </w:rPr>
      </w:pPr>
    </w:p>
    <w:p w14:paraId="59103278" w14:textId="77777777" w:rsidR="00385D5F" w:rsidRDefault="00385D5F" w:rsidP="00385D5F">
      <w:pPr>
        <w:jc w:val="center"/>
        <w:rPr>
          <w:rFonts w:ascii="Arial" w:hAnsi="Arial" w:cs="Arial"/>
          <w:lang w:val="en-US"/>
        </w:rPr>
      </w:pPr>
    </w:p>
    <w:p w14:paraId="3BE5FC19" w14:textId="77777777" w:rsidR="00385D5F" w:rsidRDefault="00385D5F" w:rsidP="00385D5F">
      <w:pPr>
        <w:jc w:val="center"/>
        <w:rPr>
          <w:rFonts w:ascii="Arial" w:hAnsi="Arial" w:cs="Arial"/>
          <w:lang w:val="en-US"/>
        </w:rPr>
      </w:pPr>
    </w:p>
    <w:p w14:paraId="3B5B1AF2" w14:textId="77777777" w:rsidR="00385D5F" w:rsidRDefault="00385D5F" w:rsidP="00385D5F">
      <w:pPr>
        <w:jc w:val="center"/>
        <w:rPr>
          <w:rFonts w:ascii="Arial" w:hAnsi="Arial" w:cs="Arial"/>
          <w:lang w:val="en-US"/>
        </w:rPr>
      </w:pPr>
    </w:p>
    <w:p w14:paraId="06625AC6" w14:textId="77777777" w:rsidR="00385D5F" w:rsidRDefault="00385D5F" w:rsidP="00385D5F">
      <w:pPr>
        <w:jc w:val="center"/>
        <w:rPr>
          <w:rFonts w:ascii="Arial" w:hAnsi="Arial" w:cs="Arial"/>
          <w:lang w:val="en-US"/>
        </w:rPr>
      </w:pPr>
    </w:p>
    <w:p w14:paraId="0A062BCB" w14:textId="77777777" w:rsidR="00385D5F" w:rsidRDefault="00385D5F" w:rsidP="00385D5F">
      <w:pPr>
        <w:jc w:val="center"/>
        <w:rPr>
          <w:rFonts w:ascii="Arial" w:hAnsi="Arial" w:cs="Arial"/>
          <w:lang w:val="en-US"/>
        </w:rPr>
      </w:pPr>
    </w:p>
    <w:p w14:paraId="1FD4F505" w14:textId="2E6E8635" w:rsidR="00385D5F" w:rsidRDefault="00385D5F" w:rsidP="00254CB7">
      <w:pPr>
        <w:spacing w:line="480" w:lineRule="auto"/>
        <w:ind w:firstLine="720"/>
        <w:jc w:val="both"/>
        <w:rPr>
          <w:rFonts w:ascii="Arial" w:hAnsi="Arial" w:cs="Arial"/>
          <w:lang w:val="en-US"/>
        </w:rPr>
      </w:pPr>
      <w:r>
        <w:rPr>
          <w:rFonts w:ascii="Arial" w:hAnsi="Arial" w:cs="Arial"/>
          <w:lang w:val="en-US"/>
        </w:rPr>
        <w:lastRenderedPageBreak/>
        <w:t>Throughout this module, I aimed to develop and reflect upon the client-counsellor relationship. I sought to further my understanding how the notion of rapport building enhances the level of congruence between the client and the counsellor, and the way in which this may impact the skills used by the counsellor, as well as the levels of comfort and openness demonstrated by the client</w:t>
      </w:r>
      <w:r w:rsidR="00B55050">
        <w:rPr>
          <w:rFonts w:ascii="Arial" w:hAnsi="Arial" w:cs="Arial"/>
          <w:lang w:val="en-US"/>
        </w:rPr>
        <w:t xml:space="preserve"> (Rogers, 1957)</w:t>
      </w:r>
      <w:r>
        <w:rPr>
          <w:rFonts w:ascii="Arial" w:hAnsi="Arial" w:cs="Arial"/>
          <w:lang w:val="en-US"/>
        </w:rPr>
        <w:t>. I facilitated this by remaining within the same triad group for most of the module. This allowed counselling sessions to continue from where they last left off, but also to establish a clear understanding of nuances within the client’s behaviour, speech, and unique circumstances. This allowed me to interact with the client at a much more personable level by being able to interpret certain descriptions of events and feelings with a comfortable knowledge of what the client may be trying to convey. Of course, the primary challenge during this was to ensure the relationship between the client and counsellor was always recognised as professional. For instance, as the counsellor, I continuously needed to ensure that I actively probed for the deeper meaning of what the client was saying, and not assume feelings based on my increasing understanding of the client. In turn, the client would need to be reminded that this exploration was always required, and the friendly and approachable attitude necessary to facilitate this did not make me seem more of a friend than a professional helper. The analysis of my progression and reflection of this dynamic was conducted using the Gibbs Reflective Cycle (Gibbs, 1988)</w:t>
      </w:r>
      <w:r w:rsidR="00F53751">
        <w:rPr>
          <w:rFonts w:ascii="Arial" w:hAnsi="Arial" w:cs="Arial"/>
          <w:lang w:val="en-US"/>
        </w:rPr>
        <w:t xml:space="preserve">. I chose to apply this model due to its relevance to development in an ongoing context for professional improvement. </w:t>
      </w:r>
    </w:p>
    <w:p w14:paraId="029322D2" w14:textId="49C8BC99" w:rsidR="001A18C8" w:rsidRDefault="00F53751" w:rsidP="00254CB7">
      <w:pPr>
        <w:spacing w:line="480" w:lineRule="auto"/>
        <w:ind w:firstLine="720"/>
        <w:jc w:val="both"/>
        <w:rPr>
          <w:rFonts w:ascii="Arial" w:hAnsi="Arial" w:cs="Arial"/>
          <w:lang w:val="en-US"/>
        </w:rPr>
      </w:pPr>
      <w:r>
        <w:rPr>
          <w:rFonts w:ascii="Arial" w:hAnsi="Arial" w:cs="Arial"/>
          <w:lang w:val="en-US"/>
        </w:rPr>
        <w:t xml:space="preserve">The experience I chose to reflect upon was the developing relationship between the client and counsellor. During each lecture involving triad work, I ensured that I remained with the same group as much as possible </w:t>
      </w:r>
      <w:proofErr w:type="gramStart"/>
      <w:r>
        <w:rPr>
          <w:rFonts w:ascii="Arial" w:hAnsi="Arial" w:cs="Arial"/>
          <w:lang w:val="en-US"/>
        </w:rPr>
        <w:t>in order to</w:t>
      </w:r>
      <w:proofErr w:type="gramEnd"/>
      <w:r>
        <w:rPr>
          <w:rFonts w:ascii="Arial" w:hAnsi="Arial" w:cs="Arial"/>
          <w:lang w:val="en-US"/>
        </w:rPr>
        <w:t xml:space="preserve"> develop this relationship with the individual for whom I would act as the counsellor. This allowed us both to continue the narrative from previous sessions, and explore </w:t>
      </w:r>
      <w:r w:rsidR="001A18C8">
        <w:rPr>
          <w:rFonts w:ascii="Arial" w:hAnsi="Arial" w:cs="Arial"/>
          <w:lang w:val="en-US"/>
        </w:rPr>
        <w:t xml:space="preserve">improvements or declines during ongoing counselling. Each session would last approximately </w:t>
      </w:r>
      <w:r w:rsidR="00AF3AD7">
        <w:rPr>
          <w:rFonts w:ascii="Arial" w:hAnsi="Arial" w:cs="Arial"/>
          <w:lang w:val="en-US"/>
        </w:rPr>
        <w:t xml:space="preserve">12 to </w:t>
      </w:r>
      <w:r w:rsidR="001A18C8">
        <w:rPr>
          <w:rFonts w:ascii="Arial" w:hAnsi="Arial" w:cs="Arial"/>
          <w:lang w:val="en-US"/>
        </w:rPr>
        <w:t xml:space="preserve">20 minutes, and I had the benefit of an observer during each session to provide feedback on the way in which I applied the counselling skills. As I became more comfortable in developing areas such as silencing, ensuring I asked open </w:t>
      </w:r>
      <w:r w:rsidR="001A18C8">
        <w:rPr>
          <w:rFonts w:ascii="Arial" w:hAnsi="Arial" w:cs="Arial"/>
          <w:lang w:val="en-US"/>
        </w:rPr>
        <w:lastRenderedPageBreak/>
        <w:t>questions, and applying techniques such as goal setting, visualising, and the ‘empty chair</w:t>
      </w:r>
      <w:r w:rsidR="00AF3AD7">
        <w:rPr>
          <w:rFonts w:ascii="Arial" w:hAnsi="Arial" w:cs="Arial"/>
          <w:lang w:val="en-US"/>
        </w:rPr>
        <w:t>’ (Passmore et al., 2020)</w:t>
      </w:r>
      <w:r w:rsidR="001A18C8">
        <w:rPr>
          <w:rFonts w:ascii="Arial" w:hAnsi="Arial" w:cs="Arial"/>
          <w:lang w:val="en-US"/>
        </w:rPr>
        <w:t xml:space="preserve">, I had decided that an appropriate way to enhance these notions further, was to progress my relationship with the client </w:t>
      </w:r>
      <w:proofErr w:type="gramStart"/>
      <w:r w:rsidR="001A18C8">
        <w:rPr>
          <w:rFonts w:ascii="Arial" w:hAnsi="Arial" w:cs="Arial"/>
          <w:lang w:val="en-US"/>
        </w:rPr>
        <w:t>in order to</w:t>
      </w:r>
      <w:proofErr w:type="gramEnd"/>
      <w:r w:rsidR="001A18C8">
        <w:rPr>
          <w:rFonts w:ascii="Arial" w:hAnsi="Arial" w:cs="Arial"/>
          <w:lang w:val="en-US"/>
        </w:rPr>
        <w:t xml:space="preserve"> encourage trust. This would also nurture a sense of willingness, on behalf of the client, to take more control on the directions of the sessions and not rely too much on being prompted to discuss a topic I had chosen</w:t>
      </w:r>
      <w:r w:rsidR="00477D93">
        <w:rPr>
          <w:rFonts w:ascii="Arial" w:hAnsi="Arial" w:cs="Arial"/>
          <w:lang w:val="en-US"/>
        </w:rPr>
        <w:t xml:space="preserve"> (Cooper &amp; McLeod, 2012).</w:t>
      </w:r>
    </w:p>
    <w:p w14:paraId="1BA1DE5F" w14:textId="0F64E276" w:rsidR="00F53751" w:rsidRDefault="001A18C8" w:rsidP="00254CB7">
      <w:pPr>
        <w:spacing w:line="480" w:lineRule="auto"/>
        <w:ind w:firstLine="720"/>
        <w:jc w:val="both"/>
        <w:rPr>
          <w:rFonts w:ascii="Arial" w:hAnsi="Arial" w:cs="Arial"/>
          <w:lang w:val="en-US"/>
        </w:rPr>
      </w:pPr>
      <w:r>
        <w:rPr>
          <w:rFonts w:ascii="Arial" w:hAnsi="Arial" w:cs="Arial"/>
          <w:lang w:val="en-US"/>
        </w:rPr>
        <w:t xml:space="preserve">Initially, I had reservations regarding this challenge. This was because I began to </w:t>
      </w:r>
      <w:r w:rsidR="00C0446D">
        <w:rPr>
          <w:rFonts w:ascii="Arial" w:hAnsi="Arial" w:cs="Arial"/>
          <w:lang w:val="en-US"/>
        </w:rPr>
        <w:t>consider</w:t>
      </w:r>
      <w:r>
        <w:rPr>
          <w:rFonts w:ascii="Arial" w:hAnsi="Arial" w:cs="Arial"/>
          <w:lang w:val="en-US"/>
        </w:rPr>
        <w:t xml:space="preserve"> the dichotomy between the client-led approach, and the necessity for the counsellor to manage the session</w:t>
      </w:r>
      <w:r w:rsidR="00C0446D">
        <w:rPr>
          <w:rFonts w:ascii="Arial" w:hAnsi="Arial" w:cs="Arial"/>
          <w:lang w:val="en-US"/>
        </w:rPr>
        <w:t xml:space="preserve"> (Ratts &amp; Greenleaf, 2018)</w:t>
      </w:r>
      <w:r>
        <w:rPr>
          <w:rFonts w:ascii="Arial" w:hAnsi="Arial" w:cs="Arial"/>
          <w:lang w:val="en-US"/>
        </w:rPr>
        <w:t xml:space="preserve">. Originally, </w:t>
      </w:r>
      <w:r w:rsidR="00CD6AC2">
        <w:rPr>
          <w:rFonts w:ascii="Arial" w:hAnsi="Arial" w:cs="Arial"/>
          <w:lang w:val="en-US"/>
        </w:rPr>
        <w:t>this</w:t>
      </w:r>
      <w:r>
        <w:rPr>
          <w:rFonts w:ascii="Arial" w:hAnsi="Arial" w:cs="Arial"/>
          <w:lang w:val="en-US"/>
        </w:rPr>
        <w:t xml:space="preserve"> felt much like a battle for control in the sense </w:t>
      </w:r>
      <w:r w:rsidR="00CD6AC2">
        <w:rPr>
          <w:rFonts w:ascii="Arial" w:hAnsi="Arial" w:cs="Arial"/>
          <w:lang w:val="en-US"/>
        </w:rPr>
        <w:t>that</w:t>
      </w:r>
      <w:r>
        <w:rPr>
          <w:rFonts w:ascii="Arial" w:hAnsi="Arial" w:cs="Arial"/>
          <w:lang w:val="en-US"/>
        </w:rPr>
        <w:t xml:space="preserve"> I needed to know more about the client and study them closely during the session, but to do so I had to explore and prompt, within certain topics, a direction I saw fit. It became apparent to me that I was somewhat forcing the flow of a session. </w:t>
      </w:r>
      <w:r w:rsidR="00CD6AC2">
        <w:rPr>
          <w:rFonts w:ascii="Arial" w:hAnsi="Arial" w:cs="Arial"/>
          <w:lang w:val="en-US"/>
        </w:rPr>
        <w:t xml:space="preserve">Eventually </w:t>
      </w:r>
      <w:r>
        <w:rPr>
          <w:rFonts w:ascii="Arial" w:hAnsi="Arial" w:cs="Arial"/>
          <w:lang w:val="en-US"/>
        </w:rPr>
        <w:t xml:space="preserve">I began to feel far more </w:t>
      </w:r>
      <w:r w:rsidR="00CD6AC2">
        <w:rPr>
          <w:rFonts w:ascii="Arial" w:hAnsi="Arial" w:cs="Arial"/>
          <w:lang w:val="en-US"/>
        </w:rPr>
        <w:t>relaxed,</w:t>
      </w:r>
      <w:r>
        <w:rPr>
          <w:rFonts w:ascii="Arial" w:hAnsi="Arial" w:cs="Arial"/>
          <w:lang w:val="en-US"/>
        </w:rPr>
        <w:t xml:space="preserve"> and the sessions became more organic once I had simply allowed the client to explore their feelings </w:t>
      </w:r>
      <w:r w:rsidR="00CD6AC2">
        <w:rPr>
          <w:rFonts w:ascii="Arial" w:hAnsi="Arial" w:cs="Arial"/>
          <w:lang w:val="en-US"/>
        </w:rPr>
        <w:t>when they were comfortable and simply discuss any topic they chose, even if it had no relevance to discussions from previous sessions. However, a new challenge began to develop. The client-counsellor relationship flourished, and our congruence was reflected in the way I was able to demonstrate my clearer understanding of terms and descriptions the client was using – unique and abstract descriptions, nuanced language, and associations amongst relationships and events</w:t>
      </w:r>
      <w:r w:rsidR="007E5DCD">
        <w:rPr>
          <w:rFonts w:ascii="Arial" w:hAnsi="Arial" w:cs="Arial"/>
          <w:lang w:val="en-US"/>
        </w:rPr>
        <w:t xml:space="preserve"> (Midwinter &amp; Dickson, 2015)</w:t>
      </w:r>
      <w:r w:rsidR="00CD6AC2">
        <w:rPr>
          <w:rFonts w:ascii="Arial" w:hAnsi="Arial" w:cs="Arial"/>
          <w:lang w:val="en-US"/>
        </w:rPr>
        <w:t>. Eventually, it became apparent the client and myself, as the counsellor, were beginning to take this mutual understanding and ease of acknowledgement for granted. Essentially, I had become too comfortable in understanding what the client was saying and meaning, but neglecting what was unsaid and what needed to be explored that hadn’t been considered before. For me, the challenge was finding this balance, but not feeling too pressured to achieve it until the client was ready.</w:t>
      </w:r>
    </w:p>
    <w:p w14:paraId="41BB8964" w14:textId="095B245C" w:rsidR="00CD6AC2" w:rsidRDefault="00CD6AC2" w:rsidP="00254CB7">
      <w:pPr>
        <w:spacing w:line="480" w:lineRule="auto"/>
        <w:ind w:firstLine="720"/>
        <w:jc w:val="both"/>
        <w:rPr>
          <w:rFonts w:ascii="Arial" w:hAnsi="Arial" w:cs="Arial"/>
          <w:lang w:val="en-US"/>
        </w:rPr>
      </w:pPr>
      <w:r>
        <w:rPr>
          <w:rFonts w:ascii="Arial" w:hAnsi="Arial" w:cs="Arial"/>
          <w:lang w:val="en-US"/>
        </w:rPr>
        <w:t>Ultimately, this balance was achieved. However, it became apparent that the crucial necessity was time</w:t>
      </w:r>
      <w:r w:rsidR="00453954">
        <w:rPr>
          <w:rFonts w:ascii="Arial" w:hAnsi="Arial" w:cs="Arial"/>
          <w:lang w:val="en-US"/>
        </w:rPr>
        <w:t xml:space="preserve"> (Grant &amp; Green, 2018)</w:t>
      </w:r>
      <w:r>
        <w:rPr>
          <w:rFonts w:ascii="Arial" w:hAnsi="Arial" w:cs="Arial"/>
          <w:lang w:val="en-US"/>
        </w:rPr>
        <w:t xml:space="preserve">. An impatience to demonstrate complete </w:t>
      </w:r>
      <w:r>
        <w:rPr>
          <w:rFonts w:ascii="Arial" w:hAnsi="Arial" w:cs="Arial"/>
          <w:lang w:val="en-US"/>
        </w:rPr>
        <w:lastRenderedPageBreak/>
        <w:t xml:space="preserve">acknowledgement and a thorough understanding of the client </w:t>
      </w:r>
      <w:r w:rsidR="00027AD6">
        <w:rPr>
          <w:rFonts w:ascii="Arial" w:hAnsi="Arial" w:cs="Arial"/>
          <w:lang w:val="en-US"/>
        </w:rPr>
        <w:t xml:space="preserve">had caused a neglect toward appreciating the original goal; the sessions would be continuous and therefore, the client-counsellor relationship would not need to be developed from the beginning during each session. In time, I naturally fell into being able to mirror the client’s physical behaviour subtly </w:t>
      </w:r>
      <w:r w:rsidR="00FA5250">
        <w:rPr>
          <w:rFonts w:ascii="Arial" w:hAnsi="Arial" w:cs="Arial"/>
          <w:lang w:val="en-US"/>
        </w:rPr>
        <w:t>and</w:t>
      </w:r>
      <w:r w:rsidR="00027AD6">
        <w:rPr>
          <w:rFonts w:ascii="Arial" w:hAnsi="Arial" w:cs="Arial"/>
          <w:lang w:val="en-US"/>
        </w:rPr>
        <w:t xml:space="preserve"> appropriately used similar language. As a result, the client was able to respond to questions such as “what would you like to talk about today?” or “how have you been since we last spoke?” without needing further encouragement or direction from me know what they wished to discuss. I had bec</w:t>
      </w:r>
      <w:r w:rsidR="00292E24">
        <w:rPr>
          <w:rFonts w:ascii="Arial" w:hAnsi="Arial" w:cs="Arial"/>
          <w:lang w:val="en-US"/>
        </w:rPr>
        <w:t>o</w:t>
      </w:r>
      <w:r w:rsidR="00027AD6">
        <w:rPr>
          <w:rFonts w:ascii="Arial" w:hAnsi="Arial" w:cs="Arial"/>
          <w:lang w:val="en-US"/>
        </w:rPr>
        <w:t xml:space="preserve">me apparent that the client trusted me to the point that they </w:t>
      </w:r>
      <w:r w:rsidR="00453954">
        <w:rPr>
          <w:rFonts w:ascii="Arial" w:hAnsi="Arial" w:cs="Arial"/>
          <w:lang w:val="en-US"/>
        </w:rPr>
        <w:t>k</w:t>
      </w:r>
      <w:r w:rsidR="00027AD6">
        <w:rPr>
          <w:rFonts w:ascii="Arial" w:hAnsi="Arial" w:cs="Arial"/>
          <w:lang w:val="en-US"/>
        </w:rPr>
        <w:t>new to lead the session and even be willing to have entire sessions where only positive experiences were discussed in which most of my responses involved encouragement and acknowledging the client’s sense of volition</w:t>
      </w:r>
      <w:r w:rsidR="00453954">
        <w:rPr>
          <w:rFonts w:ascii="Arial" w:hAnsi="Arial" w:cs="Arial"/>
          <w:lang w:val="en-US"/>
        </w:rPr>
        <w:t xml:space="preserve"> (Brown &amp; Lent, 2020).</w:t>
      </w:r>
    </w:p>
    <w:p w14:paraId="586CC683" w14:textId="46469724" w:rsidR="00170683" w:rsidRDefault="00FA5250" w:rsidP="00254CB7">
      <w:pPr>
        <w:spacing w:line="480" w:lineRule="auto"/>
        <w:ind w:firstLine="720"/>
        <w:jc w:val="both"/>
        <w:rPr>
          <w:rFonts w:ascii="Arial" w:hAnsi="Arial" w:cs="Arial"/>
          <w:lang w:val="en-US"/>
        </w:rPr>
      </w:pPr>
      <w:r>
        <w:rPr>
          <w:rFonts w:ascii="Arial" w:hAnsi="Arial" w:cs="Arial"/>
          <w:lang w:val="en-US"/>
        </w:rPr>
        <w:t>Regarding the analysis stage of the Gibbs reflective cycle, I was able to consider the experience from the perspective of the observer within the triad. The observer was able to provide feedback of the session, however, most of the feedback revolved around my use of questioning, motivational interviewing</w:t>
      </w:r>
      <w:r w:rsidR="003B7170">
        <w:rPr>
          <w:rFonts w:ascii="Arial" w:hAnsi="Arial" w:cs="Arial"/>
          <w:lang w:val="en-US"/>
        </w:rPr>
        <w:t xml:space="preserve"> (Miller &amp; Moyers, 2017)</w:t>
      </w:r>
      <w:r>
        <w:rPr>
          <w:rFonts w:ascii="Arial" w:hAnsi="Arial" w:cs="Arial"/>
          <w:lang w:val="en-US"/>
        </w:rPr>
        <w:t>, and instant understanding of the client. However, the way in which the client-counsellor relationship was developing across each session was overlooked as feedback was based on each session separately and not the holistic experience of the entire set of sessions. I found this in fact to be positive. The sessions had become so organic that the observer had not noticed the progression directly. The natural flow of conversations so subtly progressed that, in some sense, the observer was drawn to and invested in the overall content of the session</w:t>
      </w:r>
      <w:r w:rsidR="00E300B8">
        <w:rPr>
          <w:rFonts w:ascii="Arial" w:hAnsi="Arial" w:cs="Arial"/>
          <w:lang w:val="en-US"/>
        </w:rPr>
        <w:t xml:space="preserve"> and</w:t>
      </w:r>
      <w:r>
        <w:rPr>
          <w:rFonts w:ascii="Arial" w:hAnsi="Arial" w:cs="Arial"/>
          <w:lang w:val="en-US"/>
        </w:rPr>
        <w:t xml:space="preserve"> th</w:t>
      </w:r>
      <w:r w:rsidR="00E300B8">
        <w:rPr>
          <w:rFonts w:ascii="Arial" w:hAnsi="Arial" w:cs="Arial"/>
          <w:lang w:val="en-US"/>
        </w:rPr>
        <w:t>erefore their</w:t>
      </w:r>
      <w:r>
        <w:rPr>
          <w:rFonts w:ascii="Arial" w:hAnsi="Arial" w:cs="Arial"/>
          <w:lang w:val="en-US"/>
        </w:rPr>
        <w:t xml:space="preserve"> feedback was very targeted. For example, my ability to identify the meaning of a term used by the client was based upon what I had learned from previous sessions with them. However, the observer would only really consider this based on the singular session they had witnessed at the time. </w:t>
      </w:r>
      <w:r w:rsidR="00170683">
        <w:rPr>
          <w:rFonts w:ascii="Arial" w:hAnsi="Arial" w:cs="Arial"/>
          <w:lang w:val="en-US"/>
        </w:rPr>
        <w:t xml:space="preserve">In one sense, this does narrow the feedback I would be given, yet in another sense, this indicated that the congruence between myself and the client was natural and </w:t>
      </w:r>
      <w:proofErr w:type="gramStart"/>
      <w:r w:rsidR="00170683">
        <w:rPr>
          <w:rFonts w:ascii="Arial" w:hAnsi="Arial" w:cs="Arial"/>
          <w:lang w:val="en-US"/>
        </w:rPr>
        <w:t>genuine</w:t>
      </w:r>
      <w:proofErr w:type="gramEnd"/>
      <w:r w:rsidR="00170683">
        <w:rPr>
          <w:rFonts w:ascii="Arial" w:hAnsi="Arial" w:cs="Arial"/>
          <w:lang w:val="en-US"/>
        </w:rPr>
        <w:t xml:space="preserve"> that its development was </w:t>
      </w:r>
      <w:r w:rsidR="00E300B8">
        <w:rPr>
          <w:rFonts w:ascii="Arial" w:hAnsi="Arial" w:cs="Arial"/>
          <w:lang w:val="en-US"/>
        </w:rPr>
        <w:t>simply accepted as standard</w:t>
      </w:r>
      <w:r w:rsidR="00170683">
        <w:rPr>
          <w:rFonts w:ascii="Arial" w:hAnsi="Arial" w:cs="Arial"/>
          <w:lang w:val="en-US"/>
        </w:rPr>
        <w:t xml:space="preserve">. I had concerns that if I had acknowledged this </w:t>
      </w:r>
      <w:r w:rsidR="00170683">
        <w:rPr>
          <w:rFonts w:ascii="Arial" w:hAnsi="Arial" w:cs="Arial"/>
          <w:lang w:val="en-US"/>
        </w:rPr>
        <w:lastRenderedPageBreak/>
        <w:t>development during times when feedback was discussed, then this might cause the client to become overly aware and begin to become somewhat reserved for the sake of trying to facilitate a productive counselling session and, in a sense, ‘save’ more in-depth conversations for a later session. I did not want the client to give themselves that responsibility</w:t>
      </w:r>
      <w:r w:rsidR="00DE47C6">
        <w:rPr>
          <w:rFonts w:ascii="Arial" w:hAnsi="Arial" w:cs="Arial"/>
          <w:lang w:val="en-US"/>
        </w:rPr>
        <w:t xml:space="preserve"> (Prout et al., 2021)</w:t>
      </w:r>
      <w:r w:rsidR="00170683">
        <w:rPr>
          <w:rFonts w:ascii="Arial" w:hAnsi="Arial" w:cs="Arial"/>
          <w:lang w:val="en-US"/>
        </w:rPr>
        <w:t xml:space="preserve">. </w:t>
      </w:r>
    </w:p>
    <w:p w14:paraId="2A5F97A1" w14:textId="0ACAA565" w:rsidR="00534290" w:rsidRDefault="00170683" w:rsidP="00254CB7">
      <w:pPr>
        <w:spacing w:line="480" w:lineRule="auto"/>
        <w:ind w:firstLine="720"/>
        <w:jc w:val="both"/>
        <w:rPr>
          <w:rFonts w:ascii="Arial" w:hAnsi="Arial" w:cs="Arial"/>
          <w:lang w:val="en-US"/>
        </w:rPr>
      </w:pPr>
      <w:r>
        <w:rPr>
          <w:rFonts w:ascii="Arial" w:hAnsi="Arial" w:cs="Arial"/>
          <w:lang w:val="en-US"/>
        </w:rPr>
        <w:t xml:space="preserve">From this analysis, I drew two main conclusions that I had to consider from my performance as a counsellor. The first was that trusting that counselling was such an ongoing process for both the client and the counsellor was vital in building the relationship between us </w:t>
      </w:r>
      <w:proofErr w:type="gramStart"/>
      <w:r>
        <w:rPr>
          <w:rFonts w:ascii="Arial" w:hAnsi="Arial" w:cs="Arial"/>
          <w:lang w:val="en-US"/>
        </w:rPr>
        <w:t>in order for</w:t>
      </w:r>
      <w:proofErr w:type="gramEnd"/>
      <w:r>
        <w:rPr>
          <w:rFonts w:ascii="Arial" w:hAnsi="Arial" w:cs="Arial"/>
          <w:lang w:val="en-US"/>
        </w:rPr>
        <w:t xml:space="preserve"> me to use my skills as effectively as possible and for the client to become more comfortable </w:t>
      </w:r>
      <w:r w:rsidR="009617DC">
        <w:rPr>
          <w:rFonts w:ascii="Arial" w:hAnsi="Arial" w:cs="Arial"/>
          <w:lang w:val="en-US"/>
        </w:rPr>
        <w:t>and</w:t>
      </w:r>
      <w:r>
        <w:rPr>
          <w:rFonts w:ascii="Arial" w:hAnsi="Arial" w:cs="Arial"/>
          <w:lang w:val="en-US"/>
        </w:rPr>
        <w:t xml:space="preserve"> more willing to explore their feelings with more depth</w:t>
      </w:r>
      <w:r w:rsidR="009617DC">
        <w:rPr>
          <w:rFonts w:ascii="Arial" w:hAnsi="Arial" w:cs="Arial"/>
          <w:lang w:val="en-US"/>
        </w:rPr>
        <w:t xml:space="preserve"> (Geldard et al., 2017)</w:t>
      </w:r>
      <w:r>
        <w:rPr>
          <w:rFonts w:ascii="Arial" w:hAnsi="Arial" w:cs="Arial"/>
          <w:lang w:val="en-US"/>
        </w:rPr>
        <w:t xml:space="preserve">. The second conclusion was far more conflicting. I had to consider if this familiarity could in some way not be conducive to the client-counsellor relationship. </w:t>
      </w:r>
      <w:r w:rsidR="009B7FF5">
        <w:rPr>
          <w:rFonts w:ascii="Arial" w:hAnsi="Arial" w:cs="Arial"/>
          <w:lang w:val="en-US"/>
        </w:rPr>
        <w:t>If I had become too confident in my understanding of the client, then I could take my own interpretations for granted and assume that I completely understood something that the client was conveying. Essentially, there was a risk of complacency on my behalf. I need to remain constantly aware that not only is the ongoing nature of counselling sessions necessary for a productive and developing relationship between the client and counsellor, but it is also an opportunity to become overly invested</w:t>
      </w:r>
      <w:r w:rsidR="00F14506">
        <w:rPr>
          <w:rFonts w:ascii="Arial" w:hAnsi="Arial" w:cs="Arial"/>
          <w:lang w:val="en-US"/>
        </w:rPr>
        <w:t xml:space="preserve"> (Morrison &amp; Lent, 2018)</w:t>
      </w:r>
      <w:r w:rsidR="009B7FF5">
        <w:rPr>
          <w:rFonts w:ascii="Arial" w:hAnsi="Arial" w:cs="Arial"/>
          <w:lang w:val="en-US"/>
        </w:rPr>
        <w:t xml:space="preserve">. For example, as the client discussed with me plans to travel, I became very encouraging of these plans due to their positive outlook and the way their attitude immediately improved. I solely focused on the way in which discussing traveling brough out much more positive emotions and I therefore sought to explore this. However, </w:t>
      </w:r>
      <w:r w:rsidR="000A64F7">
        <w:rPr>
          <w:rFonts w:ascii="Arial" w:hAnsi="Arial" w:cs="Arial"/>
          <w:lang w:val="en-US"/>
        </w:rPr>
        <w:t>it</w:t>
      </w:r>
      <w:r w:rsidR="009B7FF5">
        <w:rPr>
          <w:rFonts w:ascii="Arial" w:hAnsi="Arial" w:cs="Arial"/>
          <w:lang w:val="en-US"/>
        </w:rPr>
        <w:t xml:space="preserve"> would also have been helpful for the client to discuss what travelling means in the sense of distancing themselves from issues that are closer to home, ending existing relationships, and while opening themselves up to new experiences, there is also the risk of them isolating themselves. I remained focused on the progression of the client’s immediate and long-term mental wellbeing, and was pleased that they had developed this conclusion for themselves, but I did not consider their awareness of the implications of their decision or plans past how </w:t>
      </w:r>
      <w:r w:rsidR="009B7FF5">
        <w:rPr>
          <w:rFonts w:ascii="Arial" w:hAnsi="Arial" w:cs="Arial"/>
          <w:lang w:val="en-US"/>
        </w:rPr>
        <w:lastRenderedPageBreak/>
        <w:t xml:space="preserve">they believed it would make them feel. I could have effectively sought to use reframing to </w:t>
      </w:r>
      <w:r w:rsidR="00106965">
        <w:rPr>
          <w:rFonts w:ascii="Arial" w:hAnsi="Arial" w:cs="Arial"/>
          <w:lang w:val="en-US"/>
        </w:rPr>
        <w:t>address this</w:t>
      </w:r>
      <w:r w:rsidR="000A64F7">
        <w:rPr>
          <w:rFonts w:ascii="Arial" w:hAnsi="Arial" w:cs="Arial"/>
          <w:lang w:val="en-US"/>
        </w:rPr>
        <w:t xml:space="preserve"> (Barnett et al., 2014)</w:t>
      </w:r>
      <w:r w:rsidR="00106965">
        <w:rPr>
          <w:rFonts w:ascii="Arial" w:hAnsi="Arial" w:cs="Arial"/>
          <w:lang w:val="en-US"/>
        </w:rPr>
        <w:t>. Ideally, I could still have acknowledged and supported the client’s feelings, yet ask them to consider if they would feel the same way further down the line. For example, we could have addressed how relationships or circumstances change or if the plan to travel is an immediate response to a long-term issue. I believe I felt the risk of setting back my client’s positive progression but as it pertained to me as a counsellor. Instead, I must remember that the client still needs to explore difficult and, at times, painful concepts so that they may get the most out of their sessions and counselling does not simply become the counsellor explicitly trusting the client’s apparent positive outlook without question</w:t>
      </w:r>
      <w:r w:rsidR="004D33C9">
        <w:rPr>
          <w:rFonts w:ascii="Arial" w:hAnsi="Arial" w:cs="Arial"/>
          <w:lang w:val="en-US"/>
        </w:rPr>
        <w:t xml:space="preserve"> (Swift et al., 2018)</w:t>
      </w:r>
      <w:r w:rsidR="00106965">
        <w:rPr>
          <w:rFonts w:ascii="Arial" w:hAnsi="Arial" w:cs="Arial"/>
          <w:lang w:val="en-US"/>
        </w:rPr>
        <w:t>. It is vital to reinforce the client’s positive improvements and ensure that certain aspects of the client’s experiences are not ignored simply because they seem resolved</w:t>
      </w:r>
      <w:r w:rsidR="00044097">
        <w:rPr>
          <w:rFonts w:ascii="Arial" w:hAnsi="Arial" w:cs="Arial"/>
          <w:lang w:val="en-US"/>
        </w:rPr>
        <w:t xml:space="preserve"> (</w:t>
      </w:r>
      <w:r w:rsidR="00C66465">
        <w:rPr>
          <w:rFonts w:ascii="Arial" w:hAnsi="Arial" w:cs="Arial"/>
          <w:lang w:val="en-US"/>
        </w:rPr>
        <w:t>Elliott et al., 2018).</w:t>
      </w:r>
    </w:p>
    <w:p w14:paraId="30CEEA20" w14:textId="2718B110" w:rsidR="00F32494" w:rsidRDefault="00534290" w:rsidP="00254CB7">
      <w:pPr>
        <w:spacing w:line="480" w:lineRule="auto"/>
        <w:ind w:firstLine="720"/>
        <w:jc w:val="both"/>
        <w:rPr>
          <w:rFonts w:ascii="Arial" w:hAnsi="Arial" w:cs="Arial"/>
          <w:lang w:val="en-US"/>
        </w:rPr>
      </w:pPr>
      <w:r>
        <w:rPr>
          <w:rFonts w:ascii="Arial" w:hAnsi="Arial" w:cs="Arial"/>
          <w:lang w:val="en-US"/>
        </w:rPr>
        <w:t xml:space="preserve">The final stage in the Gibbs reflective cycle is the action plan. </w:t>
      </w:r>
      <w:r w:rsidR="00650C9A">
        <w:rPr>
          <w:rFonts w:ascii="Arial" w:hAnsi="Arial" w:cs="Arial"/>
          <w:lang w:val="en-US"/>
        </w:rPr>
        <w:t>I intend to apply what I have learnt from this experience by appreciating that progress throughout counselling does not need to appear immediately apparent. The developing relationship between the client and the counsellor can facilitate this progress, by I do not need to forcibly attain this sense of trust or congruence immediately. Initially, I will allow myself to learn more about the client as the sessions progress instead of hoping to learn as much as possible, as quickly as possible in order to immediately help the client find resolutions. It is apparent that I still, at times, prescribe to the righting reflex, even when I can appreciate that counselling is a process that spans over a significant amount of time. Attaining the trust of the client is earned across numerous sessions that must address a range of issues and their complex sources</w:t>
      </w:r>
      <w:r w:rsidR="002F77E2">
        <w:rPr>
          <w:rFonts w:ascii="Arial" w:hAnsi="Arial" w:cs="Arial"/>
          <w:lang w:val="en-US"/>
        </w:rPr>
        <w:t xml:space="preserve"> (Lavik et al., 2018)</w:t>
      </w:r>
      <w:r w:rsidR="00650C9A">
        <w:rPr>
          <w:rFonts w:ascii="Arial" w:hAnsi="Arial" w:cs="Arial"/>
          <w:lang w:val="en-US"/>
        </w:rPr>
        <w:t xml:space="preserve">. I simply need to acknowledge that trust can be established slowly, and that the client is aware of this also. As a result, I aim to include this narrative in the way in which I address the client. For example, a rather classic adage provided to the client is stating that counselling is not just a ‘magic wand’ that causes problems to be fixed. I will experiment with ways in which I can comfortably convey this without appearing patronising or risking any sense of hopelessness. </w:t>
      </w:r>
      <w:r w:rsidR="00650C9A">
        <w:rPr>
          <w:rFonts w:ascii="Arial" w:hAnsi="Arial" w:cs="Arial"/>
          <w:lang w:val="en-US"/>
        </w:rPr>
        <w:lastRenderedPageBreak/>
        <w:t xml:space="preserve">Furthermore, </w:t>
      </w:r>
      <w:r w:rsidR="003D6526">
        <w:rPr>
          <w:rFonts w:ascii="Arial" w:hAnsi="Arial" w:cs="Arial"/>
          <w:lang w:val="en-US"/>
        </w:rPr>
        <w:t xml:space="preserve">as I feel I have managed to develop my counselling skills </w:t>
      </w:r>
      <w:proofErr w:type="gramStart"/>
      <w:r w:rsidR="003D6526">
        <w:rPr>
          <w:rFonts w:ascii="Arial" w:hAnsi="Arial" w:cs="Arial"/>
          <w:lang w:val="en-US"/>
        </w:rPr>
        <w:t>in order to</w:t>
      </w:r>
      <w:proofErr w:type="gramEnd"/>
      <w:r w:rsidR="003D6526">
        <w:rPr>
          <w:rFonts w:ascii="Arial" w:hAnsi="Arial" w:cs="Arial"/>
          <w:lang w:val="en-US"/>
        </w:rPr>
        <w:t xml:space="preserve"> allow sessions to progress productively, I will continue to reinforce the importance of allowing the client to lead each session without neglecting unaddressed or unspoken considerations of the client’s experience. I risk becoming too comfortable with the client’s own positivity and need to ensure that I find a balance in acknowledging the client’s positivity and ensuring issues or concerns are not being avoided, without the client feeling as though the sessions are not regressing. To some extent, this is facilitated by the positive relationship built over the course of numerous sessions, however, I will also explore the use of language and further practice motivational interviewing to ensure that the client understands the necessity for discussing a balance of both positive and negative experiences</w:t>
      </w:r>
      <w:r w:rsidR="00A4545C">
        <w:rPr>
          <w:rFonts w:ascii="Arial" w:hAnsi="Arial" w:cs="Arial"/>
          <w:lang w:val="en-US"/>
        </w:rPr>
        <w:t xml:space="preserve"> (Hardcastle et al., 2018)</w:t>
      </w:r>
      <w:r w:rsidR="003D6526">
        <w:rPr>
          <w:rFonts w:ascii="Arial" w:hAnsi="Arial" w:cs="Arial"/>
          <w:lang w:val="en-US"/>
        </w:rPr>
        <w:t>. I will also further explore the use of mirroring in both a physical and linguistic context</w:t>
      </w:r>
      <w:r w:rsidR="00011AE1">
        <w:rPr>
          <w:rFonts w:ascii="Arial" w:hAnsi="Arial" w:cs="Arial"/>
          <w:lang w:val="en-US"/>
        </w:rPr>
        <w:t xml:space="preserve"> (Davidsen et al., 2015)</w:t>
      </w:r>
      <w:r w:rsidR="003D6526">
        <w:rPr>
          <w:rFonts w:ascii="Arial" w:hAnsi="Arial" w:cs="Arial"/>
          <w:lang w:val="en-US"/>
        </w:rPr>
        <w:t>. Through research and observation, perhaps of publicly accessible counselling practice sessions online posted by practitioners, I can focus on body how body language, tone, and reusing client’s verbal and physical mannerisms hopefully used in the context of an advanced session taking place while the counselling process in well underway (after several sessions with that particular client ha</w:t>
      </w:r>
      <w:r w:rsidR="00F851E8">
        <w:rPr>
          <w:rFonts w:ascii="Arial" w:hAnsi="Arial" w:cs="Arial"/>
          <w:lang w:val="en-US"/>
        </w:rPr>
        <w:t>ve</w:t>
      </w:r>
      <w:r w:rsidR="003D6526">
        <w:rPr>
          <w:rFonts w:ascii="Arial" w:hAnsi="Arial" w:cs="Arial"/>
          <w:lang w:val="en-US"/>
        </w:rPr>
        <w:t xml:space="preserve"> already taken place, for example</w:t>
      </w:r>
      <w:r w:rsidR="00F851E8">
        <w:rPr>
          <w:rFonts w:ascii="Arial" w:hAnsi="Arial" w:cs="Arial"/>
          <w:lang w:val="en-US"/>
        </w:rPr>
        <w:t>).</w:t>
      </w:r>
    </w:p>
    <w:p w14:paraId="352D3048" w14:textId="11A1CC36" w:rsidR="00FA5250" w:rsidRDefault="00F32494" w:rsidP="00254CB7">
      <w:pPr>
        <w:spacing w:line="480" w:lineRule="auto"/>
        <w:ind w:firstLine="720"/>
        <w:jc w:val="both"/>
        <w:rPr>
          <w:rFonts w:ascii="Arial" w:hAnsi="Arial" w:cs="Arial"/>
          <w:lang w:val="en-US"/>
        </w:rPr>
      </w:pPr>
      <w:r>
        <w:rPr>
          <w:rFonts w:ascii="Arial" w:hAnsi="Arial" w:cs="Arial"/>
          <w:lang w:val="en-US"/>
        </w:rPr>
        <w:t xml:space="preserve">In conclusion, I have learnt to appreciate the value of the client-counsellor relationship far more for its value in enhancing the congruent nature of the counselling process. The role of addressing and exploring issues and potential resolutions, acknowledging underlying feelings and perceptions, and remaining with both the positive and uncomfortable outcomes of personal experiences belongs to both the client and the counsellor. It is an adaptive relationship, where leading the direction of the counselling process and searching for interpretations is shared back and forth between the client and counsellor. However, it is vital that trust is established through patience and adaptively using various skills and approaches to ensure that the client can remove personal reservations, but comfortably in their own time, while the counsellor allows the productive relationship to enhance their ability to apply the most appropriate approaches.  </w:t>
      </w:r>
      <w:r w:rsidR="00650C9A">
        <w:rPr>
          <w:rFonts w:ascii="Arial" w:hAnsi="Arial" w:cs="Arial"/>
          <w:lang w:val="en-US"/>
        </w:rPr>
        <w:t xml:space="preserve">   </w:t>
      </w:r>
      <w:r w:rsidR="00106965">
        <w:rPr>
          <w:rFonts w:ascii="Arial" w:hAnsi="Arial" w:cs="Arial"/>
          <w:lang w:val="en-US"/>
        </w:rPr>
        <w:t xml:space="preserve">  </w:t>
      </w:r>
      <w:r w:rsidR="009B7FF5">
        <w:rPr>
          <w:rFonts w:ascii="Arial" w:hAnsi="Arial" w:cs="Arial"/>
          <w:lang w:val="en-US"/>
        </w:rPr>
        <w:t xml:space="preserve"> </w:t>
      </w:r>
      <w:r w:rsidR="00170683">
        <w:rPr>
          <w:rFonts w:ascii="Arial" w:hAnsi="Arial" w:cs="Arial"/>
          <w:lang w:val="en-US"/>
        </w:rPr>
        <w:t xml:space="preserve"> </w:t>
      </w:r>
      <w:r w:rsidR="00FA5250">
        <w:rPr>
          <w:rFonts w:ascii="Arial" w:hAnsi="Arial" w:cs="Arial"/>
          <w:lang w:val="en-US"/>
        </w:rPr>
        <w:t xml:space="preserve">  </w:t>
      </w:r>
    </w:p>
    <w:p w14:paraId="74DF2FE6" w14:textId="5EB7BE0A" w:rsidR="00254CB7" w:rsidRDefault="00254CB7" w:rsidP="00254CB7">
      <w:pPr>
        <w:spacing w:line="480" w:lineRule="auto"/>
        <w:ind w:firstLine="720"/>
        <w:jc w:val="center"/>
        <w:rPr>
          <w:rFonts w:ascii="Arial" w:hAnsi="Arial" w:cs="Arial"/>
          <w:b/>
          <w:bCs/>
          <w:sz w:val="24"/>
          <w:szCs w:val="24"/>
          <w:u w:val="single"/>
          <w:lang w:val="en-US"/>
        </w:rPr>
      </w:pPr>
      <w:r>
        <w:rPr>
          <w:rFonts w:ascii="Arial" w:hAnsi="Arial" w:cs="Arial"/>
          <w:b/>
          <w:bCs/>
          <w:sz w:val="24"/>
          <w:szCs w:val="24"/>
          <w:u w:val="single"/>
          <w:lang w:val="en-US"/>
        </w:rPr>
        <w:lastRenderedPageBreak/>
        <w:t>Reference List</w:t>
      </w:r>
    </w:p>
    <w:p w14:paraId="244E7207" w14:textId="77777777" w:rsidR="00254CB7" w:rsidRDefault="00254CB7" w:rsidP="00254CB7">
      <w:pPr>
        <w:ind w:left="720" w:hanging="720"/>
        <w:jc w:val="both"/>
        <w:rPr>
          <w:rFonts w:ascii="Arial" w:hAnsi="Arial" w:cs="Arial"/>
        </w:rPr>
      </w:pPr>
      <w:r w:rsidRPr="001D1B0C">
        <w:rPr>
          <w:rFonts w:ascii="Arial" w:hAnsi="Arial" w:cs="Arial"/>
        </w:rPr>
        <w:t>Barnett, E., Spruijt-Metz, D., Moyers, T. B., Smith, C., Rohrbach, L. A., Sun, P., &amp; Sussman, S. (2014). Bidirectional relationships between client and counselor speech: the importance of reframing. </w:t>
      </w:r>
      <w:r w:rsidRPr="001D1B0C">
        <w:rPr>
          <w:rFonts w:ascii="Arial" w:hAnsi="Arial" w:cs="Arial"/>
          <w:i/>
          <w:iCs/>
        </w:rPr>
        <w:t>Psychology of Addictive Behaviors</w:t>
      </w:r>
      <w:r w:rsidRPr="001D1B0C">
        <w:rPr>
          <w:rFonts w:ascii="Arial" w:hAnsi="Arial" w:cs="Arial"/>
        </w:rPr>
        <w:t>, </w:t>
      </w:r>
      <w:r w:rsidRPr="001D1B0C">
        <w:rPr>
          <w:rFonts w:ascii="Arial" w:hAnsi="Arial" w:cs="Arial"/>
          <w:i/>
          <w:iCs/>
        </w:rPr>
        <w:t>28</w:t>
      </w:r>
      <w:r w:rsidRPr="001D1B0C">
        <w:rPr>
          <w:rFonts w:ascii="Arial" w:hAnsi="Arial" w:cs="Arial"/>
        </w:rPr>
        <w:t>(4), 1212.</w:t>
      </w:r>
      <w:r>
        <w:rPr>
          <w:rFonts w:ascii="Arial" w:hAnsi="Arial" w:cs="Arial"/>
        </w:rPr>
        <w:t xml:space="preserve"> </w:t>
      </w:r>
      <w:hyperlink r:id="rId5" w:history="1">
        <w:r w:rsidRPr="00C56AC9">
          <w:rPr>
            <w:rStyle w:val="Hyperlink"/>
            <w:rFonts w:ascii="Arial" w:hAnsi="Arial" w:cs="Arial"/>
          </w:rPr>
          <w:t>https://doi.org/10.1037%2Fa0036227</w:t>
        </w:r>
      </w:hyperlink>
      <w:r>
        <w:rPr>
          <w:rFonts w:ascii="Arial" w:hAnsi="Arial" w:cs="Arial"/>
        </w:rPr>
        <w:t xml:space="preserve"> </w:t>
      </w:r>
    </w:p>
    <w:p w14:paraId="70793016" w14:textId="77777777" w:rsidR="00254CB7" w:rsidRDefault="00254CB7" w:rsidP="00254CB7">
      <w:pPr>
        <w:ind w:left="720" w:hanging="720"/>
        <w:jc w:val="both"/>
        <w:rPr>
          <w:rFonts w:ascii="Arial" w:hAnsi="Arial" w:cs="Arial"/>
        </w:rPr>
      </w:pPr>
      <w:r>
        <w:rPr>
          <w:rFonts w:ascii="Arial" w:hAnsi="Arial" w:cs="Arial"/>
        </w:rPr>
        <w:t xml:space="preserve">Brown, S. D., &amp; Lent, R. W. (2020). </w:t>
      </w:r>
      <w:r>
        <w:rPr>
          <w:rFonts w:ascii="Arial" w:hAnsi="Arial" w:cs="Arial"/>
          <w:i/>
          <w:iCs/>
        </w:rPr>
        <w:t xml:space="preserve">Career development and counselling: Putting theory and research to work. </w:t>
      </w:r>
      <w:r>
        <w:rPr>
          <w:rFonts w:ascii="Arial" w:hAnsi="Arial" w:cs="Arial"/>
        </w:rPr>
        <w:t xml:space="preserve">John Wiley &amp; Sons. </w:t>
      </w:r>
    </w:p>
    <w:p w14:paraId="7436A903" w14:textId="77777777" w:rsidR="00254CB7" w:rsidRDefault="00254CB7" w:rsidP="00254CB7">
      <w:pPr>
        <w:ind w:left="720" w:hanging="720"/>
        <w:jc w:val="both"/>
        <w:rPr>
          <w:rFonts w:ascii="Arial" w:hAnsi="Arial" w:cs="Arial"/>
        </w:rPr>
      </w:pPr>
      <w:r w:rsidRPr="00017969">
        <w:rPr>
          <w:rFonts w:ascii="Arial" w:hAnsi="Arial" w:cs="Arial"/>
        </w:rPr>
        <w:t>Cooper, M., &amp; McLeod, J. (2012). From either/or to both/and: Developing a pluralistic approach to counselling and psychotherapy. </w:t>
      </w:r>
      <w:r w:rsidRPr="00017969">
        <w:rPr>
          <w:rFonts w:ascii="Arial" w:hAnsi="Arial" w:cs="Arial"/>
          <w:i/>
          <w:iCs/>
        </w:rPr>
        <w:t>European Journal of Psychotherapy &amp; Counselling</w:t>
      </w:r>
      <w:r w:rsidRPr="00017969">
        <w:rPr>
          <w:rFonts w:ascii="Arial" w:hAnsi="Arial" w:cs="Arial"/>
        </w:rPr>
        <w:t>, </w:t>
      </w:r>
      <w:r w:rsidRPr="00017969">
        <w:rPr>
          <w:rFonts w:ascii="Arial" w:hAnsi="Arial" w:cs="Arial"/>
          <w:i/>
          <w:iCs/>
        </w:rPr>
        <w:t>14</w:t>
      </w:r>
      <w:r w:rsidRPr="00017969">
        <w:rPr>
          <w:rFonts w:ascii="Arial" w:hAnsi="Arial" w:cs="Arial"/>
        </w:rPr>
        <w:t>(1), 5-17.</w:t>
      </w:r>
      <w:r>
        <w:rPr>
          <w:rFonts w:ascii="Arial" w:hAnsi="Arial" w:cs="Arial"/>
        </w:rPr>
        <w:t xml:space="preserve"> </w:t>
      </w:r>
      <w:hyperlink r:id="rId6" w:history="1">
        <w:r w:rsidRPr="00C56AC9">
          <w:rPr>
            <w:rStyle w:val="Hyperlink"/>
            <w:rFonts w:ascii="Arial" w:hAnsi="Arial" w:cs="Arial"/>
          </w:rPr>
          <w:t>https://doi.org/10.1080/13642537.2012.652389</w:t>
        </w:r>
      </w:hyperlink>
    </w:p>
    <w:p w14:paraId="6FFEBD04" w14:textId="77777777" w:rsidR="00254CB7" w:rsidRDefault="00254CB7" w:rsidP="00254CB7">
      <w:pPr>
        <w:ind w:left="720" w:hanging="720"/>
        <w:jc w:val="both"/>
        <w:rPr>
          <w:rFonts w:ascii="Arial" w:hAnsi="Arial" w:cs="Arial"/>
        </w:rPr>
      </w:pPr>
      <w:r w:rsidRPr="004845F3">
        <w:rPr>
          <w:rFonts w:ascii="Arial" w:hAnsi="Arial" w:cs="Arial"/>
        </w:rPr>
        <w:t>Davidsen, A. S., &amp; Fogtmann Fosgerau, C. (2015). Mirroring patients - or not. A study of general practitioners and psychiatrists and their interactions with patients with depression. </w:t>
      </w:r>
      <w:r w:rsidRPr="004845F3">
        <w:rPr>
          <w:rFonts w:ascii="Arial" w:hAnsi="Arial" w:cs="Arial"/>
          <w:i/>
          <w:iCs/>
        </w:rPr>
        <w:t>European Journal of Psychotherapy &amp; Counselling</w:t>
      </w:r>
      <w:r w:rsidRPr="004845F3">
        <w:rPr>
          <w:rFonts w:ascii="Arial" w:hAnsi="Arial" w:cs="Arial"/>
        </w:rPr>
        <w:t>, </w:t>
      </w:r>
      <w:r w:rsidRPr="004845F3">
        <w:rPr>
          <w:rFonts w:ascii="Arial" w:hAnsi="Arial" w:cs="Arial"/>
          <w:i/>
          <w:iCs/>
        </w:rPr>
        <w:t>17</w:t>
      </w:r>
      <w:r w:rsidRPr="004845F3">
        <w:rPr>
          <w:rFonts w:ascii="Arial" w:hAnsi="Arial" w:cs="Arial"/>
        </w:rPr>
        <w:t xml:space="preserve">(2), 162–178. </w:t>
      </w:r>
      <w:hyperlink r:id="rId7" w:history="1">
        <w:r w:rsidRPr="00C56AC9">
          <w:rPr>
            <w:rStyle w:val="Hyperlink"/>
            <w:rFonts w:ascii="Arial" w:hAnsi="Arial" w:cs="Arial"/>
          </w:rPr>
          <w:t>https://doi.org/10.1080/13642537.2015.1027785</w:t>
        </w:r>
      </w:hyperlink>
    </w:p>
    <w:p w14:paraId="1AA63612" w14:textId="77777777" w:rsidR="00254CB7" w:rsidRDefault="00254CB7" w:rsidP="00254CB7">
      <w:pPr>
        <w:ind w:left="720" w:hanging="720"/>
        <w:jc w:val="both"/>
        <w:rPr>
          <w:rFonts w:ascii="Arial" w:hAnsi="Arial" w:cs="Arial"/>
        </w:rPr>
      </w:pPr>
      <w:r w:rsidRPr="001B0229">
        <w:rPr>
          <w:rFonts w:ascii="Arial" w:hAnsi="Arial" w:cs="Arial"/>
        </w:rPr>
        <w:t>Elliott, R., Bohart, A. C., Watson, J. C., &amp; Murphy, D. (2018). Therapist empathy and client outcome: An updated meta-analysis. </w:t>
      </w:r>
      <w:r w:rsidRPr="001B0229">
        <w:rPr>
          <w:rFonts w:ascii="Arial" w:hAnsi="Arial" w:cs="Arial"/>
          <w:i/>
          <w:iCs/>
        </w:rPr>
        <w:t>Psychotherapy</w:t>
      </w:r>
      <w:r w:rsidRPr="001B0229">
        <w:rPr>
          <w:rFonts w:ascii="Arial" w:hAnsi="Arial" w:cs="Arial"/>
        </w:rPr>
        <w:t>, </w:t>
      </w:r>
      <w:r w:rsidRPr="001B0229">
        <w:rPr>
          <w:rFonts w:ascii="Arial" w:hAnsi="Arial" w:cs="Arial"/>
          <w:i/>
          <w:iCs/>
        </w:rPr>
        <w:t>55</w:t>
      </w:r>
      <w:r w:rsidRPr="001B0229">
        <w:rPr>
          <w:rFonts w:ascii="Arial" w:hAnsi="Arial" w:cs="Arial"/>
        </w:rPr>
        <w:t>(4), 399.</w:t>
      </w:r>
      <w:r>
        <w:rPr>
          <w:rFonts w:ascii="Arial" w:hAnsi="Arial" w:cs="Arial"/>
        </w:rPr>
        <w:t xml:space="preserve"> </w:t>
      </w:r>
      <w:hyperlink r:id="rId8" w:history="1">
        <w:r w:rsidRPr="00C56AC9">
          <w:rPr>
            <w:rStyle w:val="Hyperlink"/>
            <w:rFonts w:ascii="Arial" w:hAnsi="Arial" w:cs="Arial"/>
          </w:rPr>
          <w:t>https://doi.org/10.1037/pst0000175</w:t>
        </w:r>
      </w:hyperlink>
    </w:p>
    <w:p w14:paraId="75750E80" w14:textId="77777777" w:rsidR="00254CB7" w:rsidRDefault="00254CB7" w:rsidP="00254CB7">
      <w:pPr>
        <w:ind w:left="720" w:hanging="720"/>
        <w:jc w:val="both"/>
        <w:rPr>
          <w:rFonts w:ascii="Arial" w:hAnsi="Arial" w:cs="Arial"/>
        </w:rPr>
      </w:pPr>
      <w:r w:rsidRPr="00173B7D">
        <w:rPr>
          <w:rFonts w:ascii="Arial" w:hAnsi="Arial" w:cs="Arial"/>
        </w:rPr>
        <w:t>Geldard, D., Geldard, K., &amp; Foo, R. Y. (2017). </w:t>
      </w:r>
      <w:r w:rsidRPr="00173B7D">
        <w:rPr>
          <w:rFonts w:ascii="Arial" w:hAnsi="Arial" w:cs="Arial"/>
          <w:i/>
          <w:iCs/>
        </w:rPr>
        <w:t>Basic personal counselling: A training manual for counsellors</w:t>
      </w:r>
      <w:r w:rsidRPr="00173B7D">
        <w:rPr>
          <w:rFonts w:ascii="Arial" w:hAnsi="Arial" w:cs="Arial"/>
        </w:rPr>
        <w:t>. Cengage AU.</w:t>
      </w:r>
    </w:p>
    <w:p w14:paraId="26BA4D05" w14:textId="77777777" w:rsidR="00254CB7" w:rsidRPr="00374D14" w:rsidRDefault="00254CB7" w:rsidP="00254CB7">
      <w:pPr>
        <w:ind w:left="720" w:hanging="720"/>
        <w:jc w:val="both"/>
        <w:rPr>
          <w:rFonts w:ascii="Arial" w:hAnsi="Arial" w:cs="Arial"/>
          <w:i/>
          <w:iCs/>
        </w:rPr>
      </w:pPr>
      <w:r w:rsidRPr="00374D14">
        <w:rPr>
          <w:rFonts w:ascii="Arial" w:hAnsi="Arial" w:cs="Arial"/>
        </w:rPr>
        <w:t>Gibbs G.  (1988).</w:t>
      </w:r>
      <w:r w:rsidRPr="00374D14">
        <w:rPr>
          <w:rFonts w:ascii="Arial" w:hAnsi="Arial" w:cs="Arial"/>
          <w:i/>
          <w:iCs/>
        </w:rPr>
        <w:t xml:space="preserve"> Gibbs Reflective Framework: Learning by Doing: A guide to teaching and learning methods</w:t>
      </w:r>
      <w:r>
        <w:rPr>
          <w:rFonts w:ascii="Arial" w:hAnsi="Arial" w:cs="Arial"/>
          <w:i/>
          <w:iCs/>
        </w:rPr>
        <w:t xml:space="preserve">. </w:t>
      </w:r>
      <w:r w:rsidRPr="00374D14">
        <w:rPr>
          <w:rFonts w:ascii="Arial" w:hAnsi="Arial" w:cs="Arial"/>
        </w:rPr>
        <w:t>Oxford Polytechnic: Oxford.</w:t>
      </w:r>
    </w:p>
    <w:p w14:paraId="542990DB" w14:textId="77777777" w:rsidR="00254CB7" w:rsidRDefault="00254CB7" w:rsidP="00254CB7">
      <w:pPr>
        <w:ind w:left="720" w:hanging="720"/>
        <w:jc w:val="both"/>
        <w:rPr>
          <w:rFonts w:ascii="Arial" w:hAnsi="Arial" w:cs="Arial"/>
        </w:rPr>
      </w:pPr>
      <w:r w:rsidRPr="00C66CB9">
        <w:rPr>
          <w:rFonts w:ascii="Arial" w:hAnsi="Arial" w:cs="Arial"/>
        </w:rPr>
        <w:t>Grant, A. M., &amp; Green, R. M. (2018). Developing clarity on the coaching</w:t>
      </w:r>
      <w:r w:rsidRPr="00C66CB9">
        <w:rPr>
          <w:rFonts w:ascii="Cambria Math" w:hAnsi="Cambria Math" w:cs="Cambria Math"/>
        </w:rPr>
        <w:t>‐</w:t>
      </w:r>
      <w:r w:rsidRPr="00C66CB9">
        <w:rPr>
          <w:rFonts w:ascii="Arial" w:hAnsi="Arial" w:cs="Arial"/>
        </w:rPr>
        <w:t>counselling conundrum: Implications for counsellors and psychotherapists. </w:t>
      </w:r>
      <w:r w:rsidRPr="00C66CB9">
        <w:rPr>
          <w:rFonts w:ascii="Arial" w:hAnsi="Arial" w:cs="Arial"/>
          <w:i/>
          <w:iCs/>
        </w:rPr>
        <w:t>Counselling and Psychotherapy Research</w:t>
      </w:r>
      <w:r w:rsidRPr="00C66CB9">
        <w:rPr>
          <w:rFonts w:ascii="Arial" w:hAnsi="Arial" w:cs="Arial"/>
        </w:rPr>
        <w:t>, </w:t>
      </w:r>
      <w:r w:rsidRPr="00C66CB9">
        <w:rPr>
          <w:rFonts w:ascii="Arial" w:hAnsi="Arial" w:cs="Arial"/>
          <w:i/>
          <w:iCs/>
        </w:rPr>
        <w:t>18</w:t>
      </w:r>
      <w:r w:rsidRPr="00C66CB9">
        <w:rPr>
          <w:rFonts w:ascii="Arial" w:hAnsi="Arial" w:cs="Arial"/>
        </w:rPr>
        <w:t>(4), 347-355.</w:t>
      </w:r>
      <w:r>
        <w:rPr>
          <w:rFonts w:ascii="Arial" w:hAnsi="Arial" w:cs="Arial"/>
        </w:rPr>
        <w:t xml:space="preserve"> </w:t>
      </w:r>
      <w:hyperlink r:id="rId9" w:history="1">
        <w:r w:rsidRPr="00C56AC9">
          <w:rPr>
            <w:rStyle w:val="Hyperlink"/>
            <w:rFonts w:ascii="Arial" w:hAnsi="Arial" w:cs="Arial"/>
          </w:rPr>
          <w:t>https://doi.org/10.1002/capr.12188</w:t>
        </w:r>
      </w:hyperlink>
    </w:p>
    <w:p w14:paraId="59A70BCE" w14:textId="77777777" w:rsidR="00254CB7" w:rsidRDefault="00254CB7" w:rsidP="00254CB7">
      <w:pPr>
        <w:ind w:left="720" w:hanging="720"/>
        <w:jc w:val="both"/>
        <w:rPr>
          <w:rFonts w:ascii="Arial" w:hAnsi="Arial" w:cs="Arial"/>
        </w:rPr>
      </w:pPr>
      <w:r w:rsidRPr="007E29CC">
        <w:rPr>
          <w:rFonts w:ascii="Arial" w:hAnsi="Arial" w:cs="Arial"/>
        </w:rPr>
        <w:t>Hardcastle, S. J., Fortier, M., Blake, N., &amp; Hagger, M. S. (2017). Identifying content-based and relational techniques to change behaviour in motivational interviewing. </w:t>
      </w:r>
      <w:r w:rsidRPr="007E29CC">
        <w:rPr>
          <w:rFonts w:ascii="Arial" w:hAnsi="Arial" w:cs="Arial"/>
          <w:i/>
          <w:iCs/>
        </w:rPr>
        <w:t>Health psychology review</w:t>
      </w:r>
      <w:r w:rsidRPr="007E29CC">
        <w:rPr>
          <w:rFonts w:ascii="Arial" w:hAnsi="Arial" w:cs="Arial"/>
        </w:rPr>
        <w:t>, </w:t>
      </w:r>
      <w:r w:rsidRPr="007E29CC">
        <w:rPr>
          <w:rFonts w:ascii="Arial" w:hAnsi="Arial" w:cs="Arial"/>
          <w:i/>
          <w:iCs/>
        </w:rPr>
        <w:t>11</w:t>
      </w:r>
      <w:r w:rsidRPr="007E29CC">
        <w:rPr>
          <w:rFonts w:ascii="Arial" w:hAnsi="Arial" w:cs="Arial"/>
        </w:rPr>
        <w:t>(1), 1-16.</w:t>
      </w:r>
      <w:r>
        <w:rPr>
          <w:rFonts w:ascii="Arial" w:hAnsi="Arial" w:cs="Arial"/>
        </w:rPr>
        <w:t xml:space="preserve"> </w:t>
      </w:r>
      <w:hyperlink r:id="rId10" w:history="1">
        <w:r w:rsidRPr="00C56AC9">
          <w:rPr>
            <w:rStyle w:val="Hyperlink"/>
            <w:rFonts w:ascii="Arial" w:hAnsi="Arial" w:cs="Arial"/>
          </w:rPr>
          <w:t>https://doi.org/10.1080/17437199.2016.1190659</w:t>
        </w:r>
      </w:hyperlink>
    </w:p>
    <w:p w14:paraId="787CCD67" w14:textId="77777777" w:rsidR="00254CB7" w:rsidRDefault="00254CB7" w:rsidP="00254CB7">
      <w:pPr>
        <w:ind w:left="720" w:hanging="720"/>
        <w:jc w:val="both"/>
        <w:rPr>
          <w:rFonts w:ascii="Arial" w:hAnsi="Arial" w:cs="Arial"/>
        </w:rPr>
      </w:pPr>
      <w:r w:rsidRPr="001B0229">
        <w:rPr>
          <w:rFonts w:ascii="Arial" w:hAnsi="Arial" w:cs="Arial"/>
        </w:rPr>
        <w:t>Lavik, K. O., Frøysa, H., Brattebø, K. F., McLeod, J., &amp; Moltu, C. (2018). The first sessions of psychotherapy: A qualitative meta-analysis of alliance formation processes. </w:t>
      </w:r>
      <w:r w:rsidRPr="001B0229">
        <w:rPr>
          <w:rFonts w:ascii="Arial" w:hAnsi="Arial" w:cs="Arial"/>
          <w:i/>
          <w:iCs/>
        </w:rPr>
        <w:t>Journal of Psychotherapy Integration</w:t>
      </w:r>
      <w:r w:rsidRPr="001B0229">
        <w:rPr>
          <w:rFonts w:ascii="Arial" w:hAnsi="Arial" w:cs="Arial"/>
        </w:rPr>
        <w:t>, </w:t>
      </w:r>
      <w:r w:rsidRPr="001B0229">
        <w:rPr>
          <w:rFonts w:ascii="Arial" w:hAnsi="Arial" w:cs="Arial"/>
          <w:i/>
          <w:iCs/>
        </w:rPr>
        <w:t>28</w:t>
      </w:r>
      <w:r w:rsidRPr="001B0229">
        <w:rPr>
          <w:rFonts w:ascii="Arial" w:hAnsi="Arial" w:cs="Arial"/>
        </w:rPr>
        <w:t>(3), 348.</w:t>
      </w:r>
      <w:r>
        <w:rPr>
          <w:rFonts w:ascii="Arial" w:hAnsi="Arial" w:cs="Arial"/>
        </w:rPr>
        <w:t xml:space="preserve"> </w:t>
      </w:r>
      <w:hyperlink r:id="rId11" w:tgtFrame="_blank" w:history="1">
        <w:r w:rsidRPr="00D773DD">
          <w:rPr>
            <w:rStyle w:val="Hyperlink"/>
            <w:rFonts w:ascii="Arial" w:hAnsi="Arial" w:cs="Arial"/>
          </w:rPr>
          <w:t>https://doi.org/10.1037/int0000101</w:t>
        </w:r>
      </w:hyperlink>
    </w:p>
    <w:p w14:paraId="66E0D403" w14:textId="77777777" w:rsidR="00254CB7" w:rsidRDefault="00254CB7" w:rsidP="00254CB7">
      <w:pPr>
        <w:ind w:left="720" w:hanging="720"/>
        <w:jc w:val="both"/>
        <w:rPr>
          <w:rFonts w:ascii="Arial" w:hAnsi="Arial" w:cs="Arial"/>
        </w:rPr>
      </w:pPr>
      <w:r w:rsidRPr="00C66CB9">
        <w:rPr>
          <w:rFonts w:ascii="Arial" w:hAnsi="Arial" w:cs="Arial"/>
        </w:rPr>
        <w:t>Midwinter, R., &amp; Dickson, J. (2015). </w:t>
      </w:r>
      <w:r w:rsidRPr="00C66CB9">
        <w:rPr>
          <w:rFonts w:ascii="Arial" w:hAnsi="Arial" w:cs="Arial"/>
          <w:i/>
          <w:iCs/>
        </w:rPr>
        <w:t xml:space="preserve">Embedding counselling and communication </w:t>
      </w:r>
      <w:proofErr w:type="gramStart"/>
      <w:r w:rsidRPr="00C66CB9">
        <w:rPr>
          <w:rFonts w:ascii="Arial" w:hAnsi="Arial" w:cs="Arial"/>
          <w:i/>
          <w:iCs/>
        </w:rPr>
        <w:t>skills :</w:t>
      </w:r>
      <w:proofErr w:type="gramEnd"/>
      <w:r w:rsidRPr="00C66CB9">
        <w:rPr>
          <w:rFonts w:ascii="Arial" w:hAnsi="Arial" w:cs="Arial"/>
          <w:i/>
          <w:iCs/>
        </w:rPr>
        <w:t xml:space="preserve"> a relational skills model</w:t>
      </w:r>
      <w:r w:rsidRPr="00C66CB9">
        <w:rPr>
          <w:rFonts w:ascii="Arial" w:hAnsi="Arial" w:cs="Arial"/>
        </w:rPr>
        <w:t>. Routledge.</w:t>
      </w:r>
    </w:p>
    <w:p w14:paraId="5A3270FF" w14:textId="77777777" w:rsidR="00254CB7" w:rsidRDefault="00254CB7" w:rsidP="00254CB7">
      <w:pPr>
        <w:ind w:left="720" w:hanging="720"/>
        <w:jc w:val="both"/>
        <w:rPr>
          <w:rFonts w:ascii="Arial" w:hAnsi="Arial" w:cs="Arial"/>
        </w:rPr>
      </w:pPr>
      <w:r w:rsidRPr="00F14F8C">
        <w:rPr>
          <w:rFonts w:ascii="Arial" w:hAnsi="Arial" w:cs="Arial"/>
        </w:rPr>
        <w:t>Miller, W. R., &amp; Moyers, T. B. (2017). Motivational interviewing and the clinical science of Carl Rogers. </w:t>
      </w:r>
      <w:r w:rsidRPr="00F14F8C">
        <w:rPr>
          <w:rFonts w:ascii="Arial" w:hAnsi="Arial" w:cs="Arial"/>
          <w:i/>
          <w:iCs/>
        </w:rPr>
        <w:t>Journal of Consulting and Clinical Psychology</w:t>
      </w:r>
      <w:r w:rsidRPr="00F14F8C">
        <w:rPr>
          <w:rFonts w:ascii="Arial" w:hAnsi="Arial" w:cs="Arial"/>
        </w:rPr>
        <w:t>, </w:t>
      </w:r>
      <w:r w:rsidRPr="00F14F8C">
        <w:rPr>
          <w:rFonts w:ascii="Arial" w:hAnsi="Arial" w:cs="Arial"/>
          <w:i/>
          <w:iCs/>
        </w:rPr>
        <w:t>85</w:t>
      </w:r>
      <w:r w:rsidRPr="00F14F8C">
        <w:rPr>
          <w:rFonts w:ascii="Arial" w:hAnsi="Arial" w:cs="Arial"/>
        </w:rPr>
        <w:t>(8), 757.</w:t>
      </w:r>
      <w:r>
        <w:rPr>
          <w:rFonts w:ascii="Arial" w:hAnsi="Arial" w:cs="Arial"/>
        </w:rPr>
        <w:t xml:space="preserve"> </w:t>
      </w:r>
      <w:hyperlink r:id="rId12" w:history="1">
        <w:r w:rsidRPr="00C56AC9">
          <w:rPr>
            <w:rStyle w:val="Hyperlink"/>
            <w:rFonts w:ascii="Arial" w:hAnsi="Arial" w:cs="Arial"/>
          </w:rPr>
          <w:t>https://doi.org/10.1037/ccp0000179</w:t>
        </w:r>
      </w:hyperlink>
    </w:p>
    <w:p w14:paraId="5C25D4C8" w14:textId="77777777" w:rsidR="00254CB7" w:rsidRDefault="00254CB7" w:rsidP="00254CB7">
      <w:pPr>
        <w:ind w:left="720" w:hanging="720"/>
        <w:jc w:val="both"/>
        <w:rPr>
          <w:rFonts w:ascii="Arial" w:hAnsi="Arial" w:cs="Arial"/>
        </w:rPr>
      </w:pPr>
      <w:r w:rsidRPr="00CD21B2">
        <w:rPr>
          <w:rFonts w:ascii="Arial" w:hAnsi="Arial" w:cs="Arial"/>
        </w:rPr>
        <w:t>Morrison, M. A., &amp; Lent, R. W. (2018). The working alliance, beliefs about the supervisor, and counseling self-efficacy: Applying the relational efficacy model to counselor supervision. </w:t>
      </w:r>
      <w:r w:rsidRPr="00CD21B2">
        <w:rPr>
          <w:rFonts w:ascii="Arial" w:hAnsi="Arial" w:cs="Arial"/>
          <w:i/>
          <w:iCs/>
        </w:rPr>
        <w:t>Journal of Counseling Psychology</w:t>
      </w:r>
      <w:r w:rsidRPr="00CD21B2">
        <w:rPr>
          <w:rFonts w:ascii="Arial" w:hAnsi="Arial" w:cs="Arial"/>
        </w:rPr>
        <w:t>, </w:t>
      </w:r>
      <w:r w:rsidRPr="00CD21B2">
        <w:rPr>
          <w:rFonts w:ascii="Arial" w:hAnsi="Arial" w:cs="Arial"/>
          <w:i/>
          <w:iCs/>
        </w:rPr>
        <w:t>65</w:t>
      </w:r>
      <w:r w:rsidRPr="00CD21B2">
        <w:rPr>
          <w:rFonts w:ascii="Arial" w:hAnsi="Arial" w:cs="Arial"/>
        </w:rPr>
        <w:t>(4), 512-522.</w:t>
      </w:r>
      <w:r>
        <w:rPr>
          <w:rFonts w:ascii="Arial" w:hAnsi="Arial" w:cs="Arial"/>
        </w:rPr>
        <w:t xml:space="preserve"> </w:t>
      </w:r>
      <w:hyperlink r:id="rId13" w:history="1">
        <w:r w:rsidRPr="00C56AC9">
          <w:rPr>
            <w:rStyle w:val="Hyperlink"/>
            <w:rFonts w:ascii="Arial" w:hAnsi="Arial" w:cs="Arial"/>
          </w:rPr>
          <w:t>https://doi.org/10.1037/cou0000267</w:t>
        </w:r>
      </w:hyperlink>
    </w:p>
    <w:p w14:paraId="3260D6F2" w14:textId="77777777" w:rsidR="00254CB7" w:rsidRDefault="00254CB7" w:rsidP="00254CB7">
      <w:pPr>
        <w:ind w:left="720" w:hanging="720"/>
        <w:jc w:val="both"/>
        <w:rPr>
          <w:rFonts w:ascii="Arial" w:hAnsi="Arial" w:cs="Arial"/>
        </w:rPr>
      </w:pPr>
      <w:r w:rsidRPr="00017969">
        <w:rPr>
          <w:rFonts w:ascii="Arial" w:hAnsi="Arial" w:cs="Arial"/>
        </w:rPr>
        <w:lastRenderedPageBreak/>
        <w:t>Passmore, J., Sinclair, T., Passmore, J., &amp; Sinclair, T. (2020). Gestalt Approach and Chairwork. </w:t>
      </w:r>
      <w:r w:rsidRPr="00017969">
        <w:rPr>
          <w:rFonts w:ascii="Arial" w:hAnsi="Arial" w:cs="Arial"/>
          <w:i/>
          <w:iCs/>
        </w:rPr>
        <w:t>Becoming a Coach: The Essential ICF Guide</w:t>
      </w:r>
      <w:r w:rsidRPr="00017969">
        <w:rPr>
          <w:rFonts w:ascii="Arial" w:hAnsi="Arial" w:cs="Arial"/>
        </w:rPr>
        <w:t>, 133-138.</w:t>
      </w:r>
      <w:r>
        <w:rPr>
          <w:rFonts w:ascii="Arial" w:hAnsi="Arial" w:cs="Arial"/>
        </w:rPr>
        <w:t xml:space="preserve"> </w:t>
      </w:r>
      <w:hyperlink r:id="rId14" w:history="1">
        <w:r w:rsidRPr="00C56AC9">
          <w:rPr>
            <w:rStyle w:val="Hyperlink"/>
            <w:rFonts w:ascii="Arial" w:hAnsi="Arial" w:cs="Arial"/>
          </w:rPr>
          <w:t>https://doi.org/10.1007/978-3-030-53161-4_18</w:t>
        </w:r>
      </w:hyperlink>
    </w:p>
    <w:p w14:paraId="4822D708" w14:textId="77777777" w:rsidR="00254CB7" w:rsidRDefault="00254CB7" w:rsidP="00254CB7">
      <w:pPr>
        <w:ind w:left="720" w:hanging="720"/>
        <w:jc w:val="both"/>
        <w:rPr>
          <w:rFonts w:ascii="Arial" w:hAnsi="Arial" w:cs="Arial"/>
        </w:rPr>
      </w:pPr>
      <w:r w:rsidRPr="00174815">
        <w:rPr>
          <w:rFonts w:ascii="Arial" w:hAnsi="Arial" w:cs="Arial"/>
        </w:rPr>
        <w:t>Prout, T. A., Wadkins, M. J., &amp; Tatianna Kufferath-Lin, P. (2021). </w:t>
      </w:r>
      <w:r w:rsidRPr="00174815">
        <w:rPr>
          <w:rFonts w:ascii="Arial" w:hAnsi="Arial" w:cs="Arial"/>
          <w:i/>
          <w:iCs/>
        </w:rPr>
        <w:t>Essential interviewing and counseling skills: An integrated approach to practice</w:t>
      </w:r>
      <w:r w:rsidRPr="00174815">
        <w:rPr>
          <w:rFonts w:ascii="Arial" w:hAnsi="Arial" w:cs="Arial"/>
        </w:rPr>
        <w:t>. Springer Publishing Company.</w:t>
      </w:r>
    </w:p>
    <w:p w14:paraId="7BA034EE" w14:textId="77777777" w:rsidR="00254CB7" w:rsidRDefault="00254CB7" w:rsidP="00254CB7">
      <w:pPr>
        <w:ind w:left="720" w:hanging="720"/>
        <w:jc w:val="both"/>
        <w:rPr>
          <w:rFonts w:ascii="Arial" w:hAnsi="Arial" w:cs="Arial"/>
        </w:rPr>
      </w:pPr>
      <w:r w:rsidRPr="00395DB0">
        <w:rPr>
          <w:rFonts w:ascii="Arial" w:hAnsi="Arial" w:cs="Arial"/>
        </w:rPr>
        <w:t>Ratts, M. J., &amp; Greenleaf, A. T. (2018). Counselor–advocate–scholar model: Changing the dominant discourse in counseling. </w:t>
      </w:r>
      <w:r w:rsidRPr="00395DB0">
        <w:rPr>
          <w:rFonts w:ascii="Arial" w:hAnsi="Arial" w:cs="Arial"/>
          <w:i/>
          <w:iCs/>
        </w:rPr>
        <w:t>Journal of Multicultural Counseling and Development</w:t>
      </w:r>
      <w:r w:rsidRPr="00395DB0">
        <w:rPr>
          <w:rFonts w:ascii="Arial" w:hAnsi="Arial" w:cs="Arial"/>
        </w:rPr>
        <w:t>, </w:t>
      </w:r>
      <w:r w:rsidRPr="00395DB0">
        <w:rPr>
          <w:rFonts w:ascii="Arial" w:hAnsi="Arial" w:cs="Arial"/>
          <w:i/>
          <w:iCs/>
        </w:rPr>
        <w:t>46</w:t>
      </w:r>
      <w:r w:rsidRPr="00395DB0">
        <w:rPr>
          <w:rFonts w:ascii="Arial" w:hAnsi="Arial" w:cs="Arial"/>
        </w:rPr>
        <w:t>(2), 78-96.</w:t>
      </w:r>
      <w:r>
        <w:rPr>
          <w:rFonts w:ascii="Arial" w:hAnsi="Arial" w:cs="Arial"/>
        </w:rPr>
        <w:t xml:space="preserve"> </w:t>
      </w:r>
      <w:hyperlink r:id="rId15" w:history="1">
        <w:r w:rsidRPr="00C56AC9">
          <w:rPr>
            <w:rStyle w:val="Hyperlink"/>
            <w:rFonts w:ascii="Arial" w:hAnsi="Arial" w:cs="Arial"/>
          </w:rPr>
          <w:t>https://doi.org/10.1002/jmcd.12094</w:t>
        </w:r>
      </w:hyperlink>
    </w:p>
    <w:p w14:paraId="4C1B854C" w14:textId="77777777" w:rsidR="00254CB7" w:rsidRPr="00DA79A3" w:rsidRDefault="00254CB7" w:rsidP="00254CB7">
      <w:pPr>
        <w:ind w:left="720" w:hanging="720"/>
        <w:jc w:val="both"/>
        <w:rPr>
          <w:rFonts w:ascii="Arial" w:hAnsi="Arial" w:cs="Arial"/>
          <w:lang w:val="en-US"/>
        </w:rPr>
      </w:pPr>
      <w:r w:rsidRPr="00DA79A3">
        <w:rPr>
          <w:rFonts w:ascii="Arial" w:hAnsi="Arial" w:cs="Arial"/>
        </w:rPr>
        <w:t>Rogers, C. R. (1957). The necessary and sufficient conditions of therapeutic personality change. </w:t>
      </w:r>
      <w:r w:rsidRPr="00DA79A3">
        <w:rPr>
          <w:rFonts w:ascii="Arial" w:hAnsi="Arial" w:cs="Arial"/>
          <w:i/>
          <w:iCs/>
        </w:rPr>
        <w:t>Journal of Consulting Psychology, 21</w:t>
      </w:r>
      <w:r w:rsidRPr="00DA79A3">
        <w:rPr>
          <w:rFonts w:ascii="Arial" w:hAnsi="Arial" w:cs="Arial"/>
        </w:rPr>
        <w:t>(2), 95–103. </w:t>
      </w:r>
      <w:hyperlink r:id="rId16" w:tgtFrame="_blank" w:history="1">
        <w:r w:rsidRPr="00DA79A3">
          <w:rPr>
            <w:rStyle w:val="Hyperlink"/>
            <w:rFonts w:ascii="Arial" w:hAnsi="Arial" w:cs="Arial"/>
          </w:rPr>
          <w:t>https://doi.org/10.1037/h0045357</w:t>
        </w:r>
      </w:hyperlink>
    </w:p>
    <w:p w14:paraId="56D591BF" w14:textId="77777777" w:rsidR="00254CB7" w:rsidRDefault="00254CB7" w:rsidP="00254CB7">
      <w:pPr>
        <w:ind w:left="720" w:hanging="720"/>
        <w:jc w:val="both"/>
        <w:rPr>
          <w:rFonts w:ascii="Arial" w:hAnsi="Arial" w:cs="Arial"/>
        </w:rPr>
      </w:pPr>
      <w:r w:rsidRPr="002E4AD0">
        <w:rPr>
          <w:rFonts w:ascii="Arial" w:hAnsi="Arial" w:cs="Arial"/>
        </w:rPr>
        <w:t>Swift, J. K., Callahan, J. L., Cooper, M., &amp; Parkin, S. R. (2018). The impact of accommodating client preference in psychotherapy: A meta</w:t>
      </w:r>
      <w:r w:rsidRPr="002E4AD0">
        <w:rPr>
          <w:rFonts w:ascii="Cambria Math" w:hAnsi="Cambria Math" w:cs="Cambria Math"/>
        </w:rPr>
        <w:t>‐</w:t>
      </w:r>
      <w:r w:rsidRPr="002E4AD0">
        <w:rPr>
          <w:rFonts w:ascii="Arial" w:hAnsi="Arial" w:cs="Arial"/>
        </w:rPr>
        <w:t>analysis. </w:t>
      </w:r>
      <w:r w:rsidRPr="002E4AD0">
        <w:rPr>
          <w:rFonts w:ascii="Arial" w:hAnsi="Arial" w:cs="Arial"/>
          <w:i/>
          <w:iCs/>
        </w:rPr>
        <w:t>Journal of clinical psychology</w:t>
      </w:r>
      <w:r w:rsidRPr="002E4AD0">
        <w:rPr>
          <w:rFonts w:ascii="Arial" w:hAnsi="Arial" w:cs="Arial"/>
        </w:rPr>
        <w:t>, </w:t>
      </w:r>
      <w:r w:rsidRPr="002E4AD0">
        <w:rPr>
          <w:rFonts w:ascii="Arial" w:hAnsi="Arial" w:cs="Arial"/>
          <w:i/>
          <w:iCs/>
        </w:rPr>
        <w:t>74</w:t>
      </w:r>
      <w:r w:rsidRPr="002E4AD0">
        <w:rPr>
          <w:rFonts w:ascii="Arial" w:hAnsi="Arial" w:cs="Arial"/>
        </w:rPr>
        <w:t>(11), 1924-1937.</w:t>
      </w:r>
      <w:r>
        <w:rPr>
          <w:rFonts w:ascii="Arial" w:hAnsi="Arial" w:cs="Arial"/>
        </w:rPr>
        <w:t xml:space="preserve"> </w:t>
      </w:r>
      <w:hyperlink r:id="rId17" w:history="1">
        <w:r w:rsidRPr="00C56AC9">
          <w:rPr>
            <w:rStyle w:val="Hyperlink"/>
            <w:rFonts w:ascii="Arial" w:hAnsi="Arial" w:cs="Arial"/>
          </w:rPr>
          <w:t>https://doi.org/10.1002/jclp.22680</w:t>
        </w:r>
      </w:hyperlink>
    </w:p>
    <w:p w14:paraId="5A451DC2" w14:textId="77777777" w:rsidR="00254CB7" w:rsidRDefault="00254CB7" w:rsidP="00254CB7">
      <w:pPr>
        <w:ind w:left="720" w:hanging="720"/>
        <w:jc w:val="both"/>
        <w:rPr>
          <w:rFonts w:ascii="Arial" w:hAnsi="Arial" w:cs="Arial"/>
        </w:rPr>
      </w:pPr>
    </w:p>
    <w:p w14:paraId="5854B3C8" w14:textId="77777777" w:rsidR="00254CB7" w:rsidRPr="00254CB7" w:rsidRDefault="00254CB7" w:rsidP="00254CB7">
      <w:pPr>
        <w:spacing w:line="480" w:lineRule="auto"/>
        <w:ind w:firstLine="720"/>
        <w:jc w:val="both"/>
        <w:rPr>
          <w:rFonts w:ascii="Arial" w:hAnsi="Arial" w:cs="Arial"/>
          <w:lang w:val="en-US"/>
        </w:rPr>
      </w:pPr>
    </w:p>
    <w:p w14:paraId="0DE7F987" w14:textId="77777777" w:rsidR="00292E24" w:rsidRDefault="00292E24" w:rsidP="00254CB7">
      <w:pPr>
        <w:spacing w:line="480" w:lineRule="auto"/>
        <w:ind w:firstLine="720"/>
        <w:jc w:val="both"/>
        <w:rPr>
          <w:rFonts w:ascii="Arial" w:hAnsi="Arial" w:cs="Arial"/>
          <w:lang w:val="en-US"/>
        </w:rPr>
      </w:pPr>
    </w:p>
    <w:p w14:paraId="52FAAFA1" w14:textId="77777777" w:rsidR="00CD6AC2" w:rsidRDefault="00CD6AC2" w:rsidP="00254CB7">
      <w:pPr>
        <w:spacing w:line="480" w:lineRule="auto"/>
        <w:ind w:firstLine="720"/>
        <w:jc w:val="both"/>
        <w:rPr>
          <w:rFonts w:ascii="Arial" w:hAnsi="Arial" w:cs="Arial"/>
          <w:lang w:val="en-US"/>
        </w:rPr>
      </w:pPr>
    </w:p>
    <w:p w14:paraId="253B72DE" w14:textId="77777777" w:rsidR="00385D5F" w:rsidRPr="00385D5F" w:rsidRDefault="00385D5F" w:rsidP="00254CB7">
      <w:pPr>
        <w:spacing w:line="480" w:lineRule="auto"/>
        <w:jc w:val="both"/>
        <w:rPr>
          <w:rFonts w:ascii="Arial" w:hAnsi="Arial" w:cs="Arial"/>
          <w:lang w:val="en-US"/>
        </w:rPr>
      </w:pPr>
    </w:p>
    <w:sectPr w:rsidR="00385D5F" w:rsidRPr="00385D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D5F"/>
    <w:rsid w:val="00011AE1"/>
    <w:rsid w:val="00027AD6"/>
    <w:rsid w:val="00044097"/>
    <w:rsid w:val="000A64F7"/>
    <w:rsid w:val="00106965"/>
    <w:rsid w:val="00170683"/>
    <w:rsid w:val="001A18C8"/>
    <w:rsid w:val="00204737"/>
    <w:rsid w:val="00245718"/>
    <w:rsid w:val="00254CB7"/>
    <w:rsid w:val="00292E24"/>
    <w:rsid w:val="002F77E2"/>
    <w:rsid w:val="00362084"/>
    <w:rsid w:val="00385D5F"/>
    <w:rsid w:val="003B7170"/>
    <w:rsid w:val="003D6526"/>
    <w:rsid w:val="00453954"/>
    <w:rsid w:val="00477D93"/>
    <w:rsid w:val="00481D1A"/>
    <w:rsid w:val="004D33C9"/>
    <w:rsid w:val="00516361"/>
    <w:rsid w:val="005301A1"/>
    <w:rsid w:val="00534290"/>
    <w:rsid w:val="00571B2C"/>
    <w:rsid w:val="00650C9A"/>
    <w:rsid w:val="007E5DCD"/>
    <w:rsid w:val="0080554B"/>
    <w:rsid w:val="00954744"/>
    <w:rsid w:val="009617DC"/>
    <w:rsid w:val="009B5D7C"/>
    <w:rsid w:val="009B7FF5"/>
    <w:rsid w:val="00A4545C"/>
    <w:rsid w:val="00AF3AD7"/>
    <w:rsid w:val="00B55050"/>
    <w:rsid w:val="00BB3BC7"/>
    <w:rsid w:val="00C0446D"/>
    <w:rsid w:val="00C66465"/>
    <w:rsid w:val="00CD6AC2"/>
    <w:rsid w:val="00DE47C6"/>
    <w:rsid w:val="00E300B8"/>
    <w:rsid w:val="00F14506"/>
    <w:rsid w:val="00F32494"/>
    <w:rsid w:val="00F53751"/>
    <w:rsid w:val="00F851E8"/>
    <w:rsid w:val="00FA5250"/>
    <w:rsid w:val="00FD2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C8121"/>
  <w15:chartTrackingRefBased/>
  <w15:docId w15:val="{6DB5A83F-8952-4F58-AAD9-9DE647E90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4C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pst0000175" TargetMode="External"/><Relationship Id="rId13" Type="http://schemas.openxmlformats.org/officeDocument/2006/relationships/hyperlink" Target="https://doi.org/10.1037/cou0000267"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13642537.2015.1027785" TargetMode="External"/><Relationship Id="rId12" Type="http://schemas.openxmlformats.org/officeDocument/2006/relationships/hyperlink" Target="https://doi.org/10.1037/ccp0000179" TargetMode="External"/><Relationship Id="rId17" Type="http://schemas.openxmlformats.org/officeDocument/2006/relationships/hyperlink" Target="https://doi.org/10.1002/jclp.22680" TargetMode="External"/><Relationship Id="rId2" Type="http://schemas.openxmlformats.org/officeDocument/2006/relationships/styles" Target="styles.xml"/><Relationship Id="rId16" Type="http://schemas.openxmlformats.org/officeDocument/2006/relationships/hyperlink" Target="https://psycnet.apa.org/doi/10.1037/h0045357" TargetMode="External"/><Relationship Id="rId1" Type="http://schemas.openxmlformats.org/officeDocument/2006/relationships/customXml" Target="../customXml/item1.xml"/><Relationship Id="rId6" Type="http://schemas.openxmlformats.org/officeDocument/2006/relationships/hyperlink" Target="https://doi.org/10.1080/13642537.2012.652389" TargetMode="External"/><Relationship Id="rId11" Type="http://schemas.openxmlformats.org/officeDocument/2006/relationships/hyperlink" Target="https://psycnet.apa.org/doi/10.1037/int0000101" TargetMode="External"/><Relationship Id="rId5" Type="http://schemas.openxmlformats.org/officeDocument/2006/relationships/hyperlink" Target="https://doi.org/10.1037%2Fa0036227" TargetMode="External"/><Relationship Id="rId15" Type="http://schemas.openxmlformats.org/officeDocument/2006/relationships/hyperlink" Target="https://doi.org/10.1002/jmcd.12094" TargetMode="External"/><Relationship Id="rId10" Type="http://schemas.openxmlformats.org/officeDocument/2006/relationships/hyperlink" Target="https://doi.org/10.1080/17437199.2016.1190659"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02/capr.12188" TargetMode="External"/><Relationship Id="rId14" Type="http://schemas.openxmlformats.org/officeDocument/2006/relationships/hyperlink" Target="https://doi.org/10.1007/978-3-030-53161-4_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58DEE1-B604-42E7-B25D-CFE11D03C5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9</Pages>
  <Words>2850</Words>
  <Characters>16245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Page (2113430)</dc:creator>
  <cp:keywords/>
  <dc:description/>
  <cp:lastModifiedBy>William Page (2113430)</cp:lastModifiedBy>
  <cp:revision>42</cp:revision>
  <dcterms:created xsi:type="dcterms:W3CDTF">2024-01-12T13:15:00Z</dcterms:created>
  <dcterms:modified xsi:type="dcterms:W3CDTF">2024-01-12T19:50:00Z</dcterms:modified>
</cp:coreProperties>
</file>