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Table of Contents"/>
          <w:docPartUnique w:val="true"/>
        </w:docPartObj>
        <w:id w:val="1265893531"/>
      </w:sdtPr>
      <w:sdtContent>
        <w:p>
          <w:pPr>
            <w:pStyle w:val="TOCHeading"/>
            <w:spacing w:before="240" w:after="0"/>
            <w:rPr/>
          </w:pPr>
          <w:r>
            <w:rPr/>
          </w:r>
        </w:p>
        <w:p>
          <w:pPr>
            <w:pStyle w:val="TOCHeading"/>
            <w:rPr/>
          </w:pPr>
          <w:r>
            <w:rPr/>
          </w:r>
        </w:p>
        <w:p>
          <w:pPr>
            <w:pStyle w:val="Normal"/>
            <w:rPr/>
          </w:pPr>
          <w:r>
            <w:rPr/>
          </w:r>
        </w:p>
        <w:p>
          <w:pPr>
            <w:pStyle w:val="TextBody"/>
            <w:jc w:val="both"/>
            <w:rPr>
              <w:rFonts w:ascii="Times New Roman;serif" w:hAnsi="Times New Roman;serif" w:cs="Times New Roman"/>
              <w:b/>
              <w:b/>
              <w:sz w:val="40"/>
              <w:lang w:val="en-US"/>
            </w:rPr>
          </w:pPr>
          <w:r>
            <w:rPr>
              <w:rFonts w:cs="Times New Roman" w:ascii="Times New Roman;serif" w:hAnsi="Times New Roman;serif"/>
              <w:b/>
              <w:sz w:val="40"/>
              <w:lang w:val="en-US"/>
            </w:rPr>
            <w:t>Submitted by: Felicia Sakwe</w:t>
          </w:r>
        </w:p>
        <w:p>
          <w:pPr>
            <w:pStyle w:val="TextBody"/>
            <w:spacing w:lineRule="auto" w:line="256"/>
            <w:jc w:val="both"/>
            <w:rPr>
              <w:rFonts w:ascii="Times New Roman;serif" w:hAnsi="Times New Roman;serif"/>
              <w:b/>
              <w:sz w:val="40"/>
              <w:lang w:val="en-US"/>
            </w:rPr>
          </w:pPr>
          <w:r>
            <w:rPr>
              <w:rFonts w:ascii="Times New Roman;serif" w:hAnsi="Times New Roman;serif"/>
              <w:b/>
              <w:sz w:val="40"/>
              <w:lang w:val="en-US"/>
            </w:rPr>
            <w:t>Student Number: 1707057</w:t>
          </w:r>
        </w:p>
        <w:p>
          <w:pPr>
            <w:pStyle w:val="TextBody"/>
            <w:spacing w:lineRule="auto" w:line="256"/>
            <w:jc w:val="both"/>
            <w:rPr>
              <w:rFonts w:ascii="Times New Roman;serif" w:hAnsi="Times New Roman;serif"/>
              <w:b/>
              <w:sz w:val="40"/>
              <w:lang w:val="en-US"/>
            </w:rPr>
          </w:pPr>
          <w:r>
            <w:rPr>
              <w:rFonts w:ascii="Times New Roman;serif" w:hAnsi="Times New Roman;serif"/>
              <w:b/>
              <w:sz w:val="40"/>
              <w:lang w:val="en-US"/>
            </w:rPr>
            <w:t xml:space="preserve">Module Title: </w:t>
          </w:r>
          <w:r>
            <w:rPr>
              <w:rFonts w:ascii="Times New Roman;serif" w:hAnsi="Times New Roman;serif"/>
              <w:b/>
              <w:i/>
              <w:sz w:val="40"/>
              <w:lang w:val="en-US"/>
            </w:rPr>
            <w:t>Academic and Employability Skills</w:t>
          </w:r>
        </w:p>
        <w:p>
          <w:pPr>
            <w:pStyle w:val="TextBody"/>
            <w:spacing w:lineRule="auto" w:line="256"/>
            <w:jc w:val="both"/>
            <w:rPr>
              <w:rFonts w:ascii="Times New Roman;serif" w:hAnsi="Times New Roman;serif"/>
              <w:b/>
              <w:sz w:val="40"/>
              <w:lang w:val="en-US"/>
            </w:rPr>
          </w:pPr>
          <w:r>
            <w:rPr>
              <w:rFonts w:ascii="Times New Roman;serif" w:hAnsi="Times New Roman;serif"/>
              <w:b/>
              <w:sz w:val="40"/>
              <w:lang w:val="en-US"/>
            </w:rPr>
            <w:t>Module Lecturer’s Name: Peter Allen</w:t>
          </w:r>
        </w:p>
        <w:p>
          <w:pPr>
            <w:pStyle w:val="TextBody"/>
            <w:spacing w:lineRule="auto" w:line="256"/>
            <w:jc w:val="center"/>
            <w:rPr>
              <w:rFonts w:ascii="Times New Roman;serif" w:hAnsi="Times New Roman;serif"/>
              <w:b/>
              <w:sz w:val="40"/>
              <w:lang w:val="en-US"/>
            </w:rPr>
          </w:pPr>
          <w:r>
            <w:rPr>
              <w:rFonts w:ascii="Times New Roman;serif" w:hAnsi="Times New Roman;serif"/>
              <w:b/>
              <w:sz w:val="40"/>
              <w:lang w:val="en-US"/>
            </w:rPr>
            <w:t>January 2018</w:t>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TOCHeading"/>
            <w:rPr/>
          </w:pPr>
          <w:bookmarkStart w:id="0" w:name="_Toc500636346"/>
          <w:r>
            <w:rPr/>
            <w:t>Contents</w:t>
          </w:r>
        </w:p>
        <w:p>
          <w:pPr>
            <w:pStyle w:val="Contents1"/>
            <w:tabs>
              <w:tab w:val="right" w:pos="9350" w:leader="dot"/>
            </w:tabs>
            <w:rPr/>
          </w:pPr>
          <w:r>
            <w:fldChar w:fldCharType="begin"/>
          </w:r>
          <w:r>
            <w:instrText> TOC \z \o "1-3" \u \h</w:instrText>
          </w:r>
          <w:r>
            <w:fldChar w:fldCharType="separate"/>
          </w:r>
          <w:hyperlink w:anchor="_Toc501250954">
            <w:r>
              <w:rPr>
                <w:webHidden/>
                <w:rStyle w:val="IndexLink"/>
              </w:rPr>
              <w:t>Background:</w:t>
            </w:r>
            <w:r>
              <w:rPr>
                <w:rStyle w:val="IndexLink"/>
                <w:vanish w:val="false"/>
              </w:rPr>
              <w:tab/>
            </w:r>
          </w:hyperlink>
          <w:r>
            <w:rPr>
              <w:vanish w:val="false"/>
            </w:rPr>
            <w:t>3</w:t>
          </w:r>
        </w:p>
        <w:p>
          <w:pPr>
            <w:pStyle w:val="Contents1"/>
            <w:tabs>
              <w:tab w:val="right" w:pos="9350" w:leader="dot"/>
            </w:tabs>
            <w:rPr/>
          </w:pPr>
          <w:hyperlink w:anchor="_Toc501250955">
            <w:r>
              <w:rPr>
                <w:webHidden/>
                <w:rStyle w:val="IndexLink"/>
              </w:rPr>
              <w:t>Employability skills and attributes:</w:t>
            </w:r>
            <w:r>
              <w:rPr>
                <w:rStyle w:val="IndexLink"/>
                <w:vanish w:val="false"/>
              </w:rPr>
              <w:tab/>
            </w:r>
          </w:hyperlink>
          <w:r>
            <w:rPr>
              <w:vanish w:val="false"/>
            </w:rPr>
            <w:t>4</w:t>
          </w:r>
        </w:p>
        <w:p>
          <w:pPr>
            <w:pStyle w:val="Contents1"/>
            <w:tabs>
              <w:tab w:val="right" w:pos="9350" w:leader="dot"/>
            </w:tabs>
            <w:rPr/>
          </w:pPr>
          <w:hyperlink w:anchor="_Toc501250956">
            <w:r>
              <w:rPr>
                <w:webHidden/>
                <w:rStyle w:val="IndexLink"/>
              </w:rPr>
              <w:t>Academic skills and attributes</w:t>
            </w:r>
            <w:r>
              <w:rPr>
                <w:rStyle w:val="IndexLink"/>
                <w:vanish w:val="false"/>
              </w:rPr>
              <w:tab/>
            </w:r>
          </w:hyperlink>
          <w:r>
            <w:rPr>
              <w:vanish w:val="false"/>
            </w:rPr>
            <w:t>4</w:t>
          </w:r>
        </w:p>
        <w:p>
          <w:pPr>
            <w:pStyle w:val="Contents1"/>
            <w:tabs>
              <w:tab w:val="right" w:pos="9350" w:leader="dot"/>
            </w:tabs>
            <w:rPr/>
          </w:pPr>
          <w:hyperlink w:anchor="_Toc501250957">
            <w:r>
              <w:rPr>
                <w:webHidden/>
                <w:rStyle w:val="IndexLink"/>
              </w:rPr>
              <w:t>Linking academic and employability skills:</w:t>
            </w:r>
            <w:r>
              <w:rPr>
                <w:rStyle w:val="IndexLink"/>
                <w:vanish w:val="false"/>
              </w:rPr>
              <w:tab/>
            </w:r>
          </w:hyperlink>
          <w:r>
            <w:rPr>
              <w:vanish w:val="false"/>
            </w:rPr>
            <w:t>5</w:t>
          </w:r>
        </w:p>
        <w:p>
          <w:pPr>
            <w:pStyle w:val="Contents1"/>
            <w:tabs>
              <w:tab w:val="right" w:pos="9350" w:leader="dot"/>
            </w:tabs>
            <w:rPr/>
          </w:pPr>
          <w:hyperlink w:anchor="_Toc501250958">
            <w:r>
              <w:rPr>
                <w:webHidden/>
                <w:rStyle w:val="IndexLink"/>
              </w:rPr>
              <w:t>Graduate Attributes:</w:t>
            </w:r>
            <w:r>
              <w:rPr>
                <w:rStyle w:val="IndexLink"/>
                <w:vanish w:val="false"/>
              </w:rPr>
              <w:tab/>
            </w:r>
          </w:hyperlink>
          <w:r>
            <w:rPr>
              <w:vanish w:val="false"/>
            </w:rPr>
            <w:t>6</w:t>
          </w:r>
        </w:p>
        <w:p>
          <w:pPr>
            <w:pStyle w:val="Contents1"/>
            <w:tabs>
              <w:tab w:val="right" w:pos="9350" w:leader="dot"/>
            </w:tabs>
            <w:rPr/>
          </w:pPr>
          <w:hyperlink w:anchor="_Toc501250959">
            <w:r>
              <w:rPr>
                <w:webHidden/>
                <w:rStyle w:val="IndexLink"/>
              </w:rPr>
              <w:t>Connecting Higher Education and Industry</w:t>
            </w:r>
            <w:r>
              <w:rPr>
                <w:rStyle w:val="IndexLink"/>
                <w:vanish w:val="false"/>
              </w:rPr>
              <w:tab/>
            </w:r>
          </w:hyperlink>
          <w:r>
            <w:rPr>
              <w:vanish w:val="false"/>
            </w:rPr>
            <w:t>6</w:t>
          </w:r>
        </w:p>
        <w:p>
          <w:pPr>
            <w:pStyle w:val="Contents1"/>
            <w:tabs>
              <w:tab w:val="right" w:pos="9350" w:leader="dot"/>
            </w:tabs>
            <w:rPr/>
          </w:pPr>
          <w:hyperlink w:anchor="_Toc501250960">
            <w:r>
              <w:rPr>
                <w:webHidden/>
                <w:rStyle w:val="IndexLink"/>
              </w:rPr>
              <w:t>Tools and Techniques</w:t>
            </w:r>
            <w:r>
              <w:rPr>
                <w:rStyle w:val="IndexLink"/>
                <w:vanish w:val="false"/>
              </w:rPr>
              <w:tab/>
            </w:r>
          </w:hyperlink>
          <w:r>
            <w:rPr>
              <w:vanish w:val="false"/>
            </w:rPr>
            <w:t>7</w:t>
          </w:r>
        </w:p>
        <w:p>
          <w:pPr>
            <w:pStyle w:val="Contents2"/>
            <w:tabs>
              <w:tab w:val="right" w:pos="9350" w:leader="dot"/>
            </w:tabs>
            <w:rPr/>
          </w:pPr>
          <w:hyperlink w:anchor="_Toc501250961">
            <w:r>
              <w:rPr>
                <w:webHidden/>
                <w:rStyle w:val="IndexLink"/>
              </w:rPr>
              <w:t>Graduate Skills Assessment (GSA)</w:t>
            </w:r>
            <w:r>
              <w:rPr>
                <w:rStyle w:val="IndexLink"/>
                <w:vanish w:val="false"/>
              </w:rPr>
              <w:tab/>
            </w:r>
          </w:hyperlink>
          <w:r>
            <w:rPr>
              <w:vanish w:val="false"/>
            </w:rPr>
            <w:t>7</w:t>
          </w:r>
        </w:p>
        <w:p>
          <w:pPr>
            <w:pStyle w:val="Contents2"/>
            <w:tabs>
              <w:tab w:val="right" w:pos="9350" w:leader="dot"/>
            </w:tabs>
            <w:rPr/>
          </w:pPr>
          <w:hyperlink w:anchor="_Toc501250962">
            <w:r>
              <w:rPr>
                <w:webHidden/>
                <w:rStyle w:val="IndexLink"/>
              </w:rPr>
              <w:t>Employability Skills Profiler (ESP)</w:t>
            </w:r>
            <w:r>
              <w:rPr>
                <w:rStyle w:val="IndexLink"/>
                <w:vanish w:val="false"/>
              </w:rPr>
              <w:tab/>
            </w:r>
          </w:hyperlink>
          <w:r>
            <w:rPr>
              <w:vanish w:val="false"/>
            </w:rPr>
            <w:t>7</w:t>
          </w:r>
        </w:p>
        <w:p>
          <w:pPr>
            <w:pStyle w:val="Contents1"/>
            <w:tabs>
              <w:tab w:val="right" w:pos="9350" w:leader="dot"/>
            </w:tabs>
            <w:rPr/>
          </w:pPr>
          <w:hyperlink w:anchor="_Toc501250963">
            <w:r>
              <w:rPr>
                <w:webHidden/>
                <w:rStyle w:val="IndexLink"/>
              </w:rPr>
              <w:t>Personal Development Plan:</w:t>
            </w:r>
            <w:r>
              <w:rPr>
                <w:rStyle w:val="IndexLink"/>
                <w:vanish w:val="false"/>
              </w:rPr>
              <w:tab/>
            </w:r>
          </w:hyperlink>
          <w:r>
            <w:rPr>
              <w:vanish w:val="false"/>
            </w:rPr>
            <w:t>8</w:t>
          </w:r>
        </w:p>
        <w:p>
          <w:pPr>
            <w:pStyle w:val="Contents2"/>
            <w:tabs>
              <w:tab w:val="right" w:pos="9350" w:leader="dot"/>
            </w:tabs>
            <w:rPr/>
          </w:pPr>
          <w:hyperlink w:anchor="_Toc501250964">
            <w:r>
              <w:rPr>
                <w:webHidden/>
                <w:rStyle w:val="IndexLink"/>
              </w:rPr>
              <w:t>Define the goal:</w:t>
            </w:r>
            <w:r>
              <w:rPr>
                <w:rStyle w:val="IndexLink"/>
                <w:vanish w:val="false"/>
              </w:rPr>
              <w:tab/>
            </w:r>
          </w:hyperlink>
          <w:r>
            <w:rPr>
              <w:vanish w:val="false"/>
            </w:rPr>
            <w:t>8</w:t>
          </w:r>
        </w:p>
        <w:p>
          <w:pPr>
            <w:pStyle w:val="Contents2"/>
            <w:tabs>
              <w:tab w:val="right" w:pos="9350" w:leader="dot"/>
            </w:tabs>
            <w:rPr/>
          </w:pPr>
          <w:hyperlink w:anchor="_Toc501250965">
            <w:r>
              <w:rPr>
                <w:webHidden/>
                <w:rStyle w:val="IndexLink"/>
              </w:rPr>
              <w:t>Understand your strength:</w:t>
            </w:r>
            <w:r>
              <w:rPr>
                <w:rStyle w:val="IndexLink"/>
                <w:vanish w:val="false"/>
              </w:rPr>
              <w:tab/>
            </w:r>
          </w:hyperlink>
          <w:r>
            <w:rPr>
              <w:vanish w:val="false"/>
            </w:rPr>
            <w:t>8</w:t>
          </w:r>
        </w:p>
        <w:p>
          <w:pPr>
            <w:pStyle w:val="Contents2"/>
            <w:tabs>
              <w:tab w:val="right" w:pos="9350" w:leader="dot"/>
            </w:tabs>
            <w:rPr/>
          </w:pPr>
          <w:hyperlink w:anchor="_Toc501250966">
            <w:r>
              <w:rPr>
                <w:webHidden/>
                <w:rStyle w:val="IndexLink"/>
              </w:rPr>
              <w:t>Recognize opportunities and threats:</w:t>
            </w:r>
            <w:r>
              <w:rPr>
                <w:rStyle w:val="IndexLink"/>
                <w:vanish w:val="false"/>
              </w:rPr>
              <w:tab/>
            </w:r>
          </w:hyperlink>
          <w:r>
            <w:rPr>
              <w:vanish w:val="false"/>
            </w:rPr>
            <w:t>8</w:t>
          </w:r>
        </w:p>
        <w:p>
          <w:pPr>
            <w:pStyle w:val="Contents2"/>
            <w:tabs>
              <w:tab w:val="right" w:pos="9350" w:leader="dot"/>
            </w:tabs>
            <w:rPr>
              <w:rFonts w:eastAsia="" w:eastAsiaTheme="minorEastAsia"/>
            </w:rPr>
          </w:pPr>
          <w:hyperlink w:anchor="_Toc501250967">
            <w:r>
              <w:rPr>
                <w:webHidden/>
                <w:rStyle w:val="IndexLink"/>
              </w:rPr>
              <w:t>Develop new skills:</w:t>
            </w:r>
            <w:r>
              <w:rPr>
                <w:webHidden/>
              </w:rPr>
              <w:fldChar w:fldCharType="begin"/>
            </w:r>
            <w:r>
              <w:rPr>
                <w:webHidden/>
              </w:rPr>
              <w:instrText>PAGEREF _Toc501250967 \h</w:instrText>
            </w:r>
            <w:r>
              <w:rPr>
                <w:webHidden/>
              </w:rPr>
              <w:fldChar w:fldCharType="separate"/>
            </w:r>
            <w:r>
              <w:rPr>
                <w:rStyle w:val="IndexLink"/>
                <w:vanish w:val="false"/>
              </w:rPr>
              <w:tab/>
              <w:t>7</w:t>
            </w:r>
            <w:r>
              <w:rPr>
                <w:webHidden/>
              </w:rPr>
              <w:fldChar w:fldCharType="end"/>
            </w:r>
          </w:hyperlink>
        </w:p>
        <w:p>
          <w:pPr>
            <w:pStyle w:val="Contents1"/>
            <w:tabs>
              <w:tab w:val="right" w:pos="9350" w:leader="dot"/>
            </w:tabs>
            <w:rPr>
              <w:rFonts w:eastAsia="" w:eastAsiaTheme="minorEastAsia"/>
            </w:rPr>
          </w:pPr>
          <w:hyperlink w:anchor="_Toc501250968">
            <w:r>
              <w:rPr>
                <w:webHidden/>
                <w:rStyle w:val="IndexLink"/>
              </w:rPr>
              <w:t>MY Skills:</w:t>
            </w:r>
            <w:r>
              <w:rPr>
                <w:webHidden/>
              </w:rPr>
              <w:fldChar w:fldCharType="begin"/>
            </w:r>
            <w:r>
              <w:rPr>
                <w:webHidden/>
              </w:rPr>
              <w:instrText>PAGEREF _Toc501250968 \h</w:instrText>
            </w:r>
            <w:r>
              <w:rPr>
                <w:webHidden/>
              </w:rPr>
              <w:fldChar w:fldCharType="separate"/>
            </w:r>
            <w:r>
              <w:rPr>
                <w:rStyle w:val="IndexLink"/>
                <w:vanish w:val="false"/>
              </w:rPr>
              <w:tab/>
              <w:t>7</w:t>
            </w:r>
            <w:r>
              <w:rPr>
                <w:webHidden/>
              </w:rPr>
              <w:fldChar w:fldCharType="end"/>
            </w:r>
          </w:hyperlink>
        </w:p>
        <w:p>
          <w:pPr>
            <w:pStyle w:val="Contents2"/>
            <w:tabs>
              <w:tab w:val="right" w:pos="9350" w:leader="dot"/>
            </w:tabs>
            <w:rPr>
              <w:rFonts w:eastAsia="" w:eastAsiaTheme="minorEastAsia"/>
            </w:rPr>
          </w:pPr>
          <w:hyperlink w:anchor="_Toc501250969">
            <w:r>
              <w:rPr>
                <w:webHidden/>
                <w:rStyle w:val="IndexLink"/>
              </w:rPr>
              <w:t>Leadership:</w:t>
            </w:r>
            <w:r>
              <w:rPr>
                <w:webHidden/>
              </w:rPr>
              <w:fldChar w:fldCharType="begin"/>
            </w:r>
            <w:r>
              <w:rPr>
                <w:webHidden/>
              </w:rPr>
              <w:instrText>PAGEREF _Toc501250969 \h</w:instrText>
            </w:r>
            <w:r>
              <w:rPr>
                <w:webHidden/>
              </w:rPr>
              <w:fldChar w:fldCharType="separate"/>
            </w:r>
            <w:r>
              <w:rPr>
                <w:rStyle w:val="IndexLink"/>
                <w:vanish w:val="false"/>
              </w:rPr>
              <w:tab/>
              <w:t>7</w:t>
            </w:r>
            <w:r>
              <w:rPr>
                <w:webHidden/>
              </w:rPr>
              <w:fldChar w:fldCharType="end"/>
            </w:r>
          </w:hyperlink>
        </w:p>
        <w:p>
          <w:pPr>
            <w:pStyle w:val="Contents2"/>
            <w:tabs>
              <w:tab w:val="right" w:pos="9350" w:leader="dot"/>
            </w:tabs>
            <w:rPr>
              <w:rFonts w:eastAsia="" w:eastAsiaTheme="minorEastAsia"/>
            </w:rPr>
          </w:pPr>
          <w:hyperlink w:anchor="_Toc501250970">
            <w:r>
              <w:rPr>
                <w:webHidden/>
                <w:rStyle w:val="IndexLink"/>
              </w:rPr>
              <w:t>Time management:</w:t>
            </w:r>
            <w:r>
              <w:rPr>
                <w:webHidden/>
              </w:rPr>
              <w:fldChar w:fldCharType="begin"/>
            </w:r>
            <w:r>
              <w:rPr>
                <w:webHidden/>
              </w:rPr>
              <w:instrText>PAGEREF _Toc501250970 \h</w:instrText>
            </w:r>
            <w:r>
              <w:rPr>
                <w:webHidden/>
              </w:rPr>
              <w:fldChar w:fldCharType="separate"/>
            </w:r>
            <w:r>
              <w:rPr>
                <w:rStyle w:val="IndexLink"/>
                <w:vanish w:val="false"/>
              </w:rPr>
              <w:tab/>
              <w:t>8</w:t>
            </w:r>
            <w:r>
              <w:rPr>
                <w:webHidden/>
              </w:rPr>
              <w:fldChar w:fldCharType="end"/>
            </w:r>
          </w:hyperlink>
        </w:p>
        <w:p>
          <w:pPr>
            <w:pStyle w:val="Contents2"/>
            <w:tabs>
              <w:tab w:val="right" w:pos="9350" w:leader="dot"/>
            </w:tabs>
            <w:rPr>
              <w:rFonts w:eastAsia="" w:eastAsiaTheme="minorEastAsia"/>
            </w:rPr>
          </w:pPr>
          <w:hyperlink w:anchor="_Toc501250971">
            <w:r>
              <w:rPr>
                <w:webHidden/>
                <w:rStyle w:val="IndexLink"/>
              </w:rPr>
              <w:t>Computer skills:</w:t>
            </w:r>
            <w:r>
              <w:rPr>
                <w:webHidden/>
              </w:rPr>
              <w:fldChar w:fldCharType="begin"/>
            </w:r>
            <w:r>
              <w:rPr>
                <w:webHidden/>
              </w:rPr>
              <w:instrText>PAGEREF _Toc501250971 \h</w:instrText>
            </w:r>
            <w:r>
              <w:rPr>
                <w:webHidden/>
              </w:rPr>
              <w:fldChar w:fldCharType="separate"/>
            </w:r>
            <w:r>
              <w:rPr>
                <w:rStyle w:val="IndexLink"/>
                <w:vanish w:val="false"/>
              </w:rPr>
              <w:tab/>
              <w:t>8</w:t>
            </w:r>
            <w:r>
              <w:rPr>
                <w:webHidden/>
              </w:rPr>
              <w:fldChar w:fldCharType="end"/>
            </w:r>
          </w:hyperlink>
        </w:p>
        <w:p>
          <w:pPr>
            <w:pStyle w:val="Contents2"/>
            <w:tabs>
              <w:tab w:val="right" w:pos="9350" w:leader="dot"/>
            </w:tabs>
            <w:rPr>
              <w:rFonts w:eastAsia="" w:eastAsiaTheme="minorEastAsia"/>
            </w:rPr>
          </w:pPr>
          <w:hyperlink w:anchor="_Toc501250972">
            <w:r>
              <w:rPr>
                <w:webHidden/>
                <w:rStyle w:val="IndexLink"/>
              </w:rPr>
              <w:t>Planning skills:</w:t>
            </w:r>
            <w:r>
              <w:rPr>
                <w:webHidden/>
              </w:rPr>
              <w:fldChar w:fldCharType="begin"/>
            </w:r>
            <w:r>
              <w:rPr>
                <w:webHidden/>
              </w:rPr>
              <w:instrText>PAGEREF _Toc501250972 \h</w:instrText>
            </w:r>
            <w:r>
              <w:rPr>
                <w:webHidden/>
              </w:rPr>
              <w:fldChar w:fldCharType="separate"/>
            </w:r>
            <w:r>
              <w:rPr>
                <w:rStyle w:val="IndexLink"/>
                <w:vanish w:val="false"/>
              </w:rPr>
              <w:tab/>
              <w:t>8</w:t>
            </w:r>
            <w:r>
              <w:rPr>
                <w:webHidden/>
              </w:rPr>
              <w:fldChar w:fldCharType="end"/>
            </w:r>
          </w:hyperlink>
        </w:p>
        <w:p>
          <w:pPr>
            <w:pStyle w:val="Contents1"/>
            <w:tabs>
              <w:tab w:val="right" w:pos="9350" w:leader="dot"/>
            </w:tabs>
            <w:rPr/>
          </w:pPr>
          <w:hyperlink w:anchor="_Toc501250973">
            <w:r>
              <w:rPr>
                <w:webHidden/>
                <w:rStyle w:val="IndexLink"/>
              </w:rPr>
              <w:t>Graduate recruitment</w:t>
            </w:r>
            <w:r>
              <w:rPr>
                <w:rStyle w:val="IndexLink"/>
                <w:vanish w:val="false"/>
              </w:rPr>
              <w:tab/>
            </w:r>
          </w:hyperlink>
          <w:r>
            <w:rPr>
              <w:vanish w:val="false"/>
            </w:rPr>
            <w:t>9</w:t>
          </w:r>
        </w:p>
        <w:p>
          <w:pPr>
            <w:pStyle w:val="Contents1"/>
            <w:tabs>
              <w:tab w:val="right" w:pos="9350" w:leader="dot"/>
            </w:tabs>
            <w:rPr/>
          </w:pPr>
          <w:hyperlink w:anchor="_Toc501250974">
            <w:r>
              <w:rPr>
                <w:webHidden/>
                <w:rStyle w:val="IndexLink"/>
              </w:rPr>
              <w:t>Recommendations</w:t>
            </w:r>
            <w:r>
              <w:rPr>
                <w:rStyle w:val="IndexLink"/>
                <w:vanish w:val="false"/>
              </w:rPr>
              <w:tab/>
            </w:r>
          </w:hyperlink>
          <w:r>
            <w:rPr>
              <w:vanish w:val="false"/>
            </w:rPr>
            <w:t>9</w:t>
          </w:r>
        </w:p>
        <w:p>
          <w:pPr>
            <w:pStyle w:val="Contents1"/>
            <w:tabs>
              <w:tab w:val="right" w:pos="9350" w:leader="dot"/>
            </w:tabs>
            <w:rPr/>
          </w:pPr>
          <w:hyperlink w:anchor="_Toc501250975">
            <w:r>
              <w:rPr>
                <w:webHidden/>
                <w:rStyle w:val="IndexLink"/>
              </w:rPr>
              <w:t>Conclusion:</w:t>
            </w:r>
            <w:r>
              <w:rPr>
                <w:rStyle w:val="IndexLink"/>
                <w:vanish w:val="false"/>
              </w:rPr>
              <w:tab/>
            </w:r>
          </w:hyperlink>
          <w:r>
            <w:rPr>
              <w:vanish w:val="false"/>
            </w:rPr>
            <w:t>10</w:t>
          </w:r>
        </w:p>
        <w:p>
          <w:pPr>
            <w:pStyle w:val="Contents1"/>
            <w:tabs>
              <w:tab w:val="right" w:pos="9350" w:leader="dot"/>
            </w:tabs>
            <w:rPr/>
          </w:pPr>
          <w:hyperlink w:anchor="_Toc501250976">
            <w:r>
              <w:rPr>
                <w:webHidden/>
                <w:rStyle w:val="IndexLink"/>
              </w:rPr>
              <w:t>References:</w:t>
            </w:r>
            <w:r>
              <w:rPr>
                <w:rStyle w:val="IndexLink"/>
                <w:vanish w:val="false"/>
              </w:rPr>
              <w:tab/>
            </w:r>
          </w:hyperlink>
          <w:r>
            <w:rPr>
              <w:vanish w:val="false"/>
            </w:rPr>
            <w:t>10</w:t>
          </w:r>
        </w:p>
        <w:p>
          <w:pPr>
            <w:pStyle w:val="Normal"/>
            <w:rPr/>
          </w:pPr>
          <w:r>
            <w:rPr/>
          </w:r>
          <w:r>
            <w:fldChar w:fldCharType="end"/>
          </w:r>
        </w:p>
      </w:sdtContent>
    </w:sdt>
    <w:p>
      <w:pPr>
        <w:pStyle w:val="Heading1"/>
        <w:rPr/>
      </w:pPr>
      <w:r>
        <w:rPr/>
      </w:r>
    </w:p>
    <w:p>
      <w:pPr>
        <w:pStyle w:val="Heading1"/>
        <w:rPr/>
      </w:pPr>
      <w:r>
        <w:rPr/>
      </w:r>
    </w:p>
    <w:p>
      <w:pPr>
        <w:pStyle w:val="Normal"/>
        <w:rPr/>
      </w:pPr>
      <w:r>
        <w:rPr/>
      </w:r>
    </w:p>
    <w:p>
      <w:pPr>
        <w:pStyle w:val="Normal"/>
        <w:rPr/>
      </w:pPr>
      <w:r>
        <w:rPr/>
      </w:r>
    </w:p>
    <w:p>
      <w:pPr>
        <w:pStyle w:val="Normal"/>
        <w:rPr/>
      </w:pPr>
      <w:r>
        <w:rPr/>
      </w:r>
    </w:p>
    <w:p>
      <w:pPr>
        <w:pStyle w:val="Normal"/>
        <w:rPr/>
      </w:pPr>
      <w:r>
        <w:rPr/>
      </w:r>
    </w:p>
    <w:p>
      <w:pPr>
        <w:pStyle w:val="Heading1"/>
        <w:rPr/>
      </w:pPr>
      <w:r>
        <w:rPr/>
      </w:r>
    </w:p>
    <w:p>
      <w:pPr>
        <w:pStyle w:val="Heading1"/>
        <w:rPr/>
      </w:pPr>
      <w:r>
        <w:rPr/>
      </w:r>
    </w:p>
    <w:p>
      <w:pPr>
        <w:pStyle w:val="Heading1"/>
        <w:rPr/>
      </w:pPr>
      <w:r>
        <w:rPr/>
      </w:r>
    </w:p>
    <w:p>
      <w:pPr>
        <w:pStyle w:val="Normal"/>
        <w:rPr/>
      </w:pPr>
      <w:r>
        <w:rPr/>
      </w:r>
    </w:p>
    <w:p>
      <w:pPr>
        <w:pStyle w:val="Heading1"/>
        <w:rPr/>
      </w:pPr>
      <w:r>
        <w:rPr/>
      </w:r>
    </w:p>
    <w:p>
      <w:pPr>
        <w:pStyle w:val="Heading1"/>
        <w:rPr/>
      </w:pPr>
      <w:bookmarkStart w:id="1" w:name="_Toc500636346"/>
      <w:bookmarkStart w:id="2" w:name="_Toc501250954"/>
      <w:bookmarkEnd w:id="1"/>
      <w:bookmarkEnd w:id="2"/>
      <w:r>
        <w:rPr/>
        <w:t>Background:</w:t>
      </w:r>
    </w:p>
    <w:p>
      <w:pPr>
        <w:pStyle w:val="Normal"/>
        <w:spacing w:lineRule="auto" w:line="360" w:before="0" w:after="0"/>
        <w:jc w:val="both"/>
        <w:rPr>
          <w:rFonts w:cs="Calibri" w:cstheme="minorHAnsi"/>
          <w:sz w:val="24"/>
          <w:szCs w:val="24"/>
        </w:rPr>
      </w:pPr>
      <w:r>
        <w:rPr>
          <w:rFonts w:cs="Calibri" w:cstheme="minorHAnsi"/>
          <w:sz w:val="24"/>
          <w:szCs w:val="24"/>
        </w:rPr>
        <w:t xml:space="preserve">One of the essential contrasts, as far as group discernment, amongst colleges and professional establishments (such as TAFE) has dependably been the clear work-status of alumni from professional establishments. Generally, colleges have concentrated on the scholarly improvement of understudies inside the hypothetical system of a territory of study, though professional establishments have taken a gander at the advancement of particular aptitudes and capabilities required for productive business. In any case, there is presently an acknowledgment that it isn't adequate for understudies to graduate without having the right stuff and credits should have been useful individuals from an association. This has been very much archived in look into besides is condensed by Knight plus Yorker  “Whereas the world of employment has, by and large, been satisfied with the </w:t>
      </w:r>
      <w:r>
        <w:rPr>
          <w:rFonts w:cs="Calibri" w:cstheme="minorHAnsi"/>
          <w:i/>
          <w:iCs/>
          <w:sz w:val="24"/>
          <w:szCs w:val="24"/>
        </w:rPr>
        <w:t xml:space="preserve">disciplinary </w:t>
      </w:r>
      <w:r>
        <w:rPr>
          <w:rFonts w:cs="Calibri" w:cstheme="minorHAnsi"/>
          <w:sz w:val="24"/>
          <w:szCs w:val="24"/>
        </w:rPr>
        <w:t>understanding and skills developed as a consequence of participation in higher education, it has been less happy with graduates’ generic attainments”.</w:t>
      </w:r>
    </w:p>
    <w:p>
      <w:pPr>
        <w:pStyle w:val="Normal"/>
        <w:spacing w:lineRule="auto" w:line="360" w:before="0" w:after="0"/>
        <w:jc w:val="both"/>
        <w:rPr>
          <w:rFonts w:cs="Calibri" w:cstheme="minorHAnsi"/>
          <w:sz w:val="24"/>
          <w:szCs w:val="24"/>
        </w:rPr>
      </w:pPr>
      <w:r>
        <w:rPr>
          <w:rFonts w:cs="Calibri" w:cstheme="minorHAnsi"/>
          <w:sz w:val="24"/>
          <w:szCs w:val="24"/>
        </w:rPr>
        <w:t>While a college instruction has been generally connected with the improvement of scholarly aptitudes, the concentration as of late has widened to grasp the idea of expert knowledge. “The</w:t>
      </w:r>
    </w:p>
    <w:p>
      <w:pPr>
        <w:pStyle w:val="Normal"/>
        <w:spacing w:lineRule="auto" w:line="360" w:before="0" w:after="0"/>
        <w:jc w:val="both"/>
        <w:rPr>
          <w:rFonts w:cs="Calibri" w:cstheme="minorHAnsi"/>
          <w:sz w:val="24"/>
          <w:szCs w:val="24"/>
        </w:rPr>
      </w:pPr>
      <w:r>
        <w:rPr>
          <w:rFonts w:cs="Calibri" w:cstheme="minorHAnsi"/>
          <w:sz w:val="24"/>
          <w:szCs w:val="24"/>
        </w:rPr>
        <w:t>need for university graduates to be career and work ready has been well documented. Graduate</w:t>
      </w:r>
    </w:p>
    <w:p>
      <w:pPr>
        <w:pStyle w:val="Normal"/>
        <w:spacing w:lineRule="auto" w:line="360" w:before="0" w:after="0"/>
        <w:jc w:val="both"/>
        <w:rPr>
          <w:rFonts w:cs="Calibri" w:cstheme="minorHAnsi"/>
          <w:sz w:val="24"/>
          <w:szCs w:val="24"/>
        </w:rPr>
      </w:pPr>
      <w:r>
        <w:rPr>
          <w:rFonts w:cs="Calibri" w:cstheme="minorHAnsi"/>
          <w:sz w:val="24"/>
          <w:szCs w:val="24"/>
        </w:rPr>
        <w:t>Capability and employability skills feature in business programs and universities are</w:t>
      </w:r>
    </w:p>
    <w:p>
      <w:pPr>
        <w:pStyle w:val="Normal"/>
        <w:spacing w:lineRule="auto" w:line="360" w:before="0" w:after="0"/>
        <w:jc w:val="both"/>
        <w:rPr>
          <w:rFonts w:cs="Calibri" w:cstheme="minorHAnsi"/>
          <w:sz w:val="24"/>
          <w:szCs w:val="24"/>
        </w:rPr>
      </w:pPr>
      <w:r>
        <w:rPr>
          <w:rFonts w:cs="Calibri" w:cstheme="minorHAnsi"/>
          <w:sz w:val="24"/>
          <w:szCs w:val="24"/>
        </w:rPr>
        <w:t>Increasingly mindful that graduates’ transition into professions should be supported by a range of preparatory initiatives in the curricular. This paper will contend that equally scholastic and employability abilities plus characteristics remain of equivalent significance, both merit a dwelling in the improvement of educational programs and both can be produced all the while.</w:t>
      </w:r>
    </w:p>
    <w:p>
      <w:pPr>
        <w:pStyle w:val="Normal"/>
        <w:spacing w:lineRule="auto" w:line="240" w:before="0" w:after="0"/>
        <w:rPr>
          <w:rFonts w:ascii="TimesNewRomanPSMT" w:hAnsi="TimesNewRomanPSMT" w:cs="TimesNewRomanPSMT"/>
        </w:rPr>
      </w:pPr>
      <w:r>
        <w:rPr>
          <w:rFonts w:cs="TimesNewRomanPSMT" w:ascii="TimesNewRomanPSMT" w:hAnsi="TimesNewRomanPSMT"/>
        </w:rPr>
      </w:r>
    </w:p>
    <w:p>
      <w:pPr>
        <w:pStyle w:val="Heading1"/>
        <w:rPr/>
      </w:pPr>
      <w:bookmarkStart w:id="3" w:name="_Toc501250955"/>
      <w:bookmarkStart w:id="4" w:name="_Toc500636347"/>
      <w:bookmarkEnd w:id="3"/>
      <w:bookmarkEnd w:id="4"/>
      <w:r>
        <w:rPr/>
        <w:t>Employability skills and attributes:</w:t>
      </w:r>
    </w:p>
    <w:p>
      <w:pPr>
        <w:pStyle w:val="Normal"/>
        <w:spacing w:lineRule="auto" w:line="240" w:before="0" w:after="0"/>
        <w:rPr>
          <w:rFonts w:ascii="Arial-BoldMT" w:hAnsi="Arial-BoldMT" w:cs="Arial-BoldMT"/>
          <w:b/>
          <w:b/>
          <w:bCs/>
          <w:sz w:val="24"/>
          <w:szCs w:val="24"/>
        </w:rPr>
      </w:pPr>
      <w:r>
        <w:rPr>
          <w:rFonts w:cs="Arial-BoldMT" w:ascii="Arial-BoldMT" w:hAnsi="Arial-BoldMT"/>
          <w:b/>
          <w:bCs/>
          <w:sz w:val="24"/>
          <w:szCs w:val="24"/>
        </w:rPr>
      </w:r>
    </w:p>
    <w:p>
      <w:pPr>
        <w:pStyle w:val="Normal"/>
        <w:spacing w:lineRule="auto" w:line="360" w:before="0" w:after="0"/>
        <w:jc w:val="both"/>
        <w:rPr>
          <w:rFonts w:cs="Calibri" w:cstheme="minorHAnsi"/>
          <w:sz w:val="24"/>
          <w:szCs w:val="24"/>
        </w:rPr>
      </w:pPr>
      <w:r>
        <w:rPr>
          <w:rFonts w:cs="Calibri" w:cstheme="minorHAnsi"/>
          <w:sz w:val="24"/>
          <w:szCs w:val="24"/>
        </w:rPr>
        <w:t>As per the DEST give an account of Employability Skills (2002) the accompanying individual properties are esteemed by bosses:</w:t>
      </w:r>
    </w:p>
    <w:p>
      <w:pPr>
        <w:pStyle w:val="ListParagraph"/>
        <w:numPr>
          <w:ilvl w:val="0"/>
          <w:numId w:val="2"/>
        </w:numPr>
        <w:spacing w:lineRule="auto" w:line="360" w:before="0" w:after="0"/>
        <w:contextualSpacing/>
        <w:jc w:val="both"/>
        <w:rPr>
          <w:rFonts w:cs="Calibri" w:cstheme="minorHAnsi"/>
          <w:sz w:val="24"/>
          <w:szCs w:val="24"/>
        </w:rPr>
      </w:pPr>
      <w:r>
        <w:rPr>
          <w:rFonts w:cs="Calibri" w:cstheme="minorHAnsi"/>
          <w:sz w:val="24"/>
          <w:szCs w:val="24"/>
        </w:rPr>
        <w:t xml:space="preserve">trustworthiness and respectability </w:t>
      </w:r>
    </w:p>
    <w:p>
      <w:pPr>
        <w:pStyle w:val="ListParagraph"/>
        <w:numPr>
          <w:ilvl w:val="0"/>
          <w:numId w:val="2"/>
        </w:numPr>
        <w:spacing w:lineRule="auto" w:line="360" w:before="0" w:after="0"/>
        <w:contextualSpacing/>
        <w:jc w:val="both"/>
        <w:rPr>
          <w:rFonts w:cs="Calibri" w:cstheme="minorHAnsi"/>
          <w:sz w:val="24"/>
          <w:szCs w:val="24"/>
        </w:rPr>
      </w:pPr>
      <w:r>
        <w:rPr>
          <w:rFonts w:cs="Calibri" w:cstheme="minorHAnsi"/>
          <w:sz w:val="24"/>
          <w:szCs w:val="24"/>
        </w:rPr>
        <w:t xml:space="preserve">excitement </w:t>
      </w:r>
    </w:p>
    <w:p>
      <w:pPr>
        <w:pStyle w:val="ListParagraph"/>
        <w:numPr>
          <w:ilvl w:val="0"/>
          <w:numId w:val="2"/>
        </w:numPr>
        <w:spacing w:lineRule="auto" w:line="360" w:before="0" w:after="0"/>
        <w:contextualSpacing/>
        <w:jc w:val="both"/>
        <w:rPr>
          <w:rFonts w:cs="Calibri" w:cstheme="minorHAnsi"/>
          <w:sz w:val="24"/>
          <w:szCs w:val="24"/>
        </w:rPr>
      </w:pPr>
      <w:r>
        <w:rPr>
          <w:rFonts w:cs="Calibri" w:cstheme="minorHAnsi"/>
          <w:sz w:val="24"/>
          <w:szCs w:val="24"/>
        </w:rPr>
        <w:t xml:space="preserve"> </w:t>
      </w:r>
      <w:r>
        <w:rPr>
          <w:rFonts w:cs="Calibri" w:cstheme="minorHAnsi"/>
          <w:sz w:val="24"/>
          <w:szCs w:val="24"/>
        </w:rPr>
        <w:t xml:space="preserve">conventional </w:t>
      </w:r>
    </w:p>
    <w:p>
      <w:pPr>
        <w:pStyle w:val="ListParagraph"/>
        <w:numPr>
          <w:ilvl w:val="0"/>
          <w:numId w:val="2"/>
        </w:numPr>
        <w:spacing w:lineRule="auto" w:line="360" w:before="0" w:after="0"/>
        <w:contextualSpacing/>
        <w:jc w:val="both"/>
        <w:rPr>
          <w:rFonts w:cs="Calibri" w:cstheme="minorHAnsi"/>
          <w:sz w:val="24"/>
          <w:szCs w:val="24"/>
        </w:rPr>
      </w:pPr>
      <w:r>
        <w:rPr>
          <w:rFonts w:cs="Calibri" w:cstheme="minorHAnsi"/>
          <w:sz w:val="24"/>
          <w:szCs w:val="24"/>
        </w:rPr>
        <w:t xml:space="preserve">positive confidence </w:t>
      </w:r>
    </w:p>
    <w:p>
      <w:pPr>
        <w:pStyle w:val="Normal"/>
        <w:spacing w:lineRule="auto" w:line="360" w:before="0" w:after="0"/>
        <w:jc w:val="both"/>
        <w:rPr>
          <w:rFonts w:cs="Calibri" w:cstheme="minorHAnsi"/>
          <w:sz w:val="24"/>
          <w:szCs w:val="24"/>
        </w:rPr>
      </w:pPr>
      <w:r>
        <w:rPr>
          <w:rFonts w:cs="Calibri" w:cstheme="minorHAnsi"/>
          <w:sz w:val="24"/>
          <w:szCs w:val="24"/>
        </w:rPr>
        <w:t>These remain not "aptitudes" that be able to be educated in detachment. We trust they want abnormal amounts of utilization, likeness and thoughtful since equally the understudy (keeping in mind the end goal to have the capacity to draw in with them) and the instructor (so as to have the capacity to make open doors for showing them and having the ability to assess them). Likewise, here duty be a component of understudy and teacher self-viability. Without the faith in one's capacity to meet the requests of an occupation, there is minimal shot that a graduate will actuate these abilities .“Perceived self-efficacy influences the level of goal challenge people set for themselves, the amount of effort they mobilize, and their persistence in the face of difficulties.”</w:t>
      </w:r>
    </w:p>
    <w:p>
      <w:pPr>
        <w:pStyle w:val="Normal"/>
        <w:spacing w:lineRule="auto" w:line="360" w:before="0" w:after="0"/>
        <w:jc w:val="both"/>
        <w:rPr>
          <w:rFonts w:cs="Calibri" w:cstheme="minorHAnsi"/>
          <w:sz w:val="24"/>
          <w:szCs w:val="24"/>
        </w:rPr>
      </w:pPr>
      <w:r>
        <w:rPr>
          <w:rFonts w:cs="Calibri" w:cstheme="minorHAnsi"/>
          <w:sz w:val="24"/>
          <w:szCs w:val="24"/>
        </w:rPr>
      </w:r>
    </w:p>
    <w:p>
      <w:pPr>
        <w:pStyle w:val="Heading1"/>
        <w:rPr/>
      </w:pPr>
      <w:bookmarkStart w:id="5" w:name="_Toc501250956"/>
      <w:bookmarkStart w:id="6" w:name="_Toc500636348"/>
      <w:r>
        <w:rPr/>
        <w:t xml:space="preserve">Theoretical times and </w:t>
      </w:r>
      <w:bookmarkEnd w:id="5"/>
      <w:bookmarkEnd w:id="6"/>
      <w:r>
        <w:rPr/>
        <w:t>characteristics</w:t>
      </w:r>
    </w:p>
    <w:p>
      <w:pPr>
        <w:pStyle w:val="Normal"/>
        <w:spacing w:lineRule="auto" w:line="360" w:before="0" w:after="0"/>
        <w:jc w:val="both"/>
        <w:rPr>
          <w:rFonts w:cs="Calibri" w:cstheme="minorHAnsi"/>
          <w:sz w:val="24"/>
          <w:szCs w:val="24"/>
        </w:rPr>
      </w:pPr>
      <w:r>
        <w:rPr>
          <w:rFonts w:cs="Calibri" w:cstheme="minorHAnsi"/>
          <w:sz w:val="24"/>
          <w:szCs w:val="24"/>
        </w:rPr>
        <w:t>I looked to build up a rundown of scholastic aptitudes and traits that could possibly associate with employability abilities. There is as of now nobody set meaning of what establishes the gathering of abilities and characteristics arranged as "scholarly" in connection to a tertiary situation Some official investigation takes remained embraced around there, for example, that of Enright and Gitomer (1989), who distinguished the accompanying seven capabilities in effective ex-student understudies: correspondence; innovativeness; clarification; inspiration; arranging; polished skill; and combination.</w:t>
      </w:r>
    </w:p>
    <w:p>
      <w:pPr>
        <w:pStyle w:val="Normal"/>
        <w:spacing w:lineRule="auto" w:line="360" w:before="0" w:after="0"/>
        <w:jc w:val="both"/>
        <w:rPr>
          <w:rFonts w:cs="Calibri" w:cstheme="minorHAnsi"/>
          <w:sz w:val="24"/>
          <w:szCs w:val="24"/>
        </w:rPr>
      </w:pPr>
      <w:r>
        <w:rPr>
          <w:rFonts w:cs="Calibri" w:cstheme="minorHAnsi"/>
          <w:sz w:val="24"/>
          <w:szCs w:val="24"/>
        </w:rPr>
        <w:t>Miles, Cairns and Huston (2002) reviewed understudies plus their information uncovered seven propensities for effective understudies: enthusiasm (arrangement of individual interests with consider necessities, bringing about vitality and inspiration); building steady systems and connections; making inquiries; being sorted out and overseeing time well; being vital and clever, and utilizing accessible assets viably; keeping up work-life adjust; and focusing on an objective.</w:t>
      </w:r>
    </w:p>
    <w:p>
      <w:pPr>
        <w:pStyle w:val="Normal"/>
        <w:spacing w:lineRule="auto" w:line="360" w:before="0" w:after="0"/>
        <w:jc w:val="both"/>
        <w:rPr>
          <w:rFonts w:cs="Calibri" w:cstheme="minorHAnsi"/>
          <w:sz w:val="24"/>
          <w:szCs w:val="24"/>
        </w:rPr>
      </w:pPr>
      <w:r>
        <w:rPr>
          <w:rFonts w:cs="Calibri" w:cstheme="minorHAnsi"/>
          <w:sz w:val="24"/>
          <w:szCs w:val="24"/>
        </w:rPr>
        <w:t>Grehan, Flanagan &amp; Malgady (2011) investigated the connection of identity characteristics and passionate insight to ex-student understudies' execution in the schoolroom and in the pitch. This investigation create that passionate insight stood fundamentally related with score fact normal, and that enthusiastic knowledge and the identity quality of reliability were altogether corresponded with temporary job evaluations.</w:t>
      </w:r>
    </w:p>
    <w:p>
      <w:pPr>
        <w:pStyle w:val="Normal"/>
        <w:spacing w:lineRule="auto" w:line="360" w:before="0" w:after="0"/>
        <w:jc w:val="both"/>
        <w:rPr>
          <w:rFonts w:cs="Calibri" w:cstheme="minorHAnsi"/>
          <w:sz w:val="24"/>
          <w:szCs w:val="24"/>
        </w:rPr>
      </w:pPr>
      <w:r>
        <w:rPr>
          <w:rFonts w:cs="Calibri" w:cstheme="minorHAnsi"/>
          <w:sz w:val="24"/>
          <w:szCs w:val="24"/>
        </w:rPr>
        <w:t xml:space="preserve">To be fruitful at college an understudy needs: </w:t>
      </w:r>
    </w:p>
    <w:p>
      <w:pPr>
        <w:pStyle w:val="Normal"/>
        <w:spacing w:lineRule="auto" w:line="360" w:before="0" w:after="0"/>
        <w:jc w:val="both"/>
        <w:rPr>
          <w:rFonts w:cs="Calibri" w:cstheme="minorHAnsi"/>
          <w:sz w:val="24"/>
          <w:szCs w:val="24"/>
        </w:rPr>
      </w:pPr>
      <w:r>
        <w:rPr>
          <w:rFonts w:cs="Calibri" w:cstheme="minorHAnsi"/>
          <w:sz w:val="24"/>
          <w:szCs w:val="24"/>
        </w:rPr>
        <w:t xml:space="preserve">• </w:t>
      </w:r>
      <w:r>
        <w:rPr>
          <w:rFonts w:cs="Calibri" w:cstheme="minorHAnsi"/>
          <w:sz w:val="24"/>
          <w:szCs w:val="24"/>
        </w:rPr>
        <w:t>Formal correspondence capacity at a tertiary level-including ICT skills.</w:t>
      </w:r>
    </w:p>
    <w:p>
      <w:pPr>
        <w:pStyle w:val="Normal"/>
        <w:spacing w:lineRule="auto" w:line="360" w:before="0" w:after="0"/>
        <w:jc w:val="both"/>
        <w:rPr>
          <w:rFonts w:cs="Calibri" w:cstheme="minorHAnsi"/>
          <w:sz w:val="24"/>
          <w:szCs w:val="24"/>
        </w:rPr>
      </w:pPr>
      <w:r>
        <w:rPr>
          <w:rFonts w:cs="Calibri" w:cstheme="minorHAnsi"/>
          <w:sz w:val="24"/>
          <w:szCs w:val="24"/>
        </w:rPr>
        <w:t xml:space="preserve">• </w:t>
      </w:r>
      <w:r>
        <w:rPr>
          <w:rFonts w:cs="Calibri" w:cstheme="minorHAnsi"/>
          <w:sz w:val="24"/>
          <w:szCs w:val="24"/>
        </w:rPr>
        <w:t>Relational aptitudes and cooperation aptitudes, including capacity and readiness to draw in with various societies</w:t>
      </w:r>
    </w:p>
    <w:p>
      <w:pPr>
        <w:pStyle w:val="Normal"/>
        <w:spacing w:lineRule="auto" w:line="360" w:before="0" w:after="0"/>
        <w:jc w:val="both"/>
        <w:rPr>
          <w:rFonts w:cs="Calibri" w:cstheme="minorHAnsi"/>
          <w:sz w:val="24"/>
          <w:szCs w:val="24"/>
        </w:rPr>
      </w:pPr>
      <w:r>
        <w:rPr>
          <w:rFonts w:cs="Calibri" w:cstheme="minorHAnsi"/>
          <w:sz w:val="24"/>
          <w:szCs w:val="24"/>
        </w:rPr>
        <w:t xml:space="preserve">• </w:t>
      </w:r>
      <w:r>
        <w:rPr>
          <w:rFonts w:cs="Calibri" w:cstheme="minorHAnsi"/>
          <w:sz w:val="24"/>
          <w:szCs w:val="24"/>
        </w:rPr>
        <w:t xml:space="preserve">Hypothetical and reasonable information and experience of teach showed by applying discipline particular learning </w:t>
      </w:r>
    </w:p>
    <w:p>
      <w:pPr>
        <w:pStyle w:val="Heading1"/>
        <w:rPr/>
      </w:pPr>
      <w:bookmarkStart w:id="7" w:name="_Toc501250957"/>
      <w:bookmarkStart w:id="8" w:name="_Toc500636349"/>
      <w:bookmarkEnd w:id="7"/>
      <w:bookmarkEnd w:id="8"/>
      <w:r>
        <w:rPr/>
        <w:t>Linking academic and employability skills:</w:t>
      </w:r>
    </w:p>
    <w:p>
      <w:pPr>
        <w:pStyle w:val="Normal"/>
        <w:spacing w:lineRule="auto" w:line="360" w:before="0" w:after="0"/>
        <w:jc w:val="both"/>
        <w:rPr>
          <w:rFonts w:cs="Calibri" w:cstheme="minorHAnsi"/>
          <w:sz w:val="24"/>
          <w:szCs w:val="24"/>
        </w:rPr>
      </w:pPr>
      <w:r>
        <w:rPr>
          <w:rFonts w:cs="Calibri" w:cstheme="minorHAnsi"/>
          <w:sz w:val="24"/>
          <w:szCs w:val="24"/>
        </w:rPr>
        <w:t>Table 1 traces roughly of our significant employability and scholarly aptitudes and properties and demonstrates the connections among the twofold.</w:t>
      </w:r>
    </w:p>
    <w:p>
      <w:pPr>
        <w:pStyle w:val="Normal"/>
        <w:spacing w:lineRule="auto" w:line="360" w:before="0" w:after="0"/>
        <w:jc w:val="both"/>
        <w:rPr>
          <w:rFonts w:cs="Calibri" w:cstheme="minorHAnsi"/>
          <w:sz w:val="24"/>
          <w:szCs w:val="24"/>
        </w:rPr>
      </w:pPr>
      <w:r>
        <w:rPr>
          <w:rFonts w:cs="Calibri" w:cstheme="minorHAnsi"/>
          <w:sz w:val="24"/>
          <w:szCs w:val="24"/>
        </w:rPr>
        <w:t xml:space="preserve">Formal correspondence (multiliteracy) including: </w:t>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4675"/>
        <w:gridCol w:w="4674"/>
      </w:tblGrid>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Employability skills</w:t>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Academic skills</w:t>
            </w:r>
          </w:p>
        </w:tc>
      </w:tr>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Writing to the necessities of the gathering of people</w:t>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Academic written work</w:t>
            </w:r>
          </w:p>
        </w:tc>
      </w:tr>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 xml:space="preserve">Using numeracy </w:t>
            </w:r>
          </w:p>
          <w:p>
            <w:pPr>
              <w:pStyle w:val="Normal"/>
              <w:spacing w:lineRule="auto" w:line="360" w:before="0" w:after="0"/>
              <w:jc w:val="both"/>
              <w:rPr>
                <w:rFonts w:cs="Calibri" w:cstheme="minorHAnsi"/>
                <w:sz w:val="24"/>
                <w:szCs w:val="24"/>
              </w:rPr>
            </w:pPr>
            <w:r>
              <w:rPr>
                <w:rFonts w:cs="Calibri" w:cstheme="minorHAnsi"/>
                <w:sz w:val="24"/>
                <w:szCs w:val="24"/>
              </w:rPr>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Effectively utilizing numeracy aptitudes to finish assignments and different undertakings</w:t>
            </w:r>
          </w:p>
        </w:tc>
      </w:tr>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 xml:space="preserve">Speaking in an open gathering and </w:t>
            </w:r>
          </w:p>
          <w:p>
            <w:pPr>
              <w:pStyle w:val="Normal"/>
              <w:spacing w:lineRule="auto" w:line="360" w:before="0" w:after="0"/>
              <w:jc w:val="both"/>
              <w:rPr>
                <w:rFonts w:cs="Calibri" w:cstheme="minorHAnsi"/>
                <w:sz w:val="24"/>
                <w:szCs w:val="24"/>
              </w:rPr>
            </w:pPr>
            <w:r>
              <w:rPr>
                <w:rFonts w:cs="Calibri" w:cstheme="minorHAnsi"/>
                <w:sz w:val="24"/>
                <w:szCs w:val="24"/>
              </w:rPr>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Completing oral introductions/reports for inside or outer gatherings of people and</w:t>
            </w:r>
          </w:p>
        </w:tc>
      </w:tr>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Understanding the necessities of inward and outside  clients</w:t>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Critically perusing and drawing in with writings</w:t>
            </w:r>
          </w:p>
        </w:tc>
      </w:tr>
      <w:tr>
        <w:trPr/>
        <w:tc>
          <w:tcPr>
            <w:tcW w:w="4675"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utilizing PC innovation suitably</w:t>
            </w:r>
          </w:p>
        </w:tc>
        <w:tc>
          <w:tcPr>
            <w:tcW w:w="4674" w:type="dxa"/>
            <w:tcBorders/>
            <w:shd w:fill="auto" w:val="clear"/>
            <w:tcMar>
              <w:left w:w="108" w:type="dxa"/>
            </w:tcMar>
          </w:tcPr>
          <w:p>
            <w:pPr>
              <w:pStyle w:val="Normal"/>
              <w:spacing w:lineRule="auto" w:line="360" w:before="0" w:after="0"/>
              <w:jc w:val="both"/>
              <w:rPr>
                <w:rFonts w:cs="Calibri" w:cstheme="minorHAnsi"/>
                <w:sz w:val="24"/>
                <w:szCs w:val="24"/>
              </w:rPr>
            </w:pPr>
            <w:r>
              <w:rPr>
                <w:rFonts w:cs="Calibri" w:cstheme="minorHAnsi"/>
                <w:sz w:val="24"/>
                <w:szCs w:val="24"/>
              </w:rPr>
              <w:t>impart and finish given undertakings successfully and improve engagement with college exercises</w:t>
            </w:r>
          </w:p>
        </w:tc>
      </w:tr>
    </w:tbl>
    <w:p>
      <w:pPr>
        <w:pStyle w:val="Normal"/>
        <w:spacing w:lineRule="auto" w:line="360" w:before="0" w:after="0"/>
        <w:jc w:val="both"/>
        <w:rPr>
          <w:rFonts w:cs="Calibri" w:cstheme="minorHAnsi"/>
          <w:sz w:val="24"/>
          <w:szCs w:val="24"/>
        </w:rPr>
      </w:pPr>
      <w:r>
        <w:rPr>
          <w:rFonts w:cs="Calibri" w:cstheme="minorHAnsi"/>
          <w:sz w:val="24"/>
          <w:szCs w:val="24"/>
        </w:rPr>
      </w:r>
    </w:p>
    <w:p>
      <w:pPr>
        <w:pStyle w:val="Heading1"/>
        <w:rPr/>
      </w:pPr>
      <w:bookmarkStart w:id="9" w:name="_Toc501250958"/>
      <w:bookmarkStart w:id="10" w:name="_Toc500636350"/>
      <w:bookmarkEnd w:id="9"/>
      <w:bookmarkEnd w:id="10"/>
      <w:r>
        <w:rPr/>
        <w:t>Alumna Characteristics:</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Ex-student properties might be characterized as:</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
          <w:bCs/>
          <w:i/>
          <w:iCs/>
        </w:rPr>
        <w:t>‘…</w:t>
      </w:r>
      <w:r>
        <w:rPr>
          <w:rFonts w:cs="Calibri" w:ascii="Calibri" w:hAnsi="Calibri" w:asciiTheme="minorHAnsi" w:cstheme="minorHAnsi" w:hAnsiTheme="minorHAnsi"/>
          <w:b/>
          <w:bCs/>
          <w:i/>
          <w:iCs/>
        </w:rPr>
        <w:t xml:space="preserve">the potentials, services and sympathies a academy municipal decides its scholars should grow throughout their time with the university’. </w:t>
      </w:r>
      <w:r>
        <w:rPr>
          <w:rFonts w:cs="Calibri" w:ascii="Calibri" w:hAnsi="Calibri" w:asciiTheme="minorHAnsi" w:cstheme="minorHAnsi" w:hAnsiTheme="minorHAnsi"/>
          <w:b/>
          <w:bCs/>
        </w:rPr>
        <w:t>(Bowden et al. 2002)</w:t>
      </w:r>
    </w:p>
    <w:p>
      <w:pPr>
        <w:pStyle w:val="Default"/>
        <w:spacing w:lineRule="auto" w:line="360" w:before="300" w:after="300"/>
        <w:jc w:val="both"/>
        <w:rPr>
          <w:rFonts w:ascii="Calibri" w:hAnsi="Calibri" w:cs="Calibri" w:asciiTheme="minorHAnsi" w:cstheme="minorHAnsi" w:hAnsiTheme="minorHAnsi"/>
        </w:rPr>
      </w:pPr>
      <w:r>
        <w:rPr>
          <w:rFonts w:cs="Calibri" w:ascii="Calibri" w:hAnsi="Calibri" w:asciiTheme="minorHAnsi" w:cstheme="minorHAnsi" w:hAnsiTheme="minorHAnsi"/>
          <w:bCs/>
        </w:rPr>
        <w:t>Three central point remain believed to take an effect on the esteem put on ex-student properties; the famous viewpoint that training is a deep rooted procedure; a more prominent concentrate on the connection amongst instruction and business results of alumni; and the advancement of results events as a major aspect of the worth development</w:t>
      </w:r>
      <w:r>
        <w:rPr>
          <w:rFonts w:cs="Calibri" w:ascii="Calibri" w:hAnsi="Calibri" w:asciiTheme="minorHAnsi" w:cstheme="minorHAnsi" w:hAnsiTheme="minorHAnsi"/>
        </w:rPr>
        <w:t>. Which gave a structure of nonexclusive traits that in a perfect world each graduate ought to have:</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Research, revelation, and data recovery abilities and a general ability to utilize data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Multifaceted critical thinking abilities and the limit with respect to collaboration </w:t>
      </w:r>
    </w:p>
    <w:p>
      <w:pPr>
        <w:pStyle w:val="Default"/>
        <w:spacing w:lineRule="auto" w:line="360"/>
        <w:jc w:val="both"/>
        <w:rPr>
          <w:rFonts w:ascii="Calibri" w:hAnsi="Calibri" w:cs="Calibri" w:asciiTheme="minorHAnsi" w:cstheme="minorHAnsi" w:hAnsiTheme="minorHAnsi"/>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High moral guidelines in individual and expert life, supported by a limit with regards to self-coordinated movement.  </w:t>
      </w:r>
      <w:r>
        <w:rPr>
          <w:rFonts w:cs="Calibri" w:ascii="Calibri" w:hAnsi="Calibri" w:asciiTheme="minorHAnsi" w:cstheme="minorHAnsi" w:hAnsiTheme="minorHAnsi"/>
        </w:rPr>
        <w:t xml:space="preserve">(DEETYA 1998, p. 47.) </w:t>
      </w:r>
    </w:p>
    <w:p>
      <w:pPr>
        <w:pStyle w:val="Heading1"/>
        <w:rPr/>
      </w:pPr>
      <w:bookmarkStart w:id="11" w:name="_Toc501250959"/>
      <w:bookmarkStart w:id="12" w:name="_Toc500636351"/>
      <w:r>
        <w:rPr/>
        <w:t>Connecting Higher Education and Industry</w:t>
      </w:r>
      <w:bookmarkEnd w:id="11"/>
      <w:bookmarkEnd w:id="12"/>
      <w:r>
        <w:rPr/>
        <w:t xml:space="preserve">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Progressively colleges, ventures and administrations are employed all the extra firmly organized to surface mutual purposes: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Academies are looking to form up extra ashore connections to capable forms and administrations in their district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Trades are occupied through skilled forms to enable form and illuminate avant-garde instructive plans and sequence to strategy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 xml:space="preserve">Alumna Jobs and Service managements are linking understudies with managers and cheering cases which expedite bosses grounds </w:t>
      </w:r>
    </w:p>
    <w:p>
      <w:pPr>
        <w:pStyle w:val="Default"/>
        <w:spacing w:lineRule="auto" w:line="360" w:before="300" w:after="300"/>
        <w:jc w:val="both"/>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bookmarkStart w:id="13" w:name="_Toc500636354"/>
      <w:r>
        <w:rPr>
          <w:rFonts w:cs="Calibri" w:ascii="Calibri" w:hAnsi="Calibri" w:asciiTheme="minorHAnsi" w:cstheme="minorHAnsi" w:hAnsiTheme="minorHAnsi"/>
          <w:bCs/>
        </w:rPr>
        <w:t>Academies are friendly commercial delegates to efficiently take an interest through official constructions and panels.</w:t>
      </w:r>
    </w:p>
    <w:p>
      <w:pPr>
        <w:pStyle w:val="Heading1"/>
        <w:rPr>
          <w:rFonts w:ascii="Calibri" w:hAnsi="Calibri" w:cs="Calibri" w:asciiTheme="minorHAnsi" w:cstheme="minorHAnsi" w:hAnsiTheme="minorHAnsi"/>
          <w:bCs/>
        </w:rPr>
      </w:pPr>
      <w:bookmarkStart w:id="14" w:name="_Toc501250960"/>
      <w:bookmarkEnd w:id="13"/>
      <w:bookmarkEnd w:id="14"/>
      <w:r>
        <w:rPr/>
        <w:t>Tools and Techniques</w:t>
      </w:r>
    </w:p>
    <w:p>
      <w:pPr>
        <w:pStyle w:val="Heading2"/>
        <w:rPr/>
      </w:pPr>
      <w:bookmarkStart w:id="15" w:name="_Toc501250961"/>
      <w:bookmarkStart w:id="16" w:name="_Toc500636355"/>
      <w:bookmarkEnd w:id="15"/>
      <w:bookmarkEnd w:id="16"/>
      <w:r>
        <w:rPr/>
        <w:t>Graduate Skills Assessment (GSA)</w:t>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t xml:space="preserve">The take-up of the GSA in colleges gives off an impression of being restricted and managers are still to a great extent ignorant of it. The examination is deliberate for understudies and colleges are below no commitment to utilize it. As the GSA has today remained accessible for a long time, there appears to be slight probability of the GSA expanding in notoriety. </w:t>
      </w:r>
    </w:p>
    <w:p>
      <w:pPr>
        <w:pStyle w:val="Default"/>
        <w:spacing w:lineRule="auto" w:line="360" w:before="0" w:after="200"/>
        <w:jc w:val="both"/>
        <w:rPr>
          <w:rFonts w:cs="Calibri" w:cstheme="minorHAnsi"/>
          <w:b/>
          <w:b/>
          <w:bCs/>
          <w:i/>
          <w:i/>
          <w:iCs/>
        </w:rPr>
      </w:pPr>
      <w:r>
        <w:rPr>
          <w:rFonts w:cs="Calibri" w:ascii="Calibri" w:hAnsi="Calibri" w:asciiTheme="minorHAnsi" w:cstheme="minorHAnsi" w:hAnsiTheme="minorHAnsi"/>
        </w:rPr>
        <w:t xml:space="preserve">One of the fundamental reactions of the GSA is that as a composed examination it has constrained ability to quantify the route in which aptitudes will be connected in a effort situation. Colleges attest that it is costly to manage and that as businesses are new to it, they don't use the news. </w:t>
      </w:r>
    </w:p>
    <w:p>
      <w:pPr>
        <w:pStyle w:val="Heading2"/>
        <w:rPr>
          <w:i/>
          <w:i/>
          <w:iCs/>
          <w:color w:val="000000"/>
        </w:rPr>
      </w:pPr>
      <w:bookmarkStart w:id="17" w:name="_Toc501250962"/>
      <w:bookmarkStart w:id="18" w:name="_Toc500636356"/>
      <w:r>
        <w:rPr/>
        <w:t>Employability Skills Profiler (ESP)</w:t>
      </w:r>
      <w:bookmarkEnd w:id="17"/>
      <w:bookmarkEnd w:id="18"/>
      <w:r>
        <w:rPr/>
        <w:t xml:space="preserve"> </w:t>
      </w:r>
    </w:p>
    <w:p>
      <w:pPr>
        <w:pStyle w:val="Normal"/>
        <w:spacing w:lineRule="auto" w:line="360" w:before="0" w:after="0"/>
        <w:jc w:val="both"/>
        <w:rPr>
          <w:rFonts w:cs="Calibri" w:cstheme="minorHAnsi"/>
          <w:bCs/>
          <w:iCs/>
          <w:color w:val="000000"/>
          <w:sz w:val="24"/>
          <w:szCs w:val="24"/>
        </w:rPr>
      </w:pPr>
      <w:r>
        <w:rPr>
          <w:rFonts w:cs="Calibri" w:cstheme="minorHAnsi"/>
          <w:b/>
          <w:bCs/>
          <w:i/>
          <w:iCs/>
          <w:color w:val="000000"/>
          <w:sz w:val="24"/>
          <w:szCs w:val="24"/>
        </w:rPr>
        <w:t xml:space="preserve"> </w:t>
      </w:r>
      <w:r>
        <w:rPr>
          <w:rFonts w:cs="Calibri" w:cstheme="minorHAnsi"/>
          <w:bCs/>
          <w:iCs/>
          <w:color w:val="000000"/>
          <w:sz w:val="24"/>
          <w:szCs w:val="24"/>
        </w:rPr>
        <w:t>The ESP is an connected poll that crops three news – a vocation alternatives story, an occupation appropriate and improvement story and an employability aptitudes shape. It was utilized as a part of the primary example in the inability division.</w:t>
      </w:r>
    </w:p>
    <w:p>
      <w:pPr>
        <w:pStyle w:val="Heading1"/>
        <w:rPr/>
      </w:pPr>
      <w:bookmarkStart w:id="19" w:name="_Toc501250963"/>
      <w:bookmarkEnd w:id="19"/>
      <w:r>
        <w:rPr/>
        <w:t>Personal Development Plan:</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There are some essential things to consider when any graduate develops their personal plan. There are some basic point that can help to develop. They are:</w:t>
      </w:r>
    </w:p>
    <w:p>
      <w:pPr>
        <w:pStyle w:val="Normal"/>
        <w:spacing w:lineRule="auto" w:line="360" w:before="0" w:after="0"/>
        <w:jc w:val="both"/>
        <w:rPr>
          <w:rFonts w:cs="Calibri" w:cstheme="minorHAnsi"/>
          <w:bCs/>
          <w:iCs/>
          <w:color w:val="000000"/>
          <w:sz w:val="24"/>
          <w:szCs w:val="24"/>
        </w:rPr>
      </w:pPr>
      <w:bookmarkStart w:id="20" w:name="_Toc501250964"/>
      <w:r>
        <w:rPr>
          <w:rStyle w:val="Heading2Char"/>
        </w:rPr>
        <w:t>Define the goal:</w:t>
      </w:r>
      <w:bookmarkEnd w:id="20"/>
      <w:r>
        <w:rPr>
          <w:rFonts w:cs="Calibri" w:cstheme="minorHAnsi"/>
          <w:bCs/>
          <w:iCs/>
          <w:color w:val="000000"/>
          <w:sz w:val="24"/>
          <w:szCs w:val="24"/>
        </w:rPr>
        <w:t xml:space="preserve">  Any graduate needs to identify want he/she wants to do after completing education. For example, any marketing graduate want s become the executive or manager of the marketing department of a company. So decide what you want to be.</w:t>
      </w:r>
    </w:p>
    <w:p>
      <w:pPr>
        <w:pStyle w:val="Normal"/>
        <w:spacing w:lineRule="auto" w:line="360" w:before="0" w:after="0"/>
        <w:jc w:val="both"/>
        <w:rPr>
          <w:rFonts w:cs="Calibri" w:cstheme="minorHAnsi"/>
          <w:bCs/>
          <w:iCs/>
          <w:color w:val="000000"/>
          <w:sz w:val="24"/>
          <w:szCs w:val="24"/>
        </w:rPr>
      </w:pPr>
      <w:bookmarkStart w:id="21" w:name="_Toc501250965"/>
      <w:r>
        <w:rPr>
          <w:rStyle w:val="Heading2Char"/>
        </w:rPr>
        <w:t>Understand your strength:</w:t>
      </w:r>
      <w:bookmarkEnd w:id="21"/>
      <w:r>
        <w:rPr>
          <w:rFonts w:cs="Calibri" w:cstheme="minorHAnsi"/>
          <w:bCs/>
          <w:iCs/>
          <w:color w:val="000000"/>
          <w:sz w:val="24"/>
          <w:szCs w:val="24"/>
        </w:rPr>
        <w:t xml:space="preserve"> In what sector you are specialize to cover up, you need to identify. If you find out then it will help you move forward to your goal.</w:t>
      </w:r>
    </w:p>
    <w:p>
      <w:pPr>
        <w:pStyle w:val="Normal"/>
        <w:spacing w:lineRule="auto" w:line="360" w:before="0" w:after="0"/>
        <w:jc w:val="both"/>
        <w:rPr>
          <w:rFonts w:cs="Calibri" w:cstheme="minorHAnsi"/>
          <w:bCs/>
          <w:iCs/>
          <w:color w:val="000000"/>
          <w:sz w:val="24"/>
          <w:szCs w:val="24"/>
        </w:rPr>
      </w:pPr>
      <w:bookmarkStart w:id="22" w:name="_Toc501250966"/>
      <w:r>
        <w:rPr>
          <w:rStyle w:val="Heading2Char"/>
        </w:rPr>
        <w:t>Recognize opportunities and threats:</w:t>
      </w:r>
      <w:bookmarkEnd w:id="22"/>
      <w:r>
        <w:rPr>
          <w:rFonts w:cs="Calibri" w:cstheme="minorHAnsi"/>
          <w:bCs/>
          <w:iCs/>
          <w:color w:val="000000"/>
          <w:sz w:val="24"/>
          <w:szCs w:val="24"/>
        </w:rPr>
        <w:t xml:space="preserve"> Nothing can be achieved without any hard work. So find out the opportunities and threats which can be make your path towards your goal comfortable and difficult.</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r>
    </w:p>
    <w:p>
      <w:pPr>
        <w:pStyle w:val="Normal"/>
        <w:spacing w:lineRule="auto" w:line="360" w:before="0" w:after="0"/>
        <w:jc w:val="both"/>
        <w:rPr>
          <w:rFonts w:cs="Calibri" w:cstheme="minorHAnsi"/>
          <w:bCs/>
          <w:iCs/>
          <w:color w:val="000000"/>
          <w:sz w:val="24"/>
          <w:szCs w:val="24"/>
        </w:rPr>
      </w:pPr>
      <w:bookmarkStart w:id="23" w:name="_Toc501250967"/>
      <w:r>
        <w:rPr>
          <w:rStyle w:val="Heading2Char"/>
        </w:rPr>
        <w:t>Develop new skills:</w:t>
      </w:r>
      <w:bookmarkEnd w:id="23"/>
      <w:r>
        <w:rPr>
          <w:rFonts w:cs="Calibri" w:cstheme="minorHAnsi"/>
          <w:bCs/>
          <w:iCs/>
          <w:color w:val="000000"/>
          <w:sz w:val="24"/>
          <w:szCs w:val="24"/>
        </w:rPr>
        <w:t xml:space="preserve"> This is very important for every fresh graduate when they are entering any company. Because only academic activities are not enough to cop up with the career work. They need to develop their existing skills as well as learn something new about new skills. For example, if any graduate student knows how to run any program or how to use the Microsoft office outlook then he or she should know by using this how to communicate with their colleague.</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Initially after graduating from the university, by following this points, any graduate can develop their personal plan which can be very much helpful for their professional life.</w:t>
      </w:r>
    </w:p>
    <w:p>
      <w:pPr>
        <w:pStyle w:val="Heading1"/>
        <w:rPr/>
      </w:pPr>
      <w:bookmarkStart w:id="24" w:name="_Toc501250968"/>
      <w:bookmarkEnd w:id="24"/>
      <w:r>
        <w:rPr/>
        <w:t>MY Skills:</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Firstly discuss a bit about my personality. I am a bit of introvert person. That’s why I can’t talk with people easily and make my friends easily. For that reason, I have to make effort to talk with people and make friends. I have several skills in my personality which can help me in my professional life. They are:</w:t>
      </w:r>
    </w:p>
    <w:p>
      <w:pPr>
        <w:pStyle w:val="Normal"/>
        <w:spacing w:lineRule="auto" w:line="360" w:before="0" w:after="0"/>
        <w:jc w:val="both"/>
        <w:rPr>
          <w:rFonts w:cs="Calibri" w:cstheme="minorHAnsi"/>
          <w:bCs/>
          <w:iCs/>
          <w:color w:val="000000"/>
          <w:sz w:val="24"/>
          <w:szCs w:val="24"/>
        </w:rPr>
      </w:pPr>
      <w:bookmarkStart w:id="25" w:name="_Toc501250969"/>
      <w:r>
        <w:rPr>
          <w:rStyle w:val="Heading2Char"/>
        </w:rPr>
        <w:t>Leadership:</w:t>
      </w:r>
      <w:bookmarkEnd w:id="25"/>
      <w:r>
        <w:rPr>
          <w:rFonts w:cs="Calibri" w:cstheme="minorHAnsi"/>
          <w:bCs/>
          <w:iCs/>
          <w:color w:val="000000"/>
          <w:sz w:val="24"/>
          <w:szCs w:val="24"/>
        </w:rPr>
        <w:t xml:space="preserve"> I can manage a teamwork smoothly in a specific time period. Sometimes I got panic but I don’t ruin anything. I managed all the team member with their opinions on any project we assigned.</w:t>
      </w:r>
    </w:p>
    <w:p>
      <w:pPr>
        <w:pStyle w:val="Normal"/>
        <w:spacing w:lineRule="auto" w:line="360" w:before="0" w:after="0"/>
        <w:jc w:val="both"/>
        <w:rPr>
          <w:rFonts w:cs="Calibri" w:cstheme="minorHAnsi"/>
          <w:bCs/>
          <w:iCs/>
          <w:color w:val="000000"/>
          <w:sz w:val="24"/>
          <w:szCs w:val="24"/>
        </w:rPr>
      </w:pPr>
      <w:bookmarkStart w:id="26" w:name="_Toc501250970"/>
      <w:r>
        <w:rPr>
          <w:rStyle w:val="Heading2Char"/>
        </w:rPr>
        <w:t>Time management:</w:t>
      </w:r>
      <w:bookmarkEnd w:id="26"/>
      <w:r>
        <w:rPr>
          <w:rFonts w:cs="Calibri" w:cstheme="minorHAnsi"/>
          <w:bCs/>
          <w:iCs/>
          <w:color w:val="000000"/>
          <w:sz w:val="24"/>
          <w:szCs w:val="24"/>
        </w:rPr>
        <w:t xml:space="preserve"> For accomplishing any work, we need to focus on time frame which I carefully maintained. With my team member I managed the time period of given task.</w:t>
      </w:r>
    </w:p>
    <w:p>
      <w:pPr>
        <w:pStyle w:val="Heading2"/>
        <w:rPr/>
      </w:pPr>
      <w:bookmarkStart w:id="27" w:name="_Toc501250971"/>
      <w:bookmarkEnd w:id="27"/>
      <w:r>
        <w:rPr/>
        <w:t>Computer skills:</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I have also some computer literacy. For example, how to run any program, how to use the Microsoft office suite. This can help me to complete the software based work.</w:t>
      </w:r>
    </w:p>
    <w:p>
      <w:pPr>
        <w:pStyle w:val="Heading2"/>
        <w:rPr/>
      </w:pPr>
      <w:bookmarkStart w:id="28" w:name="_Toc501250972"/>
      <w:bookmarkEnd w:id="28"/>
      <w:r>
        <w:rPr/>
        <w:t>Planning skills:</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I have also planning skills in my personality. Whenever I start any work, I make a plan so that everything goes accordingly.</w:t>
      </w:r>
    </w:p>
    <w:p>
      <w:pPr>
        <w:pStyle w:val="Heading1"/>
        <w:rPr/>
      </w:pPr>
      <w:bookmarkStart w:id="29" w:name="_Toc501250973"/>
      <w:bookmarkStart w:id="30" w:name="_Toc500636357"/>
      <w:r>
        <w:rPr/>
        <w:t>Graduate recruitment</w:t>
      </w:r>
      <w:bookmarkEnd w:id="29"/>
      <w:bookmarkEnd w:id="30"/>
      <w:r>
        <w:rPr/>
        <w:t xml:space="preserve"> </w:t>
      </w:r>
    </w:p>
    <w:p>
      <w:pPr>
        <w:pStyle w:val="Normal"/>
        <w:spacing w:lineRule="auto" w:line="360" w:before="0" w:after="0"/>
        <w:jc w:val="both"/>
        <w:rPr>
          <w:rFonts w:cs="Calibri" w:cstheme="minorHAnsi"/>
          <w:sz w:val="24"/>
          <w:szCs w:val="24"/>
        </w:rPr>
      </w:pPr>
      <w:r>
        <w:rPr>
          <w:rFonts w:cs="Calibri" w:cstheme="minorHAnsi"/>
          <w:b/>
          <w:bCs/>
          <w:i/>
          <w:iCs/>
          <w:color w:val="000000"/>
          <w:sz w:val="24"/>
          <w:szCs w:val="24"/>
        </w:rPr>
        <w:t xml:space="preserve"> </w:t>
      </w:r>
      <w:r>
        <w:rPr>
          <w:rFonts w:cs="Calibri" w:cstheme="minorHAnsi"/>
          <w:bCs/>
          <w:iCs/>
          <w:color w:val="000000"/>
          <w:sz w:val="24"/>
          <w:szCs w:val="24"/>
        </w:rPr>
        <w:t xml:space="preserve">While graduates are obviously discovering occupations, businesses have all the earmarks of being taking more trouble in finding the correct alumnae. Graduate viewpoint 2006 </w:t>
      </w:r>
      <w:r>
        <w:rPr>
          <w:rFonts w:cs="Calibri" w:cstheme="minorHAnsi"/>
          <w:sz w:val="24"/>
          <w:szCs w:val="24"/>
        </w:rPr>
        <w:t xml:space="preserve">(Alumna Jobs Australia 2006a) illuminates us that 42.5 for every penny of managers demonstrated they have enlisted extra alumnae needed they remained available. Contracting the opportune individuals is a standout amongst the most imperative belongings that container occur in an organization. Manager sentiments of alumnae are critical to colleges as they speak to a important portion of the foundation's prosperity. </w:t>
      </w:r>
      <w:r>
        <w:rPr>
          <w:rFonts w:cs="Calibri" w:cstheme="minorHAnsi"/>
          <w:bCs/>
          <w:iCs/>
          <w:color w:val="000000"/>
          <w:sz w:val="24"/>
          <w:szCs w:val="24"/>
        </w:rPr>
        <w:t>Information since the Ex-student standpoint 2006 demonstrated that businesses proportion candidates' scholarly aptitudes and execution fundamentally higher than they evaluated them on regions lined up with employability abilities.</w:t>
      </w:r>
    </w:p>
    <w:p>
      <w:pPr>
        <w:pStyle w:val="Heading1"/>
        <w:rPr>
          <w:i/>
          <w:i/>
          <w:iCs/>
          <w:color w:val="000000"/>
        </w:rPr>
      </w:pPr>
      <w:bookmarkStart w:id="31" w:name="_Toc501250974"/>
      <w:bookmarkStart w:id="32" w:name="_Toc500636358"/>
      <w:r>
        <w:rPr/>
        <w:t>Recommendations</w:t>
      </w:r>
      <w:bookmarkEnd w:id="31"/>
      <w:bookmarkEnd w:id="32"/>
      <w:r>
        <w:rPr>
          <w:i/>
          <w:iCs/>
          <w:color w:val="000000"/>
        </w:rPr>
        <w:t xml:space="preserve"> </w:t>
      </w:r>
    </w:p>
    <w:p>
      <w:pPr>
        <w:pStyle w:val="Normal"/>
        <w:spacing w:lineRule="auto" w:line="360" w:before="0" w:after="0"/>
        <w:jc w:val="both"/>
        <w:rPr>
          <w:rFonts w:cs="Calibri" w:cstheme="minorHAnsi"/>
          <w:bCs/>
          <w:iCs/>
          <w:color w:val="000000"/>
          <w:sz w:val="24"/>
          <w:szCs w:val="24"/>
        </w:rPr>
      </w:pPr>
      <w:r>
        <w:rPr>
          <w:rFonts w:cs="Calibri" w:cstheme="minorHAnsi"/>
          <w:bCs/>
          <w:iCs/>
          <w:color w:val="000000"/>
          <w:sz w:val="24"/>
          <w:szCs w:val="24"/>
        </w:rPr>
        <w:t>Future research thoughts would incorporate investigating expressions and words managers are utilizing while setting commercials aimed at spots. The examination of these basic arguments and expressions would give a chance to make connects among these particular expressions and the linked scholastic abilities and would thusly stretch understudies a stronger thought of whatever aptitudes they consume remained creating and how to verbalize this advancement in work request. It is fascinating to reminder understudy reactions to progressions/elements that unequivocally incorporate employability abilities/qualities in their educational modules reports and instructing. How do understudies see the consideration of this data? Do understudies sense that it willpower bolster them with regards to existence extra aggressive in the activity advertise?</w:t>
      </w:r>
    </w:p>
    <w:p>
      <w:pPr>
        <w:pStyle w:val="Heading1"/>
        <w:rPr/>
      </w:pPr>
      <w:bookmarkStart w:id="33" w:name="_Toc501250975"/>
      <w:bookmarkStart w:id="34" w:name="_Toc500636359"/>
      <w:bookmarkEnd w:id="33"/>
      <w:bookmarkEnd w:id="34"/>
      <w:r>
        <w:rPr/>
        <w:t>Conclusion:</w:t>
      </w:r>
    </w:p>
    <w:p>
      <w:pPr>
        <w:pStyle w:val="Normal"/>
        <w:spacing w:lineRule="auto" w:line="360" w:before="0" w:after="0"/>
        <w:jc w:val="both"/>
        <w:rPr>
          <w:rFonts w:cs="Calibri" w:cstheme="minorHAnsi"/>
          <w:sz w:val="24"/>
          <w:szCs w:val="24"/>
        </w:rPr>
      </w:pPr>
      <w:r>
        <w:rPr>
          <w:rFonts w:cs="Calibri" w:cstheme="minorHAnsi"/>
          <w:sz w:val="24"/>
          <w:szCs w:val="24"/>
        </w:rPr>
        <w:t xml:space="preserve">In the extended haul it would be value connecting with bosses approximately alumnae who take been met and whether they were improved ready to verbalize what abilities they needed in the event that they had finished a course that effectively advanced both scholastic and employability aptitudes. Thus, it would take after that a dialog would be helpful about whether it enhanced understudies' employability </w:t>
      </w:r>
      <w:bookmarkStart w:id="35" w:name="_GoBack"/>
      <w:bookmarkEnd w:id="35"/>
      <w:r>
        <w:rPr>
          <w:rFonts w:cs="Calibri" w:cstheme="minorHAnsi"/>
          <w:sz w:val="24"/>
          <w:szCs w:val="24"/>
        </w:rPr>
        <w:t>charges, and influenced them to seem more attractive to managers.</w:t>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r>
    </w:p>
    <w:p>
      <w:pPr>
        <w:pStyle w:val="Heading1"/>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36" w:name="_Toc501250976"/>
      <w:bookmarkEnd w:id="36"/>
      <w:r>
        <w:rPr/>
        <w:t>References:</w:t>
      </w:r>
    </w:p>
    <w:p>
      <w:pPr>
        <w:pStyle w:val="Default"/>
        <w:spacing w:lineRule="auto" w:line="360" w:before="0" w:after="200"/>
        <w:jc w:val="both"/>
        <w:rPr>
          <w:rFonts w:ascii="Calibri" w:hAnsi="Calibri" w:cs="Calibri" w:asciiTheme="minorHAnsi" w:cstheme="minorHAnsi" w:hAnsiTheme="minorHAnsi"/>
        </w:rPr>
      </w:pPr>
      <w:r>
        <w:rPr>
          <w:rFonts w:cs="Calibri" w:cstheme="minorHAnsi" w:ascii="Calibri" w:hAnsi="Calibri"/>
        </w:rPr>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ACER 2002, </w:t>
      </w:r>
      <w:r>
        <w:rPr>
          <w:rFonts w:cs="Calibri" w:ascii="Calibri" w:hAnsi="Calibri" w:asciiTheme="minorHAnsi" w:cstheme="minorHAnsi" w:hAnsiTheme="minorHAnsi"/>
          <w:i/>
          <w:iCs/>
        </w:rPr>
        <w:t>Employability skills for Australian industry: literature review and framework development</w:t>
      </w:r>
      <w:r>
        <w:rPr>
          <w:rFonts w:cs="Calibri" w:ascii="Calibri" w:hAnsi="Calibri" w:asciiTheme="minorHAnsi" w:cstheme="minorHAnsi" w:hAnsiTheme="minorHAnsi"/>
        </w:rPr>
        <w:t xml:space="preserve">, a report by the Australian Council for Educational Research to the Business Council of Australia and the Australian Chamber of Commerce and Industry, Department of Education, Science and Training, Canberra.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Australian Industry Group 2006, </w:t>
      </w:r>
      <w:r>
        <w:rPr>
          <w:rFonts w:cs="Calibri" w:ascii="Calibri" w:hAnsi="Calibri" w:asciiTheme="minorHAnsi" w:cstheme="minorHAnsi" w:hAnsiTheme="minorHAnsi"/>
          <w:i/>
          <w:iCs/>
        </w:rPr>
        <w:t>World class skills for world class industries: employers’ perspectives on skilling in Australia</w:t>
      </w:r>
      <w:r>
        <w:rPr>
          <w:rFonts w:cs="Calibri" w:ascii="Calibri" w:hAnsi="Calibri" w:asciiTheme="minorHAnsi" w:cstheme="minorHAnsi" w:hAnsiTheme="minorHAnsi"/>
        </w:rPr>
        <w:t xml:space="preserve">, Australian Industry Group, Sydney.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Australian Technology Network. (2000). </w:t>
      </w:r>
      <w:r>
        <w:rPr>
          <w:rFonts w:cs="Calibri" w:ascii="Calibri" w:hAnsi="Calibri" w:asciiTheme="minorHAnsi" w:cstheme="minorHAnsi" w:hAnsiTheme="minorHAnsi"/>
          <w:i/>
          <w:iCs/>
        </w:rPr>
        <w:t>Generic Capabilities of ATN University Graduates</w:t>
      </w:r>
      <w:r>
        <w:rPr>
          <w:rFonts w:cs="Calibri" w:ascii="Calibri" w:hAnsi="Calibri" w:asciiTheme="minorHAnsi" w:cstheme="minorHAnsi" w:hAnsiTheme="minorHAnsi"/>
        </w:rPr>
        <w:t xml:space="preserve">. [Electronic version] Available from http://www.clt.uts.edu.au/ATN.grad.cap.project.index.html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AVCC 2007, </w:t>
      </w:r>
      <w:r>
        <w:rPr>
          <w:rFonts w:cs="Calibri" w:ascii="Calibri" w:hAnsi="Calibri" w:asciiTheme="minorHAnsi" w:cstheme="minorHAnsi" w:hAnsiTheme="minorHAnsi"/>
          <w:i/>
          <w:iCs/>
        </w:rPr>
        <w:t>Australian university student finances 2006: a summary of findings from a national survey of students in public universities</w:t>
      </w:r>
      <w:r>
        <w:rPr>
          <w:rFonts w:cs="Calibri" w:ascii="Calibri" w:hAnsi="Calibri" w:asciiTheme="minorHAnsi" w:cstheme="minorHAnsi" w:hAnsiTheme="minorHAnsi"/>
        </w:rPr>
        <w:t xml:space="preserve">, Australian Vice-Chancellors’ Committee, February.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B-HERT 2002, </w:t>
      </w:r>
      <w:r>
        <w:rPr>
          <w:rFonts w:cs="Calibri" w:ascii="Calibri" w:hAnsi="Calibri" w:asciiTheme="minorHAnsi" w:cstheme="minorHAnsi" w:hAnsiTheme="minorHAnsi"/>
          <w:i/>
          <w:iCs/>
        </w:rPr>
        <w:t>Enhancing the learning and employability of graduates: the role of generic skills</w:t>
      </w:r>
      <w:r>
        <w:rPr>
          <w:rFonts w:cs="Calibri" w:ascii="Calibri" w:hAnsi="Calibri" w:asciiTheme="minorHAnsi" w:cstheme="minorHAnsi" w:hAnsiTheme="minorHAnsi"/>
        </w:rPr>
        <w:t xml:space="preserve">, B-HERT Position Paper No. 9.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Ballantyne C, Lowe, K &amp; Marshall, L 2004, </w:t>
      </w:r>
      <w:r>
        <w:rPr>
          <w:rFonts w:cs="Calibri" w:ascii="Calibri" w:hAnsi="Calibri" w:asciiTheme="minorHAnsi" w:cstheme="minorHAnsi" w:hAnsiTheme="minorHAnsi"/>
          <w:i/>
          <w:iCs/>
        </w:rPr>
        <w:t xml:space="preserve">What employers want: an initiative in testing graduate attributes and informing curriculum </w:t>
      </w:r>
      <w:r>
        <w:rPr>
          <w:rFonts w:cs="Calibri" w:ascii="Calibri" w:hAnsi="Calibri" w:asciiTheme="minorHAnsi" w:cstheme="minorHAnsi" w:hAnsiTheme="minorHAnsi"/>
        </w:rPr>
        <w:t xml:space="preserve">[http://www.herdsa.org.au/conference2004/Contributions/NRPapers/P052-jt.pdf].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Boud, D &amp; Solomon, N (eds) 2001, </w:t>
      </w:r>
      <w:r>
        <w:rPr>
          <w:rFonts w:cs="Calibri" w:ascii="Calibri" w:hAnsi="Calibri" w:asciiTheme="minorHAnsi" w:cstheme="minorHAnsi" w:hAnsiTheme="minorHAnsi"/>
          <w:i/>
          <w:iCs/>
        </w:rPr>
        <w:t>Work-based learning: a new higher education?</w:t>
      </w:r>
      <w:r>
        <w:rPr>
          <w:rFonts w:cs="Calibri" w:ascii="Calibri" w:hAnsi="Calibri" w:asciiTheme="minorHAnsi" w:cstheme="minorHAnsi" w:hAnsiTheme="minorHAnsi"/>
        </w:rPr>
        <w:t xml:space="preserve">, SRHE and Open University Press, Buckingham.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Boud, D &amp; Falchikov N 2005, ‘Redesigning assessment for learning beyond higher education’, in </w:t>
      </w:r>
      <w:r>
        <w:rPr>
          <w:rFonts w:cs="Calibri" w:ascii="Calibri" w:hAnsi="Calibri" w:asciiTheme="minorHAnsi" w:cstheme="minorHAnsi" w:hAnsiTheme="minorHAnsi"/>
          <w:i/>
          <w:iCs/>
        </w:rPr>
        <w:t>Research and Development in Higher Education 28</w:t>
      </w:r>
      <w:r>
        <w:rPr>
          <w:rFonts w:cs="Calibri" w:ascii="Calibri" w:hAnsi="Calibri" w:asciiTheme="minorHAnsi" w:cstheme="minorHAnsi" w:hAnsiTheme="minorHAnsi"/>
        </w:rPr>
        <w:t xml:space="preserve">, A Brew &amp; C Asmar (eds), Sydney: HERDSA 34–41.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Boud, D, Cressey, P &amp; Doucherty, P (ed) 2006, </w:t>
      </w:r>
      <w:r>
        <w:rPr>
          <w:rFonts w:cs="Calibri" w:ascii="Calibri" w:hAnsi="Calibri" w:asciiTheme="minorHAnsi" w:cstheme="minorHAnsi" w:hAnsiTheme="minorHAnsi"/>
          <w:i/>
          <w:iCs/>
        </w:rPr>
        <w:t>Productive reflection at work: learning in changing organisations</w:t>
      </w:r>
      <w:r>
        <w:rPr>
          <w:rFonts w:cs="Calibri" w:ascii="Calibri" w:hAnsi="Calibri" w:asciiTheme="minorHAnsi" w:cstheme="minorHAnsi" w:hAnsiTheme="minorHAnsi"/>
        </w:rPr>
        <w:t xml:space="preserve">, Routledge, London.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Bowden, J et al. 2002, </w:t>
      </w:r>
      <w:r>
        <w:rPr>
          <w:rFonts w:cs="Calibri" w:ascii="Calibri" w:hAnsi="Calibri" w:asciiTheme="minorHAnsi" w:cstheme="minorHAnsi" w:hAnsiTheme="minorHAnsi"/>
          <w:i/>
          <w:iCs/>
        </w:rPr>
        <w:t xml:space="preserve">Generic capabilities of ATN university graduates </w:t>
      </w:r>
      <w:r>
        <w:rPr>
          <w:rFonts w:cs="Calibri" w:ascii="Calibri" w:hAnsi="Calibri" w:asciiTheme="minorHAnsi" w:cstheme="minorHAnsi" w:hAnsiTheme="minorHAnsi"/>
        </w:rPr>
        <w:t xml:space="preserve">[http://www.clt.uts.edu.au/ATN.grad.cap.project.index.html]. </w:t>
      </w:r>
    </w:p>
    <w:p>
      <w:pPr>
        <w:pStyle w:val="Default"/>
        <w:spacing w:lineRule="auto" w:line="360" w:before="0" w:after="200"/>
        <w:rPr>
          <w:rFonts w:ascii="Calibri" w:hAnsi="Calibri" w:cs="Calibri" w:asciiTheme="minorHAnsi" w:cstheme="minorHAnsi" w:hAnsiTheme="minorHAnsi"/>
        </w:rPr>
      </w:pPr>
      <w:r>
        <w:rPr>
          <w:rFonts w:cs="Calibri" w:ascii="Calibri" w:hAnsi="Calibri" w:asciiTheme="minorHAnsi" w:cstheme="minorHAnsi" w:hAnsiTheme="minorHAnsi"/>
        </w:rPr>
        <w:t xml:space="preserve">Business Council of Australia 2006a, </w:t>
      </w:r>
      <w:r>
        <w:rPr>
          <w:rFonts w:cs="Calibri" w:ascii="Calibri" w:hAnsi="Calibri" w:asciiTheme="minorHAnsi" w:cstheme="minorHAnsi" w:hAnsiTheme="minorHAnsi"/>
          <w:i/>
          <w:iCs/>
        </w:rPr>
        <w:t xml:space="preserve">Changing </w:t>
      </w:r>
      <w:r>
        <w:rPr>
          <w:rFonts w:cs="Calibri" w:ascii="Calibri" w:hAnsi="Calibri" w:asciiTheme="minorHAnsi" w:cstheme="minorHAnsi" w:hAnsiTheme="minorHAnsi"/>
        </w:rPr>
        <w:t xml:space="preserve">paradigms, Business Council of Australia, Melbourne.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Business Council of Australia 2006b, </w:t>
      </w:r>
      <w:r>
        <w:rPr>
          <w:rFonts w:cs="Calibri" w:ascii="Calibri" w:hAnsi="Calibri" w:asciiTheme="minorHAnsi" w:cstheme="minorHAnsi" w:hAnsiTheme="minorHAnsi"/>
          <w:i/>
          <w:iCs/>
        </w:rPr>
        <w:t xml:space="preserve">New concepts in innovation: the keys to a growing </w:t>
      </w:r>
      <w:r>
        <w:rPr>
          <w:rFonts w:cs="Calibri" w:ascii="Calibri" w:hAnsi="Calibri" w:asciiTheme="minorHAnsi" w:cstheme="minorHAnsi" w:hAnsiTheme="minorHAnsi"/>
        </w:rPr>
        <w:t xml:space="preserve">Australia, Business Council of Australia, Melbourne.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Business/Higher Education Roundtable in Australia 2003, ‘Developing generic skills: examples of best practice’, </w:t>
      </w:r>
      <w:r>
        <w:rPr>
          <w:rFonts w:cs="Calibri" w:ascii="Calibri" w:hAnsi="Calibri" w:asciiTheme="minorHAnsi" w:cstheme="minorHAnsi" w:hAnsiTheme="minorHAnsi"/>
          <w:i/>
          <w:iCs/>
        </w:rPr>
        <w:t>B-Hert News</w:t>
      </w:r>
      <w:r>
        <w:rPr>
          <w:rFonts w:cs="Calibri" w:ascii="Calibri" w:hAnsi="Calibri" w:asciiTheme="minorHAnsi" w:cstheme="minorHAnsi" w:hAnsiTheme="minorHAnsi"/>
        </w:rPr>
        <w:t xml:space="preserve">, Issue 16.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Candy, PC, Crebert, G, &amp; O’Leary, J 1994, </w:t>
      </w:r>
      <w:r>
        <w:rPr>
          <w:rFonts w:cs="Calibri" w:ascii="Calibri" w:hAnsi="Calibri" w:asciiTheme="minorHAnsi" w:cstheme="minorHAnsi" w:hAnsiTheme="minorHAnsi"/>
          <w:i/>
          <w:iCs/>
        </w:rPr>
        <w:t>Developing lifelong earners through undergraduate education</w:t>
      </w:r>
      <w:r>
        <w:rPr>
          <w:rFonts w:cs="Calibri" w:ascii="Calibri" w:hAnsi="Calibri" w:asciiTheme="minorHAnsi" w:cstheme="minorHAnsi" w:hAnsiTheme="minorHAnsi"/>
        </w:rPr>
        <w:t xml:space="preserve">, Commissioned Report 28, National Board of Education, Employment and Training.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Chanock K et al. 2004, ‘Shaping university teaching towards measurement for accountability: problems of the graduate skills assessment test’, </w:t>
      </w:r>
      <w:r>
        <w:rPr>
          <w:rFonts w:cs="Calibri" w:ascii="Calibri" w:hAnsi="Calibri" w:asciiTheme="minorHAnsi" w:cstheme="minorHAnsi" w:hAnsiTheme="minorHAnsi"/>
          <w:i/>
          <w:iCs/>
        </w:rPr>
        <w:t>Australian Universities Review</w:t>
      </w:r>
      <w:r>
        <w:rPr>
          <w:rFonts w:cs="Calibri" w:ascii="Calibri" w:hAnsi="Calibri" w:asciiTheme="minorHAnsi" w:cstheme="minorHAnsi" w:hAnsiTheme="minorHAnsi"/>
        </w:rPr>
        <w:t xml:space="preserve">, vol. 47, no 1. </w:t>
      </w:r>
    </w:p>
    <w:p>
      <w:pPr>
        <w:pStyle w:val="Default"/>
        <w:spacing w:lineRule="auto" w:line="360" w:before="0" w:after="200"/>
        <w:jc w:val="both"/>
        <w:rPr>
          <w:rFonts w:ascii="Calibri" w:hAnsi="Calibri" w:cs="Calibri" w:asciiTheme="minorHAnsi" w:cstheme="minorHAnsi" w:hAnsiTheme="minorHAnsi"/>
        </w:rPr>
      </w:pPr>
      <w:r>
        <w:rPr>
          <w:rFonts w:cs="Calibri" w:ascii="Calibri" w:hAnsi="Calibri" w:asciiTheme="minorHAnsi" w:cstheme="minorHAnsi" w:hAnsiTheme="minorHAnsi"/>
        </w:rPr>
        <w:t xml:space="preserve">Cooper, D 2005, ‘Assessing what we have taught: the challenges faced with assessment of oral presentations skills’, paper from the Higher Education Research and Development Society of Australasia Conference 2005. </w:t>
      </w:r>
      <w:r>
        <w:rPr>
          <w:rFonts w:cs="Calibri" w:ascii="Calibri" w:hAnsi="Calibri" w:asciiTheme="minorHAnsi" w:cstheme="minorHAnsi" w:hAnsiTheme="minorHAnsi"/>
          <w:color w:val="00000A"/>
        </w:rPr>
        <w:t xml:space="preserve">Page 74 Precision Consultancy </w:t>
      </w:r>
      <w:r>
        <w:br w:type="page"/>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Cummings, R 1998, ‘How should we assess and report student generic attributes?’, paper presented at the 7</w:t>
      </w:r>
      <w:r>
        <w:rPr>
          <w:rFonts w:cs="Calibri" w:ascii="Calibri" w:hAnsi="Calibri" w:asciiTheme="minorHAnsi" w:cstheme="minorHAnsi" w:hAnsiTheme="minorHAnsi"/>
          <w:color w:val="00000A"/>
          <w:position w:val="6"/>
        </w:rPr>
        <w:t xml:space="preserve">th </w:t>
      </w:r>
      <w:r>
        <w:rPr>
          <w:rFonts w:cs="Calibri" w:ascii="Calibri" w:hAnsi="Calibri" w:asciiTheme="minorHAnsi" w:cstheme="minorHAnsi" w:hAnsiTheme="minorHAnsi"/>
          <w:color w:val="00000A"/>
        </w:rPr>
        <w:t xml:space="preserve">Annual Teaching and Learning Forum, University of Western Australia, Nedlands.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2002a, </w:t>
      </w:r>
      <w:r>
        <w:rPr>
          <w:rFonts w:cs="Calibri" w:ascii="Calibri" w:hAnsi="Calibri" w:asciiTheme="minorHAnsi" w:cstheme="minorHAnsi" w:hAnsiTheme="minorHAnsi"/>
          <w:i/>
          <w:iCs/>
          <w:color w:val="00000A"/>
        </w:rPr>
        <w:t>Employability skills for the future</w:t>
      </w:r>
      <w:r>
        <w:rPr>
          <w:rFonts w:cs="Calibri" w:ascii="Calibri" w:hAnsi="Calibri" w:asciiTheme="minorHAnsi" w:cstheme="minorHAnsi" w:hAnsiTheme="minorHAnsi"/>
          <w:color w:val="00000A"/>
        </w:rPr>
        <w:t xml:space="preserve">, a report by the Australian Chamber of Commerce and Industry and the Business Council of Australia for the Department of Education, Science and Training,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2002b, </w:t>
      </w:r>
      <w:r>
        <w:rPr>
          <w:rFonts w:cs="Calibri" w:ascii="Calibri" w:hAnsi="Calibri" w:asciiTheme="minorHAnsi" w:cstheme="minorHAnsi" w:hAnsiTheme="minorHAnsi"/>
          <w:i/>
          <w:iCs/>
          <w:color w:val="00000A"/>
        </w:rPr>
        <w:t xml:space="preserve">Striving for quality: learning, teaching and scholarship, </w:t>
      </w:r>
      <w:r>
        <w:rPr>
          <w:rFonts w:cs="Calibri" w:ascii="Calibri" w:hAnsi="Calibri" w:asciiTheme="minorHAnsi" w:cstheme="minorHAnsi" w:hAnsiTheme="minorHAnsi"/>
          <w:color w:val="00000A"/>
        </w:rPr>
        <w:t xml:space="preserve">Higher Education Review Process, Department of Education, Science and Training,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2004a, </w:t>
      </w:r>
      <w:r>
        <w:rPr>
          <w:rFonts w:cs="Calibri" w:ascii="Calibri" w:hAnsi="Calibri" w:asciiTheme="minorHAnsi" w:cstheme="minorHAnsi" w:hAnsiTheme="minorHAnsi"/>
          <w:i/>
          <w:iCs/>
          <w:color w:val="00000A"/>
        </w:rPr>
        <w:t xml:space="preserve">Employability skills: development of a strategy to support the universal recognition and reporting of employability </w:t>
      </w:r>
      <w:r>
        <w:rPr>
          <w:rFonts w:cs="Calibri" w:ascii="Calibri" w:hAnsi="Calibri" w:asciiTheme="minorHAnsi" w:cstheme="minorHAnsi" w:hAnsiTheme="minorHAnsi"/>
          <w:color w:val="00000A"/>
        </w:rPr>
        <w:t xml:space="preserve">skills,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2004b, </w:t>
      </w:r>
      <w:r>
        <w:rPr>
          <w:rFonts w:cs="Calibri" w:ascii="Calibri" w:hAnsi="Calibri" w:asciiTheme="minorHAnsi" w:cstheme="minorHAnsi" w:hAnsiTheme="minorHAnsi"/>
          <w:i/>
          <w:iCs/>
          <w:color w:val="00000A"/>
        </w:rPr>
        <w:t>Skills at work; evaluation of new apprenticeships: appendix 6</w:t>
      </w:r>
      <w:r>
        <w:rPr>
          <w:rFonts w:cs="Calibri" w:ascii="Calibri" w:hAnsi="Calibri" w:asciiTheme="minorHAnsi" w:cstheme="minorHAnsi" w:hAnsiTheme="minorHAnsi"/>
          <w:color w:val="00000A"/>
        </w:rPr>
        <w:t xml:space="preserve">, Skills Analysis Research Strategy Branch, Strategic Analysis and Evaluation Group, Department of Education, Science and Training,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2005a, </w:t>
      </w:r>
      <w:r>
        <w:rPr>
          <w:rFonts w:cs="Calibri" w:ascii="Calibri" w:hAnsi="Calibri" w:asciiTheme="minorHAnsi" w:cstheme="minorHAnsi" w:hAnsiTheme="minorHAnsi"/>
          <w:i/>
          <w:iCs/>
          <w:color w:val="00000A"/>
        </w:rPr>
        <w:t>Review of higher education performance indicators</w:t>
      </w:r>
      <w:r>
        <w:rPr>
          <w:rFonts w:cs="Calibri" w:ascii="Calibri" w:hAnsi="Calibri" w:asciiTheme="minorHAnsi" w:cstheme="minorHAnsi" w:hAnsiTheme="minorHAnsi"/>
          <w:color w:val="00000A"/>
        </w:rPr>
        <w:t xml:space="preserve">, a report by Access Economics Pty Ltd for the Department of Education, Science and Training,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2005b, </w:t>
      </w:r>
      <w:r>
        <w:rPr>
          <w:rFonts w:cs="Calibri" w:ascii="Calibri" w:hAnsi="Calibri" w:asciiTheme="minorHAnsi" w:cstheme="minorHAnsi" w:hAnsiTheme="minorHAnsi"/>
          <w:i/>
          <w:iCs/>
          <w:color w:val="00000A"/>
        </w:rPr>
        <w:t>Quality of Structured Workplace Learning</w:t>
      </w:r>
      <w:r>
        <w:rPr>
          <w:rFonts w:cs="Calibri" w:ascii="Calibri" w:hAnsi="Calibri" w:asciiTheme="minorHAnsi" w:cstheme="minorHAnsi" w:hAnsiTheme="minorHAnsi"/>
          <w:color w:val="00000A"/>
        </w:rPr>
        <w:t xml:space="preserve">, a report prepared by PhillipsKPA Pty Ltd for the Department of Education, Science and Training,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DEST 2006, </w:t>
      </w:r>
      <w:r>
        <w:rPr>
          <w:rFonts w:cs="Calibri" w:ascii="Calibri" w:hAnsi="Calibri" w:asciiTheme="minorHAnsi" w:cstheme="minorHAnsi" w:hAnsiTheme="minorHAnsi"/>
          <w:i/>
          <w:iCs/>
          <w:color w:val="00000A"/>
        </w:rPr>
        <w:t xml:space="preserve">Employability skills from framework to practice, an introductory guide for trainers and assessors, </w:t>
      </w:r>
      <w:r>
        <w:rPr>
          <w:rFonts w:cs="Calibri" w:ascii="Calibri" w:hAnsi="Calibri" w:asciiTheme="minorHAnsi" w:cstheme="minorHAnsi" w:hAnsiTheme="minorHAnsi"/>
          <w:color w:val="00000A"/>
        </w:rPr>
        <w:t xml:space="preserve">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DETYA 1998, </w:t>
      </w:r>
      <w:r>
        <w:rPr>
          <w:rFonts w:cs="Calibri" w:ascii="Calibri" w:hAnsi="Calibri" w:asciiTheme="minorHAnsi" w:cstheme="minorHAnsi" w:hAnsiTheme="minorHAnsi"/>
          <w:i/>
          <w:iCs/>
          <w:color w:val="00000A"/>
        </w:rPr>
        <w:t>Learning for life: review of higher education financing and policy</w:t>
      </w:r>
      <w:r>
        <w:rPr>
          <w:rFonts w:cs="Calibri" w:ascii="Calibri" w:hAnsi="Calibri" w:asciiTheme="minorHAnsi" w:cstheme="minorHAnsi" w:hAnsiTheme="minorHAnsi"/>
          <w:color w:val="00000A"/>
        </w:rPr>
        <w:t xml:space="preserve">, Higher Education Financing and Policy Reviewing Committee, known as the West Review, Department of Education, Science, Training and Youth Affairs,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DETYA 2000, </w:t>
      </w:r>
      <w:r>
        <w:rPr>
          <w:rFonts w:cs="Calibri" w:ascii="Calibri" w:hAnsi="Calibri" w:asciiTheme="minorHAnsi" w:cstheme="minorHAnsi" w:hAnsiTheme="minorHAnsi"/>
          <w:i/>
          <w:iCs/>
          <w:color w:val="00000A"/>
        </w:rPr>
        <w:t xml:space="preserve">Employer satisfaction with graduate skills, </w:t>
      </w:r>
      <w:r>
        <w:rPr>
          <w:rFonts w:cs="Calibri" w:ascii="Calibri" w:hAnsi="Calibri" w:asciiTheme="minorHAnsi" w:cstheme="minorHAnsi" w:hAnsiTheme="minorHAnsi"/>
          <w:color w:val="00000A"/>
        </w:rPr>
        <w:t xml:space="preserve">a report by ACNielsen Research Services for Department of Education, Training and Youth Affairs, Canberra.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DETYA 2001, </w:t>
      </w:r>
      <w:r>
        <w:rPr>
          <w:rFonts w:cs="Calibri" w:ascii="Calibri" w:hAnsi="Calibri" w:asciiTheme="minorHAnsi" w:cstheme="minorHAnsi" w:hAnsiTheme="minorHAnsi"/>
          <w:i/>
          <w:iCs/>
          <w:color w:val="00000A"/>
        </w:rPr>
        <w:t>Graduate skills assessment, a summary report</w:t>
      </w:r>
      <w:r>
        <w:rPr>
          <w:rFonts w:cs="Calibri" w:ascii="Calibri" w:hAnsi="Calibri" w:asciiTheme="minorHAnsi" w:cstheme="minorHAnsi" w:hAnsiTheme="minorHAnsi"/>
          <w:color w:val="00000A"/>
        </w:rPr>
        <w:t xml:space="preserve">, a report by the Australian Council for Educational Research (ACER) for Department of Education, Training and Youth Affairs, Canberra. </w:t>
      </w:r>
    </w:p>
    <w:p>
      <w:pPr>
        <w:pStyle w:val="Default"/>
        <w:spacing w:lineRule="auto" w:line="360" w:before="0" w:after="200"/>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Fallows, S &amp; Steven, C 2000, ‘Building employability skills into higher education curriculum: a university wide initiative’, </w:t>
      </w:r>
      <w:r>
        <w:rPr>
          <w:rFonts w:cs="Calibri" w:ascii="Calibri" w:hAnsi="Calibri" w:asciiTheme="minorHAnsi" w:cstheme="minorHAnsi" w:hAnsiTheme="minorHAnsi"/>
          <w:i/>
          <w:iCs/>
          <w:color w:val="00000A"/>
        </w:rPr>
        <w:t xml:space="preserve">Education and Training, </w:t>
      </w:r>
      <w:r>
        <w:rPr>
          <w:rFonts w:cs="Calibri" w:ascii="Calibri" w:hAnsi="Calibri" w:asciiTheme="minorHAnsi" w:cstheme="minorHAnsi" w:hAnsiTheme="minorHAnsi"/>
          <w:color w:val="00000A"/>
        </w:rPr>
        <w:t xml:space="preserve">vol. 42, no. 2 pp. 75–82. </w:t>
      </w:r>
    </w:p>
    <w:p>
      <w:pPr>
        <w:pStyle w:val="Default"/>
        <w:spacing w:lineRule="auto" w:line="360" w:before="0" w:after="200"/>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Gibson, E et al. </w:t>
      </w:r>
      <w:r>
        <w:rPr>
          <w:rFonts w:cs="Calibri" w:ascii="Calibri" w:hAnsi="Calibri" w:asciiTheme="minorHAnsi" w:cstheme="minorHAnsi" w:hAnsiTheme="minorHAnsi"/>
          <w:i/>
          <w:iCs/>
          <w:color w:val="00000A"/>
        </w:rPr>
        <w:t>Towards the development of a work integrated learning unit</w:t>
      </w:r>
      <w:r>
        <w:rPr>
          <w:rFonts w:cs="Calibri" w:ascii="Calibri" w:hAnsi="Calibri" w:asciiTheme="minorHAnsi" w:cstheme="minorHAnsi" w:hAnsiTheme="minorHAnsi"/>
          <w:color w:val="00000A"/>
        </w:rPr>
        <w:t xml:space="preserve">, [http://www.cfl.mq.edu.au/celebrate/pdf/papers/gibson1.pdf].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Graduate Careers Australia 2006a, </w:t>
      </w:r>
      <w:r>
        <w:rPr>
          <w:rFonts w:cs="Calibri" w:ascii="Calibri" w:hAnsi="Calibri" w:asciiTheme="minorHAnsi" w:cstheme="minorHAnsi" w:hAnsiTheme="minorHAnsi"/>
          <w:i/>
          <w:iCs/>
          <w:color w:val="00000A"/>
        </w:rPr>
        <w:t>Graduate outlook 2006: a snapshot</w:t>
      </w:r>
      <w:r>
        <w:rPr>
          <w:rFonts w:cs="Calibri" w:ascii="Calibri" w:hAnsi="Calibri" w:asciiTheme="minorHAnsi" w:cstheme="minorHAnsi" w:hAnsiTheme="minorHAnsi"/>
          <w:color w:val="00000A"/>
        </w:rPr>
        <w:t xml:space="preserve">.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Graduate Careers Australia 2006b, </w:t>
      </w:r>
      <w:r>
        <w:rPr>
          <w:rFonts w:cs="Calibri" w:ascii="Calibri" w:hAnsi="Calibri" w:asciiTheme="minorHAnsi" w:cstheme="minorHAnsi" w:hAnsiTheme="minorHAnsi"/>
          <w:i/>
          <w:iCs/>
          <w:color w:val="00000A"/>
        </w:rPr>
        <w:t xml:space="preserve">GradStats </w:t>
      </w:r>
      <w:r>
        <w:rPr>
          <w:rFonts w:cs="Calibri" w:ascii="Calibri" w:hAnsi="Calibri" w:asciiTheme="minorHAnsi" w:cstheme="minorHAnsi" w:hAnsiTheme="minorHAnsi"/>
          <w:color w:val="00000A"/>
        </w:rPr>
        <w:t xml:space="preserve">Number 11 December 2006. </w:t>
      </w:r>
    </w:p>
    <w:p>
      <w:pPr>
        <w:pStyle w:val="Default"/>
        <w:spacing w:lineRule="auto" w:line="360" w:before="0" w:after="200"/>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Grant, S et al. 2004, </w:t>
      </w:r>
      <w:r>
        <w:rPr>
          <w:rFonts w:cs="Calibri" w:ascii="Calibri" w:hAnsi="Calibri" w:asciiTheme="minorHAnsi" w:cstheme="minorHAnsi" w:hAnsiTheme="minorHAnsi"/>
          <w:i/>
          <w:iCs/>
          <w:color w:val="00000A"/>
        </w:rPr>
        <w:t xml:space="preserve">E-portfolio and its relationship to personal development planning: a view from the UK for Europe and beyond, </w:t>
      </w:r>
      <w:r>
        <w:rPr>
          <w:rFonts w:cs="Calibri" w:ascii="Calibri" w:hAnsi="Calibri" w:asciiTheme="minorHAnsi" w:cstheme="minorHAnsi" w:hAnsiTheme="minorHAnsi"/>
          <w:color w:val="00000A"/>
        </w:rPr>
        <w:t xml:space="preserve">[http://www.inst.co.uk/clients/jisc/e-portfoliodef.html#origin].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Hager, P, Holland, S &amp; Veckett, B 2002, ‘Enhancing the learning and employability’, position paper no. 9, Melbourne: B-HERT.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Hager, P &amp; Holland, S (ed.) 2006, </w:t>
      </w:r>
      <w:r>
        <w:rPr>
          <w:rFonts w:cs="Calibri" w:ascii="Calibri" w:hAnsi="Calibri" w:asciiTheme="minorHAnsi" w:cstheme="minorHAnsi" w:hAnsiTheme="minorHAnsi"/>
          <w:i/>
          <w:iCs/>
          <w:color w:val="00000A"/>
        </w:rPr>
        <w:t xml:space="preserve">Graduate attributes, learning and employability, </w:t>
      </w:r>
      <w:r>
        <w:rPr>
          <w:rFonts w:cs="Calibri" w:ascii="Calibri" w:hAnsi="Calibri" w:asciiTheme="minorHAnsi" w:cstheme="minorHAnsi" w:hAnsiTheme="minorHAnsi"/>
          <w:color w:val="00000A"/>
        </w:rPr>
        <w:t xml:space="preserve">Springer, Dordrecht.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Hawkridge, D 2005, </w:t>
      </w:r>
      <w:r>
        <w:rPr>
          <w:rFonts w:cs="Calibri" w:ascii="Calibri" w:hAnsi="Calibri" w:asciiTheme="minorHAnsi" w:cstheme="minorHAnsi" w:hAnsiTheme="minorHAnsi"/>
          <w:i/>
          <w:iCs/>
          <w:color w:val="00000A"/>
        </w:rPr>
        <w:t>Enhancing students’ employability: the national scene in business, management and accountancy</w:t>
      </w:r>
      <w:r>
        <w:rPr>
          <w:rFonts w:cs="Calibri" w:ascii="Calibri" w:hAnsi="Calibri" w:asciiTheme="minorHAnsi" w:cstheme="minorHAnsi" w:hAnsiTheme="minorHAnsi"/>
          <w:color w:val="00000A"/>
        </w:rPr>
        <w:t xml:space="preserve">, Higher Education Academy.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Higher Education Funding Council for Wales 2003. </w:t>
      </w:r>
      <w:r>
        <w:rPr>
          <w:rFonts w:cs="Calibri" w:ascii="Calibri" w:hAnsi="Calibri" w:asciiTheme="minorHAnsi" w:cstheme="minorHAnsi" w:hAnsiTheme="minorHAnsi"/>
          <w:i/>
          <w:iCs/>
          <w:color w:val="00000A"/>
        </w:rPr>
        <w:t xml:space="preserve">Work Experience and Employability Plans (WEEPs) 2002-03 (HEFCW/03/58). </w:t>
      </w:r>
      <w:r>
        <w:rPr>
          <w:rFonts w:cs="Calibri" w:ascii="Calibri" w:hAnsi="Calibri" w:asciiTheme="minorHAnsi" w:cstheme="minorHAnsi" w:hAnsiTheme="minorHAnsi"/>
          <w:color w:val="00000A"/>
        </w:rPr>
        <w:t xml:space="preserve">Higher Education Funding Council for Wales.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Howard, J 2005, ‘Knowledge exchange networks in Australia’s innovation system: overview and strategic analysis’, </w:t>
      </w:r>
      <w:r>
        <w:rPr>
          <w:rFonts w:cs="Calibri" w:ascii="Calibri" w:hAnsi="Calibri" w:asciiTheme="minorHAnsi" w:cstheme="minorHAnsi" w:hAnsiTheme="minorHAnsi"/>
          <w:i/>
          <w:iCs/>
          <w:color w:val="00000A"/>
        </w:rPr>
        <w:t>report commissioned by the Department of Education, Science and Training</w:t>
      </w:r>
      <w:r>
        <w:rPr>
          <w:rFonts w:cs="Calibri" w:ascii="Calibri" w:hAnsi="Calibri" w:asciiTheme="minorHAnsi" w:cstheme="minorHAnsi" w:hAnsiTheme="minorHAnsi"/>
          <w:color w:val="00000A"/>
        </w:rPr>
        <w:t xml:space="preserve">, unpublished paper. </w:t>
      </w:r>
    </w:p>
    <w:p>
      <w:pPr>
        <w:pStyle w:val="Default"/>
        <w:spacing w:lineRule="auto" w:line="36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Precision Consultancy Page 75 </w:t>
      </w:r>
      <w:r>
        <w:br w:type="page"/>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James B, Lefoe, G &amp; Hadi, M 2004, ‘Working ‘through’ graduate attributes: a bottom up approach’ , in F Sheehy &amp; B Stauble (eds.) </w:t>
      </w:r>
      <w:r>
        <w:rPr>
          <w:rFonts w:cs="Calibri" w:ascii="Calibri" w:hAnsi="Calibri" w:asciiTheme="minorHAnsi" w:cstheme="minorHAnsi" w:hAnsiTheme="minorHAnsi"/>
          <w:i/>
          <w:iCs/>
          <w:color w:val="00000A"/>
        </w:rPr>
        <w:t>Transforming knowledge into wisdom: holistic approaches to teaching and learning</w:t>
      </w:r>
      <w:r>
        <w:rPr>
          <w:rFonts w:cs="Calibri" w:ascii="Calibri" w:hAnsi="Calibri" w:asciiTheme="minorHAnsi" w:cstheme="minorHAnsi" w:hAnsiTheme="minorHAnsi"/>
          <w:color w:val="00000A"/>
        </w:rPr>
        <w:t xml:space="preserve">, Miri, Sarawak, pp. 174–184, Higher Education Research and Development Society of Australasia HERDSA Conference.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Krasey, D, Jackson A, &amp; McCall, L (s.d.), </w:t>
      </w:r>
      <w:r>
        <w:rPr>
          <w:rFonts w:cs="Calibri" w:ascii="Calibri" w:hAnsi="Calibri" w:asciiTheme="minorHAnsi" w:cstheme="minorHAnsi" w:hAnsiTheme="minorHAnsi"/>
          <w:i/>
          <w:iCs/>
          <w:color w:val="00000A"/>
        </w:rPr>
        <w:t>Project in mapping of graduate attributes into the coursework curriculum</w:t>
      </w:r>
      <w:r>
        <w:rPr>
          <w:rFonts w:cs="Calibri" w:ascii="Calibri" w:hAnsi="Calibri" w:asciiTheme="minorHAnsi" w:cstheme="minorHAnsi" w:hAnsiTheme="minorHAnsi"/>
          <w:color w:val="00000A"/>
        </w:rPr>
        <w:t xml:space="preserve">, Monash University, Faculty of Medicine Nursing and Health Sciences, accessed 27 June 2007 [http://www.med.monash.edu.au/pgrad/docs/graduate-attributes-report-final.doc].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Little B. 2003. </w:t>
      </w:r>
      <w:r>
        <w:rPr>
          <w:rFonts w:cs="Calibri" w:ascii="Calibri" w:hAnsi="Calibri" w:asciiTheme="minorHAnsi" w:cstheme="minorHAnsi" w:hAnsiTheme="minorHAnsi"/>
          <w:i/>
          <w:iCs/>
          <w:color w:val="00000A"/>
        </w:rPr>
        <w:t xml:space="preserve">International Perspectives on Employability, a Briefing paper for the Higher Education Academy. </w:t>
      </w:r>
      <w:r>
        <w:rPr>
          <w:rFonts w:cs="Calibri" w:ascii="Calibri" w:hAnsi="Calibri" w:asciiTheme="minorHAnsi" w:cstheme="minorHAnsi" w:hAnsiTheme="minorHAnsi"/>
          <w:color w:val="00000A"/>
        </w:rPr>
        <w:t xml:space="preserve">Higher Education Academy.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Mason G., Williams G, Cranmer S and Guile D 2003. </w:t>
      </w:r>
      <w:r>
        <w:rPr>
          <w:rFonts w:cs="Calibri" w:ascii="Calibri" w:hAnsi="Calibri" w:asciiTheme="minorHAnsi" w:cstheme="minorHAnsi" w:hAnsiTheme="minorHAnsi"/>
          <w:i/>
          <w:iCs/>
          <w:color w:val="00000A"/>
        </w:rPr>
        <w:t>How much does higher education enhance the employability of graduates?</w:t>
      </w:r>
      <w:r>
        <w:rPr>
          <w:rFonts w:cs="Calibri" w:ascii="Calibri" w:hAnsi="Calibri" w:asciiTheme="minorHAnsi" w:cstheme="minorHAnsi" w:hAnsiTheme="minorHAnsi"/>
          <w:color w:val="00000A"/>
        </w:rPr>
        <w:t xml:space="preserve"> Higher Education Funding Council for England.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Milbourne, R 2006, ‘Compatibility of varied mobility’, </w:t>
      </w:r>
      <w:r>
        <w:rPr>
          <w:rFonts w:cs="Calibri" w:ascii="Calibri" w:hAnsi="Calibri" w:asciiTheme="minorHAnsi" w:cstheme="minorHAnsi" w:hAnsiTheme="minorHAnsi"/>
          <w:i/>
          <w:iCs/>
          <w:color w:val="00000A"/>
        </w:rPr>
        <w:t>The Australian</w:t>
      </w:r>
      <w:r>
        <w:rPr>
          <w:rFonts w:cs="Calibri" w:ascii="Calibri" w:hAnsi="Calibri" w:asciiTheme="minorHAnsi" w:cstheme="minorHAnsi" w:hAnsiTheme="minorHAnsi"/>
          <w:color w:val="00000A"/>
        </w:rPr>
        <w:t xml:space="preserve">, October 11.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Moy, J 1999, </w:t>
      </w:r>
      <w:r>
        <w:rPr>
          <w:rFonts w:cs="Calibri" w:ascii="Calibri" w:hAnsi="Calibri" w:asciiTheme="minorHAnsi" w:cstheme="minorHAnsi" w:hAnsiTheme="minorHAnsi"/>
          <w:i/>
          <w:iCs/>
          <w:color w:val="00000A"/>
        </w:rPr>
        <w:t xml:space="preserve">The impact of generic competencies on workplace </w:t>
      </w:r>
      <w:r>
        <w:rPr>
          <w:rFonts w:cs="Calibri" w:ascii="Calibri" w:hAnsi="Calibri" w:asciiTheme="minorHAnsi" w:cstheme="minorHAnsi" w:hAnsiTheme="minorHAnsi"/>
          <w:color w:val="00000A"/>
        </w:rPr>
        <w:t xml:space="preserve">performance, Review Monograph Series, Adelaide: National Centre for Vocational Education Research.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Rychen &amp; Salganik 2001, ‘Defining and Selecting Key Competencies’, Hogrefe &amp; Huber Publishers.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Sirca, N et al. 2006, ‘The labour market, graduate competences, and study program development: a case study’, </w:t>
      </w:r>
      <w:r>
        <w:rPr>
          <w:rFonts w:cs="Calibri" w:ascii="Calibri" w:hAnsi="Calibri" w:asciiTheme="minorHAnsi" w:cstheme="minorHAnsi" w:hAnsiTheme="minorHAnsi"/>
          <w:i/>
          <w:iCs/>
          <w:color w:val="00000A"/>
        </w:rPr>
        <w:t>Higher Education in Europe</w:t>
      </w:r>
      <w:r>
        <w:rPr>
          <w:rFonts w:cs="Calibri" w:ascii="Calibri" w:hAnsi="Calibri" w:asciiTheme="minorHAnsi" w:cstheme="minorHAnsi" w:hAnsiTheme="minorHAnsi"/>
          <w:color w:val="00000A"/>
        </w:rPr>
        <w:t xml:space="preserve">, 31.1.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Smith C &amp; Bath D 2006, ‘The role of the learning community in the development of discipline knowledge and generic graduate attributes’</w:t>
      </w:r>
      <w:r>
        <w:rPr>
          <w:rFonts w:cs="Calibri" w:ascii="Calibri" w:hAnsi="Calibri" w:asciiTheme="minorHAnsi" w:cstheme="minorHAnsi" w:hAnsiTheme="minorHAnsi"/>
          <w:i/>
          <w:iCs/>
          <w:color w:val="00000A"/>
        </w:rPr>
        <w:t>, Higher Education</w:t>
      </w:r>
      <w:r>
        <w:rPr>
          <w:rFonts w:cs="Calibri" w:ascii="Calibri" w:hAnsi="Calibri" w:asciiTheme="minorHAnsi" w:cstheme="minorHAnsi" w:hAnsiTheme="minorHAnsi"/>
          <w:color w:val="00000A"/>
        </w:rPr>
        <w:t xml:space="preserve">, 51: 259–286. </w:t>
      </w:r>
    </w:p>
    <w:p>
      <w:pPr>
        <w:pStyle w:val="Default"/>
        <w:spacing w:lineRule="auto" w:line="360" w:before="0" w:after="200"/>
        <w:jc w:val="both"/>
        <w:rPr>
          <w:rFonts w:ascii="Calibri" w:hAnsi="Calibri" w:cs="Calibri" w:asciiTheme="minorHAnsi" w:cstheme="minorHAnsi" w:hAnsiTheme="minorHAnsi"/>
          <w:color w:val="00000A"/>
        </w:rPr>
      </w:pPr>
      <w:r>
        <w:rPr>
          <w:rFonts w:cs="Calibri" w:ascii="Calibri" w:hAnsi="Calibri" w:asciiTheme="minorHAnsi" w:cstheme="minorHAnsi" w:hAnsiTheme="minorHAnsi"/>
          <w:color w:val="00000A"/>
        </w:rPr>
        <w:t xml:space="preserve">Sumsion, J &amp; Goodfellow J 2004, ‘Identifying generic skills through curriculum mapping: a critical evaluation’, </w:t>
      </w:r>
      <w:r>
        <w:rPr>
          <w:rFonts w:cs="Calibri" w:ascii="Calibri" w:hAnsi="Calibri" w:asciiTheme="minorHAnsi" w:cstheme="minorHAnsi" w:hAnsiTheme="minorHAnsi"/>
          <w:i/>
          <w:iCs/>
          <w:color w:val="00000A"/>
        </w:rPr>
        <w:t>Higher Education Research and Development</w:t>
      </w:r>
      <w:r>
        <w:rPr>
          <w:rFonts w:cs="Calibri" w:ascii="Calibri" w:hAnsi="Calibri" w:asciiTheme="minorHAnsi" w:cstheme="minorHAnsi" w:hAnsiTheme="minorHAnsi"/>
          <w:color w:val="00000A"/>
        </w:rPr>
        <w:t xml:space="preserve">, 23.3. </w:t>
      </w:r>
    </w:p>
    <w:p>
      <w:pPr>
        <w:pStyle w:val="Normal"/>
        <w:spacing w:lineRule="auto" w:line="360" w:before="0" w:after="0"/>
        <w:jc w:val="both"/>
        <w:rPr>
          <w:rFonts w:cs="Calibri" w:cstheme="minorHAnsi"/>
          <w:sz w:val="24"/>
          <w:szCs w:val="24"/>
        </w:rPr>
      </w:pPr>
      <w:r>
        <w:rPr>
          <w:rFonts w:cs="Calibri" w:cstheme="minorHAnsi"/>
          <w:sz w:val="24"/>
          <w:szCs w:val="24"/>
        </w:rPr>
        <w:t xml:space="preserve">Universities Scotland 2002. </w:t>
      </w:r>
      <w:r>
        <w:rPr>
          <w:rFonts w:cs="Calibri" w:cstheme="minorHAnsi"/>
          <w:i/>
          <w:iCs/>
          <w:sz w:val="24"/>
          <w:szCs w:val="24"/>
        </w:rPr>
        <w:t xml:space="preserve">‘Getting ready for work: employability and higher education’. </w:t>
      </w:r>
      <w:r>
        <w:rPr>
          <w:rFonts w:cs="Calibri" w:cstheme="minorHAnsi"/>
          <w:sz w:val="24"/>
          <w:szCs w:val="24"/>
        </w:rPr>
        <w:t>Universities Scotland</w:t>
      </w:r>
    </w:p>
    <w:p>
      <w:pPr>
        <w:pStyle w:val="Normal"/>
        <w:spacing w:lineRule="auto" w:line="360" w:before="0" w:after="0"/>
        <w:jc w:val="both"/>
        <w:rPr>
          <w:rFonts w:cs="Calibri" w:cstheme="minorHAnsi"/>
          <w:sz w:val="24"/>
          <w:szCs w:val="24"/>
        </w:rPr>
      </w:pPr>
      <w:r>
        <w:rPr>
          <w:rFonts w:cs="Calibri" w:cstheme="minorHAnsi"/>
          <w:sz w:val="24"/>
          <w:szCs w:val="24"/>
        </w:rPr>
      </w:r>
    </w:p>
    <w:p>
      <w:pPr>
        <w:pStyle w:val="Normal"/>
        <w:spacing w:lineRule="auto" w:line="360" w:before="0" w:after="0"/>
        <w:jc w:val="both"/>
        <w:rPr>
          <w:rFonts w:cs="Calibri" w:cstheme="minorHAnsi"/>
          <w:sz w:val="24"/>
          <w:szCs w:val="24"/>
        </w:rPr>
      </w:pPr>
      <w:r>
        <w:rPr>
          <w:rFonts w:cs="Calibri" w:cstheme="minorHAnsi"/>
          <w:sz w:val="24"/>
          <w:szCs w:val="24"/>
        </w:rPr>
        <w:t xml:space="preserve">ALTC. (2011). </w:t>
      </w:r>
      <w:r>
        <w:rPr>
          <w:rFonts w:cs="Calibri" w:cstheme="minorHAnsi"/>
          <w:i/>
          <w:iCs/>
          <w:sz w:val="24"/>
          <w:szCs w:val="24"/>
        </w:rPr>
        <w:t>Engaging industry: Embedding professional learning in the business curriculum</w:t>
      </w:r>
      <w:r>
        <w:rPr>
          <w:rFonts w:cs="Calibri" w:cstheme="minorHAnsi"/>
          <w:sz w:val="24"/>
          <w:szCs w:val="24"/>
        </w:rPr>
        <w:t>.</w:t>
      </w:r>
    </w:p>
    <w:p>
      <w:pPr>
        <w:pStyle w:val="Normal"/>
        <w:spacing w:lineRule="auto" w:line="360" w:before="0" w:after="0"/>
        <w:jc w:val="both"/>
        <w:rPr>
          <w:rFonts w:cs="Calibri" w:cstheme="minorHAnsi"/>
          <w:sz w:val="24"/>
          <w:szCs w:val="24"/>
        </w:rPr>
      </w:pPr>
      <w:r>
        <w:rPr>
          <w:rFonts w:cs="Calibri" w:cstheme="minorHAnsi"/>
          <w:sz w:val="24"/>
          <w:szCs w:val="24"/>
        </w:rPr>
        <w:t>http://www.altc.edu.au/resource-engaging-industry-embedding-vu-2011</w:t>
      </w:r>
    </w:p>
    <w:p>
      <w:pPr>
        <w:pStyle w:val="Normal"/>
        <w:spacing w:lineRule="auto" w:line="360" w:before="0" w:after="0"/>
        <w:jc w:val="both"/>
        <w:rPr>
          <w:rFonts w:cs="Calibri" w:cstheme="minorHAnsi"/>
          <w:sz w:val="24"/>
          <w:szCs w:val="24"/>
        </w:rPr>
      </w:pPr>
      <w:r>
        <w:rPr>
          <w:rFonts w:cs="Calibri" w:cstheme="minorHAnsi"/>
          <w:sz w:val="24"/>
          <w:szCs w:val="24"/>
        </w:rPr>
        <w:t>Cox, S. &amp; King, D. (2006). Skill sets: An approach to embed employability in course design.</w:t>
      </w:r>
    </w:p>
    <w:p>
      <w:pPr>
        <w:pStyle w:val="Normal"/>
        <w:spacing w:lineRule="auto" w:line="360" w:before="0" w:after="0"/>
        <w:jc w:val="both"/>
        <w:rPr>
          <w:rFonts w:cs="Calibri" w:cstheme="minorHAnsi"/>
          <w:sz w:val="24"/>
          <w:szCs w:val="24"/>
        </w:rPr>
      </w:pPr>
      <w:r>
        <w:rPr>
          <w:rFonts w:cs="Calibri" w:cstheme="minorHAnsi"/>
          <w:i/>
          <w:iCs/>
          <w:sz w:val="24"/>
          <w:szCs w:val="24"/>
        </w:rPr>
        <w:t>Education &amp; Training, 48</w:t>
      </w:r>
      <w:r>
        <w:rPr>
          <w:rFonts w:cs="Calibri" w:cstheme="minorHAnsi"/>
          <w:sz w:val="24"/>
          <w:szCs w:val="24"/>
        </w:rPr>
        <w:t>(4), 262-262-274. http://dx.doi.org/10.1108/00400910610671933</w:t>
      </w:r>
    </w:p>
    <w:p>
      <w:pPr>
        <w:pStyle w:val="Normal"/>
        <w:spacing w:lineRule="auto" w:line="360" w:before="0" w:after="0"/>
        <w:jc w:val="both"/>
        <w:rPr>
          <w:rFonts w:cs="Calibri" w:cstheme="minorHAnsi"/>
          <w:sz w:val="24"/>
          <w:szCs w:val="24"/>
        </w:rPr>
      </w:pPr>
      <w:r>
        <w:rPr>
          <w:rFonts w:cs="Calibri" w:cstheme="minorHAnsi"/>
          <w:sz w:val="24"/>
          <w:szCs w:val="24"/>
        </w:rPr>
        <w:t xml:space="preserve">DEST. (2002). </w:t>
      </w:r>
      <w:r>
        <w:rPr>
          <w:rFonts w:cs="Calibri" w:cstheme="minorHAnsi"/>
          <w:i/>
          <w:iCs/>
          <w:sz w:val="24"/>
          <w:szCs w:val="24"/>
        </w:rPr>
        <w:t>Employability skills for the future</w:t>
      </w:r>
      <w:r>
        <w:rPr>
          <w:rFonts w:cs="Calibri" w:cstheme="minorHAnsi"/>
          <w:sz w:val="24"/>
          <w:szCs w:val="24"/>
        </w:rPr>
        <w:t>. Retrieved 30 August, 2011 from</w:t>
      </w:r>
    </w:p>
    <w:p>
      <w:pPr>
        <w:pStyle w:val="Normal"/>
        <w:spacing w:lineRule="auto" w:line="360" w:before="0" w:after="0"/>
        <w:jc w:val="both"/>
        <w:rPr>
          <w:rFonts w:cs="Calibri" w:cstheme="minorHAnsi"/>
          <w:sz w:val="24"/>
          <w:szCs w:val="24"/>
        </w:rPr>
      </w:pPr>
      <w:r>
        <w:rPr>
          <w:rFonts w:cs="Calibri" w:cstheme="minorHAnsi"/>
          <w:sz w:val="24"/>
          <w:szCs w:val="24"/>
        </w:rPr>
        <w:t>http://www.dest.gov.au/archive/ty/publications/employability_skills/final_report.pdf</w:t>
      </w:r>
    </w:p>
    <w:p>
      <w:pPr>
        <w:pStyle w:val="Normal"/>
        <w:spacing w:lineRule="auto" w:line="360" w:before="0" w:after="0"/>
        <w:rPr>
          <w:rFonts w:cs="Calibri" w:cstheme="minorHAnsi"/>
          <w:sz w:val="24"/>
          <w:szCs w:val="24"/>
        </w:rPr>
      </w:pPr>
      <w:r>
        <w:rPr>
          <w:rFonts w:cs="Calibri" w:cstheme="minorHAnsi"/>
          <w:sz w:val="24"/>
          <w:szCs w:val="24"/>
        </w:rPr>
        <w:t>DEST. (2007). Graduate employability skills. [viewed 30 Aug 2011] http://www.dest.gov.au/NR/rdon</w:t>
      </w:r>
    </w:p>
    <w:p>
      <w:pPr>
        <w:pStyle w:val="Normal"/>
        <w:spacing w:lineRule="auto" w:line="360" w:before="0" w:after="0"/>
        <w:jc w:val="both"/>
        <w:rPr>
          <w:rFonts w:cs="Calibri" w:cstheme="minorHAnsi"/>
          <w:sz w:val="24"/>
          <w:szCs w:val="24"/>
        </w:rPr>
      </w:pPr>
      <w:r>
        <w:rPr>
          <w:rFonts w:cs="Calibri" w:cstheme="minorHAnsi"/>
          <w:sz w:val="24"/>
          <w:szCs w:val="24"/>
        </w:rPr>
        <w:t>lyres/E58EFDBE-BA83-430E2E91BCB59DF1/20214/GraduateEmployabilitySkillsFINALREPORT1.pdf</w:t>
      </w:r>
    </w:p>
    <w:p>
      <w:pPr>
        <w:pStyle w:val="Normal"/>
        <w:spacing w:lineRule="auto" w:line="360" w:before="0" w:after="0"/>
        <w:jc w:val="both"/>
        <w:rPr>
          <w:rFonts w:cs="Calibri" w:cstheme="minorHAnsi"/>
          <w:sz w:val="24"/>
          <w:szCs w:val="24"/>
        </w:rPr>
      </w:pPr>
      <w:r>
        <w:rPr>
          <w:rFonts w:cs="Calibri" w:cstheme="minorHAnsi"/>
          <w:sz w:val="24"/>
          <w:szCs w:val="24"/>
        </w:rPr>
        <w:t>DEST. (2004). Training Packages at Work. Retrieved 30 August, 2011 from</w:t>
      </w:r>
    </w:p>
    <w:p>
      <w:pPr>
        <w:pStyle w:val="Normal"/>
        <w:spacing w:lineRule="auto" w:line="360" w:before="0" w:after="0"/>
        <w:jc w:val="both"/>
        <w:rPr>
          <w:rFonts w:cs="Calibri" w:cstheme="minorHAnsi"/>
          <w:sz w:val="24"/>
          <w:szCs w:val="24"/>
        </w:rPr>
      </w:pPr>
      <w:r>
        <w:rPr>
          <w:rFonts w:cs="Calibri" w:cstheme="minorHAnsi"/>
          <w:sz w:val="24"/>
          <w:szCs w:val="24"/>
        </w:rPr>
        <w:t>http://www.tpatwork.com/ViewArticle.asp?articleid=1310</w:t>
      </w:r>
    </w:p>
    <w:p>
      <w:pPr>
        <w:pStyle w:val="Normal"/>
        <w:spacing w:lineRule="auto" w:line="360" w:before="0" w:after="0"/>
        <w:jc w:val="both"/>
        <w:rPr>
          <w:rFonts w:cs="Calibri" w:cstheme="minorHAnsi"/>
          <w:sz w:val="24"/>
          <w:szCs w:val="24"/>
        </w:rPr>
      </w:pPr>
      <w:r>
        <w:rPr>
          <w:rFonts w:cs="Calibri" w:cstheme="minorHAnsi"/>
          <w:sz w:val="24"/>
          <w:szCs w:val="24"/>
        </w:rPr>
        <w:t xml:space="preserve">Enright, M. K. &amp; Gitomer, D. (1989). </w:t>
      </w:r>
      <w:r>
        <w:rPr>
          <w:rFonts w:cs="Calibri" w:cstheme="minorHAnsi"/>
          <w:i/>
          <w:iCs/>
          <w:sz w:val="24"/>
          <w:szCs w:val="24"/>
        </w:rPr>
        <w:t>Toward a description of successful graduate students</w:t>
      </w:r>
      <w:r>
        <w:rPr>
          <w:rFonts w:cs="Calibri" w:cstheme="minorHAnsi"/>
          <w:sz w:val="24"/>
          <w:szCs w:val="24"/>
        </w:rPr>
        <w:t>. GRE</w:t>
      </w:r>
    </w:p>
    <w:p>
      <w:pPr>
        <w:pStyle w:val="Normal"/>
        <w:spacing w:lineRule="auto" w:line="360" w:before="0" w:after="0"/>
        <w:jc w:val="both"/>
        <w:rPr>
          <w:rFonts w:cs="Calibri" w:cstheme="minorHAnsi"/>
          <w:sz w:val="24"/>
          <w:szCs w:val="24"/>
        </w:rPr>
      </w:pPr>
      <w:r>
        <w:rPr>
          <w:rFonts w:cs="Calibri" w:cstheme="minorHAnsi"/>
          <w:sz w:val="24"/>
          <w:szCs w:val="24"/>
        </w:rPr>
        <w:t>Board Research Report No. 85-17RET Research Report 89-9. Princeton: NJ.</w:t>
      </w:r>
    </w:p>
    <w:p>
      <w:pPr>
        <w:pStyle w:val="Normal"/>
        <w:spacing w:lineRule="auto" w:line="360" w:before="0" w:after="0"/>
        <w:jc w:val="both"/>
        <w:rPr>
          <w:rFonts w:cs="Calibri" w:cstheme="minorHAnsi"/>
          <w:sz w:val="24"/>
          <w:szCs w:val="24"/>
        </w:rPr>
      </w:pPr>
      <w:r>
        <w:rPr>
          <w:rFonts w:cs="Calibri" w:cstheme="minorHAnsi"/>
          <w:sz w:val="24"/>
          <w:szCs w:val="24"/>
        </w:rPr>
        <w:t>Grehan, P. M., Flanagan, R. &amp; Malgady, R. G. (2011), Successful graduate students: The roles of personality traits and emotional intelligence. Psychology in the Schools, 48, 317–331.</w:t>
      </w:r>
    </w:p>
    <w:p>
      <w:pPr>
        <w:pStyle w:val="Normal"/>
        <w:spacing w:lineRule="auto" w:line="360" w:before="0" w:after="0"/>
        <w:jc w:val="both"/>
        <w:rPr>
          <w:rFonts w:cs="Calibri" w:cstheme="minorHAnsi"/>
          <w:sz w:val="24"/>
          <w:szCs w:val="24"/>
        </w:rPr>
      </w:pPr>
      <w:r>
        <w:rPr>
          <w:rFonts w:cs="Calibri" w:cstheme="minorHAnsi"/>
          <w:sz w:val="24"/>
          <w:szCs w:val="24"/>
        </w:rPr>
        <w:t>http://dx.doi.org/10.1002/pits.20556</w:t>
      </w:r>
    </w:p>
    <w:p>
      <w:pPr>
        <w:pStyle w:val="Normal"/>
        <w:spacing w:lineRule="auto" w:line="360" w:before="0" w:after="0"/>
        <w:jc w:val="both"/>
        <w:rPr>
          <w:rFonts w:cs="Calibri" w:cstheme="minorHAnsi"/>
          <w:i/>
          <w:i/>
          <w:iCs/>
          <w:sz w:val="24"/>
          <w:szCs w:val="24"/>
        </w:rPr>
      </w:pPr>
      <w:r>
        <w:rPr>
          <w:rFonts w:cs="Calibri" w:cstheme="minorHAnsi"/>
          <w:sz w:val="24"/>
          <w:szCs w:val="24"/>
        </w:rPr>
        <w:t xml:space="preserve">Knight, P.T. &amp; Yorke, M. (2002) Employability through the curriculum. </w:t>
      </w:r>
      <w:r>
        <w:rPr>
          <w:rFonts w:cs="Calibri" w:cstheme="minorHAnsi"/>
          <w:i/>
          <w:iCs/>
          <w:sz w:val="24"/>
          <w:szCs w:val="24"/>
        </w:rPr>
        <w:t>Tertiary Education and</w:t>
      </w:r>
    </w:p>
    <w:p>
      <w:pPr>
        <w:pStyle w:val="Normal"/>
        <w:spacing w:lineRule="auto" w:line="360" w:before="0" w:after="0"/>
        <w:jc w:val="both"/>
        <w:rPr>
          <w:rFonts w:cs="Calibri" w:cstheme="minorHAnsi"/>
          <w:sz w:val="24"/>
          <w:szCs w:val="24"/>
        </w:rPr>
      </w:pPr>
      <w:r>
        <w:rPr>
          <w:rFonts w:cs="Calibri" w:cstheme="minorHAnsi"/>
          <w:i/>
          <w:iCs/>
          <w:sz w:val="24"/>
          <w:szCs w:val="24"/>
        </w:rPr>
        <w:t>Management, 8</w:t>
      </w:r>
      <w:r>
        <w:rPr>
          <w:rFonts w:cs="Calibri" w:cstheme="minorHAnsi"/>
          <w:sz w:val="24"/>
          <w:szCs w:val="24"/>
        </w:rPr>
        <w:t>, 261-276.</w:t>
      </w:r>
    </w:p>
    <w:p>
      <w:pPr>
        <w:pStyle w:val="Normal"/>
        <w:spacing w:lineRule="auto" w:line="360" w:before="0" w:after="0"/>
        <w:jc w:val="both"/>
        <w:rPr>
          <w:rFonts w:cs="Calibri" w:cstheme="minorHAnsi"/>
          <w:sz w:val="24"/>
          <w:szCs w:val="24"/>
        </w:rPr>
      </w:pPr>
      <w:r>
        <w:rPr>
          <w:rFonts w:cs="Calibri" w:cstheme="minorHAnsi"/>
          <w:sz w:val="24"/>
          <w:szCs w:val="24"/>
        </w:rPr>
        <w:t xml:space="preserve">Knight, P.T. &amp; Yorke, M. (2006). </w:t>
      </w:r>
      <w:r>
        <w:rPr>
          <w:rFonts w:cs="Calibri" w:cstheme="minorHAnsi"/>
          <w:i/>
          <w:iCs/>
          <w:sz w:val="24"/>
          <w:szCs w:val="24"/>
        </w:rPr>
        <w:t>Embedding employability into the curriculum</w:t>
      </w:r>
      <w:r>
        <w:rPr>
          <w:rFonts w:cs="Calibri" w:cstheme="minorHAnsi"/>
          <w:sz w:val="24"/>
          <w:szCs w:val="24"/>
        </w:rPr>
        <w:t>. York: The Higher</w:t>
      </w:r>
    </w:p>
    <w:p>
      <w:pPr>
        <w:pStyle w:val="Normal"/>
        <w:spacing w:lineRule="auto" w:line="360" w:before="0" w:after="0"/>
        <w:jc w:val="both"/>
        <w:rPr>
          <w:rFonts w:cs="Calibri" w:cstheme="minorHAnsi"/>
          <w:sz w:val="24"/>
          <w:szCs w:val="24"/>
        </w:rPr>
      </w:pPr>
      <w:r>
        <w:rPr>
          <w:rFonts w:cs="Calibri" w:cstheme="minorHAnsi"/>
          <w:sz w:val="24"/>
          <w:szCs w:val="24"/>
        </w:rPr>
        <w:t>Education Academy. Retrieved 14 November, 2011 from</w:t>
      </w:r>
    </w:p>
    <w:p>
      <w:pPr>
        <w:pStyle w:val="Normal"/>
        <w:spacing w:lineRule="auto" w:line="360" w:before="0" w:after="0"/>
        <w:jc w:val="both"/>
        <w:rPr>
          <w:rFonts w:cs="Calibri" w:cstheme="minorHAnsi"/>
          <w:sz w:val="24"/>
          <w:szCs w:val="24"/>
        </w:rPr>
      </w:pPr>
      <w:r>
        <w:rPr>
          <w:rFonts w:cs="Calibri" w:cstheme="minorHAnsi"/>
          <w:sz w:val="24"/>
          <w:szCs w:val="24"/>
        </w:rPr>
        <w:t>http://www.heacademy.ac.uk/assets/documents/employability/id460_embedding_employability_</w:t>
      </w:r>
    </w:p>
    <w:p>
      <w:pPr>
        <w:pStyle w:val="Normal"/>
        <w:spacing w:lineRule="auto" w:line="360" w:before="0" w:after="0"/>
        <w:jc w:val="both"/>
        <w:rPr>
          <w:rFonts w:cs="Calibri" w:cstheme="minorHAnsi"/>
          <w:sz w:val="24"/>
          <w:szCs w:val="24"/>
        </w:rPr>
      </w:pPr>
      <w:r>
        <w:rPr>
          <w:rFonts w:cs="Calibri" w:cstheme="minorHAnsi"/>
          <w:sz w:val="24"/>
          <w:szCs w:val="24"/>
        </w:rPr>
        <w:t>into_the_curriculum_338.pdf</w:t>
      </w:r>
    </w:p>
    <w:p>
      <w:pPr>
        <w:pStyle w:val="Normal"/>
        <w:spacing w:lineRule="auto" w:line="360" w:before="0" w:after="0"/>
        <w:jc w:val="both"/>
        <w:rPr>
          <w:rFonts w:cs="Calibri" w:cstheme="minorHAnsi"/>
          <w:i/>
          <w:i/>
          <w:iCs/>
          <w:sz w:val="24"/>
          <w:szCs w:val="24"/>
        </w:rPr>
      </w:pPr>
      <w:r>
        <w:rPr>
          <w:rFonts w:cs="Calibri" w:cstheme="minorHAnsi"/>
          <w:sz w:val="24"/>
          <w:szCs w:val="24"/>
        </w:rPr>
        <w:t xml:space="preserve">Mayer, E. (Chair). (1992). </w:t>
      </w:r>
      <w:r>
        <w:rPr>
          <w:rFonts w:cs="Calibri" w:cstheme="minorHAnsi"/>
          <w:i/>
          <w:iCs/>
          <w:sz w:val="24"/>
          <w:szCs w:val="24"/>
        </w:rPr>
        <w:t>Report of the Committee to Advise the Australian Education Council and</w:t>
      </w:r>
    </w:p>
    <w:p>
      <w:pPr>
        <w:pStyle w:val="Normal"/>
        <w:spacing w:lineRule="auto" w:line="360" w:before="0" w:after="0"/>
        <w:jc w:val="both"/>
        <w:rPr>
          <w:rFonts w:cs="Calibri" w:cstheme="minorHAnsi"/>
          <w:i/>
          <w:i/>
          <w:iCs/>
          <w:sz w:val="24"/>
          <w:szCs w:val="24"/>
        </w:rPr>
      </w:pPr>
      <w:r>
        <w:rPr>
          <w:rFonts w:cs="Calibri" w:cstheme="minorHAnsi"/>
          <w:i/>
          <w:iCs/>
          <w:sz w:val="24"/>
          <w:szCs w:val="24"/>
        </w:rPr>
        <w:t>Ministers of Vocational Education, Employment and Training on Employment-Related Key</w:t>
      </w:r>
    </w:p>
    <w:p>
      <w:pPr>
        <w:pStyle w:val="Normal"/>
        <w:spacing w:lineRule="auto" w:line="360" w:before="0" w:after="0"/>
        <w:jc w:val="both"/>
        <w:rPr>
          <w:rFonts w:cs="Calibri" w:cstheme="minorHAnsi"/>
          <w:sz w:val="24"/>
          <w:szCs w:val="24"/>
        </w:rPr>
      </w:pPr>
      <w:r>
        <w:rPr>
          <w:rFonts w:cs="Calibri" w:cstheme="minorHAnsi"/>
          <w:i/>
          <w:iCs/>
          <w:sz w:val="24"/>
          <w:szCs w:val="24"/>
        </w:rPr>
        <w:t xml:space="preserve">Competencies for Post Compulsory Education and Training, </w:t>
      </w:r>
      <w:r>
        <w:rPr>
          <w:rFonts w:cs="Calibri" w:cstheme="minorHAnsi"/>
          <w:sz w:val="24"/>
          <w:szCs w:val="24"/>
        </w:rPr>
        <w:t>September 1992, Carlton South,</w:t>
      </w:r>
    </w:p>
    <w:p>
      <w:pPr>
        <w:pStyle w:val="Normal"/>
        <w:spacing w:lineRule="auto" w:line="360" w:before="0" w:after="0"/>
        <w:jc w:val="both"/>
        <w:rPr>
          <w:rFonts w:cs="Calibri" w:cstheme="minorHAnsi"/>
          <w:sz w:val="24"/>
          <w:szCs w:val="24"/>
        </w:rPr>
      </w:pPr>
      <w:r>
        <w:rPr>
          <w:rFonts w:cs="Calibri" w:cstheme="minorHAnsi"/>
          <w:sz w:val="24"/>
          <w:szCs w:val="24"/>
        </w:rPr>
        <w:t>Australian Education Council</w:t>
      </w:r>
    </w:p>
    <w:p>
      <w:pPr>
        <w:pStyle w:val="Normal"/>
        <w:spacing w:lineRule="auto" w:line="360" w:before="0" w:after="0"/>
        <w:jc w:val="both"/>
        <w:rPr>
          <w:rFonts w:cs="Calibri" w:cstheme="minorHAnsi"/>
          <w:sz w:val="24"/>
          <w:szCs w:val="24"/>
        </w:rPr>
      </w:pPr>
      <w:r>
        <w:rPr>
          <w:rFonts w:cs="Calibri" w:cstheme="minorHAnsi"/>
          <w:sz w:val="24"/>
          <w:szCs w:val="24"/>
        </w:rPr>
        <w:t>Miles, J.J., Cairns, S. &amp; Huston, M. (2002). Seven Habits of Successful Students. Counselling Centre,</w:t>
      </w:r>
    </w:p>
    <w:p>
      <w:pPr>
        <w:pStyle w:val="Normal"/>
        <w:spacing w:lineRule="auto" w:line="360" w:before="0" w:after="0"/>
        <w:jc w:val="both"/>
        <w:rPr>
          <w:rFonts w:cs="Calibri" w:cstheme="minorHAnsi"/>
          <w:sz w:val="24"/>
          <w:szCs w:val="24"/>
        </w:rPr>
      </w:pPr>
      <w:r>
        <w:rPr>
          <w:rFonts w:cs="Calibri" w:cstheme="minorHAnsi"/>
          <w:sz w:val="24"/>
          <w:szCs w:val="24"/>
        </w:rPr>
        <w:t>University of Calgary. Retrieved from</w:t>
      </w:r>
    </w:p>
    <w:p>
      <w:pPr>
        <w:pStyle w:val="Normal"/>
        <w:spacing w:lineRule="auto" w:line="360" w:before="0" w:after="0"/>
        <w:jc w:val="both"/>
        <w:rPr>
          <w:rFonts w:cs="Calibri" w:cstheme="minorHAnsi"/>
          <w:sz w:val="24"/>
          <w:szCs w:val="24"/>
        </w:rPr>
      </w:pPr>
      <w:r>
        <w:rPr>
          <w:rFonts w:cs="Calibri" w:cstheme="minorHAnsi"/>
          <w:sz w:val="24"/>
          <w:szCs w:val="24"/>
        </w:rPr>
        <w:t>http://www.ucalgary.ca/counselling/academicsuccess/studyskills/sevenhabits</w:t>
      </w:r>
    </w:p>
    <w:p>
      <w:pPr>
        <w:pStyle w:val="Normal"/>
        <w:spacing w:lineRule="auto" w:line="360" w:before="0" w:after="0"/>
        <w:jc w:val="both"/>
        <w:rPr>
          <w:rFonts w:cs="Calibri" w:cstheme="minorHAnsi"/>
          <w:sz w:val="24"/>
          <w:szCs w:val="24"/>
        </w:rPr>
      </w:pPr>
      <w:r>
        <w:rPr>
          <w:rFonts w:cs="Calibri" w:cstheme="minorHAnsi"/>
          <w:sz w:val="24"/>
          <w:szCs w:val="24"/>
        </w:rPr>
        <w:t>Zimmerman, B., Banduras, A., &amp; Martinez- Pons, M. (1992). Self-motivation for academic</w:t>
      </w:r>
    </w:p>
    <w:p>
      <w:pPr>
        <w:pStyle w:val="Normal"/>
        <w:spacing w:lineRule="auto" w:line="360" w:before="0" w:after="0"/>
        <w:jc w:val="both"/>
        <w:rPr>
          <w:rFonts w:cs="Calibri" w:cstheme="minorHAnsi"/>
          <w:i/>
          <w:i/>
          <w:iCs/>
          <w:sz w:val="24"/>
          <w:szCs w:val="24"/>
        </w:rPr>
      </w:pPr>
      <w:r>
        <w:rPr>
          <w:rFonts w:cs="Calibri" w:cstheme="minorHAnsi"/>
          <w:sz w:val="24"/>
          <w:szCs w:val="24"/>
        </w:rPr>
        <w:t xml:space="preserve">attainment: The role of self-efficacy beliefs and personal goal setting. </w:t>
      </w:r>
      <w:r>
        <w:rPr>
          <w:rFonts w:cs="Calibri" w:cstheme="minorHAnsi"/>
          <w:i/>
          <w:iCs/>
          <w:sz w:val="24"/>
          <w:szCs w:val="24"/>
        </w:rPr>
        <w:t>American Educational</w:t>
      </w:r>
    </w:p>
    <w:p>
      <w:pPr>
        <w:pStyle w:val="Normal"/>
        <w:spacing w:lineRule="auto" w:line="360" w:before="0" w:after="0"/>
        <w:jc w:val="both"/>
        <w:rPr>
          <w:rFonts w:cs="Calibri" w:cstheme="minorHAnsi"/>
          <w:sz w:val="24"/>
          <w:szCs w:val="24"/>
        </w:rPr>
      </w:pPr>
      <w:r>
        <w:rPr>
          <w:rFonts w:cs="Calibri" w:cstheme="minorHAnsi"/>
          <w:i/>
          <w:iCs/>
          <w:sz w:val="24"/>
          <w:szCs w:val="24"/>
        </w:rPr>
        <w:t>Research Journal. 29</w:t>
      </w:r>
      <w:r>
        <w:rPr>
          <w:rFonts w:cs="Calibri" w:cstheme="minorHAnsi"/>
          <w:sz w:val="24"/>
          <w:szCs w:val="24"/>
        </w:rPr>
        <w:t>(3), 663-676.</w:t>
      </w:r>
    </w:p>
    <w:p>
      <w:pPr>
        <w:pStyle w:val="Normal"/>
        <w:rPr/>
      </w:pPr>
      <w:r>
        <w:rPr/>
      </w:r>
    </w:p>
    <w:p>
      <w:pPr>
        <w:pStyle w:val="Normal"/>
        <w:spacing w:lineRule="auto" w:line="360" w:before="0" w:after="0"/>
        <w:jc w:val="both"/>
        <w:rPr/>
      </w:pPr>
      <w:r>
        <w:rPr/>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Light">
    <w:charset w:val="00"/>
    <w:family w:val="roman"/>
    <w:pitch w:val="variable"/>
  </w:font>
  <w:font w:name="Liberation Sans">
    <w:altName w:val="Arial"/>
    <w:charset w:val="00"/>
    <w:family w:val="swiss"/>
    <w:pitch w:val="variable"/>
  </w:font>
  <w:font w:name="Times New Roman">
    <w:altName w:val="serif"/>
    <w:charset w:val="00"/>
    <w:family w:val="auto"/>
    <w:pitch w:val="default"/>
  </w:font>
  <w:font w:name="TimesNewRomanPSMT">
    <w:charset w:val="00"/>
    <w:family w:val="roman"/>
    <w:pitch w:val="variable"/>
  </w:font>
  <w:font w:name="Arial-BoldMT">
    <w:charset w:val="00"/>
    <w:family w:val="roman"/>
    <w:pitch w:val="variable"/>
  </w:font>
  <w:font w:name="Calibri">
    <w:charset w:val="00"/>
    <w:family w:val="roman"/>
    <w:pitch w:val="variable"/>
  </w:font>
  <w:font w:name="TimesNewRomanPSMT">
    <w:charset w:val="01"/>
    <w:family w:val="auto"/>
    <w:pitch w:val="default"/>
  </w:font>
  <w:font w:name="Wingdings">
    <w:charset w:val="02"/>
    <w:family w:val="auto"/>
    <w:pitch w:val="variable"/>
  </w:font>
  <w:font w:name="Courier New">
    <w:charset w:val="01"/>
    <w:family w:val="modern"/>
    <w:pitch w:val="fixed"/>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
      <w:lvlJc w:val="left"/>
      <w:pPr>
        <w:ind w:left="1440" w:hanging="360"/>
      </w:pPr>
      <w:rPr>
        <w:rFonts w:ascii="TimesNewRomanPSMT" w:hAnsi="TimesNewRomanPSMT" w:cs="TimesNewRomanPSMT" w:hint="default"/>
        <w:rFonts w:cs="TimesNewRomanPSM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num w:numId="1">
    <w:abstractNumId w:val="1"/>
  </w:num>
  <w:num w:numId="2">
    <w:abstractNumId w:val="2"/>
  </w:num>
</w:numbering>
</file>

<file path=word/settings.xml><?xml version="1.0" encoding="utf-8"?>
<w:settings xmlns:w="http://schemas.openxmlformats.org/wordprocessingml/2006/main">
  <w:zoom w:percent="10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kern w:val="2"/>
        <w:sz w:val="24"/>
        <w:szCs w:val="24"/>
        <w:lang w:val="en-GB" w:eastAsia="zh-CN" w:bidi="hi-IN"/>
      </w:rPr>
    </w:rPrDefault>
    <w:pPrDefault>
      <w:pPr>
        <w:widowControl/>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kinsoku w:val="true"/>
      <w:overflowPunct w:val="true"/>
      <w:autoSpaceDE w:val="true"/>
      <w:bidi w:val="0"/>
      <w:spacing w:lineRule="auto" w:line="259" w:before="0" w:after="160"/>
      <w:jc w:val="left"/>
    </w:pPr>
    <w:rPr>
      <w:rFonts w:ascii="Liberation Serif" w:hAnsi="Liberation Serif" w:eastAsia="SimSun" w:cs="Arial"/>
      <w:color w:val="auto"/>
      <w:kern w:val="2"/>
      <w:sz w:val="24"/>
      <w:szCs w:val="24"/>
      <w:lang w:val="en-GB" w:eastAsia="zh-CN" w:bidi="hi-IN"/>
    </w:rPr>
  </w:style>
  <w:style w:type="paragraph" w:styleId="Heading1">
    <w:name w:val="Heading 1"/>
    <w:basedOn w:val="Normal"/>
    <w:next w:val="Normal"/>
    <w:link w:val="Heading1Char"/>
    <w:uiPriority w:val="9"/>
    <w:qFormat/>
    <w:rsid w:val="00876a9c"/>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876a9c"/>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paragraph" w:styleId="Heading3">
    <w:name w:val="Heading 3"/>
    <w:basedOn w:val="Normal"/>
    <w:next w:val="Normal"/>
    <w:qFormat/>
    <w:pPr>
      <w:keepNext w:val="true"/>
      <w:keepLines/>
      <w:numPr>
        <w:ilvl w:val="0"/>
        <w:numId w:val="0"/>
      </w:numPr>
      <w:spacing w:before="40" w:after="0"/>
      <w:outlineLvl w:val="2"/>
    </w:pPr>
    <w:rPr>
      <w:rFonts w:ascii="Calibri Light" w:hAnsi="Calibri Light" w:eastAsia="SimSun" w:cs="Vrinda"/>
      <w:color w:val="1F4D78"/>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76a9c"/>
    <w:rPr>
      <w:rFonts w:ascii="Calibri Light" w:hAnsi="Calibri Light" w:eastAsia="" w:cs="" w:asciiTheme="majorHAnsi" w:cstheme="majorBidi" w:eastAsiaTheme="majorEastAsia" w:hAnsiTheme="majorHAnsi"/>
      <w:color w:val="2E74B5" w:themeColor="accent1" w:themeShade="bf"/>
      <w:sz w:val="32"/>
      <w:szCs w:val="32"/>
    </w:rPr>
  </w:style>
  <w:style w:type="character" w:styleId="Heading2Char" w:customStyle="1">
    <w:name w:val="Heading 2 Char"/>
    <w:basedOn w:val="DefaultParagraphFont"/>
    <w:link w:val="Heading2"/>
    <w:uiPriority w:val="9"/>
    <w:qFormat/>
    <w:rsid w:val="00876a9c"/>
    <w:rPr>
      <w:rFonts w:ascii="Calibri Light" w:hAnsi="Calibri Light" w:eastAsia="" w:cs="" w:asciiTheme="majorHAnsi" w:cstheme="majorBidi" w:eastAsiaTheme="majorEastAsia" w:hAnsiTheme="majorHAnsi"/>
      <w:color w:val="2E74B5" w:themeColor="accent1" w:themeShade="bf"/>
      <w:sz w:val="26"/>
      <w:szCs w:val="26"/>
    </w:rPr>
  </w:style>
  <w:style w:type="character" w:styleId="InternetLink">
    <w:name w:val="Internet Link"/>
    <w:basedOn w:val="DefaultParagraphFont"/>
    <w:uiPriority w:val="99"/>
    <w:unhideWhenUsed/>
    <w:rsid w:val="00876a9c"/>
    <w:rPr>
      <w:color w:val="0563C1" w:themeColor="hyperlink"/>
      <w:u w:val="single"/>
    </w:rPr>
  </w:style>
  <w:style w:type="character" w:styleId="ListLabel1">
    <w:name w:val="ListLabel 1"/>
    <w:qFormat/>
    <w:rPr>
      <w:rFonts w:eastAsia="Calibri" w:cs="TimesNewRomanPSMT"/>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IndexLink">
    <w:name w:val="Index Link"/>
    <w:qFormat/>
    <w:rPr/>
  </w:style>
  <w:style w:type="character" w:styleId="Heading3Char">
    <w:name w:val="Heading 3 Char"/>
    <w:basedOn w:val="DefaultParagraphFont"/>
    <w:qFormat/>
    <w:rPr>
      <w:rFonts w:ascii="Calibri Light" w:hAnsi="Calibri Light" w:eastAsia="SimSun" w:cs="Vrinda"/>
      <w:color w:val="1F4D78"/>
      <w:sz w:val="24"/>
      <w:szCs w:val="24"/>
    </w:rPr>
  </w:style>
  <w:style w:type="character" w:styleId="FooterChar">
    <w:name w:val="Footer Char"/>
    <w:basedOn w:val="DefaultParagraphFont"/>
    <w:qFormat/>
    <w:rPr/>
  </w:style>
  <w:style w:type="character" w:styleId="HeaderChar">
    <w:name w:val="Header Char"/>
    <w:basedOn w:val="DefaultParagraphFont"/>
    <w:qFormat/>
    <w:rPr/>
  </w:style>
  <w:style w:type="character" w:styleId="BodyTextChar">
    <w:name w:val="Body Text Char"/>
    <w:basedOn w:val="DefaultParagraphFont"/>
    <w:qFormat/>
    <w:rPr>
      <w:rFonts w:ascii="Times New Roman" w:hAnsi="Times New Roman" w:eastAsia="Times New Roman" w:cs="Times New Roman"/>
      <w:sz w:val="24"/>
      <w:szCs w:val="24"/>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946824"/>
    <w:pPr>
      <w:spacing w:before="0" w:after="160"/>
      <w:ind w:left="720" w:hanging="0"/>
      <w:contextualSpacing/>
    </w:pPr>
    <w:rPr/>
  </w:style>
  <w:style w:type="paragraph" w:styleId="Default" w:customStyle="1">
    <w:name w:val="Default"/>
    <w:qFormat/>
    <w:rsid w:val="006c127a"/>
    <w:pPr>
      <w:widowControl/>
      <w:kinsoku w:val="true"/>
      <w:overflowPunct w:val="true"/>
      <w:autoSpaceDE w:val="true"/>
      <w:bidi w:val="0"/>
      <w:spacing w:lineRule="auto" w:line="240" w:before="0" w:after="0"/>
      <w:jc w:val="left"/>
    </w:pPr>
    <w:rPr>
      <w:rFonts w:ascii="Times New Roman" w:hAnsi="Times New Roman" w:cs="Times New Roman" w:eastAsia="SimSun"/>
      <w:color w:val="000000"/>
      <w:kern w:val="2"/>
      <w:sz w:val="24"/>
      <w:szCs w:val="24"/>
      <w:lang w:val="en-GB" w:eastAsia="zh-CN" w:bidi="hi-IN"/>
    </w:rPr>
  </w:style>
  <w:style w:type="paragraph" w:styleId="TOCHeading">
    <w:name w:val="TOC Heading"/>
    <w:basedOn w:val="Heading1"/>
    <w:next w:val="Normal"/>
    <w:uiPriority w:val="39"/>
    <w:unhideWhenUsed/>
    <w:qFormat/>
    <w:rsid w:val="00876a9c"/>
    <w:pPr/>
    <w:rPr/>
  </w:style>
  <w:style w:type="paragraph" w:styleId="Contents1">
    <w:name w:val="TOC 1"/>
    <w:basedOn w:val="Normal"/>
    <w:next w:val="Normal"/>
    <w:autoRedefine/>
    <w:uiPriority w:val="39"/>
    <w:unhideWhenUsed/>
    <w:rsid w:val="00876a9c"/>
    <w:pPr>
      <w:spacing w:before="0" w:after="100"/>
    </w:pPr>
    <w:rPr/>
  </w:style>
  <w:style w:type="paragraph" w:styleId="Contents2">
    <w:name w:val="TOC 2"/>
    <w:basedOn w:val="Normal"/>
    <w:next w:val="Normal"/>
    <w:autoRedefine/>
    <w:uiPriority w:val="39"/>
    <w:unhideWhenUsed/>
    <w:rsid w:val="00876a9c"/>
    <w:pPr>
      <w:spacing w:before="0" w:after="100"/>
      <w:ind w:left="220" w:hanging="0"/>
    </w:pPr>
    <w:rPr/>
  </w:style>
  <w:style w:type="paragraph" w:styleId="Contents3">
    <w:name w:val="TOC 3"/>
    <w:basedOn w:val="Normal"/>
    <w:next w:val="Normal"/>
    <w:pPr>
      <w:spacing w:before="0" w:after="100"/>
      <w:ind w:left="440" w:right="0" w:hanging="0"/>
    </w:pPr>
    <w:rPr/>
  </w:style>
  <w:style w:type="paragraph" w:styleId="Footer">
    <w:name w:val="Footer"/>
    <w:basedOn w:val="Normal"/>
    <w:pPr>
      <w:tabs>
        <w:tab w:val="center" w:pos="4680" w:leader="none"/>
        <w:tab w:val="right" w:pos="9360" w:leader="none"/>
      </w:tabs>
      <w:spacing w:lineRule="auto" w:line="240" w:before="0" w:after="0"/>
    </w:pPr>
    <w:rPr/>
  </w:style>
  <w:style w:type="paragraph" w:styleId="Header">
    <w:name w:val="Header"/>
    <w:basedOn w:val="Normal"/>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a14b3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D1F59-A085-4EB9-8102-4778A0869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Application>LibreOffice/5.4.4.2$Windows_X86_64 LibreOffice_project/2524958677847fb3bb44820e40380acbe820f960</Application>
  <Pages>16</Pages>
  <Words>3326</Words>
  <Characters>20506</Characters>
  <CharactersWithSpaces>23716</CharactersWithSpaces>
  <Paragraphs>185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2017-12-10T07:53:00Z</dcterms:created>
  <dc:creator>Snigdha</dc:creator>
  <dc:description/>
  <dc:language>en-GB</dc:language>
  <cp:lastModifiedBy/>
  <dcterms:modified xsi:type="dcterms:W3CDTF">2018-01-08T09:32:16Z</dcterms:modified>
  <cp:revision>51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