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C0561" w14:textId="339032E3" w:rsidR="004D2680" w:rsidRDefault="00FF398F" w:rsidP="00FF398F">
      <w:pPr>
        <w:jc w:val="center"/>
        <w:rPr>
          <w:rFonts w:ascii="Arial" w:hAnsi="Arial" w:cs="Arial"/>
          <w:sz w:val="36"/>
          <w:szCs w:val="36"/>
        </w:rPr>
      </w:pPr>
      <w:r>
        <w:rPr>
          <w:rFonts w:ascii="Arial" w:hAnsi="Arial" w:cs="Arial"/>
          <w:noProof/>
          <w:sz w:val="36"/>
          <w:szCs w:val="36"/>
        </w:rPr>
        <w:drawing>
          <wp:inline distT="0" distB="0" distL="0" distR="0" wp14:anchorId="4B064241" wp14:editId="1FC18340">
            <wp:extent cx="2800985" cy="1495425"/>
            <wp:effectExtent l="0" t="0" r="0" b="0"/>
            <wp:docPr id="2103752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00985" cy="1495425"/>
                    </a:xfrm>
                    <a:prstGeom prst="rect">
                      <a:avLst/>
                    </a:prstGeom>
                    <a:noFill/>
                  </pic:spPr>
                </pic:pic>
              </a:graphicData>
            </a:graphic>
          </wp:inline>
        </w:drawing>
      </w:r>
    </w:p>
    <w:p w14:paraId="759F71F2" w14:textId="77777777" w:rsidR="00FF398F" w:rsidRDefault="00FF398F" w:rsidP="00FF398F">
      <w:pPr>
        <w:jc w:val="center"/>
        <w:rPr>
          <w:rFonts w:ascii="Arial" w:hAnsi="Arial" w:cs="Arial"/>
          <w:sz w:val="36"/>
          <w:szCs w:val="36"/>
        </w:rPr>
      </w:pPr>
    </w:p>
    <w:p w14:paraId="27870D71" w14:textId="7E5AF216" w:rsidR="00FF398F" w:rsidRDefault="00FF398F" w:rsidP="00FF398F">
      <w:pPr>
        <w:jc w:val="center"/>
        <w:rPr>
          <w:rFonts w:ascii="Arial" w:hAnsi="Arial" w:cs="Arial"/>
          <w:sz w:val="36"/>
          <w:szCs w:val="36"/>
        </w:rPr>
      </w:pPr>
      <w:r w:rsidRPr="00FF398F">
        <w:rPr>
          <w:rFonts w:ascii="Arial" w:hAnsi="Arial" w:cs="Arial"/>
          <w:sz w:val="36"/>
          <w:szCs w:val="36"/>
        </w:rPr>
        <w:t>Health, Wellbeing and Sustainable Development</w:t>
      </w:r>
    </w:p>
    <w:p w14:paraId="3EE31867" w14:textId="153E55B4" w:rsidR="00FF398F" w:rsidRDefault="00FF398F" w:rsidP="00FF398F">
      <w:pPr>
        <w:jc w:val="center"/>
        <w:rPr>
          <w:rFonts w:ascii="Arial" w:hAnsi="Arial" w:cs="Arial"/>
          <w:sz w:val="36"/>
          <w:szCs w:val="36"/>
        </w:rPr>
      </w:pPr>
      <w:r>
        <w:rPr>
          <w:rFonts w:ascii="Arial" w:hAnsi="Arial" w:cs="Arial"/>
          <w:sz w:val="36"/>
          <w:szCs w:val="36"/>
        </w:rPr>
        <w:t>Student Name:</w:t>
      </w:r>
      <w:r w:rsidR="00990E46">
        <w:rPr>
          <w:rFonts w:ascii="Arial" w:hAnsi="Arial" w:cs="Arial"/>
          <w:sz w:val="36"/>
          <w:szCs w:val="36"/>
        </w:rPr>
        <w:t xml:space="preserve"> </w:t>
      </w:r>
      <w:r w:rsidR="00A3002E">
        <w:rPr>
          <w:rFonts w:ascii="Arial" w:hAnsi="Arial" w:cs="Arial"/>
          <w:sz w:val="36"/>
          <w:szCs w:val="36"/>
        </w:rPr>
        <w:t>Samrina Choudhry</w:t>
      </w:r>
    </w:p>
    <w:p w14:paraId="4F0BDBD1" w14:textId="3CE1A739" w:rsidR="00FF398F" w:rsidRDefault="00FF398F" w:rsidP="00FF398F">
      <w:pPr>
        <w:jc w:val="center"/>
        <w:rPr>
          <w:rFonts w:ascii="Arial" w:hAnsi="Arial" w:cs="Arial"/>
          <w:sz w:val="36"/>
          <w:szCs w:val="36"/>
        </w:rPr>
      </w:pPr>
      <w:r>
        <w:rPr>
          <w:rFonts w:ascii="Arial" w:hAnsi="Arial" w:cs="Arial"/>
          <w:sz w:val="36"/>
          <w:szCs w:val="36"/>
        </w:rPr>
        <w:t>Student Number:</w:t>
      </w:r>
      <w:r w:rsidR="00990E46">
        <w:rPr>
          <w:rFonts w:ascii="Arial" w:hAnsi="Arial" w:cs="Arial"/>
          <w:sz w:val="36"/>
          <w:szCs w:val="36"/>
        </w:rPr>
        <w:t xml:space="preserve"> </w:t>
      </w:r>
      <w:r w:rsidR="00A3002E">
        <w:rPr>
          <w:rFonts w:ascii="Arial" w:hAnsi="Arial" w:cs="Arial"/>
          <w:sz w:val="36"/>
          <w:szCs w:val="36"/>
        </w:rPr>
        <w:t>2220771</w:t>
      </w:r>
    </w:p>
    <w:p w14:paraId="042FBC46" w14:textId="29B31E53" w:rsidR="00990E46" w:rsidRDefault="00990E46" w:rsidP="00FF398F">
      <w:pPr>
        <w:jc w:val="center"/>
        <w:rPr>
          <w:rFonts w:ascii="Arial" w:hAnsi="Arial" w:cs="Arial"/>
          <w:sz w:val="36"/>
          <w:szCs w:val="36"/>
        </w:rPr>
      </w:pPr>
      <w:r>
        <w:rPr>
          <w:rFonts w:ascii="Arial" w:hAnsi="Arial" w:cs="Arial"/>
          <w:sz w:val="36"/>
          <w:szCs w:val="36"/>
        </w:rPr>
        <w:t>Component 2</w:t>
      </w:r>
      <w:r w:rsidR="0049682F">
        <w:rPr>
          <w:rFonts w:ascii="Arial" w:hAnsi="Arial" w:cs="Arial"/>
          <w:sz w:val="36"/>
          <w:szCs w:val="36"/>
        </w:rPr>
        <w:t xml:space="preserve">: Report </w:t>
      </w:r>
    </w:p>
    <w:p w14:paraId="2E0551E6" w14:textId="10EA9471" w:rsidR="00FF398F" w:rsidRDefault="00FF398F" w:rsidP="00FF398F">
      <w:pPr>
        <w:jc w:val="center"/>
        <w:rPr>
          <w:rFonts w:ascii="Arial" w:hAnsi="Arial" w:cs="Arial"/>
          <w:sz w:val="36"/>
          <w:szCs w:val="36"/>
        </w:rPr>
      </w:pPr>
      <w:r>
        <w:rPr>
          <w:rFonts w:ascii="Arial" w:hAnsi="Arial" w:cs="Arial"/>
          <w:sz w:val="36"/>
          <w:szCs w:val="36"/>
        </w:rPr>
        <w:t xml:space="preserve">Module Code: </w:t>
      </w:r>
      <w:r w:rsidRPr="00FF398F">
        <w:rPr>
          <w:rFonts w:ascii="Arial" w:hAnsi="Arial" w:cs="Arial"/>
          <w:sz w:val="36"/>
          <w:szCs w:val="36"/>
        </w:rPr>
        <w:t>BMHP6030</w:t>
      </w:r>
    </w:p>
    <w:p w14:paraId="11E8C3A7" w14:textId="5BF32739" w:rsidR="00FF398F" w:rsidRDefault="00FF398F" w:rsidP="00FF398F">
      <w:pPr>
        <w:jc w:val="center"/>
        <w:rPr>
          <w:rFonts w:ascii="Arial" w:hAnsi="Arial" w:cs="Arial"/>
          <w:sz w:val="36"/>
          <w:szCs w:val="36"/>
        </w:rPr>
      </w:pPr>
      <w:r>
        <w:rPr>
          <w:rFonts w:ascii="Arial" w:hAnsi="Arial" w:cs="Arial"/>
          <w:sz w:val="36"/>
          <w:szCs w:val="36"/>
        </w:rPr>
        <w:t xml:space="preserve">Lecturer: </w:t>
      </w:r>
      <w:r w:rsidR="00937496">
        <w:rPr>
          <w:rFonts w:ascii="Arial" w:hAnsi="Arial" w:cs="Arial"/>
          <w:sz w:val="36"/>
          <w:szCs w:val="36"/>
        </w:rPr>
        <w:t>Parese Ahmed</w:t>
      </w:r>
    </w:p>
    <w:p w14:paraId="46E312C2" w14:textId="77777777" w:rsidR="002F55BA" w:rsidRDefault="002F55BA" w:rsidP="00FF398F">
      <w:pPr>
        <w:jc w:val="center"/>
        <w:rPr>
          <w:rFonts w:ascii="Arial" w:hAnsi="Arial" w:cs="Arial"/>
          <w:sz w:val="36"/>
          <w:szCs w:val="36"/>
        </w:rPr>
      </w:pPr>
    </w:p>
    <w:p w14:paraId="6C481A99" w14:textId="77777777" w:rsidR="002F55BA" w:rsidRDefault="002F55BA" w:rsidP="00FF398F">
      <w:pPr>
        <w:jc w:val="center"/>
        <w:rPr>
          <w:rFonts w:ascii="Arial" w:hAnsi="Arial" w:cs="Arial"/>
          <w:sz w:val="36"/>
          <w:szCs w:val="36"/>
        </w:rPr>
      </w:pPr>
    </w:p>
    <w:p w14:paraId="6DB6A77F" w14:textId="77777777" w:rsidR="002F55BA" w:rsidRDefault="002F55BA" w:rsidP="00FF398F">
      <w:pPr>
        <w:jc w:val="center"/>
        <w:rPr>
          <w:rFonts w:ascii="Arial" w:hAnsi="Arial" w:cs="Arial"/>
          <w:sz w:val="36"/>
          <w:szCs w:val="36"/>
        </w:rPr>
      </w:pPr>
    </w:p>
    <w:p w14:paraId="48AD3B76" w14:textId="77777777" w:rsidR="002F55BA" w:rsidRDefault="002F55BA" w:rsidP="00FF398F">
      <w:pPr>
        <w:jc w:val="center"/>
        <w:rPr>
          <w:rFonts w:ascii="Arial" w:hAnsi="Arial" w:cs="Arial"/>
          <w:sz w:val="36"/>
          <w:szCs w:val="36"/>
        </w:rPr>
      </w:pPr>
    </w:p>
    <w:p w14:paraId="756C5EA8" w14:textId="77777777" w:rsidR="002F55BA" w:rsidRDefault="002F55BA" w:rsidP="00FF398F">
      <w:pPr>
        <w:jc w:val="center"/>
        <w:rPr>
          <w:rFonts w:ascii="Arial" w:hAnsi="Arial" w:cs="Arial"/>
          <w:sz w:val="36"/>
          <w:szCs w:val="36"/>
        </w:rPr>
      </w:pPr>
    </w:p>
    <w:p w14:paraId="78E44D8B" w14:textId="77777777" w:rsidR="002F55BA" w:rsidRDefault="002F55BA" w:rsidP="00FF398F">
      <w:pPr>
        <w:jc w:val="center"/>
        <w:rPr>
          <w:rFonts w:ascii="Arial" w:hAnsi="Arial" w:cs="Arial"/>
          <w:sz w:val="36"/>
          <w:szCs w:val="36"/>
        </w:rPr>
      </w:pPr>
    </w:p>
    <w:p w14:paraId="649359E9" w14:textId="77777777" w:rsidR="002F55BA" w:rsidRDefault="002F55BA" w:rsidP="00FF398F">
      <w:pPr>
        <w:jc w:val="center"/>
        <w:rPr>
          <w:rFonts w:ascii="Arial" w:hAnsi="Arial" w:cs="Arial"/>
          <w:sz w:val="36"/>
          <w:szCs w:val="36"/>
        </w:rPr>
      </w:pPr>
    </w:p>
    <w:p w14:paraId="3DC5EFE1" w14:textId="77777777" w:rsidR="002F55BA" w:rsidRDefault="002F55BA" w:rsidP="00FF398F">
      <w:pPr>
        <w:jc w:val="center"/>
        <w:rPr>
          <w:rFonts w:ascii="Arial" w:hAnsi="Arial" w:cs="Arial"/>
          <w:sz w:val="36"/>
          <w:szCs w:val="36"/>
        </w:rPr>
      </w:pPr>
    </w:p>
    <w:p w14:paraId="54F9CFC2" w14:textId="77777777" w:rsidR="002F55BA" w:rsidRDefault="002F55BA" w:rsidP="00FF398F">
      <w:pPr>
        <w:jc w:val="center"/>
        <w:rPr>
          <w:rFonts w:ascii="Arial" w:hAnsi="Arial" w:cs="Arial"/>
          <w:sz w:val="36"/>
          <w:szCs w:val="36"/>
        </w:rPr>
      </w:pPr>
    </w:p>
    <w:p w14:paraId="4C4915F5" w14:textId="77777777" w:rsidR="002F55BA" w:rsidRDefault="002F55BA" w:rsidP="00FF398F">
      <w:pPr>
        <w:jc w:val="center"/>
        <w:rPr>
          <w:rFonts w:ascii="Arial" w:hAnsi="Arial" w:cs="Arial"/>
          <w:sz w:val="36"/>
          <w:szCs w:val="36"/>
        </w:rPr>
      </w:pPr>
    </w:p>
    <w:p w14:paraId="5A4ED5B6" w14:textId="77777777" w:rsidR="002F55BA" w:rsidRDefault="002F55BA" w:rsidP="00FF398F">
      <w:pPr>
        <w:jc w:val="center"/>
        <w:rPr>
          <w:rFonts w:ascii="Arial" w:hAnsi="Arial" w:cs="Arial"/>
          <w:sz w:val="36"/>
          <w:szCs w:val="36"/>
        </w:rPr>
      </w:pPr>
    </w:p>
    <w:p w14:paraId="2D9FEF7B" w14:textId="77777777" w:rsidR="0049682F" w:rsidRDefault="0049682F" w:rsidP="0050307F">
      <w:pPr>
        <w:spacing w:line="360" w:lineRule="auto"/>
        <w:rPr>
          <w:rFonts w:ascii="Arial" w:hAnsi="Arial" w:cs="Arial"/>
          <w:sz w:val="36"/>
          <w:szCs w:val="36"/>
        </w:rPr>
      </w:pPr>
    </w:p>
    <w:p w14:paraId="7D5DD580" w14:textId="3973E188" w:rsidR="0050307F" w:rsidRPr="0050307F" w:rsidRDefault="0050307F" w:rsidP="0050307F">
      <w:pPr>
        <w:spacing w:line="360" w:lineRule="auto"/>
        <w:rPr>
          <w:rFonts w:ascii="Arial" w:hAnsi="Arial" w:cs="Arial"/>
          <w:b/>
          <w:bCs/>
          <w:u w:val="single"/>
        </w:rPr>
      </w:pPr>
      <w:r w:rsidRPr="0050307F">
        <w:rPr>
          <w:rFonts w:ascii="Arial" w:hAnsi="Arial" w:cs="Arial"/>
          <w:b/>
          <w:bCs/>
          <w:u w:val="single"/>
        </w:rPr>
        <w:lastRenderedPageBreak/>
        <w:t>Introduction</w:t>
      </w:r>
    </w:p>
    <w:p w14:paraId="608C1351" w14:textId="317D4A8E" w:rsidR="004B0A52" w:rsidRDefault="004B0A52" w:rsidP="00874ADF">
      <w:pPr>
        <w:spacing w:line="360" w:lineRule="auto"/>
        <w:rPr>
          <w:rFonts w:ascii="Arial" w:hAnsi="Arial" w:cs="Arial"/>
        </w:rPr>
      </w:pPr>
      <w:r w:rsidRPr="004B0A52">
        <w:rPr>
          <w:rFonts w:ascii="Arial" w:hAnsi="Arial" w:cs="Arial"/>
        </w:rPr>
        <w:t>The pursuit of global health equity and poverty eradication remains central to the 2030 Agenda for Sustainable Development. Sustainable Development Goal 3 (Good Health and Well-being) and Goal 1 (No Poverty) are interlinked ambitions that demand integrated social, economic, and policy responses (United Nations, 2025). Persistent inequalities in access to healthcare, education, and income continue to challenge progress, particularly within high-income nations where deprivation is spatially concentrated. This report critically examines how health and poverty interact across global, national, and local contexts, evaluating the policies and initiatives designed to address them. Drawing on contemporary frameworks and models—including the biopsychosocial perspective and the WHO’s Health in All Policies approach—it analyses how structural determinants shape wellbeing and assesses the effectiveness of current strategies. The report concludes by offering evidence-based recommendations to promote sustainable, equitable progress toward the collective vision of the 2030 Agenda (WHO, 2023).</w:t>
      </w:r>
    </w:p>
    <w:p w14:paraId="549B672F" w14:textId="6740577B" w:rsidR="00874ADF" w:rsidRPr="00874ADF" w:rsidRDefault="00874ADF" w:rsidP="00874ADF">
      <w:pPr>
        <w:spacing w:line="360" w:lineRule="auto"/>
        <w:rPr>
          <w:rFonts w:ascii="Arial" w:hAnsi="Arial" w:cs="Arial"/>
          <w:b/>
          <w:bCs/>
          <w:u w:val="single"/>
        </w:rPr>
      </w:pPr>
      <w:r w:rsidRPr="00874ADF">
        <w:rPr>
          <w:rFonts w:ascii="Arial" w:hAnsi="Arial" w:cs="Arial"/>
          <w:b/>
          <w:bCs/>
          <w:u w:val="single"/>
        </w:rPr>
        <w:t>Section 1 – SDG 3: Good Health and Well-being</w:t>
      </w:r>
    </w:p>
    <w:p w14:paraId="68D25561" w14:textId="0176F2C6" w:rsidR="00874ADF" w:rsidRPr="00874ADF" w:rsidRDefault="00874ADF" w:rsidP="00874ADF">
      <w:pPr>
        <w:spacing w:line="360" w:lineRule="auto"/>
        <w:rPr>
          <w:rFonts w:ascii="Arial" w:hAnsi="Arial" w:cs="Arial"/>
          <w:u w:val="single"/>
        </w:rPr>
      </w:pPr>
      <w:r w:rsidRPr="00874ADF">
        <w:rPr>
          <w:rFonts w:ascii="Arial" w:hAnsi="Arial" w:cs="Arial"/>
          <w:u w:val="single"/>
        </w:rPr>
        <w:t>Overview of SDG 3</w:t>
      </w:r>
    </w:p>
    <w:p w14:paraId="6DB5E59D" w14:textId="51258F95" w:rsidR="00D40EBE" w:rsidRPr="00D40EBE" w:rsidRDefault="00D40EBE" w:rsidP="00874ADF">
      <w:pPr>
        <w:spacing w:line="360" w:lineRule="auto"/>
        <w:rPr>
          <w:rFonts w:ascii="Arial" w:hAnsi="Arial" w:cs="Arial"/>
        </w:rPr>
      </w:pPr>
      <w:r w:rsidRPr="00D40EBE">
        <w:rPr>
          <w:rFonts w:ascii="Arial" w:hAnsi="Arial" w:cs="Arial"/>
        </w:rPr>
        <w:t>The United Nations’ Sustainable Development Goal 3 (SDG 3) seeks to “ensure healthy lives and promote well-being for all at all ages” (United Nations, 2015). Health is now widely regarded as both a driver and outcome of sustainable development, underpinning progress across all SDGs (Kickbusch et al., 2022). According to the World Health Organi</w:t>
      </w:r>
      <w:r w:rsidR="00A3448A">
        <w:rPr>
          <w:rFonts w:ascii="Arial" w:hAnsi="Arial" w:cs="Arial"/>
        </w:rPr>
        <w:t>s</w:t>
      </w:r>
      <w:r w:rsidRPr="00D40EBE">
        <w:rPr>
          <w:rFonts w:ascii="Arial" w:hAnsi="Arial" w:cs="Arial"/>
        </w:rPr>
        <w:t>ation (WHO, 2023), non-communicable diseases (NCDs)</w:t>
      </w:r>
      <w:r w:rsidR="00760B94" w:rsidRPr="00760B94">
        <w:rPr>
          <w:rFonts w:ascii="Arial" w:hAnsi="Arial" w:cs="Arial"/>
        </w:rPr>
        <w:t xml:space="preserve"> such as cardiovascular disease, cancer, diabetes, and chronic respiratory illness now account for approximately </w:t>
      </w:r>
      <w:r w:rsidRPr="00D40EBE">
        <w:rPr>
          <w:rFonts w:ascii="Arial" w:hAnsi="Arial" w:cs="Arial"/>
        </w:rPr>
        <w:t>74 per cent of global deaths, with the greatest burden borne by low and middle-income countries.</w:t>
      </w:r>
      <w:r w:rsidR="004269C9">
        <w:rPr>
          <w:rFonts w:ascii="Arial" w:hAnsi="Arial" w:cs="Arial"/>
        </w:rPr>
        <w:t xml:space="preserve"> </w:t>
      </w:r>
      <w:r w:rsidR="00796A62" w:rsidRPr="00796A62">
        <w:rPr>
          <w:rFonts w:ascii="Arial" w:hAnsi="Arial" w:cs="Arial"/>
        </w:rPr>
        <w:t>This transition shows that good health depends on addressing the social, economic, and environmental conditions shaping disease risk</w:t>
      </w:r>
      <w:r w:rsidR="000131CC">
        <w:rPr>
          <w:rFonts w:ascii="Arial" w:hAnsi="Arial" w:cs="Arial"/>
        </w:rPr>
        <w:t xml:space="preserve">. </w:t>
      </w:r>
      <w:r w:rsidRPr="00D40EBE">
        <w:rPr>
          <w:rFonts w:ascii="Arial" w:hAnsi="Arial" w:cs="Arial"/>
        </w:rPr>
        <w:t xml:space="preserve">Consequently, SDG 3 </w:t>
      </w:r>
      <w:r w:rsidR="005B0538">
        <w:rPr>
          <w:rFonts w:ascii="Arial" w:hAnsi="Arial" w:cs="Arial"/>
        </w:rPr>
        <w:t>requires a coordinated global response that integrates equity, prevention, and health system</w:t>
      </w:r>
      <w:r w:rsidRPr="00D40EBE">
        <w:rPr>
          <w:rFonts w:ascii="Arial" w:hAnsi="Arial" w:cs="Arial"/>
        </w:rPr>
        <w:t xml:space="preserve"> resilience within sustainability agendas</w:t>
      </w:r>
      <w:r w:rsidR="0070669E">
        <w:rPr>
          <w:rFonts w:ascii="Arial" w:hAnsi="Arial" w:cs="Arial"/>
        </w:rPr>
        <w:t xml:space="preserve"> </w:t>
      </w:r>
      <w:r w:rsidR="0070669E" w:rsidRPr="0070669E">
        <w:rPr>
          <w:rFonts w:ascii="Arial" w:hAnsi="Arial" w:cs="Arial"/>
        </w:rPr>
        <w:t>(Kickbusch and Liu, 2022).</w:t>
      </w:r>
    </w:p>
    <w:p w14:paraId="0260D322" w14:textId="1DE80570" w:rsidR="002751CC" w:rsidRPr="002751CC" w:rsidRDefault="002751CC" w:rsidP="002751CC">
      <w:pPr>
        <w:spacing w:line="360" w:lineRule="auto"/>
        <w:rPr>
          <w:rFonts w:ascii="Arial" w:hAnsi="Arial" w:cs="Arial"/>
          <w:u w:val="single"/>
        </w:rPr>
      </w:pPr>
      <w:r w:rsidRPr="002751CC">
        <w:rPr>
          <w:rFonts w:ascii="Arial" w:hAnsi="Arial" w:cs="Arial"/>
          <w:u w:val="single"/>
        </w:rPr>
        <w:t>Global Policies and Initiatives</w:t>
      </w:r>
    </w:p>
    <w:p w14:paraId="4D05C7D6" w14:textId="7DDA50B6" w:rsidR="00FD47F4" w:rsidRDefault="004436D5" w:rsidP="002751CC">
      <w:pPr>
        <w:spacing w:line="360" w:lineRule="auto"/>
        <w:rPr>
          <w:rFonts w:ascii="Arial" w:hAnsi="Arial" w:cs="Arial"/>
        </w:rPr>
      </w:pPr>
      <w:r w:rsidRPr="004436D5">
        <w:rPr>
          <w:rFonts w:ascii="Arial" w:hAnsi="Arial" w:cs="Arial"/>
        </w:rPr>
        <w:t>Globally, SDG 3 operates within the 2030 Agenda for Sustainable Development, complemented by the WHO Global Action Plan for the Prevention and Control of NCDs 2013</w:t>
      </w:r>
      <w:r>
        <w:rPr>
          <w:rFonts w:ascii="Arial" w:hAnsi="Arial" w:cs="Arial"/>
        </w:rPr>
        <w:t xml:space="preserve"> - </w:t>
      </w:r>
      <w:r w:rsidRPr="004436D5">
        <w:rPr>
          <w:rFonts w:ascii="Arial" w:hAnsi="Arial" w:cs="Arial"/>
        </w:rPr>
        <w:t>2030 and the Universal Health Coverage (UHC 2030) partnership. These frameworks emphasise “best-buy” interventions such as tobacco taxation, salt reduction, and hypertension manageme</w:t>
      </w:r>
      <w:r w:rsidR="006252AC">
        <w:rPr>
          <w:rFonts w:ascii="Arial" w:hAnsi="Arial" w:cs="Arial"/>
        </w:rPr>
        <w:t>2</w:t>
      </w:r>
      <w:r w:rsidRPr="004436D5">
        <w:rPr>
          <w:rFonts w:ascii="Arial" w:hAnsi="Arial" w:cs="Arial"/>
        </w:rPr>
        <w:t xml:space="preserve">nt (WHO, 2023). Empirical evidence indicates that nations advancing UHC principles achieve greater life expectancy and stronger financial protection </w:t>
      </w:r>
      <w:r w:rsidRPr="004436D5">
        <w:rPr>
          <w:rFonts w:ascii="Arial" w:hAnsi="Arial" w:cs="Arial"/>
        </w:rPr>
        <w:lastRenderedPageBreak/>
        <w:t xml:space="preserve">(OECD, 2024; WHO, 2022). Nevertheless, implementation remains inconsistent. As Aftab et al. (2020) argue, international agreements often “lack the governance mechanisms required to ensure accountability.” Although there is </w:t>
      </w:r>
      <w:r w:rsidR="0061159A">
        <w:rPr>
          <w:rFonts w:ascii="Arial" w:hAnsi="Arial" w:cs="Arial"/>
        </w:rPr>
        <w:t xml:space="preserve">a </w:t>
      </w:r>
      <w:r w:rsidRPr="004436D5">
        <w:rPr>
          <w:rFonts w:ascii="Arial" w:hAnsi="Arial" w:cs="Arial"/>
        </w:rPr>
        <w:t xml:space="preserve">broad global consensus on the principles underpinning SDG 3, limited fiscal capacity, fragmented partnerships, and data gaps continue to hinder the translation of these commitments into national action </w:t>
      </w:r>
      <w:r w:rsidR="003B2427">
        <w:rPr>
          <w:rFonts w:ascii="Arial" w:hAnsi="Arial" w:cs="Arial"/>
        </w:rPr>
        <w:t>(Aftab</w:t>
      </w:r>
      <w:r w:rsidR="0061159A">
        <w:rPr>
          <w:rFonts w:ascii="Arial" w:hAnsi="Arial" w:cs="Arial"/>
        </w:rPr>
        <w:t xml:space="preserve"> </w:t>
      </w:r>
      <w:r w:rsidR="003B2427">
        <w:rPr>
          <w:rFonts w:ascii="Arial" w:hAnsi="Arial" w:cs="Arial"/>
        </w:rPr>
        <w:t>et</w:t>
      </w:r>
      <w:r w:rsidR="00C617ED">
        <w:rPr>
          <w:rFonts w:ascii="Arial" w:hAnsi="Arial" w:cs="Arial"/>
        </w:rPr>
        <w:t>.</w:t>
      </w:r>
      <w:r w:rsidR="0061159A">
        <w:rPr>
          <w:rFonts w:ascii="Arial" w:hAnsi="Arial" w:cs="Arial"/>
        </w:rPr>
        <w:t>,a</w:t>
      </w:r>
      <w:r w:rsidR="00C617ED">
        <w:rPr>
          <w:rFonts w:ascii="Arial" w:hAnsi="Arial" w:cs="Arial"/>
        </w:rPr>
        <w:t xml:space="preserve">l </w:t>
      </w:r>
      <w:r w:rsidR="003B2427">
        <w:rPr>
          <w:rFonts w:ascii="Arial" w:hAnsi="Arial" w:cs="Arial"/>
        </w:rPr>
        <w:t>2020)</w:t>
      </w:r>
      <w:r w:rsidR="0061159A">
        <w:rPr>
          <w:rFonts w:ascii="Arial" w:hAnsi="Arial" w:cs="Arial"/>
        </w:rPr>
        <w:t>.</w:t>
      </w:r>
      <w:r w:rsidRPr="004436D5">
        <w:rPr>
          <w:rFonts w:ascii="Arial" w:hAnsi="Arial" w:cs="Arial"/>
        </w:rPr>
        <w:t xml:space="preserve"> Moreover, the growing intersection of climate change, conflict, and health security underscores the need for adaptive, multisectoral governance capable of responding effectively to global and regional shocks.</w:t>
      </w:r>
    </w:p>
    <w:p w14:paraId="64EEA380" w14:textId="77186254" w:rsidR="00571531" w:rsidRPr="00571531" w:rsidRDefault="00571531" w:rsidP="00571531">
      <w:pPr>
        <w:spacing w:line="360" w:lineRule="auto"/>
        <w:rPr>
          <w:rFonts w:ascii="Arial" w:hAnsi="Arial" w:cs="Arial"/>
          <w:u w:val="single"/>
        </w:rPr>
      </w:pPr>
      <w:r w:rsidRPr="00571531">
        <w:rPr>
          <w:rFonts w:ascii="Arial" w:hAnsi="Arial" w:cs="Arial"/>
          <w:u w:val="single"/>
        </w:rPr>
        <w:t>National (UK) Policies and Initiatives</w:t>
      </w:r>
    </w:p>
    <w:p w14:paraId="7F43FA82" w14:textId="02B25343" w:rsidR="0005399F" w:rsidRDefault="00A63E1E" w:rsidP="00571531">
      <w:pPr>
        <w:spacing w:line="360" w:lineRule="auto"/>
        <w:rPr>
          <w:rFonts w:ascii="Arial" w:hAnsi="Arial" w:cs="Arial"/>
        </w:rPr>
      </w:pPr>
      <w:r w:rsidRPr="00A63E1E">
        <w:rPr>
          <w:rFonts w:ascii="Arial" w:hAnsi="Arial" w:cs="Arial"/>
        </w:rPr>
        <w:t>In the United Kingdom, SDG 3 aligns with statutory obligations under the Health and Social Care Act 2012 and the NHS Long Term Plan (2019), which seeks to shift care “from cure to prevention” through integrated systems, digital innovation, and population-health management (NHS England, 2019). Despite these commitments, a persistent social gradient in health remains: individuals in England’s most deprived areas experience markedly shorter healthy life expectancy than those in affluent communities (Office for National Statistics, 2024). The Marmot Review 10 Years On (Marmot et al., 2020) attributed this widening gap to austerity-driven reductions in local-authority funding. Drawing on Dahlgren and Whitehead’s (1991) model of social determinants and Marmot’s (2010) principle of proportionate universalism, it is evident that while national policies emphasise equity rhetorically, investment patterns remain weighted toward acute clinical care rather than preventive, community-level action necessary to achieve sustained health equity.</w:t>
      </w:r>
    </w:p>
    <w:p w14:paraId="5E7F4EC9" w14:textId="6F1BCA84" w:rsidR="00AC5207" w:rsidRPr="00A4247A" w:rsidRDefault="00A4247A" w:rsidP="0050307F">
      <w:pPr>
        <w:spacing w:line="360" w:lineRule="auto"/>
        <w:rPr>
          <w:rFonts w:ascii="Arial" w:hAnsi="Arial" w:cs="Arial"/>
          <w:u w:val="single"/>
        </w:rPr>
      </w:pPr>
      <w:r w:rsidRPr="00A4247A">
        <w:rPr>
          <w:rFonts w:ascii="Arial" w:hAnsi="Arial" w:cs="Arial"/>
          <w:u w:val="single"/>
        </w:rPr>
        <w:t>Local (Birmingham) Context</w:t>
      </w:r>
    </w:p>
    <w:p w14:paraId="269B5497" w14:textId="7F991C41" w:rsidR="00A63BE6" w:rsidRDefault="00A63BE6" w:rsidP="001E589A">
      <w:pPr>
        <w:spacing w:line="360" w:lineRule="auto"/>
        <w:rPr>
          <w:rFonts w:ascii="Arial" w:hAnsi="Arial" w:cs="Arial"/>
        </w:rPr>
      </w:pPr>
      <w:r w:rsidRPr="00A63BE6">
        <w:rPr>
          <w:rFonts w:ascii="Arial" w:hAnsi="Arial" w:cs="Arial"/>
        </w:rPr>
        <w:t>At the municipal level, Birmingham reflects both innovation and persistent inequity in advancing SDG 3 (Good Health and Well-being). The Birmingham Health and Wellbeing Strategy 2022–2032 outlines a vision for “a bolder, healthier city,” prioritising early-years development, mental-health resilience, food security</w:t>
      </w:r>
      <w:r>
        <w:rPr>
          <w:rFonts w:ascii="Arial" w:hAnsi="Arial" w:cs="Arial"/>
        </w:rPr>
        <w:t>,</w:t>
      </w:r>
      <w:r w:rsidRPr="00A63BE6">
        <w:rPr>
          <w:rFonts w:ascii="Arial" w:hAnsi="Arial" w:cs="Arial"/>
        </w:rPr>
        <w:t xml:space="preserve"> and non-communicable disease prevention (Birmingham City Council, 202</w:t>
      </w:r>
      <w:r w:rsidR="00BD233C">
        <w:rPr>
          <w:rFonts w:ascii="Arial" w:hAnsi="Arial" w:cs="Arial"/>
        </w:rPr>
        <w:t>3</w:t>
      </w:r>
      <w:r w:rsidRPr="00A63BE6">
        <w:rPr>
          <w:rFonts w:ascii="Arial" w:hAnsi="Arial" w:cs="Arial"/>
        </w:rPr>
        <w:t xml:space="preserve">). Programmes such as Bring it on </w:t>
      </w:r>
      <w:r w:rsidR="00007DB0" w:rsidRPr="00A63BE6">
        <w:rPr>
          <w:rFonts w:ascii="Arial" w:hAnsi="Arial" w:cs="Arial"/>
        </w:rPr>
        <w:t>Brum</w:t>
      </w:r>
      <w:r w:rsidR="00904B88">
        <w:rPr>
          <w:rFonts w:ascii="Arial" w:hAnsi="Arial" w:cs="Arial"/>
        </w:rPr>
        <w:t>!,</w:t>
      </w:r>
      <w:r w:rsidR="00D36EEC">
        <w:rPr>
          <w:rFonts w:ascii="Arial" w:hAnsi="Arial" w:cs="Arial"/>
        </w:rPr>
        <w:t xml:space="preserve"> </w:t>
      </w:r>
      <w:r w:rsidRPr="00A63BE6">
        <w:rPr>
          <w:rFonts w:ascii="Arial" w:hAnsi="Arial" w:cs="Arial"/>
        </w:rPr>
        <w:t>which in 2024 engaged over 53,000 children and delivered 261,000 meals</w:t>
      </w:r>
      <w:r w:rsidR="00D36EEC">
        <w:rPr>
          <w:rFonts w:ascii="Arial" w:hAnsi="Arial" w:cs="Arial"/>
        </w:rPr>
        <w:t xml:space="preserve">, </w:t>
      </w:r>
      <w:r w:rsidRPr="00A63BE6">
        <w:rPr>
          <w:rFonts w:ascii="Arial" w:hAnsi="Arial" w:cs="Arial"/>
        </w:rPr>
        <w:t xml:space="preserve">and the Food Justice Network, providing around 2,000 meals each month in deprived areas, exemplify inclusive, community-based health promotion (Greater Birmingham Chambers of Commerce, 2023). Nonetheless, profound spatial inequalities </w:t>
      </w:r>
      <w:r w:rsidR="00206482">
        <w:rPr>
          <w:rFonts w:ascii="Arial" w:hAnsi="Arial" w:cs="Arial"/>
        </w:rPr>
        <w:t>affect</w:t>
      </w:r>
      <w:r w:rsidRPr="00A63BE6">
        <w:rPr>
          <w:rFonts w:ascii="Arial" w:hAnsi="Arial" w:cs="Arial"/>
        </w:rPr>
        <w:t xml:space="preserve"> life expectancy</w:t>
      </w:r>
      <w:r w:rsidR="00206482">
        <w:rPr>
          <w:rFonts w:ascii="Arial" w:hAnsi="Arial" w:cs="Arial"/>
        </w:rPr>
        <w:t>, which</w:t>
      </w:r>
      <w:r w:rsidRPr="00A63BE6">
        <w:rPr>
          <w:rFonts w:ascii="Arial" w:hAnsi="Arial" w:cs="Arial"/>
        </w:rPr>
        <w:t xml:space="preserve"> differs by more than seven years between the city’s richest and poorest wards, and nearly 40 per cent of residents live within the 10 per cent most deprived areas nationally (ONS, 202</w:t>
      </w:r>
      <w:r w:rsidR="00111F6B">
        <w:rPr>
          <w:rFonts w:ascii="Arial" w:hAnsi="Arial" w:cs="Arial"/>
        </w:rPr>
        <w:t>4</w:t>
      </w:r>
      <w:r w:rsidRPr="00A63BE6">
        <w:rPr>
          <w:rFonts w:ascii="Arial" w:hAnsi="Arial" w:cs="Arial"/>
        </w:rPr>
        <w:t xml:space="preserve">). These disparities underscore the structural roots of ill health; without addressing poverty, housing </w:t>
      </w:r>
      <w:r w:rsidRPr="00A63BE6">
        <w:rPr>
          <w:rFonts w:ascii="Arial" w:hAnsi="Arial" w:cs="Arial"/>
        </w:rPr>
        <w:lastRenderedPageBreak/>
        <w:t>insecurity</w:t>
      </w:r>
      <w:r w:rsidR="00D64BAF">
        <w:rPr>
          <w:rFonts w:ascii="Arial" w:hAnsi="Arial" w:cs="Arial"/>
        </w:rPr>
        <w:t>,</w:t>
      </w:r>
      <w:r w:rsidRPr="00A63BE6">
        <w:rPr>
          <w:rFonts w:ascii="Arial" w:hAnsi="Arial" w:cs="Arial"/>
        </w:rPr>
        <w:t xml:space="preserve"> and unstable employment, local progress toward SDG 3 will remain constrained (NAO, 202</w:t>
      </w:r>
      <w:r w:rsidR="001A079E">
        <w:rPr>
          <w:rFonts w:ascii="Arial" w:hAnsi="Arial" w:cs="Arial"/>
        </w:rPr>
        <w:t>0</w:t>
      </w:r>
      <w:r w:rsidRPr="00A63BE6">
        <w:rPr>
          <w:rFonts w:ascii="Arial" w:hAnsi="Arial" w:cs="Arial"/>
        </w:rPr>
        <w:t>).</w:t>
      </w:r>
    </w:p>
    <w:p w14:paraId="0A0CC5AE" w14:textId="3008E2D3" w:rsidR="001E589A" w:rsidRPr="001E589A" w:rsidRDefault="001E589A" w:rsidP="001E589A">
      <w:pPr>
        <w:spacing w:line="360" w:lineRule="auto"/>
        <w:rPr>
          <w:rFonts w:ascii="Arial" w:hAnsi="Arial" w:cs="Arial"/>
          <w:u w:val="single"/>
        </w:rPr>
      </w:pPr>
      <w:r w:rsidRPr="001E589A">
        <w:rPr>
          <w:rFonts w:ascii="Arial" w:hAnsi="Arial" w:cs="Arial"/>
          <w:u w:val="single"/>
        </w:rPr>
        <w:t>Use of Theories and Models</w:t>
      </w:r>
    </w:p>
    <w:p w14:paraId="5B10419C" w14:textId="156542E2" w:rsidR="000379FB" w:rsidRDefault="000379FB" w:rsidP="00056DEF">
      <w:pPr>
        <w:spacing w:line="360" w:lineRule="auto"/>
        <w:rPr>
          <w:rFonts w:ascii="Arial" w:hAnsi="Arial" w:cs="Arial"/>
        </w:rPr>
      </w:pPr>
      <w:r w:rsidRPr="000379FB">
        <w:rPr>
          <w:rFonts w:ascii="Arial" w:hAnsi="Arial" w:cs="Arial"/>
        </w:rPr>
        <w:t xml:space="preserve">Understanding the persistence of health inequalities requires a multidimensional theoretical perspective. Building on Dahlgren and Whitehead’s (1991) recognition of layered social influences, Marmot’s (2010) social-gradient theory demonstrates that health outcomes improve progressively with socioeconomic position, reinforcing the need for proportionate universalism in policy design. Bronfenbrenner’s (1994) </w:t>
      </w:r>
      <w:r w:rsidR="00160088" w:rsidRPr="000379FB">
        <w:rPr>
          <w:rFonts w:ascii="Arial" w:hAnsi="Arial" w:cs="Arial"/>
        </w:rPr>
        <w:t>ecological systems</w:t>
      </w:r>
      <w:r w:rsidRPr="000379FB">
        <w:rPr>
          <w:rFonts w:ascii="Arial" w:hAnsi="Arial" w:cs="Arial"/>
        </w:rPr>
        <w:t xml:space="preserve"> model further clarifies how health is shaped through interactions between individual, community, organisational, and policy environments, explaining why interventions confined to service delivery often have limited impact. Complementing these perspectives, Sen’s (1999) Capability Approach reframes wellbeing as the freedom to achieve valued life outcomes, highlighting the ethical dimension of equity and empowerment</w:t>
      </w:r>
      <w:r w:rsidR="0012770F">
        <w:rPr>
          <w:rFonts w:ascii="Arial" w:hAnsi="Arial" w:cs="Arial"/>
        </w:rPr>
        <w:t xml:space="preserve"> </w:t>
      </w:r>
      <w:r w:rsidR="0012770F" w:rsidRPr="0012770F">
        <w:rPr>
          <w:rFonts w:ascii="Arial" w:hAnsi="Arial" w:cs="Arial"/>
        </w:rPr>
        <w:t>(Wells, 1999)</w:t>
      </w:r>
      <w:r w:rsidRPr="000379FB">
        <w:rPr>
          <w:rFonts w:ascii="Arial" w:hAnsi="Arial" w:cs="Arial"/>
        </w:rPr>
        <w:t>. Collectively, these models advocate for a whole-system response in line with the WHO’s Health in All Policies approach (WHO, 2023), emphasising that sustainable progress on SDG 3 requires integrated action across social, economic, and environmental domains.</w:t>
      </w:r>
    </w:p>
    <w:p w14:paraId="33F945C2" w14:textId="19B1DD48" w:rsidR="00056DEF" w:rsidRPr="00056DEF" w:rsidRDefault="00056DEF" w:rsidP="00056DEF">
      <w:pPr>
        <w:spacing w:line="360" w:lineRule="auto"/>
        <w:rPr>
          <w:rFonts w:ascii="Arial" w:hAnsi="Arial" w:cs="Arial"/>
          <w:u w:val="single"/>
        </w:rPr>
      </w:pPr>
      <w:r w:rsidRPr="00056DEF">
        <w:rPr>
          <w:rFonts w:ascii="Arial" w:hAnsi="Arial" w:cs="Arial"/>
          <w:u w:val="single"/>
        </w:rPr>
        <w:t>Critical Evaluation</w:t>
      </w:r>
    </w:p>
    <w:p w14:paraId="2332FFB3" w14:textId="7073EAD0" w:rsidR="00AC5207" w:rsidRDefault="00056DEF" w:rsidP="00056DEF">
      <w:pPr>
        <w:spacing w:line="360" w:lineRule="auto"/>
        <w:rPr>
          <w:rFonts w:ascii="Arial" w:hAnsi="Arial" w:cs="Arial"/>
        </w:rPr>
      </w:pPr>
      <w:r w:rsidRPr="00056DEF">
        <w:rPr>
          <w:rFonts w:ascii="Arial" w:hAnsi="Arial" w:cs="Arial"/>
        </w:rPr>
        <w:t xml:space="preserve">While policy intent is strong, outcomes remain uneven. The Health Foundation (2023) identifies a national “prevention deficit,” noting that England allocates less than 5 per cent of health expenditure to public-health functions. Integration between </w:t>
      </w:r>
      <w:r w:rsidR="00477641">
        <w:rPr>
          <w:rFonts w:ascii="Arial" w:hAnsi="Arial" w:cs="Arial"/>
        </w:rPr>
        <w:t xml:space="preserve">the </w:t>
      </w:r>
      <w:r w:rsidRPr="00056DEF">
        <w:rPr>
          <w:rFonts w:ascii="Arial" w:hAnsi="Arial" w:cs="Arial"/>
        </w:rPr>
        <w:t xml:space="preserve">NHS, </w:t>
      </w:r>
      <w:r w:rsidR="00477641">
        <w:rPr>
          <w:rFonts w:ascii="Arial" w:hAnsi="Arial" w:cs="Arial"/>
        </w:rPr>
        <w:t>social care</w:t>
      </w:r>
      <w:r w:rsidRPr="00056DEF">
        <w:rPr>
          <w:rFonts w:ascii="Arial" w:hAnsi="Arial" w:cs="Arial"/>
        </w:rPr>
        <w:t xml:space="preserve">, and community sectors remains inconsistent, limiting the translation of global and national frameworks into local impact. Furthermore, evaluation metrics often prioritise short-term clinical outputs over long-term </w:t>
      </w:r>
      <w:r w:rsidR="00C36A77">
        <w:rPr>
          <w:rFonts w:ascii="Arial" w:hAnsi="Arial" w:cs="Arial"/>
        </w:rPr>
        <w:t>well-being</w:t>
      </w:r>
      <w:r w:rsidRPr="00056DEF">
        <w:rPr>
          <w:rFonts w:ascii="Arial" w:hAnsi="Arial" w:cs="Arial"/>
        </w:rPr>
        <w:t xml:space="preserve"> indicators, masking the effectiveness of upstream interventions. These challenges exemplify the broader governance issue that “policy effectiveness depends not only on design but on the enabling environment for implementation” </w:t>
      </w:r>
      <w:r w:rsidR="004262D7" w:rsidRPr="004262D7">
        <w:rPr>
          <w:rFonts w:ascii="Arial" w:hAnsi="Arial" w:cs="Arial"/>
        </w:rPr>
        <w:t>(Aftab et al., 2020)</w:t>
      </w:r>
      <w:r w:rsidRPr="00056DEF">
        <w:rPr>
          <w:rFonts w:ascii="Arial" w:hAnsi="Arial" w:cs="Arial"/>
        </w:rPr>
        <w:t>. Locally, capacity constraints and high workforce turnover within public-health teams hinder continuity, while data fragmentation restricts small-area monitoring of inequalities (NAO, 202</w:t>
      </w:r>
      <w:r w:rsidR="00744E7A">
        <w:rPr>
          <w:rFonts w:ascii="Arial" w:hAnsi="Arial" w:cs="Arial"/>
        </w:rPr>
        <w:t>0</w:t>
      </w:r>
      <w:r w:rsidRPr="00056DEF">
        <w:rPr>
          <w:rFonts w:ascii="Arial" w:hAnsi="Arial" w:cs="Arial"/>
        </w:rPr>
        <w:t>). Consequently, despite strategic coherence, operational gaps persist across scales.</w:t>
      </w:r>
    </w:p>
    <w:p w14:paraId="27C6246D" w14:textId="77777777" w:rsidR="00E1771B" w:rsidRPr="00B02AA6" w:rsidRDefault="00E1771B" w:rsidP="00E1771B">
      <w:pPr>
        <w:spacing w:line="360" w:lineRule="auto"/>
        <w:rPr>
          <w:rFonts w:ascii="Arial" w:hAnsi="Arial" w:cs="Arial"/>
          <w:u w:val="single"/>
        </w:rPr>
      </w:pPr>
      <w:r w:rsidRPr="00B02AA6">
        <w:rPr>
          <w:rFonts w:ascii="Arial" w:hAnsi="Arial" w:cs="Arial"/>
          <w:u w:val="single"/>
        </w:rPr>
        <w:t>Recommendations (Critically Discussed and Evidence-Informed)</w:t>
      </w:r>
    </w:p>
    <w:p w14:paraId="25F81278" w14:textId="77777777" w:rsidR="00E1771B" w:rsidRPr="00E1771B" w:rsidRDefault="00E1771B" w:rsidP="00E1771B">
      <w:pPr>
        <w:spacing w:line="360" w:lineRule="auto"/>
        <w:rPr>
          <w:rFonts w:ascii="Arial" w:hAnsi="Arial" w:cs="Arial"/>
        </w:rPr>
      </w:pPr>
      <w:r w:rsidRPr="00E1771B">
        <w:rPr>
          <w:rFonts w:ascii="Arial" w:hAnsi="Arial" w:cs="Arial"/>
        </w:rPr>
        <w:t>To advance SDG 3 more effectively, several evidence-based actions are recommended:</w:t>
      </w:r>
    </w:p>
    <w:p w14:paraId="6913989E" w14:textId="77777777" w:rsidR="00E1771B" w:rsidRPr="00D70B1E" w:rsidRDefault="00E1771B" w:rsidP="00D70B1E">
      <w:pPr>
        <w:pStyle w:val="ListParagraph"/>
        <w:numPr>
          <w:ilvl w:val="0"/>
          <w:numId w:val="1"/>
        </w:numPr>
        <w:spacing w:line="360" w:lineRule="auto"/>
        <w:rPr>
          <w:rFonts w:ascii="Arial" w:hAnsi="Arial" w:cs="Arial"/>
        </w:rPr>
      </w:pPr>
      <w:r w:rsidRPr="00811935">
        <w:rPr>
          <w:rFonts w:ascii="Arial" w:hAnsi="Arial" w:cs="Arial"/>
          <w:b/>
          <w:bCs/>
        </w:rPr>
        <w:t>Reinvest in Public Health Infrastructure:</w:t>
      </w:r>
      <w:r w:rsidRPr="00D70B1E">
        <w:rPr>
          <w:rFonts w:ascii="Arial" w:hAnsi="Arial" w:cs="Arial"/>
        </w:rPr>
        <w:t xml:space="preserve"> Restoring ring-fenced funding to 2015 levels would rebuild prevention capacity. Economic analysis shows each £1 invested in prevention returns over £14 in wider societal benefit (Health Foundation, 2023).</w:t>
      </w:r>
    </w:p>
    <w:p w14:paraId="4C1CA294" w14:textId="284BAE8C" w:rsidR="00E1771B" w:rsidRPr="00D70B1E" w:rsidRDefault="00E1771B" w:rsidP="00D70B1E">
      <w:pPr>
        <w:pStyle w:val="ListParagraph"/>
        <w:numPr>
          <w:ilvl w:val="0"/>
          <w:numId w:val="1"/>
        </w:numPr>
        <w:spacing w:line="360" w:lineRule="auto"/>
        <w:rPr>
          <w:rFonts w:ascii="Arial" w:hAnsi="Arial" w:cs="Arial"/>
        </w:rPr>
      </w:pPr>
      <w:r w:rsidRPr="00DC46B9">
        <w:rPr>
          <w:rFonts w:ascii="Arial" w:hAnsi="Arial" w:cs="Arial"/>
          <w:b/>
          <w:bCs/>
        </w:rPr>
        <w:lastRenderedPageBreak/>
        <w:t>Strengthen Local Accountability:</w:t>
      </w:r>
      <w:r w:rsidRPr="00D70B1E">
        <w:rPr>
          <w:rFonts w:ascii="Arial" w:hAnsi="Arial" w:cs="Arial"/>
        </w:rPr>
        <w:t xml:space="preserve"> Statutory reporting on SDG 3 indicators at Integrated Care System level could align local practice with global benchmarks </w:t>
      </w:r>
      <w:r w:rsidR="00DC46B9" w:rsidRPr="00DC46B9">
        <w:rPr>
          <w:rFonts w:ascii="Arial" w:hAnsi="Arial" w:cs="Arial"/>
        </w:rPr>
        <w:t>(OECD, 2024; WHO, 2022)</w:t>
      </w:r>
      <w:r w:rsidR="00DC46B9">
        <w:rPr>
          <w:rFonts w:ascii="Arial" w:hAnsi="Arial" w:cs="Arial"/>
        </w:rPr>
        <w:t>.</w:t>
      </w:r>
    </w:p>
    <w:p w14:paraId="6FCB9428" w14:textId="2310F030" w:rsidR="00E1771B" w:rsidRPr="00D70B1E" w:rsidRDefault="00E1771B" w:rsidP="00D70B1E">
      <w:pPr>
        <w:pStyle w:val="ListParagraph"/>
        <w:numPr>
          <w:ilvl w:val="0"/>
          <w:numId w:val="1"/>
        </w:numPr>
        <w:spacing w:line="360" w:lineRule="auto"/>
        <w:rPr>
          <w:rFonts w:ascii="Arial" w:hAnsi="Arial" w:cs="Arial"/>
        </w:rPr>
      </w:pPr>
      <w:r w:rsidRPr="002D5D04">
        <w:rPr>
          <w:rFonts w:ascii="Arial" w:hAnsi="Arial" w:cs="Arial"/>
          <w:b/>
          <w:bCs/>
        </w:rPr>
        <w:t>Promote Community Co-production:</w:t>
      </w:r>
      <w:r w:rsidRPr="00D70B1E">
        <w:rPr>
          <w:rFonts w:ascii="Arial" w:hAnsi="Arial" w:cs="Arial"/>
        </w:rPr>
        <w:t xml:space="preserve"> Involving residents in programme design enhances cultural relevance and sustainability (Birmingham City Council, 202</w:t>
      </w:r>
      <w:r w:rsidR="002D5D04">
        <w:rPr>
          <w:rFonts w:ascii="Arial" w:hAnsi="Arial" w:cs="Arial"/>
        </w:rPr>
        <w:t>3).</w:t>
      </w:r>
    </w:p>
    <w:p w14:paraId="63F465C5" w14:textId="2B1753C1" w:rsidR="00AC5207" w:rsidRDefault="00E1771B" w:rsidP="0050307F">
      <w:pPr>
        <w:spacing w:line="360" w:lineRule="auto"/>
        <w:rPr>
          <w:rFonts w:ascii="Arial" w:hAnsi="Arial" w:cs="Arial"/>
        </w:rPr>
      </w:pPr>
      <w:r w:rsidRPr="00E1771B">
        <w:rPr>
          <w:rFonts w:ascii="Arial" w:hAnsi="Arial" w:cs="Arial"/>
        </w:rPr>
        <w:t>Collectively, these strategies recognise that achieving SDG 3 requires transforming governance and financing structures, not merely expanding health</w:t>
      </w:r>
      <w:r w:rsidR="00445892">
        <w:rPr>
          <w:rFonts w:ascii="Arial" w:hAnsi="Arial" w:cs="Arial"/>
        </w:rPr>
        <w:t xml:space="preserve"> </w:t>
      </w:r>
      <w:r w:rsidRPr="00E1771B">
        <w:rPr>
          <w:rFonts w:ascii="Arial" w:hAnsi="Arial" w:cs="Arial"/>
        </w:rPr>
        <w:t xml:space="preserve">service provision. </w:t>
      </w:r>
      <w:r w:rsidR="00291AF1" w:rsidRPr="00291AF1">
        <w:rPr>
          <w:rFonts w:ascii="Arial" w:hAnsi="Arial" w:cs="Arial"/>
        </w:rPr>
        <w:t>Overall, the evidence suggests that tackling health inequalities requires a coordinated and long-term approach that connects international policy ambitions with local implementation.</w:t>
      </w:r>
    </w:p>
    <w:p w14:paraId="0BA70E13" w14:textId="67CBA500" w:rsidR="00AC5207" w:rsidRDefault="000E4C35" w:rsidP="0050307F">
      <w:pPr>
        <w:spacing w:line="360" w:lineRule="auto"/>
        <w:rPr>
          <w:rFonts w:ascii="Arial" w:hAnsi="Arial" w:cs="Arial"/>
          <w:b/>
          <w:bCs/>
          <w:u w:val="single"/>
        </w:rPr>
      </w:pPr>
      <w:r w:rsidRPr="000E4C35">
        <w:rPr>
          <w:rFonts w:ascii="Arial" w:hAnsi="Arial" w:cs="Arial"/>
          <w:b/>
          <w:bCs/>
          <w:u w:val="single"/>
        </w:rPr>
        <w:t>Section 2 – SDG 1: No Poverty</w:t>
      </w:r>
    </w:p>
    <w:p w14:paraId="65A34FB2" w14:textId="77777777" w:rsidR="00DD6176" w:rsidRPr="00DD6176" w:rsidRDefault="00DD6176" w:rsidP="00DD6176">
      <w:pPr>
        <w:spacing w:line="360" w:lineRule="auto"/>
        <w:rPr>
          <w:rFonts w:ascii="Arial" w:hAnsi="Arial" w:cs="Arial"/>
          <w:u w:val="single"/>
        </w:rPr>
      </w:pPr>
      <w:r w:rsidRPr="00DD6176">
        <w:rPr>
          <w:rFonts w:ascii="Arial" w:hAnsi="Arial" w:cs="Arial"/>
          <w:u w:val="single"/>
        </w:rPr>
        <w:t>Overview of SDG 1</w:t>
      </w:r>
    </w:p>
    <w:p w14:paraId="66CE2481" w14:textId="04350F63" w:rsidR="000E4C35" w:rsidRPr="00DD6176" w:rsidRDefault="00DD6176" w:rsidP="00DD6176">
      <w:pPr>
        <w:spacing w:line="360" w:lineRule="auto"/>
        <w:rPr>
          <w:rFonts w:ascii="Arial" w:hAnsi="Arial" w:cs="Arial"/>
        </w:rPr>
      </w:pPr>
      <w:r w:rsidRPr="00DD6176">
        <w:rPr>
          <w:rFonts w:ascii="Arial" w:hAnsi="Arial" w:cs="Arial"/>
        </w:rPr>
        <w:t>Sustainable Development Goal 1 (No Poverty) seeks to “end poverty in all its forms everywhere,” recognising deprivation as a structural driver of inequality and ill health (United Nations, 2015). Poverty extends beyond low income to include deficits in housing, education, nutrition, and access to services. Current estimates suggest that 8 per cent of the global population</w:t>
      </w:r>
      <w:r w:rsidR="00852BF6">
        <w:rPr>
          <w:rFonts w:ascii="Arial" w:hAnsi="Arial" w:cs="Arial"/>
        </w:rPr>
        <w:t xml:space="preserve">, </w:t>
      </w:r>
      <w:r w:rsidRPr="00DD6176">
        <w:rPr>
          <w:rFonts w:ascii="Arial" w:hAnsi="Arial" w:cs="Arial"/>
        </w:rPr>
        <w:t>around 650 million people</w:t>
      </w:r>
      <w:r w:rsidR="00852BF6">
        <w:rPr>
          <w:rFonts w:ascii="Arial" w:hAnsi="Arial" w:cs="Arial"/>
        </w:rPr>
        <w:t xml:space="preserve"> </w:t>
      </w:r>
      <w:r w:rsidRPr="00DD6176">
        <w:rPr>
          <w:rFonts w:ascii="Arial" w:hAnsi="Arial" w:cs="Arial"/>
        </w:rPr>
        <w:t>live in extreme poverty (World Bank, 2024). Economic stagnation, conflict, and climate shocks have slowed progress, while the COVID-19 pandemic deepened existing inequities. Because disadvantage strongly determines exposure to ill-health risks, SDG 1 is inseparable from SDG 3 (Good Health and Well-being); tackling poverty is therefore a public-health as well as an economic priority (Marmot et al., 2020).</w:t>
      </w:r>
    </w:p>
    <w:p w14:paraId="27698252" w14:textId="68761843" w:rsidR="009D05D8" w:rsidRPr="009D05D8" w:rsidRDefault="009D05D8" w:rsidP="009D05D8">
      <w:pPr>
        <w:spacing w:line="360" w:lineRule="auto"/>
        <w:rPr>
          <w:rFonts w:ascii="Arial" w:hAnsi="Arial" w:cs="Arial"/>
          <w:u w:val="single"/>
        </w:rPr>
      </w:pPr>
      <w:r w:rsidRPr="009D05D8">
        <w:rPr>
          <w:rFonts w:ascii="Arial" w:hAnsi="Arial" w:cs="Arial"/>
          <w:u w:val="single"/>
        </w:rPr>
        <w:t>Global Policies and Initiatives</w:t>
      </w:r>
      <w:r w:rsidR="00A80C91">
        <w:rPr>
          <w:rFonts w:ascii="Arial" w:hAnsi="Arial" w:cs="Arial"/>
          <w:u w:val="single"/>
        </w:rPr>
        <w:t xml:space="preserve"> </w:t>
      </w:r>
    </w:p>
    <w:p w14:paraId="4CB8B712" w14:textId="515343DE" w:rsidR="00D8460C" w:rsidRDefault="00D8460C" w:rsidP="00355DCE">
      <w:pPr>
        <w:spacing w:line="360" w:lineRule="auto"/>
        <w:rPr>
          <w:rFonts w:ascii="Arial" w:hAnsi="Arial" w:cs="Arial"/>
        </w:rPr>
      </w:pPr>
      <w:r w:rsidRPr="00D8460C">
        <w:rPr>
          <w:rFonts w:ascii="Arial" w:hAnsi="Arial" w:cs="Arial"/>
        </w:rPr>
        <w:t xml:space="preserve">Globally, SDG 1 operates within the 2030 Agenda for Sustainable Development, reinforced by the World Bank’s Poverty and Shared Prosperity Report 2024 and the UNDP Human Development Report 2023/24. These frameworks emphasise inclusive growth, social-protection floors, and investment in human capital. A flagship programme supporting this agenda is the World Bank’s International Development Association (IDA), which provides concessional financing and technical assistance to the world’s poorest countries. The programme’s purpose is to strengthen economic resilience, expand access to education and healthcare, and protect vulnerable populations from economic shocks (World Bank, 2024). Empirical evidence indicates that countries expanding social protection experience faster reductions in poverty and improved population health outcomes (WHO, 2023). However, progress remains uneven; the UNDP (2024) warns that inflation and geopolitical instability have reversed gains, pushing millions back into poverty. As Aftab et al. (2020) and </w:t>
      </w:r>
      <w:r w:rsidRPr="00D8460C">
        <w:rPr>
          <w:rFonts w:ascii="Arial" w:hAnsi="Arial" w:cs="Arial"/>
        </w:rPr>
        <w:lastRenderedPageBreak/>
        <w:t>Kickbusch and Liu (2022) argue, governance weaknesses and fragmented accountability continue to constrain global progress, highlighting that sustainable development demands cross-sectoral alignment of economic, environmental, and health priorities.</w:t>
      </w:r>
    </w:p>
    <w:p w14:paraId="78BD862C" w14:textId="4D2D5870" w:rsidR="00355DCE" w:rsidRPr="00355DCE" w:rsidRDefault="00355DCE" w:rsidP="00355DCE">
      <w:pPr>
        <w:spacing w:line="360" w:lineRule="auto"/>
        <w:rPr>
          <w:rFonts w:ascii="Arial" w:hAnsi="Arial" w:cs="Arial"/>
          <w:u w:val="single"/>
        </w:rPr>
      </w:pPr>
      <w:r w:rsidRPr="00355DCE">
        <w:rPr>
          <w:rFonts w:ascii="Arial" w:hAnsi="Arial" w:cs="Arial"/>
          <w:u w:val="single"/>
        </w:rPr>
        <w:t>National (UK) Policies and Initiatives</w:t>
      </w:r>
    </w:p>
    <w:p w14:paraId="065EC556" w14:textId="551A9DAA" w:rsidR="00AC5207" w:rsidRDefault="00855C0C" w:rsidP="0050307F">
      <w:pPr>
        <w:spacing w:line="360" w:lineRule="auto"/>
        <w:rPr>
          <w:rFonts w:ascii="Arial" w:hAnsi="Arial" w:cs="Arial"/>
        </w:rPr>
      </w:pPr>
      <w:r w:rsidRPr="00855C0C">
        <w:rPr>
          <w:rFonts w:ascii="Arial" w:hAnsi="Arial" w:cs="Arial"/>
        </w:rPr>
        <w:t>Within the United Kingdom, poverty reduction remains a statutory and moral priority, yet progress continues to be uneven. The Child Poverty Act 2010 introduced legally binding targets, but austerity policies and welfare reforms undermined their long-term effectiveness (Marmot et al., 2020; Kennedy, 2014). More recently, initiatives such as the Healthy Start Scheme</w:t>
      </w:r>
      <w:r w:rsidR="007127D8">
        <w:rPr>
          <w:rFonts w:ascii="Arial" w:hAnsi="Arial" w:cs="Arial"/>
        </w:rPr>
        <w:t>,</w:t>
      </w:r>
      <w:r w:rsidR="00AF5259">
        <w:rPr>
          <w:rFonts w:ascii="Arial" w:hAnsi="Arial" w:cs="Arial"/>
        </w:rPr>
        <w:t xml:space="preserve"> </w:t>
      </w:r>
      <w:r w:rsidRPr="00855C0C">
        <w:rPr>
          <w:rFonts w:ascii="Arial" w:hAnsi="Arial" w:cs="Arial"/>
        </w:rPr>
        <w:t>which provides low-income pregnant women and families with vouchers for essential foods and vitamins</w:t>
      </w:r>
      <w:r w:rsidR="00AF5259">
        <w:rPr>
          <w:rFonts w:ascii="Arial" w:hAnsi="Arial" w:cs="Arial"/>
        </w:rPr>
        <w:t xml:space="preserve">, </w:t>
      </w:r>
      <w:r w:rsidRPr="00855C0C">
        <w:rPr>
          <w:rFonts w:ascii="Arial" w:hAnsi="Arial" w:cs="Arial"/>
        </w:rPr>
        <w:t>aim to improve nutritional security and early childhood health (NHS, 2024). Alongside this, the Trussell Trust Food Bank Network distributed nearly 3.1 million emergency food parcels in 2023–24, reflecting both community resilience and systemic gaps in income support (Trussell Trust, 2024). Despite measures including the Levelling Up White Paper (2022) and the Cost of Living Support Package (2023), over 14 million people remain in poverty, including one in three children (Joseph Rowntree Foundation, 2024). Persistent underinvestment in public health and social infrastructure continues to limit sustainable progress toward SDG 1.</w:t>
      </w:r>
    </w:p>
    <w:p w14:paraId="5983808E" w14:textId="6CAE713B" w:rsidR="002A1F33" w:rsidRPr="002A1F33" w:rsidRDefault="002A1F33" w:rsidP="002A1F33">
      <w:pPr>
        <w:spacing w:line="360" w:lineRule="auto"/>
        <w:rPr>
          <w:rFonts w:ascii="Arial" w:hAnsi="Arial" w:cs="Arial"/>
          <w:u w:val="single"/>
        </w:rPr>
      </w:pPr>
      <w:r w:rsidRPr="002A1F33">
        <w:rPr>
          <w:rFonts w:ascii="Arial" w:hAnsi="Arial" w:cs="Arial"/>
          <w:u w:val="single"/>
        </w:rPr>
        <w:t>Local</w:t>
      </w:r>
      <w:r w:rsidR="00821CAC">
        <w:rPr>
          <w:rFonts w:ascii="Arial" w:hAnsi="Arial" w:cs="Arial"/>
          <w:u w:val="single"/>
        </w:rPr>
        <w:t xml:space="preserve"> - </w:t>
      </w:r>
      <w:r w:rsidRPr="002A1F33">
        <w:rPr>
          <w:rFonts w:ascii="Arial" w:hAnsi="Arial" w:cs="Arial"/>
          <w:u w:val="single"/>
        </w:rPr>
        <w:t>Birmingham</w:t>
      </w:r>
      <w:r w:rsidR="00821CAC">
        <w:rPr>
          <w:rFonts w:ascii="Arial" w:hAnsi="Arial" w:cs="Arial"/>
          <w:u w:val="single"/>
        </w:rPr>
        <w:t xml:space="preserve"> </w:t>
      </w:r>
    </w:p>
    <w:p w14:paraId="695E93C5" w14:textId="76D88FDB" w:rsidR="002A1F33" w:rsidRPr="002A1F33" w:rsidRDefault="002A1F33" w:rsidP="002A1F33">
      <w:pPr>
        <w:spacing w:line="360" w:lineRule="auto"/>
        <w:rPr>
          <w:rFonts w:ascii="Arial" w:hAnsi="Arial" w:cs="Arial"/>
        </w:rPr>
      </w:pPr>
      <w:r w:rsidRPr="002A1F33">
        <w:rPr>
          <w:rFonts w:ascii="Arial" w:hAnsi="Arial" w:cs="Arial"/>
        </w:rPr>
        <w:t>Birmingham exemplifies the intersection of poverty and health inequality within urban UK. The Birmingham Anti-Poverty Strategy 2023–2028 sets out goals of inclusive growth, affordable housing, and improved access to essentials (Birmingham City Council, 2023). Complementary programmes</w:t>
      </w:r>
      <w:r w:rsidR="00952320">
        <w:rPr>
          <w:rFonts w:ascii="Arial" w:hAnsi="Arial" w:cs="Arial"/>
        </w:rPr>
        <w:t xml:space="preserve"> </w:t>
      </w:r>
      <w:r w:rsidRPr="002A1F33">
        <w:rPr>
          <w:rFonts w:ascii="Arial" w:hAnsi="Arial" w:cs="Arial"/>
        </w:rPr>
        <w:t>such as the Poverty Truth Commission and Food Justice Network</w:t>
      </w:r>
      <w:r w:rsidR="00952320">
        <w:rPr>
          <w:rFonts w:ascii="Arial" w:hAnsi="Arial" w:cs="Arial"/>
        </w:rPr>
        <w:t xml:space="preserve"> </w:t>
      </w:r>
      <w:r w:rsidRPr="002A1F33">
        <w:rPr>
          <w:rFonts w:ascii="Arial" w:hAnsi="Arial" w:cs="Arial"/>
        </w:rPr>
        <w:t>promote citizen participation and cross-sector collaboration. Yet approximately 30 per cent of children live below the relative-poverty threshold, and the gap in life expectancy between the city’s richest and poorest wards exceeds seven years (ONS, 202</w:t>
      </w:r>
      <w:r w:rsidR="003B3568">
        <w:rPr>
          <w:rFonts w:ascii="Arial" w:hAnsi="Arial" w:cs="Arial"/>
        </w:rPr>
        <w:t>2</w:t>
      </w:r>
      <w:r w:rsidRPr="002A1F33">
        <w:rPr>
          <w:rFonts w:ascii="Arial" w:hAnsi="Arial" w:cs="Arial"/>
        </w:rPr>
        <w:t>).</w:t>
      </w:r>
    </w:p>
    <w:p w14:paraId="2FC8AF97" w14:textId="18398137" w:rsidR="00AC5207" w:rsidRDefault="002A1F33" w:rsidP="002A1F33">
      <w:pPr>
        <w:spacing w:line="360" w:lineRule="auto"/>
        <w:rPr>
          <w:rFonts w:ascii="Arial" w:hAnsi="Arial" w:cs="Arial"/>
        </w:rPr>
      </w:pPr>
      <w:r w:rsidRPr="002A1F33">
        <w:rPr>
          <w:rFonts w:ascii="Arial" w:hAnsi="Arial" w:cs="Arial"/>
        </w:rPr>
        <w:t>Using Bronfenbrenner’s (1994) ecological-systems framework, local outcomes can be viewed as products of multi-level interactions: micro (family), meso (community), and macro (policy). While Birmingham City Council drives community-level change, it remains constrained by limited fiscal autonomy and short-term grant cycles (NAO, 202</w:t>
      </w:r>
      <w:r w:rsidR="00063424">
        <w:rPr>
          <w:rFonts w:ascii="Arial" w:hAnsi="Arial" w:cs="Arial"/>
        </w:rPr>
        <w:t>0</w:t>
      </w:r>
      <w:r w:rsidRPr="002A1F33">
        <w:rPr>
          <w:rFonts w:ascii="Arial" w:hAnsi="Arial" w:cs="Arial"/>
        </w:rPr>
        <w:t>). Consequently, local innovation often struggles to offset national policy limitations, demonstrating the importance of vertical integration between governance levels.</w:t>
      </w:r>
    </w:p>
    <w:p w14:paraId="45939B95" w14:textId="338C0A25" w:rsidR="00C835CE" w:rsidRPr="00C835CE" w:rsidRDefault="00C835CE" w:rsidP="00C835CE">
      <w:pPr>
        <w:spacing w:line="360" w:lineRule="auto"/>
        <w:rPr>
          <w:rFonts w:ascii="Arial" w:hAnsi="Arial" w:cs="Arial"/>
          <w:u w:val="single"/>
        </w:rPr>
      </w:pPr>
      <w:r w:rsidRPr="00C835CE">
        <w:rPr>
          <w:rFonts w:ascii="Arial" w:hAnsi="Arial" w:cs="Arial"/>
          <w:u w:val="single"/>
        </w:rPr>
        <w:t>Use of Theories and Models</w:t>
      </w:r>
      <w:r w:rsidR="0019635E">
        <w:rPr>
          <w:rFonts w:ascii="Arial" w:hAnsi="Arial" w:cs="Arial"/>
          <w:u w:val="single"/>
        </w:rPr>
        <w:t xml:space="preserve"> </w:t>
      </w:r>
    </w:p>
    <w:p w14:paraId="52AFD79A" w14:textId="395E4B0A" w:rsidR="0016665E" w:rsidRDefault="0016665E" w:rsidP="001065AD">
      <w:pPr>
        <w:spacing w:line="360" w:lineRule="auto"/>
        <w:rPr>
          <w:rFonts w:ascii="Arial" w:hAnsi="Arial" w:cs="Arial"/>
        </w:rPr>
      </w:pPr>
      <w:r w:rsidRPr="0016665E">
        <w:rPr>
          <w:rFonts w:ascii="Arial" w:hAnsi="Arial" w:cs="Arial"/>
        </w:rPr>
        <w:t xml:space="preserve">The multidimensional experience of poverty can be understood through the biopsychosocial model, which recognises that economic hardship affects physical health, mental wellbeing, </w:t>
      </w:r>
      <w:r w:rsidRPr="0016665E">
        <w:rPr>
          <w:rFonts w:ascii="Arial" w:hAnsi="Arial" w:cs="Arial"/>
        </w:rPr>
        <w:lastRenderedPageBreak/>
        <w:t xml:space="preserve">and social functioning, requiring coordinated responses from GPs, health visitors, and community practitioners (Engel, 1977). Maslow’s hierarchy of needs suggests that unless basic needs such as food, shelter, and safety are met, individuals cannot achieve higher levels of </w:t>
      </w:r>
      <w:r>
        <w:rPr>
          <w:rFonts w:ascii="Arial" w:hAnsi="Arial" w:cs="Arial"/>
        </w:rPr>
        <w:t>well-being</w:t>
      </w:r>
      <w:r w:rsidRPr="0016665E">
        <w:rPr>
          <w:rFonts w:ascii="Arial" w:hAnsi="Arial" w:cs="Arial"/>
        </w:rPr>
        <w:t xml:space="preserve"> or self-fulfilment</w:t>
      </w:r>
      <w:r w:rsidR="00C42802">
        <w:rPr>
          <w:rFonts w:ascii="Arial" w:hAnsi="Arial" w:cs="Arial"/>
        </w:rPr>
        <w:t xml:space="preserve"> </w:t>
      </w:r>
      <w:r w:rsidR="00C42802" w:rsidRPr="00C42802">
        <w:rPr>
          <w:rFonts w:ascii="Arial" w:hAnsi="Arial" w:cs="Arial"/>
        </w:rPr>
        <w:t>(Healy, 2016)</w:t>
      </w:r>
      <w:r w:rsidRPr="0016665E">
        <w:rPr>
          <w:rFonts w:ascii="Arial" w:hAnsi="Arial" w:cs="Arial"/>
        </w:rPr>
        <w:t>. The Health Belief Model further explains how perceptions of risk and benefit influence engagement with support services, such as school-based food initiatives or community programmes in gurdwaras. Collectively, these frameworks advocate holistic, community-oriented interventions to mitigate poverty’s health impacts.</w:t>
      </w:r>
    </w:p>
    <w:p w14:paraId="30E3FEE2" w14:textId="2690BAA5" w:rsidR="001065AD" w:rsidRPr="001065AD" w:rsidRDefault="001065AD" w:rsidP="001065AD">
      <w:pPr>
        <w:spacing w:line="360" w:lineRule="auto"/>
        <w:rPr>
          <w:rFonts w:ascii="Arial" w:hAnsi="Arial" w:cs="Arial"/>
          <w:u w:val="single"/>
        </w:rPr>
      </w:pPr>
      <w:r w:rsidRPr="001065AD">
        <w:rPr>
          <w:rFonts w:ascii="Arial" w:hAnsi="Arial" w:cs="Arial"/>
          <w:u w:val="single"/>
        </w:rPr>
        <w:t>Critical Evaluation</w:t>
      </w:r>
    </w:p>
    <w:p w14:paraId="5635EAD9" w14:textId="38D6F1E0" w:rsidR="006E6933" w:rsidRDefault="00A15856" w:rsidP="00703492">
      <w:pPr>
        <w:spacing w:line="360" w:lineRule="auto"/>
        <w:rPr>
          <w:rFonts w:ascii="Arial" w:hAnsi="Arial" w:cs="Arial"/>
        </w:rPr>
      </w:pPr>
      <w:r w:rsidRPr="00A15856">
        <w:rPr>
          <w:rFonts w:ascii="Arial" w:hAnsi="Arial" w:cs="Arial"/>
        </w:rPr>
        <w:t>Despite extensive policy frameworks, the UK’s approach to poverty reduction remains fragmented and reactive. Programmes such as Healthy Start and food-bank initiatives provide short-term relief but fail to address underlying structural inequities in wages, housing, and education (Joseph Rowntree Foundation, 2024; Trussell Trust, 2024). Evidence suggests that reliance on voluntary and crisis-driven support perpetuates dependency rather than resilience. Furthermore, sustained under-investment in public-health and social-care systems has weakened cross-sector collaboration (Health Foundation, 2023). Achieving SDG 1 therefore requires a systemic shift from emergency responses to preventative, community-empowering strategies that align fiscal, social, and health policies within a long-term equity framework (NAO, 2024).</w:t>
      </w:r>
    </w:p>
    <w:p w14:paraId="54A956B1" w14:textId="241F232D" w:rsidR="00703492" w:rsidRDefault="00703492" w:rsidP="00703492">
      <w:pPr>
        <w:spacing w:line="360" w:lineRule="auto"/>
        <w:rPr>
          <w:rFonts w:ascii="Arial" w:hAnsi="Arial" w:cs="Arial"/>
          <w:u w:val="single"/>
        </w:rPr>
      </w:pPr>
      <w:r w:rsidRPr="00A110B3">
        <w:rPr>
          <w:rFonts w:ascii="Arial" w:hAnsi="Arial" w:cs="Arial"/>
          <w:u w:val="single"/>
        </w:rPr>
        <w:t>Recommendations (Critically Discussed and Evidence-Informed)</w:t>
      </w:r>
    </w:p>
    <w:p w14:paraId="0A138F92" w14:textId="77777777" w:rsidR="007C19F9" w:rsidRPr="007C19F9" w:rsidRDefault="007C19F9" w:rsidP="007C19F9">
      <w:pPr>
        <w:spacing w:line="360" w:lineRule="auto"/>
        <w:rPr>
          <w:rFonts w:ascii="Arial" w:hAnsi="Arial" w:cs="Arial"/>
        </w:rPr>
      </w:pPr>
      <w:r w:rsidRPr="007C19F9">
        <w:rPr>
          <w:rFonts w:ascii="Arial" w:hAnsi="Arial" w:cs="Arial"/>
        </w:rPr>
        <w:t>To achieve SDG 1 and reduce poverty sustainably, three evidence-informed priorities are proposed:</w:t>
      </w:r>
    </w:p>
    <w:p w14:paraId="239C645E" w14:textId="77777777" w:rsidR="007C19F9" w:rsidRPr="005140A0" w:rsidRDefault="007C19F9" w:rsidP="005140A0">
      <w:pPr>
        <w:pStyle w:val="ListParagraph"/>
        <w:numPr>
          <w:ilvl w:val="0"/>
          <w:numId w:val="3"/>
        </w:numPr>
        <w:spacing w:line="360" w:lineRule="auto"/>
        <w:rPr>
          <w:rFonts w:ascii="Arial" w:hAnsi="Arial" w:cs="Arial"/>
        </w:rPr>
      </w:pPr>
      <w:r w:rsidRPr="005140A0">
        <w:rPr>
          <w:rFonts w:ascii="Arial" w:hAnsi="Arial" w:cs="Arial"/>
          <w:b/>
          <w:bCs/>
        </w:rPr>
        <w:t>Strengthen early-intervention and family support services:</w:t>
      </w:r>
      <w:r w:rsidRPr="005140A0">
        <w:rPr>
          <w:rFonts w:ascii="Arial" w:hAnsi="Arial" w:cs="Arial"/>
        </w:rPr>
        <w:t xml:space="preserve"> Expanding programmes like Healthy Start and health-visitor outreach can improve maternal nutrition, child development, and long-term health equity (NHS, 2024; Marmot et al., 2020).</w:t>
      </w:r>
    </w:p>
    <w:p w14:paraId="79C6A195" w14:textId="1E0D6179" w:rsidR="007C19F9" w:rsidRPr="005140A0" w:rsidRDefault="007C19F9" w:rsidP="005140A0">
      <w:pPr>
        <w:pStyle w:val="ListParagraph"/>
        <w:numPr>
          <w:ilvl w:val="0"/>
          <w:numId w:val="3"/>
        </w:numPr>
        <w:spacing w:line="360" w:lineRule="auto"/>
        <w:rPr>
          <w:rFonts w:ascii="Arial" w:hAnsi="Arial" w:cs="Arial"/>
        </w:rPr>
      </w:pPr>
      <w:r w:rsidRPr="005140A0">
        <w:rPr>
          <w:rFonts w:ascii="Arial" w:hAnsi="Arial" w:cs="Arial"/>
          <w:b/>
          <w:bCs/>
        </w:rPr>
        <w:t>Invest in community-based resilience initiatives:</w:t>
      </w:r>
      <w:r w:rsidRPr="005140A0">
        <w:rPr>
          <w:rFonts w:ascii="Arial" w:hAnsi="Arial" w:cs="Arial"/>
        </w:rPr>
        <w:t xml:space="preserve"> Supporting schools, GPs, and faith organisations such as gurdwaras</w:t>
      </w:r>
      <w:r w:rsidR="00CE66A6">
        <w:rPr>
          <w:rFonts w:ascii="Arial" w:hAnsi="Arial" w:cs="Arial"/>
        </w:rPr>
        <w:t xml:space="preserve"> and mosques</w:t>
      </w:r>
      <w:r w:rsidRPr="005140A0">
        <w:rPr>
          <w:rFonts w:ascii="Arial" w:hAnsi="Arial" w:cs="Arial"/>
        </w:rPr>
        <w:t xml:space="preserve"> to deliver food security, education, and mental-health support fosters empowerment rather than dependency (Trussell Trust, 2024).</w:t>
      </w:r>
    </w:p>
    <w:p w14:paraId="130DE019" w14:textId="746B2BB1" w:rsidR="007C19F9" w:rsidRPr="005140A0" w:rsidRDefault="007C19F9" w:rsidP="005140A0">
      <w:pPr>
        <w:pStyle w:val="ListParagraph"/>
        <w:numPr>
          <w:ilvl w:val="0"/>
          <w:numId w:val="3"/>
        </w:numPr>
        <w:spacing w:line="360" w:lineRule="auto"/>
        <w:rPr>
          <w:rFonts w:ascii="Arial" w:hAnsi="Arial" w:cs="Arial"/>
        </w:rPr>
      </w:pPr>
      <w:r w:rsidRPr="005140A0">
        <w:rPr>
          <w:rFonts w:ascii="Arial" w:hAnsi="Arial" w:cs="Arial"/>
          <w:b/>
          <w:bCs/>
        </w:rPr>
        <w:t>Embed poverty-reduction within national health and fiscal policy:</w:t>
      </w:r>
      <w:r w:rsidRPr="005140A0">
        <w:rPr>
          <w:rFonts w:ascii="Arial" w:hAnsi="Arial" w:cs="Arial"/>
        </w:rPr>
        <w:t xml:space="preserve"> Implementing “Health in All Policies” (WHO, 2023) would ensure economic decisions</w:t>
      </w:r>
      <w:r w:rsidR="00547C2D">
        <w:rPr>
          <w:rFonts w:ascii="Arial" w:hAnsi="Arial" w:cs="Arial"/>
        </w:rPr>
        <w:t xml:space="preserve"> </w:t>
      </w:r>
      <w:r w:rsidRPr="005140A0">
        <w:rPr>
          <w:rFonts w:ascii="Arial" w:hAnsi="Arial" w:cs="Arial"/>
        </w:rPr>
        <w:t>on taxation, housing, and employment</w:t>
      </w:r>
      <w:r w:rsidR="00CE66A6">
        <w:rPr>
          <w:rFonts w:ascii="Arial" w:hAnsi="Arial" w:cs="Arial"/>
        </w:rPr>
        <w:t xml:space="preserve"> </w:t>
      </w:r>
      <w:r w:rsidRPr="005140A0">
        <w:rPr>
          <w:rFonts w:ascii="Arial" w:hAnsi="Arial" w:cs="Arial"/>
        </w:rPr>
        <w:t>explicitly consider health impacts, enabling sustainable progress.</w:t>
      </w:r>
    </w:p>
    <w:p w14:paraId="74563025" w14:textId="37F5CAF9" w:rsidR="007C19F9" w:rsidRPr="007C19F9" w:rsidRDefault="007C19F9" w:rsidP="007C19F9">
      <w:pPr>
        <w:spacing w:line="360" w:lineRule="auto"/>
        <w:rPr>
          <w:rFonts w:ascii="Arial" w:hAnsi="Arial" w:cs="Arial"/>
        </w:rPr>
      </w:pPr>
      <w:r w:rsidRPr="007C19F9">
        <w:rPr>
          <w:rFonts w:ascii="Arial" w:hAnsi="Arial" w:cs="Arial"/>
        </w:rPr>
        <w:lastRenderedPageBreak/>
        <w:t>Collectively, these strategies would transition the UK from reactive crisis management to proactive, equity-driven policy that aligns health, economic, and social objectives.</w:t>
      </w:r>
    </w:p>
    <w:p w14:paraId="0F452D02" w14:textId="56488A24" w:rsidR="002A5EFA" w:rsidRDefault="001C3DCF" w:rsidP="00703492">
      <w:pPr>
        <w:spacing w:line="360" w:lineRule="auto"/>
        <w:rPr>
          <w:rFonts w:ascii="Arial" w:hAnsi="Arial" w:cs="Arial"/>
          <w:b/>
          <w:bCs/>
          <w:u w:val="single"/>
        </w:rPr>
      </w:pPr>
      <w:r>
        <w:rPr>
          <w:rFonts w:ascii="Arial" w:hAnsi="Arial" w:cs="Arial"/>
          <w:b/>
          <w:bCs/>
          <w:u w:val="single"/>
        </w:rPr>
        <w:t>Conclusion</w:t>
      </w:r>
    </w:p>
    <w:p w14:paraId="00B214D6" w14:textId="17636FB5" w:rsidR="00AC5207" w:rsidRDefault="00D54246" w:rsidP="0050307F">
      <w:pPr>
        <w:spacing w:line="360" w:lineRule="auto"/>
        <w:rPr>
          <w:rFonts w:ascii="Arial" w:hAnsi="Arial" w:cs="Arial"/>
        </w:rPr>
      </w:pPr>
      <w:r w:rsidRPr="00D54246">
        <w:rPr>
          <w:rFonts w:ascii="Arial" w:hAnsi="Arial" w:cs="Arial"/>
        </w:rPr>
        <w:t>In summary, achieving SDG 3 and SDG 1 demands coordinated action across global, national, and local systems. The evidence shows that health and poverty are inseparable: progress in one domain strengthens the other, while neglect perpetuates inequality (United Nations, 2025). Despite policy advances such as the Healthy Start Scheme and Birmingham’s Health and Wellbeing Strategy, fragmented governance and short-term funding cycles continue to constrain impact. Theories including the biopsychosocial model and Marmot’s social gradient highlight that wellbeing is rooted in structural, not solely behavioural, factors. Moving forward, embedding equity within fiscal, housing, and education policy</w:t>
      </w:r>
      <w:r>
        <w:rPr>
          <w:rFonts w:ascii="Arial" w:hAnsi="Arial" w:cs="Arial"/>
        </w:rPr>
        <w:t xml:space="preserve"> </w:t>
      </w:r>
      <w:r w:rsidRPr="00D54246">
        <w:rPr>
          <w:rFonts w:ascii="Arial" w:hAnsi="Arial" w:cs="Arial"/>
        </w:rPr>
        <w:t>guided by the WHO’s Health in All Policies approach</w:t>
      </w:r>
      <w:r>
        <w:rPr>
          <w:rFonts w:ascii="Arial" w:hAnsi="Arial" w:cs="Arial"/>
        </w:rPr>
        <w:t xml:space="preserve"> </w:t>
      </w:r>
      <w:r w:rsidRPr="00D54246">
        <w:rPr>
          <w:rFonts w:ascii="Arial" w:hAnsi="Arial" w:cs="Arial"/>
        </w:rPr>
        <w:t>remains essential. Sustained investment in prevention, community empowerment, and cross-sector accountability will be critical to ensuring that the UK’s health and social systems align with the transformative vision of the 2030 Agenda for Sustainable Development.</w:t>
      </w:r>
    </w:p>
    <w:p w14:paraId="11884B5F" w14:textId="77777777" w:rsidR="00AC5207" w:rsidRDefault="00AC5207" w:rsidP="0050307F">
      <w:pPr>
        <w:spacing w:line="360" w:lineRule="auto"/>
        <w:rPr>
          <w:rFonts w:ascii="Arial" w:hAnsi="Arial" w:cs="Arial"/>
        </w:rPr>
      </w:pPr>
    </w:p>
    <w:p w14:paraId="4D80DE71" w14:textId="77777777" w:rsidR="00AC5207" w:rsidRDefault="00AC5207" w:rsidP="0050307F">
      <w:pPr>
        <w:spacing w:line="360" w:lineRule="auto"/>
        <w:rPr>
          <w:rFonts w:ascii="Arial" w:hAnsi="Arial" w:cs="Arial"/>
        </w:rPr>
      </w:pPr>
    </w:p>
    <w:p w14:paraId="01492C8E" w14:textId="77777777" w:rsidR="00AC5207" w:rsidRDefault="00AC5207" w:rsidP="0050307F">
      <w:pPr>
        <w:spacing w:line="360" w:lineRule="auto"/>
        <w:rPr>
          <w:rFonts w:ascii="Arial" w:hAnsi="Arial" w:cs="Arial"/>
        </w:rPr>
      </w:pPr>
    </w:p>
    <w:p w14:paraId="1C65FBB3" w14:textId="77777777" w:rsidR="001C3DCF" w:rsidRDefault="001C3DCF" w:rsidP="0050307F">
      <w:pPr>
        <w:spacing w:line="360" w:lineRule="auto"/>
        <w:rPr>
          <w:rFonts w:ascii="Arial" w:hAnsi="Arial" w:cs="Arial"/>
        </w:rPr>
      </w:pPr>
    </w:p>
    <w:p w14:paraId="1EA7FFAD" w14:textId="77777777" w:rsidR="00ED5299" w:rsidRDefault="00ED5299" w:rsidP="0050307F">
      <w:pPr>
        <w:spacing w:line="360" w:lineRule="auto"/>
        <w:rPr>
          <w:rFonts w:ascii="Arial" w:hAnsi="Arial" w:cs="Arial"/>
          <w:b/>
          <w:bCs/>
          <w:u w:val="single"/>
        </w:rPr>
      </w:pPr>
    </w:p>
    <w:p w14:paraId="0D705FD0" w14:textId="77777777" w:rsidR="00ED5299" w:rsidRDefault="00ED5299" w:rsidP="0050307F">
      <w:pPr>
        <w:spacing w:line="360" w:lineRule="auto"/>
        <w:rPr>
          <w:rFonts w:ascii="Arial" w:hAnsi="Arial" w:cs="Arial"/>
          <w:b/>
          <w:bCs/>
          <w:u w:val="single"/>
        </w:rPr>
      </w:pPr>
    </w:p>
    <w:p w14:paraId="603F7945" w14:textId="77777777" w:rsidR="00ED5299" w:rsidRDefault="00ED5299" w:rsidP="0050307F">
      <w:pPr>
        <w:spacing w:line="360" w:lineRule="auto"/>
        <w:rPr>
          <w:rFonts w:ascii="Arial" w:hAnsi="Arial" w:cs="Arial"/>
          <w:b/>
          <w:bCs/>
          <w:u w:val="single"/>
        </w:rPr>
      </w:pPr>
    </w:p>
    <w:p w14:paraId="1C4B1FE6" w14:textId="77777777" w:rsidR="00ED5299" w:rsidRDefault="00ED5299" w:rsidP="0050307F">
      <w:pPr>
        <w:spacing w:line="360" w:lineRule="auto"/>
        <w:rPr>
          <w:rFonts w:ascii="Arial" w:hAnsi="Arial" w:cs="Arial"/>
          <w:b/>
          <w:bCs/>
          <w:u w:val="single"/>
        </w:rPr>
      </w:pPr>
    </w:p>
    <w:p w14:paraId="4C95D65E" w14:textId="77777777" w:rsidR="00ED5299" w:rsidRDefault="00ED5299" w:rsidP="0050307F">
      <w:pPr>
        <w:spacing w:line="360" w:lineRule="auto"/>
        <w:rPr>
          <w:rFonts w:ascii="Arial" w:hAnsi="Arial" w:cs="Arial"/>
          <w:b/>
          <w:bCs/>
          <w:u w:val="single"/>
        </w:rPr>
      </w:pPr>
    </w:p>
    <w:p w14:paraId="5D945A88" w14:textId="77777777" w:rsidR="00ED5299" w:rsidRDefault="00ED5299" w:rsidP="0050307F">
      <w:pPr>
        <w:spacing w:line="360" w:lineRule="auto"/>
        <w:rPr>
          <w:rFonts w:ascii="Arial" w:hAnsi="Arial" w:cs="Arial"/>
          <w:b/>
          <w:bCs/>
          <w:u w:val="single"/>
        </w:rPr>
      </w:pPr>
    </w:p>
    <w:p w14:paraId="0A6FE038" w14:textId="77777777" w:rsidR="00ED5299" w:rsidRDefault="00ED5299" w:rsidP="0050307F">
      <w:pPr>
        <w:spacing w:line="360" w:lineRule="auto"/>
        <w:rPr>
          <w:rFonts w:ascii="Arial" w:hAnsi="Arial" w:cs="Arial"/>
          <w:b/>
          <w:bCs/>
          <w:u w:val="single"/>
        </w:rPr>
      </w:pPr>
    </w:p>
    <w:p w14:paraId="7CA1CE87" w14:textId="77777777" w:rsidR="00ED5299" w:rsidRDefault="00ED5299" w:rsidP="0050307F">
      <w:pPr>
        <w:spacing w:line="360" w:lineRule="auto"/>
        <w:rPr>
          <w:rFonts w:ascii="Arial" w:hAnsi="Arial" w:cs="Arial"/>
          <w:b/>
          <w:bCs/>
          <w:u w:val="single"/>
        </w:rPr>
      </w:pPr>
    </w:p>
    <w:p w14:paraId="788CDEE8" w14:textId="77777777" w:rsidR="00A63E1E" w:rsidRDefault="00A63E1E" w:rsidP="0050307F">
      <w:pPr>
        <w:spacing w:line="360" w:lineRule="auto"/>
        <w:rPr>
          <w:rFonts w:ascii="Arial" w:hAnsi="Arial" w:cs="Arial"/>
          <w:b/>
          <w:bCs/>
          <w:u w:val="single"/>
        </w:rPr>
      </w:pPr>
    </w:p>
    <w:p w14:paraId="643A1FFA" w14:textId="7D27BD0F" w:rsidR="00AC5207" w:rsidRDefault="00AC5207" w:rsidP="0050307F">
      <w:pPr>
        <w:spacing w:line="360" w:lineRule="auto"/>
        <w:rPr>
          <w:rFonts w:ascii="Arial" w:hAnsi="Arial" w:cs="Arial"/>
          <w:b/>
          <w:bCs/>
          <w:u w:val="single"/>
        </w:rPr>
      </w:pPr>
      <w:r>
        <w:rPr>
          <w:rFonts w:ascii="Arial" w:hAnsi="Arial" w:cs="Arial"/>
          <w:b/>
          <w:bCs/>
          <w:u w:val="single"/>
        </w:rPr>
        <w:t>References</w:t>
      </w:r>
    </w:p>
    <w:p w14:paraId="4E624060" w14:textId="77777777" w:rsidR="00A63E1E" w:rsidRDefault="00A63E1E" w:rsidP="0050307F">
      <w:pPr>
        <w:spacing w:line="360" w:lineRule="auto"/>
        <w:rPr>
          <w:rFonts w:ascii="Arial" w:hAnsi="Arial" w:cs="Arial"/>
        </w:rPr>
      </w:pPr>
      <w:r w:rsidRPr="00CF42C4">
        <w:rPr>
          <w:rFonts w:ascii="Arial" w:hAnsi="Arial" w:cs="Arial"/>
        </w:rPr>
        <w:lastRenderedPageBreak/>
        <w:t>Aftab, W., Siddiqui, F.J., Tasic, H., Perveen, S., Siddiqi, S. and Bhutta, Z.A. (2020)</w:t>
      </w:r>
      <w:r>
        <w:rPr>
          <w:rFonts w:ascii="Arial" w:hAnsi="Arial" w:cs="Arial"/>
        </w:rPr>
        <w:t xml:space="preserve"> </w:t>
      </w:r>
      <w:r w:rsidRPr="00A63E1E">
        <w:rPr>
          <w:rFonts w:ascii="Arial" w:hAnsi="Arial" w:cs="Arial"/>
          <w:i/>
          <w:iCs/>
        </w:rPr>
        <w:t>Implementation of health and health-related sustainable development goals: progress, challenges and opportunities – a systematic literature review</w:t>
      </w:r>
      <w:r w:rsidRPr="00CF42C4">
        <w:rPr>
          <w:rFonts w:ascii="Arial" w:hAnsi="Arial" w:cs="Arial"/>
        </w:rPr>
        <w:t>. BMJ Global Health, 5(8), p.e002273.</w:t>
      </w:r>
      <w:r>
        <w:rPr>
          <w:rFonts w:ascii="Arial" w:hAnsi="Arial" w:cs="Arial"/>
        </w:rPr>
        <w:t xml:space="preserve"> Available at:</w:t>
      </w:r>
      <w:r w:rsidRPr="00CF42C4">
        <w:rPr>
          <w:rFonts w:ascii="Arial" w:hAnsi="Arial" w:cs="Arial"/>
        </w:rPr>
        <w:t xml:space="preserve"> doi:https://doi.org/10.1136/bmjgh-2019-002273.</w:t>
      </w:r>
    </w:p>
    <w:p w14:paraId="2A4C7FF0" w14:textId="77777777" w:rsidR="00A63E1E" w:rsidRDefault="00A63E1E" w:rsidP="0050307F">
      <w:pPr>
        <w:spacing w:line="360" w:lineRule="auto"/>
        <w:rPr>
          <w:rFonts w:ascii="Arial" w:hAnsi="Arial" w:cs="Arial"/>
        </w:rPr>
      </w:pPr>
      <w:r w:rsidRPr="00062647">
        <w:rPr>
          <w:rFonts w:ascii="Arial" w:hAnsi="Arial" w:cs="Arial"/>
        </w:rPr>
        <w:t xml:space="preserve">Birmingham City Council (2023) </w:t>
      </w:r>
      <w:r w:rsidRPr="00A63E1E">
        <w:rPr>
          <w:rFonts w:ascii="Arial" w:hAnsi="Arial" w:cs="Arial"/>
          <w:i/>
          <w:iCs/>
        </w:rPr>
        <w:t>Health and Wellbeing Strategy</w:t>
      </w:r>
      <w:r w:rsidRPr="00062647">
        <w:rPr>
          <w:rFonts w:ascii="Arial" w:hAnsi="Arial" w:cs="Arial"/>
        </w:rPr>
        <w:t xml:space="preserve">. www.birmingham.gov.uk. Available at: </w:t>
      </w:r>
      <w:hyperlink r:id="rId8" w:history="1">
        <w:r w:rsidRPr="006C223F">
          <w:rPr>
            <w:rStyle w:val="Hyperlink"/>
            <w:rFonts w:ascii="Arial" w:hAnsi="Arial" w:cs="Arial"/>
          </w:rPr>
          <w:t>https://www.birmingham.gov.uk/info/50119/health_and_wellbeing_board/1300/health_and_wellbeing_strategy</w:t>
        </w:r>
      </w:hyperlink>
      <w:r>
        <w:rPr>
          <w:rFonts w:ascii="Arial" w:hAnsi="Arial" w:cs="Arial"/>
        </w:rPr>
        <w:t xml:space="preserve"> (Accessed 22 October 2025).</w:t>
      </w:r>
    </w:p>
    <w:p w14:paraId="53D4E497" w14:textId="77777777" w:rsidR="00A63E1E" w:rsidRDefault="00A63E1E" w:rsidP="0050307F">
      <w:pPr>
        <w:spacing w:line="360" w:lineRule="auto"/>
        <w:rPr>
          <w:rFonts w:ascii="Arial" w:hAnsi="Arial" w:cs="Arial"/>
        </w:rPr>
      </w:pPr>
      <w:r w:rsidRPr="005F609B">
        <w:rPr>
          <w:rFonts w:ascii="Arial" w:hAnsi="Arial" w:cs="Arial"/>
        </w:rPr>
        <w:t>Bronfenbrenner</w:t>
      </w:r>
      <w:r>
        <w:rPr>
          <w:rFonts w:ascii="Arial" w:hAnsi="Arial" w:cs="Arial"/>
        </w:rPr>
        <w:t xml:space="preserve">. </w:t>
      </w:r>
      <w:r w:rsidRPr="005F609B">
        <w:rPr>
          <w:rFonts w:ascii="Arial" w:hAnsi="Arial" w:cs="Arial"/>
        </w:rPr>
        <w:t xml:space="preserve">1994 </w:t>
      </w:r>
      <w:r w:rsidRPr="00A63E1E">
        <w:rPr>
          <w:rFonts w:ascii="Arial" w:hAnsi="Arial" w:cs="Arial"/>
          <w:i/>
          <w:iCs/>
        </w:rPr>
        <w:t>Ecological Models of Human Development</w:t>
      </w:r>
      <w:r w:rsidRPr="005F609B">
        <w:rPr>
          <w:rFonts w:ascii="Arial" w:hAnsi="Arial" w:cs="Arial"/>
        </w:rPr>
        <w:t xml:space="preserve"> | PDF.  Available at: </w:t>
      </w:r>
      <w:hyperlink r:id="rId9" w:history="1">
        <w:r w:rsidRPr="006C223F">
          <w:rPr>
            <w:rStyle w:val="Hyperlink"/>
            <w:rFonts w:ascii="Arial" w:hAnsi="Arial" w:cs="Arial"/>
          </w:rPr>
          <w:t>https://www.scribd.com/document/661300036/Bronfenbrenner-1994-Ecological-models-of-human-development-1</w:t>
        </w:r>
      </w:hyperlink>
      <w:r w:rsidRPr="005F609B">
        <w:rPr>
          <w:rFonts w:ascii="Arial" w:hAnsi="Arial" w:cs="Arial"/>
        </w:rPr>
        <w:t>.</w:t>
      </w:r>
      <w:r>
        <w:rPr>
          <w:rFonts w:ascii="Arial" w:hAnsi="Arial" w:cs="Arial"/>
        </w:rPr>
        <w:t xml:space="preserve"> (Accessed 22 October 2025).</w:t>
      </w:r>
    </w:p>
    <w:p w14:paraId="29525CDC" w14:textId="77777777" w:rsidR="00A63E1E" w:rsidRDefault="00A63E1E" w:rsidP="0050307F">
      <w:pPr>
        <w:spacing w:line="360" w:lineRule="auto"/>
        <w:rPr>
          <w:rFonts w:ascii="Arial" w:hAnsi="Arial" w:cs="Arial"/>
        </w:rPr>
      </w:pPr>
      <w:r w:rsidRPr="00F86EED">
        <w:rPr>
          <w:rFonts w:ascii="Arial" w:hAnsi="Arial" w:cs="Arial"/>
        </w:rPr>
        <w:t>Dahlgren, G. and Whitehead, M. (2021)</w:t>
      </w:r>
      <w:r>
        <w:rPr>
          <w:rFonts w:ascii="Arial" w:hAnsi="Arial" w:cs="Arial"/>
        </w:rPr>
        <w:t xml:space="preserve"> </w:t>
      </w:r>
      <w:r w:rsidRPr="002C2443">
        <w:rPr>
          <w:rFonts w:ascii="Arial" w:hAnsi="Arial" w:cs="Arial"/>
          <w:i/>
          <w:iCs/>
        </w:rPr>
        <w:t>The Dahlgren-Whitehead Model of Health Determinants: 30 Years on and Still Chasing Rainbows.</w:t>
      </w:r>
      <w:r w:rsidRPr="00F86EED">
        <w:rPr>
          <w:rFonts w:ascii="Arial" w:hAnsi="Arial" w:cs="Arial"/>
        </w:rPr>
        <w:t xml:space="preserve"> Public Health, 199(1), pp.20–24. doi:https://doi.org/10.1016/j.puhe.2021.08.009.</w:t>
      </w:r>
    </w:p>
    <w:p w14:paraId="57C11BE4" w14:textId="77777777" w:rsidR="00A63E1E" w:rsidRDefault="00A63E1E" w:rsidP="00A94175">
      <w:pPr>
        <w:spacing w:line="360" w:lineRule="auto"/>
        <w:rPr>
          <w:rFonts w:ascii="Arial" w:hAnsi="Arial" w:cs="Arial"/>
        </w:rPr>
      </w:pPr>
      <w:r w:rsidRPr="00781545">
        <w:rPr>
          <w:rFonts w:ascii="Arial" w:hAnsi="Arial" w:cs="Arial"/>
        </w:rPr>
        <w:t xml:space="preserve">Engel, G.L. (1977). </w:t>
      </w:r>
      <w:r w:rsidRPr="002C2443">
        <w:rPr>
          <w:rFonts w:ascii="Arial" w:hAnsi="Arial" w:cs="Arial"/>
          <w:i/>
          <w:iCs/>
        </w:rPr>
        <w:t>The Need for a New Medical model: a Challenge for Biomedicine. Science,</w:t>
      </w:r>
      <w:r w:rsidRPr="00781545">
        <w:rPr>
          <w:rFonts w:ascii="Arial" w:hAnsi="Arial" w:cs="Arial"/>
        </w:rPr>
        <w:t xml:space="preserve"> 196(4286), pp.129–136. doi:https://doi.org/10.1126/science.847460.</w:t>
      </w:r>
    </w:p>
    <w:p w14:paraId="2657EDF8" w14:textId="5D224728" w:rsidR="00A63E1E" w:rsidRDefault="00A63E1E" w:rsidP="0050307F">
      <w:pPr>
        <w:spacing w:line="360" w:lineRule="auto"/>
        <w:rPr>
          <w:rFonts w:ascii="Arial" w:hAnsi="Arial" w:cs="Arial"/>
        </w:rPr>
      </w:pPr>
      <w:r w:rsidRPr="00F55648">
        <w:rPr>
          <w:rFonts w:ascii="Arial" w:hAnsi="Arial" w:cs="Arial"/>
        </w:rPr>
        <w:t xml:space="preserve">GBCC (2023) </w:t>
      </w:r>
      <w:r w:rsidRPr="00776F47">
        <w:rPr>
          <w:rFonts w:ascii="Arial" w:hAnsi="Arial" w:cs="Arial"/>
          <w:i/>
          <w:iCs/>
        </w:rPr>
        <w:t>Campaign launches to ‘bite back’ at food injustice</w:t>
      </w:r>
      <w:r w:rsidRPr="00F55648">
        <w:rPr>
          <w:rFonts w:ascii="Arial" w:hAnsi="Arial" w:cs="Arial"/>
        </w:rPr>
        <w:t xml:space="preserve">. Greaterbirminghamchambers.com. Available at: </w:t>
      </w:r>
      <w:hyperlink r:id="rId10" w:history="1">
        <w:r w:rsidRPr="00231397">
          <w:rPr>
            <w:rStyle w:val="Hyperlink"/>
            <w:rFonts w:ascii="Arial" w:hAnsi="Arial" w:cs="Arial"/>
          </w:rPr>
          <w:t>https://www.greaterbirminghamchambers.com/resource/campaign-launches-to-bite-back-at-food-injustice.html</w:t>
        </w:r>
      </w:hyperlink>
      <w:r>
        <w:rPr>
          <w:rFonts w:ascii="Arial" w:hAnsi="Arial" w:cs="Arial"/>
        </w:rPr>
        <w:t xml:space="preserve"> (</w:t>
      </w:r>
      <w:r w:rsidRPr="00F55648">
        <w:rPr>
          <w:rFonts w:ascii="Arial" w:hAnsi="Arial" w:cs="Arial"/>
        </w:rPr>
        <w:t>Accessed</w:t>
      </w:r>
      <w:r w:rsidR="0056415F">
        <w:rPr>
          <w:rFonts w:ascii="Arial" w:hAnsi="Arial" w:cs="Arial"/>
        </w:rPr>
        <w:t>:</w:t>
      </w:r>
      <w:r w:rsidRPr="00F55648">
        <w:rPr>
          <w:rFonts w:ascii="Arial" w:hAnsi="Arial" w:cs="Arial"/>
        </w:rPr>
        <w:t xml:space="preserve"> 5 Nov</w:t>
      </w:r>
      <w:r>
        <w:rPr>
          <w:rFonts w:ascii="Arial" w:hAnsi="Arial" w:cs="Arial"/>
        </w:rPr>
        <w:t>ember</w:t>
      </w:r>
      <w:r w:rsidRPr="00F55648">
        <w:rPr>
          <w:rFonts w:ascii="Arial" w:hAnsi="Arial" w:cs="Arial"/>
        </w:rPr>
        <w:t xml:space="preserve"> 2025</w:t>
      </w:r>
      <w:r>
        <w:rPr>
          <w:rFonts w:ascii="Arial" w:hAnsi="Arial" w:cs="Arial"/>
        </w:rPr>
        <w:t>).</w:t>
      </w:r>
    </w:p>
    <w:p w14:paraId="16510B67" w14:textId="1EF370C2" w:rsidR="00A63E1E" w:rsidRDefault="00A63E1E" w:rsidP="00A94175">
      <w:pPr>
        <w:spacing w:line="360" w:lineRule="auto"/>
        <w:rPr>
          <w:rFonts w:ascii="Arial" w:hAnsi="Arial" w:cs="Arial"/>
        </w:rPr>
      </w:pPr>
      <w:r w:rsidRPr="002E6ABC">
        <w:rPr>
          <w:rFonts w:ascii="Arial" w:hAnsi="Arial" w:cs="Arial"/>
        </w:rPr>
        <w:t>Healy, K. (2016)</w:t>
      </w:r>
      <w:r w:rsidR="00444AF4">
        <w:rPr>
          <w:rFonts w:ascii="Arial" w:hAnsi="Arial" w:cs="Arial"/>
        </w:rPr>
        <w:t xml:space="preserve"> </w:t>
      </w:r>
      <w:r w:rsidRPr="002E6ABC">
        <w:rPr>
          <w:rFonts w:ascii="Arial" w:hAnsi="Arial" w:cs="Arial"/>
        </w:rPr>
        <w:t xml:space="preserve"> </w:t>
      </w:r>
      <w:r w:rsidRPr="00444AF4">
        <w:rPr>
          <w:rFonts w:ascii="Arial" w:hAnsi="Arial" w:cs="Arial"/>
          <w:i/>
          <w:iCs/>
        </w:rPr>
        <w:t>A Theory of Human Motivation by Abraham H. Maslow</w:t>
      </w:r>
      <w:r w:rsidRPr="002E6ABC">
        <w:rPr>
          <w:rFonts w:ascii="Arial" w:hAnsi="Arial" w:cs="Arial"/>
        </w:rPr>
        <w:t xml:space="preserve"> (1942) – reflection. British Journal of Psychiatry, 208(04), p.313. doi:https://doi.org/10.1192/bjp.bp.115.179622.</w:t>
      </w:r>
    </w:p>
    <w:p w14:paraId="3E2F2CC2" w14:textId="0710AE50" w:rsidR="00A63E1E" w:rsidRDefault="00A63E1E" w:rsidP="0050307F">
      <w:pPr>
        <w:spacing w:line="360" w:lineRule="auto"/>
        <w:rPr>
          <w:rFonts w:ascii="Arial" w:hAnsi="Arial" w:cs="Arial"/>
        </w:rPr>
      </w:pPr>
      <w:r w:rsidRPr="00C4598E">
        <w:rPr>
          <w:rFonts w:ascii="Arial" w:hAnsi="Arial" w:cs="Arial"/>
        </w:rPr>
        <w:t xml:space="preserve">Joseph Rowntree Foundation (2024) </w:t>
      </w:r>
      <w:r w:rsidRPr="00444AF4">
        <w:rPr>
          <w:rFonts w:ascii="Arial" w:hAnsi="Arial" w:cs="Arial"/>
          <w:i/>
          <w:iCs/>
        </w:rPr>
        <w:t>UK Poverty 2024: the Essential Guide to Understanding Poverty in the UK | Joseph Rowntree Foundation</w:t>
      </w:r>
      <w:r w:rsidRPr="00C4598E">
        <w:rPr>
          <w:rFonts w:ascii="Arial" w:hAnsi="Arial" w:cs="Arial"/>
        </w:rPr>
        <w:t xml:space="preserve">. www.jrf.org.uk. Available at: </w:t>
      </w:r>
      <w:hyperlink r:id="rId11" w:history="1">
        <w:r w:rsidRPr="00BF6B41">
          <w:rPr>
            <w:rStyle w:val="Hyperlink"/>
            <w:rFonts w:ascii="Arial" w:hAnsi="Arial" w:cs="Arial"/>
          </w:rPr>
          <w:t>https://www.jrf.org.uk/uk-poverty-2024-the-essential-guide-to-understanding-poverty-in-the-uk</w:t>
        </w:r>
      </w:hyperlink>
      <w:r w:rsidRPr="00C4598E">
        <w:rPr>
          <w:rFonts w:ascii="Arial" w:hAnsi="Arial" w:cs="Arial"/>
        </w:rPr>
        <w:t>.</w:t>
      </w:r>
      <w:r>
        <w:rPr>
          <w:rFonts w:ascii="Arial" w:hAnsi="Arial" w:cs="Arial"/>
        </w:rPr>
        <w:t xml:space="preserve"> (Accessed</w:t>
      </w:r>
      <w:r w:rsidR="0056415F">
        <w:rPr>
          <w:rFonts w:ascii="Arial" w:hAnsi="Arial" w:cs="Arial"/>
        </w:rPr>
        <w:t>:</w:t>
      </w:r>
      <w:r>
        <w:rPr>
          <w:rFonts w:ascii="Arial" w:hAnsi="Arial" w:cs="Arial"/>
        </w:rPr>
        <w:t xml:space="preserve"> 25 October 2025).</w:t>
      </w:r>
    </w:p>
    <w:p w14:paraId="32D4ED1D" w14:textId="25FBF24E" w:rsidR="00A63E1E" w:rsidRDefault="00A63E1E" w:rsidP="00A94175">
      <w:pPr>
        <w:spacing w:line="360" w:lineRule="auto"/>
        <w:rPr>
          <w:rFonts w:ascii="Arial" w:hAnsi="Arial" w:cs="Arial"/>
        </w:rPr>
      </w:pPr>
      <w:r w:rsidRPr="00A94175">
        <w:rPr>
          <w:rFonts w:ascii="Arial" w:hAnsi="Arial" w:cs="Arial"/>
        </w:rPr>
        <w:t xml:space="preserve">Joseph Rowntree Foundation (2024) </w:t>
      </w:r>
      <w:r w:rsidRPr="00444AF4">
        <w:rPr>
          <w:rFonts w:ascii="Arial" w:hAnsi="Arial" w:cs="Arial"/>
          <w:i/>
          <w:iCs/>
        </w:rPr>
        <w:t>UK Poverty 2024: the Essential Guide to Understanding Poverty in the UK</w:t>
      </w:r>
      <w:r w:rsidRPr="00A94175">
        <w:rPr>
          <w:rFonts w:ascii="Arial" w:hAnsi="Arial" w:cs="Arial"/>
        </w:rPr>
        <w:t xml:space="preserve"> | Joseph Rowntree Foundation. [online] www.jrf.org.uk. Available at: </w:t>
      </w:r>
      <w:hyperlink r:id="rId12" w:history="1">
        <w:r w:rsidRPr="00231397">
          <w:rPr>
            <w:rStyle w:val="Hyperlink"/>
            <w:rFonts w:ascii="Arial" w:hAnsi="Arial" w:cs="Arial"/>
          </w:rPr>
          <w:t>https://www.jrf.org.uk/uk-poverty-2024-the-essential-guide-to-understanding-poverty-in-the-uk</w:t>
        </w:r>
      </w:hyperlink>
      <w:r w:rsidRPr="00A94175">
        <w:rPr>
          <w:rFonts w:ascii="Arial" w:hAnsi="Arial" w:cs="Arial"/>
        </w:rPr>
        <w:t>.</w:t>
      </w:r>
      <w:r>
        <w:rPr>
          <w:rFonts w:ascii="Arial" w:hAnsi="Arial" w:cs="Arial"/>
        </w:rPr>
        <w:t xml:space="preserve"> (Accessed</w:t>
      </w:r>
      <w:r w:rsidR="0056415F">
        <w:rPr>
          <w:rFonts w:ascii="Arial" w:hAnsi="Arial" w:cs="Arial"/>
        </w:rPr>
        <w:t>:</w:t>
      </w:r>
      <w:r>
        <w:rPr>
          <w:rFonts w:ascii="Arial" w:hAnsi="Arial" w:cs="Arial"/>
        </w:rPr>
        <w:t xml:space="preserve"> 5 November 2025).</w:t>
      </w:r>
    </w:p>
    <w:p w14:paraId="2D9934D2" w14:textId="4D8B5980" w:rsidR="00A63E1E" w:rsidRDefault="00A63E1E" w:rsidP="0050307F">
      <w:pPr>
        <w:spacing w:line="360" w:lineRule="auto"/>
        <w:rPr>
          <w:rFonts w:ascii="Arial" w:hAnsi="Arial" w:cs="Arial"/>
        </w:rPr>
      </w:pPr>
      <w:r w:rsidRPr="00E04EB4">
        <w:rPr>
          <w:rFonts w:ascii="Arial" w:hAnsi="Arial" w:cs="Arial"/>
        </w:rPr>
        <w:t>Kennedy, S. (2014)</w:t>
      </w:r>
      <w:r>
        <w:rPr>
          <w:rFonts w:ascii="Arial" w:hAnsi="Arial" w:cs="Arial"/>
        </w:rPr>
        <w:t xml:space="preserve"> </w:t>
      </w:r>
      <w:r w:rsidRPr="00A42E38">
        <w:rPr>
          <w:rFonts w:ascii="Arial" w:hAnsi="Arial" w:cs="Arial"/>
          <w:i/>
          <w:iCs/>
        </w:rPr>
        <w:t>Child Poverty Act 2010: A short guide</w:t>
      </w:r>
      <w:r w:rsidRPr="00E04EB4">
        <w:rPr>
          <w:rFonts w:ascii="Arial" w:hAnsi="Arial" w:cs="Arial"/>
        </w:rPr>
        <w:t xml:space="preserve">. Parliament.uk. Available at: </w:t>
      </w:r>
      <w:hyperlink r:id="rId13" w:history="1">
        <w:r w:rsidRPr="00BF6B41">
          <w:rPr>
            <w:rStyle w:val="Hyperlink"/>
            <w:rFonts w:ascii="Arial" w:hAnsi="Arial" w:cs="Arial"/>
          </w:rPr>
          <w:t>https://researchbriefings.files.parliament.uk/documents/SN05585/SN05585.pdf</w:t>
        </w:r>
      </w:hyperlink>
      <w:r w:rsidRPr="00E04EB4">
        <w:rPr>
          <w:rFonts w:ascii="Arial" w:hAnsi="Arial" w:cs="Arial"/>
        </w:rPr>
        <w:t>.</w:t>
      </w:r>
      <w:r>
        <w:rPr>
          <w:rFonts w:ascii="Arial" w:hAnsi="Arial" w:cs="Arial"/>
        </w:rPr>
        <w:t xml:space="preserve"> (Accessed</w:t>
      </w:r>
      <w:r w:rsidR="0056415F">
        <w:rPr>
          <w:rFonts w:ascii="Arial" w:hAnsi="Arial" w:cs="Arial"/>
        </w:rPr>
        <w:t>:</w:t>
      </w:r>
      <w:r>
        <w:rPr>
          <w:rFonts w:ascii="Arial" w:hAnsi="Arial" w:cs="Arial"/>
        </w:rPr>
        <w:t xml:space="preserve"> 25 October 2025).</w:t>
      </w:r>
    </w:p>
    <w:p w14:paraId="698C3A79" w14:textId="77777777" w:rsidR="00A63E1E" w:rsidRDefault="00A63E1E" w:rsidP="0050307F">
      <w:pPr>
        <w:spacing w:line="360" w:lineRule="auto"/>
        <w:rPr>
          <w:rFonts w:ascii="Arial" w:hAnsi="Arial" w:cs="Arial"/>
        </w:rPr>
      </w:pPr>
      <w:r w:rsidRPr="00FE089F">
        <w:rPr>
          <w:rFonts w:ascii="Arial" w:hAnsi="Arial" w:cs="Arial"/>
        </w:rPr>
        <w:lastRenderedPageBreak/>
        <w:t>Kickbusch, I. and Liu, A. (2022)</w:t>
      </w:r>
      <w:r>
        <w:rPr>
          <w:rFonts w:ascii="Arial" w:hAnsi="Arial" w:cs="Arial"/>
        </w:rPr>
        <w:t xml:space="preserve"> </w:t>
      </w:r>
      <w:r w:rsidRPr="00A42E38">
        <w:rPr>
          <w:rFonts w:ascii="Arial" w:hAnsi="Arial" w:cs="Arial"/>
          <w:i/>
          <w:iCs/>
        </w:rPr>
        <w:t>Global Health Diplomacy - reconstructing Power and Governance</w:t>
      </w:r>
      <w:r w:rsidRPr="00FE089F">
        <w:rPr>
          <w:rFonts w:ascii="Arial" w:hAnsi="Arial" w:cs="Arial"/>
        </w:rPr>
        <w:t>. The Lancet, 399(10341). doi:https://doi.org/10.1016/s0140-6736(22)00583-9.</w:t>
      </w:r>
    </w:p>
    <w:p w14:paraId="43AC1A29" w14:textId="2424367C" w:rsidR="00A63E1E" w:rsidRDefault="00A63E1E" w:rsidP="0050307F">
      <w:pPr>
        <w:spacing w:line="360" w:lineRule="auto"/>
        <w:rPr>
          <w:rFonts w:ascii="Arial" w:hAnsi="Arial" w:cs="Arial"/>
        </w:rPr>
      </w:pPr>
      <w:r w:rsidRPr="008D6544">
        <w:rPr>
          <w:rFonts w:ascii="Arial" w:hAnsi="Arial" w:cs="Arial"/>
        </w:rPr>
        <w:t>Marmot, M. (2010)</w:t>
      </w:r>
      <w:r>
        <w:rPr>
          <w:rFonts w:ascii="Arial" w:hAnsi="Arial" w:cs="Arial"/>
        </w:rPr>
        <w:t xml:space="preserve"> </w:t>
      </w:r>
      <w:r w:rsidRPr="00A42E38">
        <w:rPr>
          <w:rFonts w:ascii="Arial" w:hAnsi="Arial" w:cs="Arial"/>
          <w:i/>
          <w:iCs/>
        </w:rPr>
        <w:t>Fair Society Healthy Lives (The Marmot Review).</w:t>
      </w:r>
      <w:r w:rsidRPr="008D6544">
        <w:rPr>
          <w:rFonts w:ascii="Arial" w:hAnsi="Arial" w:cs="Arial"/>
        </w:rPr>
        <w:t xml:space="preserve"> Institute of Health Equity. Available at: </w:t>
      </w:r>
      <w:hyperlink r:id="rId14" w:history="1">
        <w:r w:rsidRPr="00FF0BF2">
          <w:rPr>
            <w:rStyle w:val="Hyperlink"/>
            <w:rFonts w:ascii="Arial" w:hAnsi="Arial" w:cs="Arial"/>
          </w:rPr>
          <w:t>https://www.instituteofhealthequity.org/resources-reports/fair-society-healthy-lives-the-marmot-review</w:t>
        </w:r>
      </w:hyperlink>
      <w:r w:rsidRPr="008D6544">
        <w:rPr>
          <w:rFonts w:ascii="Arial" w:hAnsi="Arial" w:cs="Arial"/>
        </w:rPr>
        <w:t>.</w:t>
      </w:r>
      <w:r>
        <w:rPr>
          <w:rFonts w:ascii="Arial" w:hAnsi="Arial" w:cs="Arial"/>
        </w:rPr>
        <w:t xml:space="preserve"> (Accessed</w:t>
      </w:r>
      <w:r w:rsidR="006F2F60">
        <w:rPr>
          <w:rFonts w:ascii="Arial" w:hAnsi="Arial" w:cs="Arial"/>
        </w:rPr>
        <w:t>:</w:t>
      </w:r>
      <w:r>
        <w:rPr>
          <w:rFonts w:ascii="Arial" w:hAnsi="Arial" w:cs="Arial"/>
        </w:rPr>
        <w:t xml:space="preserve"> 20 October 2025).</w:t>
      </w:r>
    </w:p>
    <w:p w14:paraId="3C746771" w14:textId="1C4AEE9E" w:rsidR="00A63E1E" w:rsidRDefault="00A63E1E" w:rsidP="0050307F">
      <w:pPr>
        <w:spacing w:line="360" w:lineRule="auto"/>
        <w:rPr>
          <w:rFonts w:ascii="Arial" w:hAnsi="Arial" w:cs="Arial"/>
        </w:rPr>
      </w:pPr>
      <w:r w:rsidRPr="00072AB6">
        <w:rPr>
          <w:rFonts w:ascii="Arial" w:hAnsi="Arial" w:cs="Arial"/>
        </w:rPr>
        <w:t xml:space="preserve">Marmot, M. (2010) </w:t>
      </w:r>
      <w:r w:rsidRPr="00A42E38">
        <w:rPr>
          <w:rFonts w:ascii="Arial" w:hAnsi="Arial" w:cs="Arial"/>
          <w:i/>
          <w:iCs/>
        </w:rPr>
        <w:t>Fair society, healthy lives : the Marmot Review : strategic review of health inequalities in England post-2010</w:t>
      </w:r>
      <w:r w:rsidRPr="00072AB6">
        <w:rPr>
          <w:rFonts w:ascii="Arial" w:hAnsi="Arial" w:cs="Arial"/>
        </w:rPr>
        <w:t xml:space="preserve">. GOV.UK. Available at: </w:t>
      </w:r>
      <w:hyperlink r:id="rId15" w:history="1">
        <w:r w:rsidRPr="00B33EEA">
          <w:rPr>
            <w:rStyle w:val="Hyperlink"/>
            <w:rFonts w:ascii="Arial" w:hAnsi="Arial" w:cs="Arial"/>
          </w:rPr>
          <w:t>https://www.gov.uk/research-for-development-outputs/fair-society-healthy-lives-the-marmot-review-strategic-review-of-health-inequalities-in-england-post-2010</w:t>
        </w:r>
      </w:hyperlink>
      <w:r w:rsidRPr="00072AB6">
        <w:rPr>
          <w:rFonts w:ascii="Arial" w:hAnsi="Arial" w:cs="Arial"/>
        </w:rPr>
        <w:t>.</w:t>
      </w:r>
      <w:r>
        <w:rPr>
          <w:rFonts w:ascii="Arial" w:hAnsi="Arial" w:cs="Arial"/>
        </w:rPr>
        <w:t xml:space="preserve"> (Accessed 8</w:t>
      </w:r>
      <w:r w:rsidR="006F2F60">
        <w:rPr>
          <w:rFonts w:ascii="Arial" w:hAnsi="Arial" w:cs="Arial"/>
        </w:rPr>
        <w:t>:</w:t>
      </w:r>
      <w:r>
        <w:rPr>
          <w:rFonts w:ascii="Arial" w:hAnsi="Arial" w:cs="Arial"/>
        </w:rPr>
        <w:t xml:space="preserve"> October 2025).</w:t>
      </w:r>
    </w:p>
    <w:p w14:paraId="58B13E01" w14:textId="5CC9C88D" w:rsidR="00A63E1E" w:rsidRDefault="00A63E1E" w:rsidP="0050307F">
      <w:pPr>
        <w:spacing w:line="360" w:lineRule="auto"/>
        <w:rPr>
          <w:rFonts w:ascii="Arial" w:hAnsi="Arial" w:cs="Arial"/>
        </w:rPr>
      </w:pPr>
      <w:r w:rsidRPr="006E325E">
        <w:rPr>
          <w:rFonts w:ascii="Arial" w:hAnsi="Arial" w:cs="Arial"/>
        </w:rPr>
        <w:t xml:space="preserve">Marmot, M., Allen, J., Boyce, T., Goldblatt, P. and Morrison, J. (2020) </w:t>
      </w:r>
      <w:r w:rsidRPr="00621049">
        <w:rPr>
          <w:rFonts w:ascii="Arial" w:hAnsi="Arial" w:cs="Arial"/>
          <w:i/>
          <w:iCs/>
        </w:rPr>
        <w:t>Marmot Review 10 Years on - Institute of Health Equity.</w:t>
      </w:r>
      <w:r w:rsidRPr="006E325E">
        <w:rPr>
          <w:rFonts w:ascii="Arial" w:hAnsi="Arial" w:cs="Arial"/>
        </w:rPr>
        <w:t xml:space="preserve"> Institute of Health Equity. Available at: </w:t>
      </w:r>
      <w:hyperlink r:id="rId16" w:history="1">
        <w:r w:rsidRPr="00B33EEA">
          <w:rPr>
            <w:rStyle w:val="Hyperlink"/>
            <w:rFonts w:ascii="Arial" w:hAnsi="Arial" w:cs="Arial"/>
          </w:rPr>
          <w:t>https://www.instituteofhealthequity.org/resources-reports/marmot-review-10-years-on</w:t>
        </w:r>
      </w:hyperlink>
      <w:r w:rsidRPr="006E325E">
        <w:rPr>
          <w:rFonts w:ascii="Arial" w:hAnsi="Arial" w:cs="Arial"/>
        </w:rPr>
        <w:t>.</w:t>
      </w:r>
      <w:r>
        <w:rPr>
          <w:rFonts w:ascii="Arial" w:hAnsi="Arial" w:cs="Arial"/>
        </w:rPr>
        <w:t xml:space="preserve"> (Accessed</w:t>
      </w:r>
      <w:r w:rsidR="002843EF">
        <w:rPr>
          <w:rFonts w:ascii="Arial" w:hAnsi="Arial" w:cs="Arial"/>
        </w:rPr>
        <w:t>:</w:t>
      </w:r>
      <w:r>
        <w:rPr>
          <w:rFonts w:ascii="Arial" w:hAnsi="Arial" w:cs="Arial"/>
        </w:rPr>
        <w:t xml:space="preserve"> 10 October 2025).</w:t>
      </w:r>
    </w:p>
    <w:p w14:paraId="22A4920B" w14:textId="441FBBDD" w:rsidR="00A63E1E" w:rsidRDefault="00A63E1E" w:rsidP="0050307F">
      <w:pPr>
        <w:spacing w:line="360" w:lineRule="auto"/>
        <w:rPr>
          <w:rFonts w:ascii="Arial" w:hAnsi="Arial" w:cs="Arial"/>
        </w:rPr>
      </w:pPr>
      <w:r w:rsidRPr="004D5431">
        <w:rPr>
          <w:rFonts w:ascii="Arial" w:hAnsi="Arial" w:cs="Arial"/>
        </w:rPr>
        <w:t xml:space="preserve">Marmot, M., Allen, J., Boyce, T., Goldblatt, P. and Morrison, J. (2020) </w:t>
      </w:r>
      <w:r w:rsidRPr="00621049">
        <w:rPr>
          <w:rFonts w:ascii="Arial" w:hAnsi="Arial" w:cs="Arial"/>
          <w:i/>
          <w:iCs/>
        </w:rPr>
        <w:t>Health Equity in England: the Marmot Review 10 Years on.</w:t>
      </w:r>
      <w:r w:rsidRPr="004D5431">
        <w:rPr>
          <w:rFonts w:ascii="Arial" w:hAnsi="Arial" w:cs="Arial"/>
        </w:rPr>
        <w:t xml:space="preserve">  The Health Foundation. Available at: </w:t>
      </w:r>
      <w:hyperlink r:id="rId17" w:history="1">
        <w:r w:rsidRPr="00BF6B41">
          <w:rPr>
            <w:rStyle w:val="Hyperlink"/>
            <w:rFonts w:ascii="Arial" w:hAnsi="Arial" w:cs="Arial"/>
          </w:rPr>
          <w:t>https://www.health.org.uk/reports-and-analysis/reports/health-equity-in-england-the-marmot-review-10-years-on-0</w:t>
        </w:r>
      </w:hyperlink>
      <w:r w:rsidRPr="004D5431">
        <w:rPr>
          <w:rFonts w:ascii="Arial" w:hAnsi="Arial" w:cs="Arial"/>
        </w:rPr>
        <w:t>.</w:t>
      </w:r>
      <w:r>
        <w:rPr>
          <w:rFonts w:ascii="Arial" w:hAnsi="Arial" w:cs="Arial"/>
        </w:rPr>
        <w:t xml:space="preserve"> (Accessed</w:t>
      </w:r>
      <w:r w:rsidR="002843EF">
        <w:rPr>
          <w:rFonts w:ascii="Arial" w:hAnsi="Arial" w:cs="Arial"/>
        </w:rPr>
        <w:t>:</w:t>
      </w:r>
      <w:r>
        <w:rPr>
          <w:rFonts w:ascii="Arial" w:hAnsi="Arial" w:cs="Arial"/>
        </w:rPr>
        <w:t xml:space="preserve"> 25 October 2025).</w:t>
      </w:r>
    </w:p>
    <w:p w14:paraId="1E837622" w14:textId="1076E3AE" w:rsidR="00A63E1E" w:rsidRDefault="00A63E1E" w:rsidP="0050307F">
      <w:pPr>
        <w:spacing w:line="360" w:lineRule="auto"/>
        <w:rPr>
          <w:rFonts w:ascii="Arial" w:hAnsi="Arial" w:cs="Arial"/>
        </w:rPr>
      </w:pPr>
      <w:r w:rsidRPr="0080767D">
        <w:rPr>
          <w:rFonts w:ascii="Arial" w:hAnsi="Arial" w:cs="Arial"/>
        </w:rPr>
        <w:t xml:space="preserve">National Audit Office. (2020) </w:t>
      </w:r>
      <w:r w:rsidRPr="00621049">
        <w:rPr>
          <w:rFonts w:ascii="Arial" w:hAnsi="Arial" w:cs="Arial"/>
          <w:i/>
          <w:iCs/>
        </w:rPr>
        <w:t>Reports Archive sep%% National Audit Office</w:t>
      </w:r>
      <w:r w:rsidRPr="0080767D">
        <w:rPr>
          <w:rFonts w:ascii="Arial" w:hAnsi="Arial" w:cs="Arial"/>
        </w:rPr>
        <w:t xml:space="preserve"> (NAO). Available at: </w:t>
      </w:r>
      <w:hyperlink r:id="rId18" w:history="1">
        <w:r w:rsidRPr="006C223F">
          <w:rPr>
            <w:rStyle w:val="Hyperlink"/>
            <w:rFonts w:ascii="Arial" w:hAnsi="Arial" w:cs="Arial"/>
          </w:rPr>
          <w:t>https://www.nao.org.uk/reports/</w:t>
        </w:r>
      </w:hyperlink>
      <w:r w:rsidRPr="0080767D">
        <w:rPr>
          <w:rFonts w:ascii="Arial" w:hAnsi="Arial" w:cs="Arial"/>
        </w:rPr>
        <w:t>.</w:t>
      </w:r>
      <w:r>
        <w:rPr>
          <w:rFonts w:ascii="Arial" w:hAnsi="Arial" w:cs="Arial"/>
        </w:rPr>
        <w:t xml:space="preserve"> (Accessed</w:t>
      </w:r>
      <w:r w:rsidR="002843EF">
        <w:rPr>
          <w:rFonts w:ascii="Arial" w:hAnsi="Arial" w:cs="Arial"/>
        </w:rPr>
        <w:t>:</w:t>
      </w:r>
      <w:r>
        <w:rPr>
          <w:rFonts w:ascii="Arial" w:hAnsi="Arial" w:cs="Arial"/>
        </w:rPr>
        <w:t xml:space="preserve"> 22 October 2025).</w:t>
      </w:r>
    </w:p>
    <w:p w14:paraId="3457AA6E" w14:textId="4CEA48CD" w:rsidR="00A63E1E" w:rsidRDefault="00A63E1E" w:rsidP="00A94175">
      <w:pPr>
        <w:spacing w:line="360" w:lineRule="auto"/>
        <w:rPr>
          <w:rFonts w:ascii="Arial" w:hAnsi="Arial" w:cs="Arial"/>
        </w:rPr>
      </w:pPr>
      <w:r w:rsidRPr="00A94175">
        <w:rPr>
          <w:rFonts w:ascii="Arial" w:hAnsi="Arial" w:cs="Arial"/>
        </w:rPr>
        <w:t xml:space="preserve">National Health Service (2024). </w:t>
      </w:r>
      <w:r w:rsidRPr="00BE1AFA">
        <w:rPr>
          <w:rFonts w:ascii="Arial" w:hAnsi="Arial" w:cs="Arial"/>
          <w:i/>
          <w:iCs/>
        </w:rPr>
        <w:t>Healthy Start.</w:t>
      </w:r>
      <w:r w:rsidRPr="00A94175">
        <w:rPr>
          <w:rFonts w:ascii="Arial" w:hAnsi="Arial" w:cs="Arial"/>
        </w:rPr>
        <w:t xml:space="preserve"> Healthystart.nhs.uk. Available at: </w:t>
      </w:r>
      <w:hyperlink r:id="rId19" w:history="1">
        <w:r w:rsidRPr="00231397">
          <w:rPr>
            <w:rStyle w:val="Hyperlink"/>
            <w:rFonts w:ascii="Arial" w:hAnsi="Arial" w:cs="Arial"/>
          </w:rPr>
          <w:t>https://www.healthystart.nhs.uk/</w:t>
        </w:r>
      </w:hyperlink>
      <w:r w:rsidRPr="00A94175">
        <w:rPr>
          <w:rFonts w:ascii="Arial" w:hAnsi="Arial" w:cs="Arial"/>
        </w:rPr>
        <w:t>.</w:t>
      </w:r>
      <w:r>
        <w:rPr>
          <w:rFonts w:ascii="Arial" w:hAnsi="Arial" w:cs="Arial"/>
        </w:rPr>
        <w:t xml:space="preserve"> (Accessed</w:t>
      </w:r>
      <w:r w:rsidR="0079788F">
        <w:rPr>
          <w:rFonts w:ascii="Arial" w:hAnsi="Arial" w:cs="Arial"/>
        </w:rPr>
        <w:t>:</w:t>
      </w:r>
      <w:r>
        <w:rPr>
          <w:rFonts w:ascii="Arial" w:hAnsi="Arial" w:cs="Arial"/>
        </w:rPr>
        <w:t xml:space="preserve"> 5 November 2025).</w:t>
      </w:r>
    </w:p>
    <w:p w14:paraId="2231FAA8" w14:textId="52F7BBA9" w:rsidR="00A63E1E" w:rsidRDefault="00A63E1E" w:rsidP="0050307F">
      <w:pPr>
        <w:spacing w:line="360" w:lineRule="auto"/>
        <w:rPr>
          <w:rFonts w:ascii="Arial" w:hAnsi="Arial" w:cs="Arial"/>
        </w:rPr>
      </w:pPr>
      <w:r w:rsidRPr="00F7657B">
        <w:rPr>
          <w:rFonts w:ascii="Arial" w:hAnsi="Arial" w:cs="Arial"/>
        </w:rPr>
        <w:t xml:space="preserve">NHS England (2019) </w:t>
      </w:r>
      <w:r w:rsidRPr="00532C54">
        <w:rPr>
          <w:rFonts w:ascii="Arial" w:hAnsi="Arial" w:cs="Arial"/>
          <w:i/>
          <w:iCs/>
        </w:rPr>
        <w:t>NHS England NHS Long Term Plan to tackle major killer conditions and save up to half a million lives</w:t>
      </w:r>
      <w:r w:rsidRPr="00F7657B">
        <w:rPr>
          <w:rFonts w:ascii="Arial" w:hAnsi="Arial" w:cs="Arial"/>
        </w:rPr>
        <w:t xml:space="preserve">. England.nhs.uk. Available at: </w:t>
      </w:r>
      <w:hyperlink r:id="rId20" w:history="1">
        <w:r w:rsidRPr="00B33EEA">
          <w:rPr>
            <w:rStyle w:val="Hyperlink"/>
            <w:rFonts w:ascii="Arial" w:hAnsi="Arial" w:cs="Arial"/>
          </w:rPr>
          <w:t>https://www.england.nhs.uk/2019/01/long-term-plan/</w:t>
        </w:r>
      </w:hyperlink>
      <w:r w:rsidRPr="00F7657B">
        <w:rPr>
          <w:rFonts w:ascii="Arial" w:hAnsi="Arial" w:cs="Arial"/>
        </w:rPr>
        <w:t>.</w:t>
      </w:r>
      <w:r>
        <w:rPr>
          <w:rFonts w:ascii="Arial" w:hAnsi="Arial" w:cs="Arial"/>
        </w:rPr>
        <w:t xml:space="preserve"> (Accessed</w:t>
      </w:r>
      <w:r w:rsidR="0079788F">
        <w:rPr>
          <w:rFonts w:ascii="Arial" w:hAnsi="Arial" w:cs="Arial"/>
        </w:rPr>
        <w:t>:</w:t>
      </w:r>
      <w:r>
        <w:rPr>
          <w:rFonts w:ascii="Arial" w:hAnsi="Arial" w:cs="Arial"/>
        </w:rPr>
        <w:t xml:space="preserve"> 10 October 2025).</w:t>
      </w:r>
    </w:p>
    <w:p w14:paraId="7269B773" w14:textId="04E71E69" w:rsidR="00A63E1E" w:rsidRDefault="00A63E1E" w:rsidP="0050307F">
      <w:pPr>
        <w:spacing w:line="360" w:lineRule="auto"/>
        <w:rPr>
          <w:rFonts w:ascii="Arial" w:hAnsi="Arial" w:cs="Arial"/>
        </w:rPr>
      </w:pPr>
      <w:r w:rsidRPr="0089275E">
        <w:rPr>
          <w:rFonts w:ascii="Arial" w:hAnsi="Arial" w:cs="Arial"/>
        </w:rPr>
        <w:t>OECD (2024</w:t>
      </w:r>
      <w:r w:rsidRPr="00532C54">
        <w:rPr>
          <w:rFonts w:ascii="Arial" w:hAnsi="Arial" w:cs="Arial"/>
          <w:i/>
          <w:iCs/>
        </w:rPr>
        <w:t>) Fiscal Sustainability of Health Systems</w:t>
      </w:r>
      <w:r w:rsidRPr="0089275E">
        <w:rPr>
          <w:rFonts w:ascii="Arial" w:hAnsi="Arial" w:cs="Arial"/>
        </w:rPr>
        <w:t xml:space="preserve">. OECD. Available at: </w:t>
      </w:r>
      <w:hyperlink r:id="rId21" w:history="1">
        <w:r w:rsidRPr="00FF0BF2">
          <w:rPr>
            <w:rStyle w:val="Hyperlink"/>
            <w:rFonts w:ascii="Arial" w:hAnsi="Arial" w:cs="Arial"/>
          </w:rPr>
          <w:t>https://www.oecd.org/en/publications/fiscal-sustainability-of-health-systems_880f3195-en.html</w:t>
        </w:r>
      </w:hyperlink>
      <w:r w:rsidRPr="0089275E">
        <w:rPr>
          <w:rFonts w:ascii="Arial" w:hAnsi="Arial" w:cs="Arial"/>
        </w:rPr>
        <w:t>.</w:t>
      </w:r>
      <w:r>
        <w:rPr>
          <w:rFonts w:ascii="Arial" w:hAnsi="Arial" w:cs="Arial"/>
        </w:rPr>
        <w:t xml:space="preserve"> (Accessed 21</w:t>
      </w:r>
      <w:r w:rsidR="0079788F">
        <w:rPr>
          <w:rFonts w:ascii="Arial" w:hAnsi="Arial" w:cs="Arial"/>
        </w:rPr>
        <w:t>:</w:t>
      </w:r>
      <w:r>
        <w:rPr>
          <w:rFonts w:ascii="Arial" w:hAnsi="Arial" w:cs="Arial"/>
        </w:rPr>
        <w:t xml:space="preserve"> October 2025).</w:t>
      </w:r>
    </w:p>
    <w:p w14:paraId="5CAFAE5D" w14:textId="545A2A63" w:rsidR="00A63E1E" w:rsidRDefault="00A63E1E" w:rsidP="0050307F">
      <w:pPr>
        <w:spacing w:line="360" w:lineRule="auto"/>
        <w:rPr>
          <w:rFonts w:ascii="Arial" w:hAnsi="Arial" w:cs="Arial"/>
        </w:rPr>
      </w:pPr>
      <w:r w:rsidRPr="00190BEE">
        <w:rPr>
          <w:rFonts w:ascii="Arial" w:hAnsi="Arial" w:cs="Arial"/>
        </w:rPr>
        <w:t xml:space="preserve">Office for National Statistics (2024) </w:t>
      </w:r>
      <w:r w:rsidRPr="00532C54">
        <w:rPr>
          <w:rFonts w:ascii="Arial" w:hAnsi="Arial" w:cs="Arial"/>
          <w:i/>
          <w:iCs/>
        </w:rPr>
        <w:t>Healthy Life Expectancy in England and Wales</w:t>
      </w:r>
      <w:r w:rsidRPr="00190BEE">
        <w:rPr>
          <w:rFonts w:ascii="Arial" w:hAnsi="Arial" w:cs="Arial"/>
        </w:rPr>
        <w:t>.</w:t>
      </w:r>
      <w:r>
        <w:rPr>
          <w:rFonts w:ascii="Arial" w:hAnsi="Arial" w:cs="Arial"/>
        </w:rPr>
        <w:t xml:space="preserve"> </w:t>
      </w:r>
      <w:r w:rsidRPr="00190BEE">
        <w:rPr>
          <w:rFonts w:ascii="Arial" w:hAnsi="Arial" w:cs="Arial"/>
        </w:rPr>
        <w:t xml:space="preserve">Ons.gov.uk. Available at: </w:t>
      </w:r>
      <w:hyperlink r:id="rId22" w:history="1">
        <w:r w:rsidRPr="00FF0BF2">
          <w:rPr>
            <w:rStyle w:val="Hyperlink"/>
            <w:rFonts w:ascii="Arial" w:hAnsi="Arial" w:cs="Arial"/>
          </w:rPr>
          <w:t>https://www.ons.gov.uk/peoplepopulationandcommunity/healthandsocialcare/healthandlifeexpectancies/bulletins/healthstatel</w:t>
        </w:r>
      </w:hyperlink>
      <w:r>
        <w:rPr>
          <w:rFonts w:ascii="Arial" w:hAnsi="Arial" w:cs="Arial"/>
        </w:rPr>
        <w:t xml:space="preserve"> (Accessed</w:t>
      </w:r>
      <w:r w:rsidR="0037392E">
        <w:rPr>
          <w:rFonts w:ascii="Arial" w:hAnsi="Arial" w:cs="Arial"/>
        </w:rPr>
        <w:t>:</w:t>
      </w:r>
      <w:r>
        <w:rPr>
          <w:rFonts w:ascii="Arial" w:hAnsi="Arial" w:cs="Arial"/>
        </w:rPr>
        <w:t xml:space="preserve"> 20 October 2025).</w:t>
      </w:r>
    </w:p>
    <w:p w14:paraId="5AC0FBBA" w14:textId="2218F3FB" w:rsidR="00A63E1E" w:rsidRDefault="00A63E1E" w:rsidP="0050307F">
      <w:pPr>
        <w:spacing w:line="360" w:lineRule="auto"/>
        <w:rPr>
          <w:rFonts w:ascii="Arial" w:hAnsi="Arial" w:cs="Arial"/>
        </w:rPr>
      </w:pPr>
      <w:r w:rsidRPr="002D2C41">
        <w:rPr>
          <w:rFonts w:ascii="Arial" w:hAnsi="Arial" w:cs="Arial"/>
        </w:rPr>
        <w:lastRenderedPageBreak/>
        <w:t xml:space="preserve">ONS (2022) </w:t>
      </w:r>
      <w:r w:rsidRPr="00532C54">
        <w:rPr>
          <w:rFonts w:ascii="Arial" w:hAnsi="Arial" w:cs="Arial"/>
          <w:i/>
          <w:iCs/>
        </w:rPr>
        <w:t>Health state life expectancies by national deprivation deciles</w:t>
      </w:r>
      <w:r w:rsidRPr="002D2C41">
        <w:rPr>
          <w:rFonts w:ascii="Arial" w:hAnsi="Arial" w:cs="Arial"/>
        </w:rPr>
        <w:t xml:space="preserve">, England: 2018 to 2020. www.ons.gov.uk. Available at: </w:t>
      </w:r>
      <w:hyperlink r:id="rId23" w:history="1">
        <w:r w:rsidRPr="006C223F">
          <w:rPr>
            <w:rStyle w:val="Hyperlink"/>
            <w:rFonts w:ascii="Arial" w:hAnsi="Arial" w:cs="Arial"/>
          </w:rPr>
          <w:t>https://www.ons.gov.uk/peoplepopulationandcommunity/healthandsocialcare/healthinequalities/bulletins/healthstatelifeexpect</w:t>
        </w:r>
      </w:hyperlink>
      <w:r>
        <w:rPr>
          <w:rFonts w:ascii="Arial" w:hAnsi="Arial" w:cs="Arial"/>
        </w:rPr>
        <w:t xml:space="preserve"> (Accessed 22</w:t>
      </w:r>
      <w:r w:rsidR="0037392E">
        <w:rPr>
          <w:rFonts w:ascii="Arial" w:hAnsi="Arial" w:cs="Arial"/>
        </w:rPr>
        <w:t>:</w:t>
      </w:r>
      <w:r>
        <w:rPr>
          <w:rFonts w:ascii="Arial" w:hAnsi="Arial" w:cs="Arial"/>
        </w:rPr>
        <w:t xml:space="preserve"> October 2025).</w:t>
      </w:r>
    </w:p>
    <w:p w14:paraId="3885F586" w14:textId="505E6B32" w:rsidR="00A63E1E" w:rsidRDefault="00A63E1E" w:rsidP="0050307F">
      <w:pPr>
        <w:spacing w:line="360" w:lineRule="auto"/>
        <w:rPr>
          <w:rFonts w:ascii="Arial" w:hAnsi="Arial" w:cs="Arial"/>
        </w:rPr>
      </w:pPr>
      <w:r w:rsidRPr="00E116D7">
        <w:rPr>
          <w:rFonts w:ascii="Arial" w:hAnsi="Arial" w:cs="Arial"/>
        </w:rPr>
        <w:t>Terjesen, S. (2004)</w:t>
      </w:r>
      <w:r w:rsidR="003B7629">
        <w:rPr>
          <w:rFonts w:ascii="Arial" w:hAnsi="Arial" w:cs="Arial"/>
        </w:rPr>
        <w:t xml:space="preserve"> </w:t>
      </w:r>
      <w:r w:rsidRPr="00E116D7">
        <w:rPr>
          <w:rFonts w:ascii="Arial" w:hAnsi="Arial" w:cs="Arial"/>
        </w:rPr>
        <w:t xml:space="preserve"> </w:t>
      </w:r>
      <w:r w:rsidRPr="003B7629">
        <w:rPr>
          <w:rFonts w:ascii="Arial" w:hAnsi="Arial" w:cs="Arial"/>
          <w:i/>
          <w:iCs/>
        </w:rPr>
        <w:t>Amartya Sen’s Development as Freedom</w:t>
      </w:r>
      <w:r w:rsidRPr="00E116D7">
        <w:rPr>
          <w:rFonts w:ascii="Arial" w:hAnsi="Arial" w:cs="Arial"/>
        </w:rPr>
        <w:t xml:space="preserve">. ResearchGate. Available at: </w:t>
      </w:r>
      <w:hyperlink r:id="rId24" w:history="1">
        <w:r w:rsidRPr="00BF6B41">
          <w:rPr>
            <w:rStyle w:val="Hyperlink"/>
            <w:rFonts w:ascii="Arial" w:hAnsi="Arial" w:cs="Arial"/>
          </w:rPr>
          <w:t>https://www.researchgate.net/publication/27466009_Amartya_Sen</w:t>
        </w:r>
      </w:hyperlink>
      <w:r w:rsidRPr="00E116D7">
        <w:rPr>
          <w:rFonts w:ascii="Arial" w:hAnsi="Arial" w:cs="Arial"/>
        </w:rPr>
        <w:t>.</w:t>
      </w:r>
      <w:r>
        <w:rPr>
          <w:rFonts w:ascii="Arial" w:hAnsi="Arial" w:cs="Arial"/>
        </w:rPr>
        <w:t xml:space="preserve"> (Accessed 26 October 2025).</w:t>
      </w:r>
    </w:p>
    <w:p w14:paraId="0628DF30" w14:textId="325499C2" w:rsidR="00A63E1E" w:rsidRDefault="00A63E1E" w:rsidP="0050307F">
      <w:pPr>
        <w:spacing w:line="360" w:lineRule="auto"/>
        <w:rPr>
          <w:rFonts w:ascii="Arial" w:hAnsi="Arial" w:cs="Arial"/>
        </w:rPr>
      </w:pPr>
      <w:r w:rsidRPr="000E03AD">
        <w:rPr>
          <w:rFonts w:ascii="Arial" w:hAnsi="Arial" w:cs="Arial"/>
        </w:rPr>
        <w:t xml:space="preserve">The Health Foundation. (2023) </w:t>
      </w:r>
      <w:r w:rsidRPr="003B7629">
        <w:rPr>
          <w:rFonts w:ascii="Arial" w:hAnsi="Arial" w:cs="Arial"/>
          <w:i/>
          <w:iCs/>
        </w:rPr>
        <w:t>Our strategy for 2023–25</w:t>
      </w:r>
      <w:r w:rsidRPr="000E03AD">
        <w:rPr>
          <w:rFonts w:ascii="Arial" w:hAnsi="Arial" w:cs="Arial"/>
        </w:rPr>
        <w:t xml:space="preserve">. Available at: </w:t>
      </w:r>
      <w:hyperlink r:id="rId25" w:history="1">
        <w:r w:rsidRPr="006C223F">
          <w:rPr>
            <w:rStyle w:val="Hyperlink"/>
            <w:rFonts w:ascii="Arial" w:hAnsi="Arial" w:cs="Arial"/>
          </w:rPr>
          <w:t>https://www.health.org.uk/reports-and-analysis/reports/our-strategy-for-2023-25</w:t>
        </w:r>
      </w:hyperlink>
      <w:r w:rsidRPr="000E03AD">
        <w:rPr>
          <w:rFonts w:ascii="Arial" w:hAnsi="Arial" w:cs="Arial"/>
        </w:rPr>
        <w:t>.</w:t>
      </w:r>
      <w:r>
        <w:rPr>
          <w:rFonts w:ascii="Arial" w:hAnsi="Arial" w:cs="Arial"/>
        </w:rPr>
        <w:t xml:space="preserve"> (Accessed</w:t>
      </w:r>
      <w:r w:rsidR="0037392E">
        <w:rPr>
          <w:rFonts w:ascii="Arial" w:hAnsi="Arial" w:cs="Arial"/>
        </w:rPr>
        <w:t>:</w:t>
      </w:r>
      <w:r>
        <w:rPr>
          <w:rFonts w:ascii="Arial" w:hAnsi="Arial" w:cs="Arial"/>
        </w:rPr>
        <w:t xml:space="preserve"> 22 October 2025).</w:t>
      </w:r>
    </w:p>
    <w:p w14:paraId="6906EF2E" w14:textId="729B7C71" w:rsidR="00A63E1E" w:rsidRDefault="00A63E1E" w:rsidP="0050307F">
      <w:pPr>
        <w:spacing w:line="360" w:lineRule="auto"/>
        <w:rPr>
          <w:rFonts w:ascii="Arial" w:hAnsi="Arial" w:cs="Arial"/>
        </w:rPr>
      </w:pPr>
      <w:r>
        <w:rPr>
          <w:rFonts w:ascii="Arial" w:hAnsi="Arial" w:cs="Arial"/>
        </w:rPr>
        <w:t>T</w:t>
      </w:r>
      <w:r w:rsidRPr="00610019">
        <w:rPr>
          <w:rFonts w:ascii="Arial" w:hAnsi="Arial" w:cs="Arial"/>
        </w:rPr>
        <w:t xml:space="preserve">he Institute for Fiscal Studies (2023) </w:t>
      </w:r>
      <w:r>
        <w:rPr>
          <w:rFonts w:ascii="Arial" w:hAnsi="Arial" w:cs="Arial"/>
        </w:rPr>
        <w:t xml:space="preserve"> </w:t>
      </w:r>
      <w:r w:rsidRPr="003B7629">
        <w:rPr>
          <w:rFonts w:ascii="Arial" w:hAnsi="Arial" w:cs="Arial"/>
          <w:i/>
          <w:iCs/>
        </w:rPr>
        <w:t>National Education Union</w:t>
      </w:r>
      <w:r>
        <w:rPr>
          <w:rFonts w:ascii="Arial" w:hAnsi="Arial" w:cs="Arial"/>
        </w:rPr>
        <w:t>.</w:t>
      </w:r>
      <w:r w:rsidRPr="000D1DE0">
        <w:rPr>
          <w:rFonts w:ascii="Arial" w:hAnsi="Arial" w:cs="Arial"/>
        </w:rPr>
        <w:t xml:space="preserve"> IFS on education spending in England | National Education Union. [online] Available at: </w:t>
      </w:r>
      <w:hyperlink r:id="rId26" w:history="1">
        <w:r w:rsidRPr="00EE5E96">
          <w:rPr>
            <w:rStyle w:val="Hyperlink"/>
            <w:rFonts w:ascii="Arial" w:hAnsi="Arial" w:cs="Arial"/>
          </w:rPr>
          <w:t>https://neu.org.uk/latest/press-releases/ifs-education-spending-england</w:t>
        </w:r>
      </w:hyperlink>
      <w:r>
        <w:rPr>
          <w:rFonts w:ascii="Arial" w:hAnsi="Arial" w:cs="Arial"/>
        </w:rPr>
        <w:t xml:space="preserve"> (</w:t>
      </w:r>
      <w:r w:rsidRPr="000D1DE0">
        <w:rPr>
          <w:rFonts w:ascii="Arial" w:hAnsi="Arial" w:cs="Arial"/>
        </w:rPr>
        <w:t>Accessed</w:t>
      </w:r>
      <w:r w:rsidR="0037392E">
        <w:rPr>
          <w:rFonts w:ascii="Arial" w:hAnsi="Arial" w:cs="Arial"/>
        </w:rPr>
        <w:t>:</w:t>
      </w:r>
      <w:r w:rsidRPr="000D1DE0">
        <w:rPr>
          <w:rFonts w:ascii="Arial" w:hAnsi="Arial" w:cs="Arial"/>
        </w:rPr>
        <w:t xml:space="preserve"> 5 Nov. 2025</w:t>
      </w:r>
      <w:r>
        <w:rPr>
          <w:rFonts w:ascii="Arial" w:hAnsi="Arial" w:cs="Arial"/>
        </w:rPr>
        <w:t>)</w:t>
      </w:r>
      <w:r w:rsidRPr="000D1DE0">
        <w:rPr>
          <w:rFonts w:ascii="Arial" w:hAnsi="Arial" w:cs="Arial"/>
        </w:rPr>
        <w:t>.</w:t>
      </w:r>
    </w:p>
    <w:p w14:paraId="4A12A122" w14:textId="5201FA81" w:rsidR="00A63E1E" w:rsidRDefault="00A63E1E" w:rsidP="00A94175">
      <w:pPr>
        <w:spacing w:line="360" w:lineRule="auto"/>
        <w:rPr>
          <w:rFonts w:ascii="Arial" w:hAnsi="Arial" w:cs="Arial"/>
        </w:rPr>
      </w:pPr>
      <w:r w:rsidRPr="00A94175">
        <w:rPr>
          <w:rFonts w:ascii="Arial" w:hAnsi="Arial" w:cs="Arial"/>
        </w:rPr>
        <w:t>Trussell Trust (2024)</w:t>
      </w:r>
      <w:r w:rsidR="003B7629">
        <w:rPr>
          <w:rFonts w:ascii="Arial" w:hAnsi="Arial" w:cs="Arial"/>
        </w:rPr>
        <w:t xml:space="preserve"> </w:t>
      </w:r>
      <w:r w:rsidRPr="003B7629">
        <w:rPr>
          <w:rFonts w:ascii="Arial" w:hAnsi="Arial" w:cs="Arial"/>
          <w:i/>
          <w:iCs/>
        </w:rPr>
        <w:t>End of Year Stats</w:t>
      </w:r>
      <w:r w:rsidRPr="00A94175">
        <w:rPr>
          <w:rFonts w:ascii="Arial" w:hAnsi="Arial" w:cs="Arial"/>
        </w:rPr>
        <w:t xml:space="preserve">. Trussell.org.uk. Available at: </w:t>
      </w:r>
      <w:hyperlink r:id="rId27" w:history="1">
        <w:r w:rsidRPr="00231397">
          <w:rPr>
            <w:rStyle w:val="Hyperlink"/>
            <w:rFonts w:ascii="Arial" w:hAnsi="Arial" w:cs="Arial"/>
          </w:rPr>
          <w:t>https://www.trussell.org.uk/news-and-research/latest-stats/end-of-year-stats</w:t>
        </w:r>
      </w:hyperlink>
      <w:r w:rsidRPr="00A94175">
        <w:rPr>
          <w:rFonts w:ascii="Arial" w:hAnsi="Arial" w:cs="Arial"/>
        </w:rPr>
        <w:t>.</w:t>
      </w:r>
      <w:r>
        <w:rPr>
          <w:rFonts w:ascii="Arial" w:hAnsi="Arial" w:cs="Arial"/>
        </w:rPr>
        <w:t xml:space="preserve"> (Accessed 5</w:t>
      </w:r>
      <w:r w:rsidR="0037392E">
        <w:rPr>
          <w:rFonts w:ascii="Arial" w:hAnsi="Arial" w:cs="Arial"/>
        </w:rPr>
        <w:t>:</w:t>
      </w:r>
      <w:r>
        <w:rPr>
          <w:rFonts w:ascii="Arial" w:hAnsi="Arial" w:cs="Arial"/>
        </w:rPr>
        <w:t xml:space="preserve"> November 2025).</w:t>
      </w:r>
    </w:p>
    <w:p w14:paraId="47BC84FF" w14:textId="30F3FFA8" w:rsidR="00A63E1E" w:rsidRDefault="00A63E1E" w:rsidP="0050307F">
      <w:pPr>
        <w:spacing w:line="360" w:lineRule="auto"/>
        <w:rPr>
          <w:rFonts w:ascii="Arial" w:hAnsi="Arial" w:cs="Arial"/>
        </w:rPr>
      </w:pPr>
      <w:r w:rsidRPr="00CC470B">
        <w:rPr>
          <w:rFonts w:ascii="Arial" w:hAnsi="Arial" w:cs="Arial"/>
        </w:rPr>
        <w:t xml:space="preserve">UNDP (2024) </w:t>
      </w:r>
      <w:r w:rsidRPr="003B7629">
        <w:rPr>
          <w:rFonts w:ascii="Arial" w:hAnsi="Arial" w:cs="Arial"/>
          <w:i/>
          <w:iCs/>
        </w:rPr>
        <w:t>Human Development Report 2023-24</w:t>
      </w:r>
      <w:r w:rsidRPr="00CC470B">
        <w:rPr>
          <w:rFonts w:ascii="Arial" w:hAnsi="Arial" w:cs="Arial"/>
        </w:rPr>
        <w:t xml:space="preserve">. hdr.undp.org. Available at: </w:t>
      </w:r>
      <w:hyperlink r:id="rId28" w:history="1">
        <w:r w:rsidRPr="00BF6B41">
          <w:rPr>
            <w:rStyle w:val="Hyperlink"/>
            <w:rFonts w:ascii="Arial" w:hAnsi="Arial" w:cs="Arial"/>
          </w:rPr>
          <w:t>https://hdr.undp.org/content/human-development-report-2023-24</w:t>
        </w:r>
      </w:hyperlink>
      <w:r w:rsidRPr="00CC470B">
        <w:rPr>
          <w:rFonts w:ascii="Arial" w:hAnsi="Arial" w:cs="Arial"/>
        </w:rPr>
        <w:t>.</w:t>
      </w:r>
      <w:r>
        <w:rPr>
          <w:rFonts w:ascii="Arial" w:hAnsi="Arial" w:cs="Arial"/>
        </w:rPr>
        <w:t xml:space="preserve"> (Accessed</w:t>
      </w:r>
      <w:r w:rsidR="0037392E">
        <w:rPr>
          <w:rFonts w:ascii="Arial" w:hAnsi="Arial" w:cs="Arial"/>
        </w:rPr>
        <w:t>:</w:t>
      </w:r>
      <w:r>
        <w:rPr>
          <w:rFonts w:ascii="Arial" w:hAnsi="Arial" w:cs="Arial"/>
        </w:rPr>
        <w:t xml:space="preserve"> 25 October 2025).</w:t>
      </w:r>
    </w:p>
    <w:p w14:paraId="2646F6D7" w14:textId="1BA38CE0" w:rsidR="00A63E1E" w:rsidRDefault="00A63E1E" w:rsidP="0050307F">
      <w:pPr>
        <w:spacing w:line="360" w:lineRule="auto"/>
        <w:rPr>
          <w:rFonts w:ascii="Arial" w:hAnsi="Arial" w:cs="Arial"/>
        </w:rPr>
      </w:pPr>
      <w:r w:rsidRPr="00AC5207">
        <w:rPr>
          <w:rFonts w:ascii="Arial" w:hAnsi="Arial" w:cs="Arial"/>
        </w:rPr>
        <w:t xml:space="preserve">United Nations (2015) </w:t>
      </w:r>
      <w:r w:rsidRPr="003B7629">
        <w:rPr>
          <w:rFonts w:ascii="Arial" w:hAnsi="Arial" w:cs="Arial"/>
          <w:i/>
          <w:iCs/>
        </w:rPr>
        <w:t>Transforming our world: The 2030 agenda for sustainable development</w:t>
      </w:r>
      <w:r w:rsidRPr="00AC5207">
        <w:rPr>
          <w:rFonts w:ascii="Arial" w:hAnsi="Arial" w:cs="Arial"/>
        </w:rPr>
        <w:t xml:space="preserve">. sdgs.un.org. Available at: </w:t>
      </w:r>
      <w:hyperlink r:id="rId29" w:history="1">
        <w:r w:rsidRPr="00FF0BF2">
          <w:rPr>
            <w:rStyle w:val="Hyperlink"/>
            <w:rFonts w:ascii="Arial" w:hAnsi="Arial" w:cs="Arial"/>
          </w:rPr>
          <w:t>https://sdgs.un.org/publications/transforming-our-world-2030-agenda-sustainable-development-17981</w:t>
        </w:r>
      </w:hyperlink>
      <w:r w:rsidRPr="00EE5532">
        <w:rPr>
          <w:rFonts w:ascii="Arial" w:hAnsi="Arial" w:cs="Arial"/>
        </w:rPr>
        <w:t>.</w:t>
      </w:r>
      <w:r>
        <w:rPr>
          <w:rFonts w:ascii="Arial" w:hAnsi="Arial" w:cs="Arial"/>
        </w:rPr>
        <w:t xml:space="preserve"> (Accessed</w:t>
      </w:r>
      <w:r w:rsidR="0037392E">
        <w:rPr>
          <w:rFonts w:ascii="Arial" w:hAnsi="Arial" w:cs="Arial"/>
        </w:rPr>
        <w:t>:</w:t>
      </w:r>
      <w:r>
        <w:rPr>
          <w:rFonts w:ascii="Arial" w:hAnsi="Arial" w:cs="Arial"/>
        </w:rPr>
        <w:t xml:space="preserve"> 10 October 2025).</w:t>
      </w:r>
    </w:p>
    <w:p w14:paraId="0B786588" w14:textId="6C6033BB" w:rsidR="00A63E1E" w:rsidRDefault="00A63E1E" w:rsidP="0050307F">
      <w:pPr>
        <w:spacing w:line="360" w:lineRule="auto"/>
        <w:rPr>
          <w:rFonts w:ascii="Arial" w:hAnsi="Arial" w:cs="Arial"/>
        </w:rPr>
      </w:pPr>
      <w:r w:rsidRPr="00B316B5">
        <w:rPr>
          <w:rFonts w:ascii="Arial" w:hAnsi="Arial" w:cs="Arial"/>
        </w:rPr>
        <w:t xml:space="preserve">United Nations (2025) </w:t>
      </w:r>
      <w:r w:rsidRPr="003B7629">
        <w:rPr>
          <w:rFonts w:ascii="Arial" w:hAnsi="Arial" w:cs="Arial"/>
          <w:i/>
          <w:iCs/>
        </w:rPr>
        <w:t>Goal 3</w:t>
      </w:r>
      <w:r w:rsidRPr="00B316B5">
        <w:rPr>
          <w:rFonts w:ascii="Arial" w:hAnsi="Arial" w:cs="Arial"/>
        </w:rPr>
        <w:t xml:space="preserve"> | ensure healthy lives and promote well-being for all at all ages.</w:t>
      </w:r>
      <w:r>
        <w:rPr>
          <w:rFonts w:ascii="Arial" w:hAnsi="Arial" w:cs="Arial"/>
        </w:rPr>
        <w:t xml:space="preserve"> </w:t>
      </w:r>
      <w:r w:rsidRPr="00B316B5">
        <w:rPr>
          <w:rFonts w:ascii="Arial" w:hAnsi="Arial" w:cs="Arial"/>
        </w:rPr>
        <w:t xml:space="preserve">United Nations. Available at: </w:t>
      </w:r>
      <w:hyperlink r:id="rId30" w:anchor="targets_and_indicators" w:history="1">
        <w:r w:rsidRPr="00FF0BF2">
          <w:rPr>
            <w:rStyle w:val="Hyperlink"/>
            <w:rFonts w:ascii="Arial" w:hAnsi="Arial" w:cs="Arial"/>
          </w:rPr>
          <w:t>https://sdgs.un.org/goals/goal3#targets_and_indicators</w:t>
        </w:r>
      </w:hyperlink>
      <w:r w:rsidRPr="00B316B5">
        <w:rPr>
          <w:rFonts w:ascii="Arial" w:hAnsi="Arial" w:cs="Arial"/>
        </w:rPr>
        <w:t>.</w:t>
      </w:r>
      <w:r>
        <w:rPr>
          <w:rFonts w:ascii="Arial" w:hAnsi="Arial" w:cs="Arial"/>
        </w:rPr>
        <w:t xml:space="preserve"> (Accessed 21</w:t>
      </w:r>
      <w:r w:rsidR="0037392E">
        <w:rPr>
          <w:rFonts w:ascii="Arial" w:hAnsi="Arial" w:cs="Arial"/>
        </w:rPr>
        <w:t>:</w:t>
      </w:r>
      <w:r>
        <w:rPr>
          <w:rFonts w:ascii="Arial" w:hAnsi="Arial" w:cs="Arial"/>
        </w:rPr>
        <w:t xml:space="preserve"> October 2025).</w:t>
      </w:r>
    </w:p>
    <w:p w14:paraId="24DBDA90" w14:textId="103437F9" w:rsidR="00A63E1E" w:rsidRDefault="00A63E1E" w:rsidP="0050307F">
      <w:pPr>
        <w:spacing w:line="360" w:lineRule="auto"/>
        <w:rPr>
          <w:rFonts w:ascii="Arial" w:hAnsi="Arial" w:cs="Arial"/>
        </w:rPr>
      </w:pPr>
      <w:r w:rsidRPr="00EB19F1">
        <w:rPr>
          <w:rFonts w:ascii="Arial" w:hAnsi="Arial" w:cs="Arial"/>
        </w:rPr>
        <w:t>Wells, T. (1999)</w:t>
      </w:r>
      <w:r w:rsidR="003B7629">
        <w:rPr>
          <w:rFonts w:ascii="Arial" w:hAnsi="Arial" w:cs="Arial"/>
        </w:rPr>
        <w:t xml:space="preserve"> </w:t>
      </w:r>
      <w:r w:rsidRPr="00EB19F1">
        <w:rPr>
          <w:rFonts w:ascii="Arial" w:hAnsi="Arial" w:cs="Arial"/>
        </w:rPr>
        <w:t xml:space="preserve"> </w:t>
      </w:r>
      <w:r w:rsidRPr="003B7629">
        <w:rPr>
          <w:rFonts w:ascii="Arial" w:hAnsi="Arial" w:cs="Arial"/>
          <w:i/>
          <w:iCs/>
        </w:rPr>
        <w:t>Sen’s Capability Approach</w:t>
      </w:r>
      <w:r w:rsidRPr="00EB19F1">
        <w:rPr>
          <w:rFonts w:ascii="Arial" w:hAnsi="Arial" w:cs="Arial"/>
        </w:rPr>
        <w:t xml:space="preserve">. Internet Encyclopedia of Philosophy. Available at: </w:t>
      </w:r>
      <w:hyperlink r:id="rId31" w:history="1">
        <w:r w:rsidRPr="00231397">
          <w:rPr>
            <w:rStyle w:val="Hyperlink"/>
            <w:rFonts w:ascii="Arial" w:hAnsi="Arial" w:cs="Arial"/>
          </w:rPr>
          <w:t>https://iep.utm.edu/sen-cap/</w:t>
        </w:r>
      </w:hyperlink>
      <w:r w:rsidRPr="00EB19F1">
        <w:rPr>
          <w:rFonts w:ascii="Arial" w:hAnsi="Arial" w:cs="Arial"/>
        </w:rPr>
        <w:t>.</w:t>
      </w:r>
      <w:r>
        <w:rPr>
          <w:rFonts w:ascii="Arial" w:hAnsi="Arial" w:cs="Arial"/>
        </w:rPr>
        <w:t xml:space="preserve"> (Accessed 5 November 2025).</w:t>
      </w:r>
    </w:p>
    <w:p w14:paraId="215C9D15" w14:textId="41AD7C47" w:rsidR="00A63E1E" w:rsidRDefault="00A63E1E" w:rsidP="0050307F">
      <w:pPr>
        <w:spacing w:line="360" w:lineRule="auto"/>
        <w:rPr>
          <w:rFonts w:ascii="Arial" w:hAnsi="Arial" w:cs="Arial"/>
        </w:rPr>
      </w:pPr>
      <w:r w:rsidRPr="002327CB">
        <w:rPr>
          <w:rFonts w:ascii="Arial" w:hAnsi="Arial" w:cs="Arial"/>
        </w:rPr>
        <w:t xml:space="preserve">WHO (2022) </w:t>
      </w:r>
      <w:r w:rsidRPr="003B7629">
        <w:rPr>
          <w:rFonts w:ascii="Arial" w:hAnsi="Arial" w:cs="Arial"/>
          <w:i/>
          <w:iCs/>
        </w:rPr>
        <w:t>Sustainable Development Goals</w:t>
      </w:r>
      <w:r w:rsidRPr="002327CB">
        <w:rPr>
          <w:rFonts w:ascii="Arial" w:hAnsi="Arial" w:cs="Arial"/>
        </w:rPr>
        <w:t xml:space="preserve">. www.who.int. Available at: </w:t>
      </w:r>
      <w:hyperlink r:id="rId32" w:history="1">
        <w:r w:rsidRPr="00FF0BF2">
          <w:rPr>
            <w:rStyle w:val="Hyperlink"/>
            <w:rFonts w:ascii="Arial" w:hAnsi="Arial" w:cs="Arial"/>
          </w:rPr>
          <w:t>https://www.who.int/data/gho/data/themes/sustainable-development-goals</w:t>
        </w:r>
      </w:hyperlink>
      <w:r w:rsidRPr="002327CB">
        <w:rPr>
          <w:rFonts w:ascii="Arial" w:hAnsi="Arial" w:cs="Arial"/>
        </w:rPr>
        <w:t>.</w:t>
      </w:r>
      <w:r>
        <w:rPr>
          <w:rFonts w:ascii="Arial" w:hAnsi="Arial" w:cs="Arial"/>
        </w:rPr>
        <w:t xml:space="preserve"> (Accessed 21</w:t>
      </w:r>
      <w:r w:rsidR="0037392E">
        <w:rPr>
          <w:rFonts w:ascii="Arial" w:hAnsi="Arial" w:cs="Arial"/>
        </w:rPr>
        <w:t>:</w:t>
      </w:r>
      <w:r>
        <w:rPr>
          <w:rFonts w:ascii="Arial" w:hAnsi="Arial" w:cs="Arial"/>
        </w:rPr>
        <w:t xml:space="preserve"> October 2025).</w:t>
      </w:r>
    </w:p>
    <w:p w14:paraId="7902EF24" w14:textId="5AD83332" w:rsidR="00A63E1E" w:rsidRDefault="00A63E1E" w:rsidP="0050307F">
      <w:pPr>
        <w:spacing w:line="360" w:lineRule="auto"/>
        <w:rPr>
          <w:rFonts w:ascii="Arial" w:hAnsi="Arial" w:cs="Arial"/>
        </w:rPr>
      </w:pPr>
      <w:r w:rsidRPr="004513C0">
        <w:rPr>
          <w:rFonts w:ascii="Arial" w:hAnsi="Arial" w:cs="Arial"/>
        </w:rPr>
        <w:lastRenderedPageBreak/>
        <w:t xml:space="preserve">World Bank (2024) </w:t>
      </w:r>
      <w:r w:rsidRPr="003B7629">
        <w:rPr>
          <w:rFonts w:ascii="Arial" w:hAnsi="Arial" w:cs="Arial"/>
          <w:i/>
          <w:iCs/>
        </w:rPr>
        <w:t>Poverty, Prosperity, and Planet Report 2024</w:t>
      </w:r>
      <w:r w:rsidRPr="004513C0">
        <w:rPr>
          <w:rFonts w:ascii="Arial" w:hAnsi="Arial" w:cs="Arial"/>
        </w:rPr>
        <w:t xml:space="preserve">.  World Bank. Available at: </w:t>
      </w:r>
      <w:hyperlink r:id="rId33" w:history="1">
        <w:r w:rsidRPr="00BF6B41">
          <w:rPr>
            <w:rStyle w:val="Hyperlink"/>
            <w:rFonts w:ascii="Arial" w:hAnsi="Arial" w:cs="Arial"/>
          </w:rPr>
          <w:t>https://www.worldbank.org/en/publication/poverty-prosperity-and-planet</w:t>
        </w:r>
      </w:hyperlink>
      <w:r w:rsidRPr="004513C0">
        <w:rPr>
          <w:rFonts w:ascii="Arial" w:hAnsi="Arial" w:cs="Arial"/>
        </w:rPr>
        <w:t>.</w:t>
      </w:r>
      <w:r>
        <w:rPr>
          <w:rFonts w:ascii="Arial" w:hAnsi="Arial" w:cs="Arial"/>
        </w:rPr>
        <w:t xml:space="preserve"> (Accessed 25</w:t>
      </w:r>
      <w:r w:rsidR="0037392E">
        <w:rPr>
          <w:rFonts w:ascii="Arial" w:hAnsi="Arial" w:cs="Arial"/>
        </w:rPr>
        <w:t xml:space="preserve">: </w:t>
      </w:r>
      <w:r>
        <w:rPr>
          <w:rFonts w:ascii="Arial" w:hAnsi="Arial" w:cs="Arial"/>
        </w:rPr>
        <w:t>October 2025).</w:t>
      </w:r>
    </w:p>
    <w:p w14:paraId="009D20FB" w14:textId="64D0A762" w:rsidR="00A63E1E" w:rsidRDefault="00A63E1E" w:rsidP="0050307F">
      <w:pPr>
        <w:spacing w:line="360" w:lineRule="auto"/>
        <w:rPr>
          <w:rFonts w:ascii="Arial" w:hAnsi="Arial" w:cs="Arial"/>
        </w:rPr>
      </w:pPr>
      <w:r w:rsidRPr="00365EFC">
        <w:rPr>
          <w:rFonts w:ascii="Arial" w:hAnsi="Arial" w:cs="Arial"/>
        </w:rPr>
        <w:t>World Health Organi</w:t>
      </w:r>
      <w:r>
        <w:rPr>
          <w:rFonts w:ascii="Arial" w:hAnsi="Arial" w:cs="Arial"/>
        </w:rPr>
        <w:t>s</w:t>
      </w:r>
      <w:r w:rsidRPr="00365EFC">
        <w:rPr>
          <w:rFonts w:ascii="Arial" w:hAnsi="Arial" w:cs="Arial"/>
        </w:rPr>
        <w:t xml:space="preserve">ation (2023) </w:t>
      </w:r>
      <w:r w:rsidRPr="003B7629">
        <w:rPr>
          <w:rFonts w:ascii="Arial" w:hAnsi="Arial" w:cs="Arial"/>
          <w:i/>
          <w:iCs/>
        </w:rPr>
        <w:t>World health statistics 2023: monitoring health for the SDGs, sustainable development goals</w:t>
      </w:r>
      <w:r w:rsidRPr="00365EFC">
        <w:rPr>
          <w:rFonts w:ascii="Arial" w:hAnsi="Arial" w:cs="Arial"/>
        </w:rPr>
        <w:t>. WORLD HEALTH ORGANI</w:t>
      </w:r>
      <w:r>
        <w:rPr>
          <w:rFonts w:ascii="Arial" w:hAnsi="Arial" w:cs="Arial"/>
        </w:rPr>
        <w:t>S</w:t>
      </w:r>
      <w:r w:rsidRPr="00365EFC">
        <w:rPr>
          <w:rFonts w:ascii="Arial" w:hAnsi="Arial" w:cs="Arial"/>
        </w:rPr>
        <w:t xml:space="preserve">ATION. Available at: </w:t>
      </w:r>
      <w:hyperlink r:id="rId34" w:history="1">
        <w:r w:rsidRPr="00B33EEA">
          <w:rPr>
            <w:rStyle w:val="Hyperlink"/>
            <w:rFonts w:ascii="Arial" w:hAnsi="Arial" w:cs="Arial"/>
          </w:rPr>
          <w:t>https://www.who.int/publications/i/item/9789240074323</w:t>
        </w:r>
      </w:hyperlink>
      <w:r w:rsidRPr="00365EFC">
        <w:rPr>
          <w:rFonts w:ascii="Arial" w:hAnsi="Arial" w:cs="Arial"/>
        </w:rPr>
        <w:t>.</w:t>
      </w:r>
      <w:r>
        <w:rPr>
          <w:rFonts w:ascii="Arial" w:hAnsi="Arial" w:cs="Arial"/>
        </w:rPr>
        <w:t xml:space="preserve"> (Accessed</w:t>
      </w:r>
      <w:r w:rsidR="00037391">
        <w:rPr>
          <w:rFonts w:ascii="Arial" w:hAnsi="Arial" w:cs="Arial"/>
        </w:rPr>
        <w:t>:</w:t>
      </w:r>
      <w:r>
        <w:rPr>
          <w:rFonts w:ascii="Arial" w:hAnsi="Arial" w:cs="Arial"/>
        </w:rPr>
        <w:t xml:space="preserve"> 8 October 2025).</w:t>
      </w:r>
    </w:p>
    <w:sectPr w:rsidR="00A63E1E">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A23CE0" w14:textId="77777777" w:rsidR="007F182D" w:rsidRDefault="007F182D" w:rsidP="002204D7">
      <w:pPr>
        <w:spacing w:after="0" w:line="240" w:lineRule="auto"/>
      </w:pPr>
      <w:r>
        <w:separator/>
      </w:r>
    </w:p>
  </w:endnote>
  <w:endnote w:type="continuationSeparator" w:id="0">
    <w:p w14:paraId="0667D9DC" w14:textId="77777777" w:rsidR="007F182D" w:rsidRDefault="007F182D" w:rsidP="0022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96674D" w14:textId="77777777" w:rsidR="007F182D" w:rsidRDefault="007F182D" w:rsidP="002204D7">
      <w:pPr>
        <w:spacing w:after="0" w:line="240" w:lineRule="auto"/>
      </w:pPr>
      <w:r>
        <w:separator/>
      </w:r>
    </w:p>
  </w:footnote>
  <w:footnote w:type="continuationSeparator" w:id="0">
    <w:p w14:paraId="737A4323" w14:textId="77777777" w:rsidR="007F182D" w:rsidRDefault="007F182D" w:rsidP="0022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3762539"/>
      <w:docPartObj>
        <w:docPartGallery w:val="Page Numbers (Top of Page)"/>
        <w:docPartUnique/>
      </w:docPartObj>
    </w:sdtPr>
    <w:sdtEndPr/>
    <w:sdtContent>
      <w:p w14:paraId="207ED63A" w14:textId="728C4CEC" w:rsidR="001361C4" w:rsidRDefault="001361C4">
        <w:pPr>
          <w:pStyle w:val="Header"/>
          <w:jc w:val="right"/>
        </w:pPr>
        <w:r>
          <w:fldChar w:fldCharType="begin"/>
        </w:r>
        <w:r>
          <w:instrText>PAGE   \* MERGEFORMAT</w:instrText>
        </w:r>
        <w:r>
          <w:fldChar w:fldCharType="separate"/>
        </w:r>
        <w:r>
          <w:t>2</w:t>
        </w:r>
        <w:r>
          <w:fldChar w:fldCharType="end"/>
        </w:r>
      </w:p>
    </w:sdtContent>
  </w:sdt>
  <w:p w14:paraId="2D1C5CDC" w14:textId="77777777" w:rsidR="002204D7" w:rsidRDefault="002204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15CBF"/>
    <w:multiLevelType w:val="hybridMultilevel"/>
    <w:tmpl w:val="B5D07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705CD2"/>
    <w:multiLevelType w:val="hybridMultilevel"/>
    <w:tmpl w:val="6E287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1846E0"/>
    <w:multiLevelType w:val="hybridMultilevel"/>
    <w:tmpl w:val="62BA0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5314310">
    <w:abstractNumId w:val="2"/>
  </w:num>
  <w:num w:numId="2" w16cid:durableId="188303254">
    <w:abstractNumId w:val="0"/>
  </w:num>
  <w:num w:numId="3" w16cid:durableId="16178295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98F"/>
    <w:rsid w:val="00007DB0"/>
    <w:rsid w:val="000131CC"/>
    <w:rsid w:val="00037391"/>
    <w:rsid w:val="000379FB"/>
    <w:rsid w:val="000435CC"/>
    <w:rsid w:val="000519A9"/>
    <w:rsid w:val="0005399F"/>
    <w:rsid w:val="00056DEF"/>
    <w:rsid w:val="000610FB"/>
    <w:rsid w:val="00062647"/>
    <w:rsid w:val="00063424"/>
    <w:rsid w:val="00072AB6"/>
    <w:rsid w:val="00097C01"/>
    <w:rsid w:val="000A20FE"/>
    <w:rsid w:val="000A3891"/>
    <w:rsid w:val="000A654F"/>
    <w:rsid w:val="000C5E94"/>
    <w:rsid w:val="000D16FA"/>
    <w:rsid w:val="000D1DE0"/>
    <w:rsid w:val="000E03AD"/>
    <w:rsid w:val="000E07B4"/>
    <w:rsid w:val="000E1D20"/>
    <w:rsid w:val="000E4C35"/>
    <w:rsid w:val="000F1BA2"/>
    <w:rsid w:val="001065AD"/>
    <w:rsid w:val="00111F6B"/>
    <w:rsid w:val="001141D7"/>
    <w:rsid w:val="0012770F"/>
    <w:rsid w:val="00134F92"/>
    <w:rsid w:val="001361C4"/>
    <w:rsid w:val="00137189"/>
    <w:rsid w:val="00137D37"/>
    <w:rsid w:val="00151D18"/>
    <w:rsid w:val="00160088"/>
    <w:rsid w:val="0016665E"/>
    <w:rsid w:val="0017697F"/>
    <w:rsid w:val="00190BEE"/>
    <w:rsid w:val="0019635E"/>
    <w:rsid w:val="001A079E"/>
    <w:rsid w:val="001B0AC9"/>
    <w:rsid w:val="001C1C1A"/>
    <w:rsid w:val="001C3DCF"/>
    <w:rsid w:val="001E589A"/>
    <w:rsid w:val="001E641A"/>
    <w:rsid w:val="001F3263"/>
    <w:rsid w:val="00206482"/>
    <w:rsid w:val="002204D7"/>
    <w:rsid w:val="00227C7B"/>
    <w:rsid w:val="002327CB"/>
    <w:rsid w:val="002364FC"/>
    <w:rsid w:val="002451B7"/>
    <w:rsid w:val="00262F9F"/>
    <w:rsid w:val="00265FF2"/>
    <w:rsid w:val="002751CC"/>
    <w:rsid w:val="002843EF"/>
    <w:rsid w:val="00291AF1"/>
    <w:rsid w:val="0029394B"/>
    <w:rsid w:val="002A1F33"/>
    <w:rsid w:val="002A4141"/>
    <w:rsid w:val="002A5EFA"/>
    <w:rsid w:val="002B7E54"/>
    <w:rsid w:val="002C2443"/>
    <w:rsid w:val="002D2C41"/>
    <w:rsid w:val="002D5D04"/>
    <w:rsid w:val="002D6076"/>
    <w:rsid w:val="002D6F7A"/>
    <w:rsid w:val="002E6ABC"/>
    <w:rsid w:val="002F55BA"/>
    <w:rsid w:val="003051F8"/>
    <w:rsid w:val="00312A0E"/>
    <w:rsid w:val="00325F6E"/>
    <w:rsid w:val="00331B9F"/>
    <w:rsid w:val="00346E5A"/>
    <w:rsid w:val="00347FBA"/>
    <w:rsid w:val="00355DCE"/>
    <w:rsid w:val="00365EFC"/>
    <w:rsid w:val="00371BED"/>
    <w:rsid w:val="0037392E"/>
    <w:rsid w:val="003A6428"/>
    <w:rsid w:val="003B2427"/>
    <w:rsid w:val="003B3568"/>
    <w:rsid w:val="003B7629"/>
    <w:rsid w:val="003D75EA"/>
    <w:rsid w:val="003E0F5F"/>
    <w:rsid w:val="003F0BDC"/>
    <w:rsid w:val="003F37E7"/>
    <w:rsid w:val="0041460F"/>
    <w:rsid w:val="004152B4"/>
    <w:rsid w:val="004262D7"/>
    <w:rsid w:val="004269C9"/>
    <w:rsid w:val="00432280"/>
    <w:rsid w:val="00432DBB"/>
    <w:rsid w:val="004436D5"/>
    <w:rsid w:val="00444AF4"/>
    <w:rsid w:val="00445892"/>
    <w:rsid w:val="00450BEF"/>
    <w:rsid w:val="004513C0"/>
    <w:rsid w:val="004569E8"/>
    <w:rsid w:val="004622DD"/>
    <w:rsid w:val="0047220A"/>
    <w:rsid w:val="00472D06"/>
    <w:rsid w:val="00477641"/>
    <w:rsid w:val="00482EF7"/>
    <w:rsid w:val="00496595"/>
    <w:rsid w:val="0049682F"/>
    <w:rsid w:val="004B0A52"/>
    <w:rsid w:val="004B3A11"/>
    <w:rsid w:val="004B4DB0"/>
    <w:rsid w:val="004D2680"/>
    <w:rsid w:val="004D5431"/>
    <w:rsid w:val="004F2F38"/>
    <w:rsid w:val="004F5AC7"/>
    <w:rsid w:val="00502535"/>
    <w:rsid w:val="0050307F"/>
    <w:rsid w:val="00503509"/>
    <w:rsid w:val="005062D3"/>
    <w:rsid w:val="005140A0"/>
    <w:rsid w:val="00514FBB"/>
    <w:rsid w:val="00530D7A"/>
    <w:rsid w:val="00532C54"/>
    <w:rsid w:val="00547C2D"/>
    <w:rsid w:val="0056415F"/>
    <w:rsid w:val="00571531"/>
    <w:rsid w:val="005775D5"/>
    <w:rsid w:val="00577C2E"/>
    <w:rsid w:val="00582A5B"/>
    <w:rsid w:val="005B0538"/>
    <w:rsid w:val="005B0A32"/>
    <w:rsid w:val="005D0BBA"/>
    <w:rsid w:val="005D2885"/>
    <w:rsid w:val="005E0117"/>
    <w:rsid w:val="005F609B"/>
    <w:rsid w:val="00607177"/>
    <w:rsid w:val="00607B39"/>
    <w:rsid w:val="00610019"/>
    <w:rsid w:val="0061159A"/>
    <w:rsid w:val="00612072"/>
    <w:rsid w:val="00621049"/>
    <w:rsid w:val="00622C73"/>
    <w:rsid w:val="006252AC"/>
    <w:rsid w:val="00635C54"/>
    <w:rsid w:val="00655C1D"/>
    <w:rsid w:val="00695904"/>
    <w:rsid w:val="006A6623"/>
    <w:rsid w:val="006D3CF5"/>
    <w:rsid w:val="006D7CFF"/>
    <w:rsid w:val="006E325E"/>
    <w:rsid w:val="006E6933"/>
    <w:rsid w:val="006F2959"/>
    <w:rsid w:val="006F2F60"/>
    <w:rsid w:val="00703492"/>
    <w:rsid w:val="0070669E"/>
    <w:rsid w:val="007127D8"/>
    <w:rsid w:val="00726773"/>
    <w:rsid w:val="007315A3"/>
    <w:rsid w:val="0073437A"/>
    <w:rsid w:val="0074321C"/>
    <w:rsid w:val="00744E7A"/>
    <w:rsid w:val="00760B94"/>
    <w:rsid w:val="00776F47"/>
    <w:rsid w:val="00781545"/>
    <w:rsid w:val="007910D0"/>
    <w:rsid w:val="00796A62"/>
    <w:rsid w:val="0079788F"/>
    <w:rsid w:val="007C07CB"/>
    <w:rsid w:val="007C19F9"/>
    <w:rsid w:val="007D769E"/>
    <w:rsid w:val="007F182D"/>
    <w:rsid w:val="008002B6"/>
    <w:rsid w:val="0080767D"/>
    <w:rsid w:val="00811935"/>
    <w:rsid w:val="00821CAC"/>
    <w:rsid w:val="00852BF6"/>
    <w:rsid w:val="00855C0C"/>
    <w:rsid w:val="00856EC0"/>
    <w:rsid w:val="00861DF3"/>
    <w:rsid w:val="00874ADF"/>
    <w:rsid w:val="0089275E"/>
    <w:rsid w:val="008A5554"/>
    <w:rsid w:val="008B34D0"/>
    <w:rsid w:val="008D3A58"/>
    <w:rsid w:val="008D6544"/>
    <w:rsid w:val="00904B88"/>
    <w:rsid w:val="009229C7"/>
    <w:rsid w:val="009235E7"/>
    <w:rsid w:val="00937496"/>
    <w:rsid w:val="00940857"/>
    <w:rsid w:val="00947415"/>
    <w:rsid w:val="00952320"/>
    <w:rsid w:val="00954114"/>
    <w:rsid w:val="009725B2"/>
    <w:rsid w:val="00983D43"/>
    <w:rsid w:val="00990E46"/>
    <w:rsid w:val="00991003"/>
    <w:rsid w:val="009A5835"/>
    <w:rsid w:val="009B3127"/>
    <w:rsid w:val="009D05D8"/>
    <w:rsid w:val="009D605C"/>
    <w:rsid w:val="009F6A32"/>
    <w:rsid w:val="00A02B98"/>
    <w:rsid w:val="00A06860"/>
    <w:rsid w:val="00A10C86"/>
    <w:rsid w:val="00A110B3"/>
    <w:rsid w:val="00A11D8B"/>
    <w:rsid w:val="00A15856"/>
    <w:rsid w:val="00A15EBE"/>
    <w:rsid w:val="00A16321"/>
    <w:rsid w:val="00A232E4"/>
    <w:rsid w:val="00A3002E"/>
    <w:rsid w:val="00A3448A"/>
    <w:rsid w:val="00A37BC3"/>
    <w:rsid w:val="00A4247A"/>
    <w:rsid w:val="00A42E38"/>
    <w:rsid w:val="00A44DD0"/>
    <w:rsid w:val="00A63BE6"/>
    <w:rsid w:val="00A63E1E"/>
    <w:rsid w:val="00A67F71"/>
    <w:rsid w:val="00A7662B"/>
    <w:rsid w:val="00A80C91"/>
    <w:rsid w:val="00A8551F"/>
    <w:rsid w:val="00A94175"/>
    <w:rsid w:val="00AA05A7"/>
    <w:rsid w:val="00AB243D"/>
    <w:rsid w:val="00AC5207"/>
    <w:rsid w:val="00AD28CA"/>
    <w:rsid w:val="00AE3879"/>
    <w:rsid w:val="00AF5259"/>
    <w:rsid w:val="00B02AA6"/>
    <w:rsid w:val="00B067B5"/>
    <w:rsid w:val="00B06EE0"/>
    <w:rsid w:val="00B169A3"/>
    <w:rsid w:val="00B22908"/>
    <w:rsid w:val="00B316B5"/>
    <w:rsid w:val="00B43BB1"/>
    <w:rsid w:val="00B81F59"/>
    <w:rsid w:val="00BA04DE"/>
    <w:rsid w:val="00BB1A35"/>
    <w:rsid w:val="00BC0F87"/>
    <w:rsid w:val="00BD0778"/>
    <w:rsid w:val="00BD233C"/>
    <w:rsid w:val="00BE1AFA"/>
    <w:rsid w:val="00BF1A5A"/>
    <w:rsid w:val="00C00011"/>
    <w:rsid w:val="00C136E3"/>
    <w:rsid w:val="00C223EE"/>
    <w:rsid w:val="00C36A77"/>
    <w:rsid w:val="00C42802"/>
    <w:rsid w:val="00C4598E"/>
    <w:rsid w:val="00C47F22"/>
    <w:rsid w:val="00C50520"/>
    <w:rsid w:val="00C617ED"/>
    <w:rsid w:val="00C61E8E"/>
    <w:rsid w:val="00C63525"/>
    <w:rsid w:val="00C64F32"/>
    <w:rsid w:val="00C835CE"/>
    <w:rsid w:val="00CA4078"/>
    <w:rsid w:val="00CA4FE2"/>
    <w:rsid w:val="00CC1B30"/>
    <w:rsid w:val="00CC3E81"/>
    <w:rsid w:val="00CC470B"/>
    <w:rsid w:val="00CC76FA"/>
    <w:rsid w:val="00CE4B46"/>
    <w:rsid w:val="00CE66A6"/>
    <w:rsid w:val="00CF42C4"/>
    <w:rsid w:val="00D23D9C"/>
    <w:rsid w:val="00D25575"/>
    <w:rsid w:val="00D33622"/>
    <w:rsid w:val="00D36EEC"/>
    <w:rsid w:val="00D40EBE"/>
    <w:rsid w:val="00D45F88"/>
    <w:rsid w:val="00D54246"/>
    <w:rsid w:val="00D64BAF"/>
    <w:rsid w:val="00D70B1E"/>
    <w:rsid w:val="00D74530"/>
    <w:rsid w:val="00D8460C"/>
    <w:rsid w:val="00D90487"/>
    <w:rsid w:val="00D92901"/>
    <w:rsid w:val="00DA22B0"/>
    <w:rsid w:val="00DC3632"/>
    <w:rsid w:val="00DC3754"/>
    <w:rsid w:val="00DC46B9"/>
    <w:rsid w:val="00DC7760"/>
    <w:rsid w:val="00DD246D"/>
    <w:rsid w:val="00DD6176"/>
    <w:rsid w:val="00DE076F"/>
    <w:rsid w:val="00DF5B1E"/>
    <w:rsid w:val="00E04EB4"/>
    <w:rsid w:val="00E116D7"/>
    <w:rsid w:val="00E11D4D"/>
    <w:rsid w:val="00E1771B"/>
    <w:rsid w:val="00E65F92"/>
    <w:rsid w:val="00E97527"/>
    <w:rsid w:val="00EA475E"/>
    <w:rsid w:val="00EA7D0E"/>
    <w:rsid w:val="00EB19F1"/>
    <w:rsid w:val="00ED5299"/>
    <w:rsid w:val="00EE5532"/>
    <w:rsid w:val="00EF58C5"/>
    <w:rsid w:val="00F33056"/>
    <w:rsid w:val="00F43368"/>
    <w:rsid w:val="00F44A30"/>
    <w:rsid w:val="00F45616"/>
    <w:rsid w:val="00F472D3"/>
    <w:rsid w:val="00F55648"/>
    <w:rsid w:val="00F71E8E"/>
    <w:rsid w:val="00F751F1"/>
    <w:rsid w:val="00F7657B"/>
    <w:rsid w:val="00F77B1C"/>
    <w:rsid w:val="00F86EED"/>
    <w:rsid w:val="00F87692"/>
    <w:rsid w:val="00F90D63"/>
    <w:rsid w:val="00F92426"/>
    <w:rsid w:val="00FC2990"/>
    <w:rsid w:val="00FC403B"/>
    <w:rsid w:val="00FD47F4"/>
    <w:rsid w:val="00FE089F"/>
    <w:rsid w:val="00FF3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70B50F"/>
  <w15:chartTrackingRefBased/>
  <w15:docId w15:val="{DFB7D0E5-4786-4644-9F31-DDFED94ED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9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39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39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39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39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39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39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39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39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9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39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39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39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39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39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39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39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398F"/>
    <w:rPr>
      <w:rFonts w:eastAsiaTheme="majorEastAsia" w:cstheme="majorBidi"/>
      <w:color w:val="272727" w:themeColor="text1" w:themeTint="D8"/>
    </w:rPr>
  </w:style>
  <w:style w:type="paragraph" w:styleId="Title">
    <w:name w:val="Title"/>
    <w:basedOn w:val="Normal"/>
    <w:next w:val="Normal"/>
    <w:link w:val="TitleChar"/>
    <w:uiPriority w:val="10"/>
    <w:qFormat/>
    <w:rsid w:val="00FF39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39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39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39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398F"/>
    <w:pPr>
      <w:spacing w:before="160"/>
      <w:jc w:val="center"/>
    </w:pPr>
    <w:rPr>
      <w:i/>
      <w:iCs/>
      <w:color w:val="404040" w:themeColor="text1" w:themeTint="BF"/>
    </w:rPr>
  </w:style>
  <w:style w:type="character" w:customStyle="1" w:styleId="QuoteChar">
    <w:name w:val="Quote Char"/>
    <w:basedOn w:val="DefaultParagraphFont"/>
    <w:link w:val="Quote"/>
    <w:uiPriority w:val="29"/>
    <w:rsid w:val="00FF398F"/>
    <w:rPr>
      <w:i/>
      <w:iCs/>
      <w:color w:val="404040" w:themeColor="text1" w:themeTint="BF"/>
    </w:rPr>
  </w:style>
  <w:style w:type="paragraph" w:styleId="ListParagraph">
    <w:name w:val="List Paragraph"/>
    <w:basedOn w:val="Normal"/>
    <w:uiPriority w:val="34"/>
    <w:qFormat/>
    <w:rsid w:val="00FF398F"/>
    <w:pPr>
      <w:ind w:left="720"/>
      <w:contextualSpacing/>
    </w:pPr>
  </w:style>
  <w:style w:type="character" w:styleId="IntenseEmphasis">
    <w:name w:val="Intense Emphasis"/>
    <w:basedOn w:val="DefaultParagraphFont"/>
    <w:uiPriority w:val="21"/>
    <w:qFormat/>
    <w:rsid w:val="00FF398F"/>
    <w:rPr>
      <w:i/>
      <w:iCs/>
      <w:color w:val="0F4761" w:themeColor="accent1" w:themeShade="BF"/>
    </w:rPr>
  </w:style>
  <w:style w:type="paragraph" w:styleId="IntenseQuote">
    <w:name w:val="Intense Quote"/>
    <w:basedOn w:val="Normal"/>
    <w:next w:val="Normal"/>
    <w:link w:val="IntenseQuoteChar"/>
    <w:uiPriority w:val="30"/>
    <w:qFormat/>
    <w:rsid w:val="00FF39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398F"/>
    <w:rPr>
      <w:i/>
      <w:iCs/>
      <w:color w:val="0F4761" w:themeColor="accent1" w:themeShade="BF"/>
    </w:rPr>
  </w:style>
  <w:style w:type="character" w:styleId="IntenseReference">
    <w:name w:val="Intense Reference"/>
    <w:basedOn w:val="DefaultParagraphFont"/>
    <w:uiPriority w:val="32"/>
    <w:qFormat/>
    <w:rsid w:val="00FF398F"/>
    <w:rPr>
      <w:b/>
      <w:bCs/>
      <w:smallCaps/>
      <w:color w:val="0F4761" w:themeColor="accent1" w:themeShade="BF"/>
      <w:spacing w:val="5"/>
    </w:rPr>
  </w:style>
  <w:style w:type="character" w:styleId="Hyperlink">
    <w:name w:val="Hyperlink"/>
    <w:basedOn w:val="DefaultParagraphFont"/>
    <w:uiPriority w:val="99"/>
    <w:unhideWhenUsed/>
    <w:rsid w:val="00AC5207"/>
    <w:rPr>
      <w:color w:val="467886" w:themeColor="hyperlink"/>
      <w:u w:val="single"/>
    </w:rPr>
  </w:style>
  <w:style w:type="character" w:styleId="UnresolvedMention">
    <w:name w:val="Unresolved Mention"/>
    <w:basedOn w:val="DefaultParagraphFont"/>
    <w:uiPriority w:val="99"/>
    <w:semiHidden/>
    <w:unhideWhenUsed/>
    <w:rsid w:val="00AC5207"/>
    <w:rPr>
      <w:color w:val="605E5C"/>
      <w:shd w:val="clear" w:color="auto" w:fill="E1DFDD"/>
    </w:rPr>
  </w:style>
  <w:style w:type="paragraph" w:styleId="Header">
    <w:name w:val="header"/>
    <w:basedOn w:val="Normal"/>
    <w:link w:val="HeaderChar"/>
    <w:uiPriority w:val="99"/>
    <w:unhideWhenUsed/>
    <w:rsid w:val="0022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4D7"/>
  </w:style>
  <w:style w:type="paragraph" w:styleId="Footer">
    <w:name w:val="footer"/>
    <w:basedOn w:val="Normal"/>
    <w:link w:val="FooterChar"/>
    <w:uiPriority w:val="99"/>
    <w:unhideWhenUsed/>
    <w:rsid w:val="0022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4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searchbriefings.files.parliament.uk/documents/SN05585/SN05585.pdf" TargetMode="External"/><Relationship Id="rId18" Type="http://schemas.openxmlformats.org/officeDocument/2006/relationships/hyperlink" Target="https://www.nao.org.uk/reports/" TargetMode="External"/><Relationship Id="rId26" Type="http://schemas.openxmlformats.org/officeDocument/2006/relationships/hyperlink" Target="https://neu.org.uk/latest/press-releases/ifs-education-spending-england" TargetMode="External"/><Relationship Id="rId21" Type="http://schemas.openxmlformats.org/officeDocument/2006/relationships/hyperlink" Target="https://www.oecd.org/en/publications/fiscal-sustainability-of-health-systems_880f3195-en.html" TargetMode="External"/><Relationship Id="rId34" Type="http://schemas.openxmlformats.org/officeDocument/2006/relationships/hyperlink" Target="https://www.who.int/publications/i/item/9789240074323" TargetMode="External"/><Relationship Id="rId7" Type="http://schemas.openxmlformats.org/officeDocument/2006/relationships/image" Target="media/image1.png"/><Relationship Id="rId12" Type="http://schemas.openxmlformats.org/officeDocument/2006/relationships/hyperlink" Target="https://www.jrf.org.uk/uk-poverty-2024-the-essential-guide-to-understanding-poverty-in-the-uk" TargetMode="External"/><Relationship Id="rId17" Type="http://schemas.openxmlformats.org/officeDocument/2006/relationships/hyperlink" Target="https://www.health.org.uk/reports-and-analysis/reports/health-equity-in-england-the-marmot-review-10-years-on-0" TargetMode="External"/><Relationship Id="rId25" Type="http://schemas.openxmlformats.org/officeDocument/2006/relationships/hyperlink" Target="https://www.health.org.uk/reports-and-analysis/reports/our-strategy-for-2023-25" TargetMode="External"/><Relationship Id="rId33" Type="http://schemas.openxmlformats.org/officeDocument/2006/relationships/hyperlink" Target="https://www.worldbank.org/en/publication/poverty-prosperity-and-planet" TargetMode="External"/><Relationship Id="rId2" Type="http://schemas.openxmlformats.org/officeDocument/2006/relationships/styles" Target="styles.xml"/><Relationship Id="rId16" Type="http://schemas.openxmlformats.org/officeDocument/2006/relationships/hyperlink" Target="https://www.instituteofhealthequity.org/resources-reports/marmot-review-10-years-on" TargetMode="External"/><Relationship Id="rId20" Type="http://schemas.openxmlformats.org/officeDocument/2006/relationships/hyperlink" Target="https://www.england.nhs.uk/2019/01/long-term-plan/" TargetMode="External"/><Relationship Id="rId29" Type="http://schemas.openxmlformats.org/officeDocument/2006/relationships/hyperlink" Target="https://sdgs.un.org/publications/transforming-our-world-2030-agenda-sustainable-development-1798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rf.org.uk/uk-poverty-2024-the-essential-guide-to-understanding-poverty-in-the-uk" TargetMode="External"/><Relationship Id="rId24" Type="http://schemas.openxmlformats.org/officeDocument/2006/relationships/hyperlink" Target="https://www.researchgate.net/publication/27466009_Amartya_Sen" TargetMode="External"/><Relationship Id="rId32" Type="http://schemas.openxmlformats.org/officeDocument/2006/relationships/hyperlink" Target="https://www.who.int/data/gho/data/themes/sustainable-development-goals"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research-for-development-outputs/fair-society-healthy-lives-the-marmot-review-strategic-review-of-health-inequalities-in-england-post-2010" TargetMode="External"/><Relationship Id="rId23" Type="http://schemas.openxmlformats.org/officeDocument/2006/relationships/hyperlink" Target="https://www.ons.gov.uk/peoplepopulationandcommunity/healthandsocialcare/healthinequalities/bulletins/healthstatelifeexpect" TargetMode="External"/><Relationship Id="rId28" Type="http://schemas.openxmlformats.org/officeDocument/2006/relationships/hyperlink" Target="https://hdr.undp.org/content/human-development-report-2023-24" TargetMode="External"/><Relationship Id="rId36" Type="http://schemas.openxmlformats.org/officeDocument/2006/relationships/fontTable" Target="fontTable.xml"/><Relationship Id="rId10" Type="http://schemas.openxmlformats.org/officeDocument/2006/relationships/hyperlink" Target="https://www.greaterbirminghamchambers.com/resource/campaign-launches-to-bite-back-at-food-injustice.html" TargetMode="External"/><Relationship Id="rId19" Type="http://schemas.openxmlformats.org/officeDocument/2006/relationships/hyperlink" Target="https://www.healthystart.nhs.uk/" TargetMode="External"/><Relationship Id="rId31" Type="http://schemas.openxmlformats.org/officeDocument/2006/relationships/hyperlink" Target="https://iep.utm.edu/sen-cap/" TargetMode="External"/><Relationship Id="rId4" Type="http://schemas.openxmlformats.org/officeDocument/2006/relationships/webSettings" Target="webSettings.xml"/><Relationship Id="rId9" Type="http://schemas.openxmlformats.org/officeDocument/2006/relationships/hyperlink" Target="https://www.scribd.com/document/661300036/Bronfenbrenner-1994-Ecological-models-of-human-development-1" TargetMode="External"/><Relationship Id="rId14" Type="http://schemas.openxmlformats.org/officeDocument/2006/relationships/hyperlink" Target="https://www.instituteofhealthequity.org/resources-reports/fair-society-healthy-lives-the-marmot-review" TargetMode="External"/><Relationship Id="rId22" Type="http://schemas.openxmlformats.org/officeDocument/2006/relationships/hyperlink" Target="https://www.ons.gov.uk/peoplepopulationandcommunity/healthandsocialcare/healthandlifeexpectancies/bulletins/healthstatel" TargetMode="External"/><Relationship Id="rId27" Type="http://schemas.openxmlformats.org/officeDocument/2006/relationships/hyperlink" Target="https://www.trussell.org.uk/news-and-research/latest-stats/end-of-year-stats" TargetMode="External"/><Relationship Id="rId30" Type="http://schemas.openxmlformats.org/officeDocument/2006/relationships/hyperlink" Target="https://sdgs.un.org/goals/goal3" TargetMode="External"/><Relationship Id="rId35" Type="http://schemas.openxmlformats.org/officeDocument/2006/relationships/header" Target="header1.xml"/><Relationship Id="rId8" Type="http://schemas.openxmlformats.org/officeDocument/2006/relationships/hyperlink" Target="https://www.birmingham.gov.uk/info/50119/health_and_wellbeing_board/1300/health_and_wellbeing_strategy"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615</TotalTime>
  <Pages>12</Pages>
  <Words>2967</Words>
  <Characters>24066</Characters>
  <Application>Microsoft Office Word</Application>
  <DocSecurity>0</DocSecurity>
  <Lines>401</Lines>
  <Paragraphs>103</Paragraphs>
  <ScaleCrop>false</ScaleCrop>
  <Company/>
  <LinksUpToDate>false</LinksUpToDate>
  <CharactersWithSpaces>26930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Samrina Choudhry (2220771)</dc:creator>
  <cp:keywords/>
  <dc:description/>
  <cp:lastModifiedBy>Samrina Choudhry (2220771)</cp:lastModifiedBy>
  <cp:revision>307</cp:revision>
  <dcterms:created xsi:type="dcterms:W3CDTF">2025-10-08T20:57:00Z</dcterms:created>
  <dcterms:modified xsi:type="dcterms:W3CDTF">2025-11-12T12:11:00Z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f8e74846-7d51-44fd-9e6a-e582eb950acd</vt:lpwstr>
  </property>
</Properties>
</file>