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98550" w14:textId="58E8A783" w:rsidR="000826FB" w:rsidRPr="00656DC2" w:rsidRDefault="000826FB" w:rsidP="000826FB">
      <w:pPr>
        <w:ind w:firstLine="720"/>
        <w:jc w:val="center"/>
        <w:rPr>
          <w:rFonts w:cs="Times New Roman"/>
          <w:szCs w:val="24"/>
          <w:lang w:val="bg-BG"/>
        </w:rPr>
      </w:pPr>
    </w:p>
    <w:p w14:paraId="37A95AB9" w14:textId="770A35E8" w:rsidR="001E716A" w:rsidRPr="00656DC2" w:rsidRDefault="001E716A" w:rsidP="000826FB">
      <w:pPr>
        <w:ind w:firstLine="720"/>
        <w:jc w:val="center"/>
        <w:rPr>
          <w:rFonts w:cs="Times New Roman"/>
          <w:szCs w:val="24"/>
        </w:rPr>
      </w:pPr>
    </w:p>
    <w:p w14:paraId="3A7CB963" w14:textId="4F72FA78" w:rsidR="000E5C87" w:rsidRPr="00EF0107" w:rsidRDefault="000E5C87" w:rsidP="00EF0107">
      <w:pPr>
        <w:ind w:left="1080"/>
        <w:jc w:val="center"/>
        <w:rPr>
          <w:rFonts w:cs="Times New Roman"/>
          <w:b/>
          <w:bCs/>
          <w:sz w:val="32"/>
          <w:szCs w:val="32"/>
          <w:lang w:val="bg-BG"/>
        </w:rPr>
      </w:pPr>
      <w:r w:rsidRPr="00EF0107">
        <w:rPr>
          <w:rFonts w:cs="Times New Roman"/>
          <w:b/>
          <w:bCs/>
          <w:sz w:val="32"/>
          <w:szCs w:val="32"/>
          <w:lang w:val="bg-BG"/>
        </w:rPr>
        <w:t xml:space="preserve">University of Wales Trinity Saint David </w:t>
      </w:r>
    </w:p>
    <w:p w14:paraId="08FFA244" w14:textId="170C5CD0" w:rsidR="00D76D2F" w:rsidRDefault="00D76D2F" w:rsidP="00EF0107">
      <w:pPr>
        <w:ind w:left="1080"/>
        <w:jc w:val="center"/>
        <w:rPr>
          <w:rFonts w:cs="Times New Roman"/>
          <w:b/>
          <w:bCs/>
          <w:sz w:val="32"/>
          <w:szCs w:val="32"/>
          <w:lang w:val="bg-BG"/>
        </w:rPr>
      </w:pPr>
      <w:r w:rsidRPr="00EF0107">
        <w:rPr>
          <w:rFonts w:cs="Times New Roman"/>
          <w:b/>
          <w:bCs/>
          <w:sz w:val="32"/>
          <w:szCs w:val="32"/>
          <w:lang w:val="bg-BG"/>
        </w:rPr>
        <w:t xml:space="preserve">Module Code: LCBB6002 </w:t>
      </w:r>
    </w:p>
    <w:p w14:paraId="50515D65" w14:textId="4C6B6AF7" w:rsidR="00DE4254" w:rsidRPr="00EF0107" w:rsidRDefault="00DE4254" w:rsidP="00EF0107">
      <w:pPr>
        <w:ind w:left="1080"/>
        <w:jc w:val="center"/>
        <w:rPr>
          <w:rFonts w:cs="Times New Roman"/>
          <w:b/>
          <w:bCs/>
          <w:sz w:val="32"/>
          <w:szCs w:val="32"/>
          <w:lang w:val="bg-BG"/>
        </w:rPr>
      </w:pPr>
      <w:r>
        <w:rPr>
          <w:rFonts w:cs="Times New Roman"/>
          <w:b/>
          <w:bCs/>
          <w:sz w:val="32"/>
          <w:szCs w:val="32"/>
          <w:lang w:val="bg-BG"/>
        </w:rPr>
        <w:t xml:space="preserve">Programme: BA </w:t>
      </w:r>
      <w:r w:rsidR="009709C4">
        <w:rPr>
          <w:rFonts w:cs="Times New Roman"/>
          <w:b/>
          <w:bCs/>
          <w:sz w:val="32"/>
          <w:szCs w:val="32"/>
          <w:lang w:val="bg-BG"/>
        </w:rPr>
        <w:t xml:space="preserve">Business Management </w:t>
      </w:r>
    </w:p>
    <w:p w14:paraId="52A5EB23" w14:textId="2EF6DC6C" w:rsidR="000826FB" w:rsidRPr="00EF0107" w:rsidRDefault="000826FB" w:rsidP="00EF0107">
      <w:pPr>
        <w:ind w:left="1080"/>
        <w:jc w:val="center"/>
        <w:rPr>
          <w:rFonts w:cs="Times New Roman"/>
          <w:b/>
          <w:bCs/>
          <w:sz w:val="32"/>
          <w:szCs w:val="32"/>
          <w:lang w:val="bg-BG"/>
        </w:rPr>
      </w:pPr>
      <w:r w:rsidRPr="00EF0107">
        <w:rPr>
          <w:rFonts w:cs="Times New Roman"/>
          <w:b/>
          <w:bCs/>
          <w:sz w:val="32"/>
          <w:szCs w:val="32"/>
        </w:rPr>
        <w:t>Name of the student</w:t>
      </w:r>
      <w:r w:rsidR="00EC4C50" w:rsidRPr="00EF0107">
        <w:rPr>
          <w:rFonts w:cs="Times New Roman"/>
          <w:b/>
          <w:bCs/>
          <w:sz w:val="32"/>
          <w:szCs w:val="32"/>
          <w:lang w:val="bg-BG"/>
        </w:rPr>
        <w:t xml:space="preserve">: </w:t>
      </w:r>
      <w:r w:rsidR="00287E10" w:rsidRPr="00EF0107">
        <w:rPr>
          <w:rFonts w:cs="Times New Roman"/>
          <w:b/>
          <w:bCs/>
          <w:sz w:val="32"/>
          <w:szCs w:val="32"/>
          <w:lang w:val="bg-BG"/>
        </w:rPr>
        <w:t xml:space="preserve">Borislava Zlatanova </w:t>
      </w:r>
    </w:p>
    <w:p w14:paraId="6590130F" w14:textId="5F3D4F4D" w:rsidR="00287E10" w:rsidRPr="00EF0107" w:rsidRDefault="00287E10" w:rsidP="00EF0107">
      <w:pPr>
        <w:ind w:left="1080"/>
        <w:jc w:val="center"/>
        <w:rPr>
          <w:rFonts w:cs="Times New Roman"/>
          <w:b/>
          <w:bCs/>
          <w:sz w:val="32"/>
          <w:szCs w:val="32"/>
        </w:rPr>
      </w:pPr>
      <w:r w:rsidRPr="00EF0107">
        <w:rPr>
          <w:rFonts w:cs="Times New Roman"/>
          <w:b/>
          <w:bCs/>
          <w:sz w:val="32"/>
          <w:szCs w:val="32"/>
          <w:lang w:val="bg-BG"/>
        </w:rPr>
        <w:t xml:space="preserve">Student Numer: </w:t>
      </w:r>
      <w:r w:rsidR="006F6717" w:rsidRPr="00EF0107">
        <w:rPr>
          <w:rFonts w:cs="Times New Roman"/>
          <w:b/>
          <w:bCs/>
          <w:sz w:val="32"/>
          <w:szCs w:val="32"/>
          <w:lang w:val="bg-BG"/>
        </w:rPr>
        <w:t>2013043</w:t>
      </w:r>
    </w:p>
    <w:p w14:paraId="42882528" w14:textId="2DB7E32A" w:rsidR="00427714" w:rsidRPr="00EF0107" w:rsidRDefault="00427714" w:rsidP="00EF0107">
      <w:pPr>
        <w:ind w:left="2520"/>
        <w:rPr>
          <w:rFonts w:cs="Times New Roman"/>
          <w:b/>
          <w:bCs/>
          <w:sz w:val="32"/>
          <w:szCs w:val="32"/>
        </w:rPr>
      </w:pPr>
      <w:r w:rsidRPr="00EF0107">
        <w:rPr>
          <w:rFonts w:cs="Times New Roman"/>
          <w:b/>
          <w:bCs/>
          <w:sz w:val="32"/>
          <w:szCs w:val="32"/>
          <w:lang w:val="bg-BG"/>
        </w:rPr>
        <w:t xml:space="preserve">Lecturer: </w:t>
      </w:r>
      <w:r w:rsidR="00AC2702" w:rsidRPr="00EF0107">
        <w:rPr>
          <w:rFonts w:cs="Times New Roman"/>
          <w:b/>
          <w:bCs/>
          <w:sz w:val="32"/>
          <w:szCs w:val="32"/>
          <w:lang w:val="bg-BG"/>
        </w:rPr>
        <w:t>Taye</w:t>
      </w:r>
      <w:r w:rsidR="0052409D" w:rsidRPr="00EF0107">
        <w:rPr>
          <w:rFonts w:cs="Times New Roman"/>
          <w:b/>
          <w:bCs/>
          <w:sz w:val="32"/>
          <w:szCs w:val="32"/>
          <w:lang w:val="bg-BG"/>
        </w:rPr>
        <w:t xml:space="preserve"> </w:t>
      </w:r>
      <w:r w:rsidR="004E0742" w:rsidRPr="00EF0107">
        <w:rPr>
          <w:rFonts w:cs="Times New Roman"/>
          <w:b/>
          <w:bCs/>
          <w:sz w:val="32"/>
          <w:szCs w:val="32"/>
          <w:lang w:val="bg-BG"/>
        </w:rPr>
        <w:t>Osadiya</w:t>
      </w:r>
    </w:p>
    <w:p w14:paraId="71A856A1" w14:textId="77777777" w:rsidR="00C51C7A" w:rsidRPr="00656DC2" w:rsidRDefault="00C51C7A" w:rsidP="00E203DD">
      <w:pPr>
        <w:rPr>
          <w:rFonts w:cs="Times New Roman"/>
          <w:szCs w:val="24"/>
        </w:rPr>
      </w:pPr>
    </w:p>
    <w:p w14:paraId="282E1407" w14:textId="77777777" w:rsidR="00C51C7A" w:rsidRPr="00656DC2" w:rsidRDefault="00C51C7A" w:rsidP="00E203DD">
      <w:pPr>
        <w:rPr>
          <w:rFonts w:cs="Times New Roman"/>
          <w:szCs w:val="24"/>
        </w:rPr>
      </w:pPr>
    </w:p>
    <w:p w14:paraId="2669178C" w14:textId="3E118799" w:rsidR="00E46397" w:rsidRPr="00656DC2" w:rsidRDefault="00E46397" w:rsidP="00E203DD"/>
    <w:p w14:paraId="418BDC63" w14:textId="2D9299B5" w:rsidR="00F0688A" w:rsidRPr="00656DC2" w:rsidRDefault="00F0688A" w:rsidP="00E203DD"/>
    <w:p w14:paraId="63A1B44C" w14:textId="32D331C8" w:rsidR="002159CC" w:rsidRPr="00656DC2" w:rsidRDefault="002159CC" w:rsidP="00B72F8F">
      <w:pPr>
        <w:pStyle w:val="Heading1"/>
      </w:pPr>
    </w:p>
    <w:p w14:paraId="6B299E38" w14:textId="36A7BF02" w:rsidR="00B72F8F" w:rsidRPr="00656DC2" w:rsidRDefault="00B72F8F" w:rsidP="00B72F8F"/>
    <w:p w14:paraId="5C578285" w14:textId="24371D82" w:rsidR="00B72F8F" w:rsidRPr="00656DC2" w:rsidRDefault="00B72F8F" w:rsidP="00B72F8F"/>
    <w:p w14:paraId="7173BAFF" w14:textId="7FD9C05E" w:rsidR="00B72F8F" w:rsidRPr="00656DC2" w:rsidRDefault="00B72F8F" w:rsidP="00B72F8F"/>
    <w:p w14:paraId="5FB5E08A" w14:textId="5F73FADA" w:rsidR="00B72F8F" w:rsidRPr="00656DC2" w:rsidRDefault="00B72F8F" w:rsidP="00B72F8F"/>
    <w:p w14:paraId="7F6B6C89" w14:textId="572FC0D3" w:rsidR="00B72F8F" w:rsidRPr="00656DC2" w:rsidRDefault="00B72F8F" w:rsidP="00B72F8F"/>
    <w:p w14:paraId="5E053EA2" w14:textId="0A40C0D8" w:rsidR="00B72F8F" w:rsidRPr="00656DC2" w:rsidRDefault="00B72F8F" w:rsidP="00B72F8F"/>
    <w:p w14:paraId="7132D8D6" w14:textId="364105F9" w:rsidR="00B72F8F" w:rsidRPr="00656DC2" w:rsidRDefault="00B72F8F" w:rsidP="00B72F8F"/>
    <w:p w14:paraId="778EE2A4" w14:textId="77777777" w:rsidR="008A6D3E" w:rsidRPr="00656DC2" w:rsidRDefault="008A6D3E" w:rsidP="00B72F8F"/>
    <w:p w14:paraId="56435A0B" w14:textId="3CF726D6" w:rsidR="00A9321B" w:rsidRDefault="00A9321B" w:rsidP="00A9321B"/>
    <w:p w14:paraId="7099B1B6" w14:textId="5404962D" w:rsidR="00621F7A" w:rsidRDefault="00621F7A" w:rsidP="00A9321B"/>
    <w:p w14:paraId="4F0226F8" w14:textId="77777777" w:rsidR="00621F7A" w:rsidRDefault="00621F7A" w:rsidP="00A9321B"/>
    <w:sdt>
      <w:sdtPr>
        <w:rPr>
          <w:rFonts w:ascii="Times New Roman" w:eastAsiaTheme="minorHAnsi" w:hAnsi="Times New Roman" w:cstheme="minorBidi"/>
          <w:color w:val="000000" w:themeColor="text1"/>
          <w:sz w:val="24"/>
          <w:szCs w:val="22"/>
          <w:lang w:val="en-GB"/>
        </w:rPr>
        <w:id w:val="1859692439"/>
        <w:docPartObj>
          <w:docPartGallery w:val="Table of Contents"/>
          <w:docPartUnique/>
        </w:docPartObj>
      </w:sdtPr>
      <w:sdtEndPr>
        <w:rPr>
          <w:b/>
          <w:bCs/>
          <w:noProof/>
        </w:rPr>
      </w:sdtEndPr>
      <w:sdtContent>
        <w:p w14:paraId="5DF92E89" w14:textId="17B35BB3" w:rsidR="00621F7A" w:rsidRPr="00621F7A" w:rsidRDefault="00621F7A" w:rsidP="00621F7A">
          <w:pPr>
            <w:pStyle w:val="TOCHeading"/>
            <w:jc w:val="center"/>
            <w:rPr>
              <w:rFonts w:ascii="Times New Roman" w:hAnsi="Times New Roman" w:cs="Times New Roman"/>
              <w:b/>
              <w:bCs/>
              <w:color w:val="000000" w:themeColor="text1"/>
              <w:sz w:val="24"/>
              <w:szCs w:val="24"/>
            </w:rPr>
          </w:pPr>
          <w:r w:rsidRPr="00621F7A">
            <w:rPr>
              <w:rFonts w:ascii="Times New Roman" w:hAnsi="Times New Roman" w:cs="Times New Roman"/>
              <w:b/>
              <w:bCs/>
              <w:color w:val="000000" w:themeColor="text1"/>
              <w:sz w:val="24"/>
              <w:szCs w:val="24"/>
            </w:rPr>
            <w:t>Table of Contents</w:t>
          </w:r>
        </w:p>
        <w:p w14:paraId="4871F83A" w14:textId="135840FC" w:rsidR="00621F7A" w:rsidRDefault="00621F7A">
          <w:pPr>
            <w:pStyle w:val="TOC1"/>
            <w:tabs>
              <w:tab w:val="right" w:leader="dot" w:pos="9016"/>
            </w:tabs>
            <w:rPr>
              <w:rFonts w:asciiTheme="minorHAnsi" w:eastAsiaTheme="minorEastAsia" w:hAnsiTheme="minorHAnsi"/>
              <w:noProof/>
              <w:color w:val="auto"/>
              <w:sz w:val="22"/>
              <w:lang w:eastAsia="en-GB"/>
            </w:rPr>
          </w:pPr>
          <w:r>
            <w:fldChar w:fldCharType="begin"/>
          </w:r>
          <w:r>
            <w:instrText xml:space="preserve"> TOC \o "1-3" \h \z \u </w:instrText>
          </w:r>
          <w:r>
            <w:fldChar w:fldCharType="separate"/>
          </w:r>
          <w:hyperlink w:anchor="_Toc122363553" w:history="1">
            <w:r w:rsidRPr="00245830">
              <w:rPr>
                <w:rStyle w:val="Hyperlink"/>
                <w:noProof/>
              </w:rPr>
              <w:t>Introduction:</w:t>
            </w:r>
            <w:r>
              <w:rPr>
                <w:noProof/>
                <w:webHidden/>
              </w:rPr>
              <w:tab/>
            </w:r>
            <w:r>
              <w:rPr>
                <w:noProof/>
                <w:webHidden/>
              </w:rPr>
              <w:fldChar w:fldCharType="begin"/>
            </w:r>
            <w:r>
              <w:rPr>
                <w:noProof/>
                <w:webHidden/>
              </w:rPr>
              <w:instrText xml:space="preserve"> PAGEREF _Toc122363553 \h </w:instrText>
            </w:r>
            <w:r>
              <w:rPr>
                <w:noProof/>
                <w:webHidden/>
              </w:rPr>
            </w:r>
            <w:r>
              <w:rPr>
                <w:noProof/>
                <w:webHidden/>
              </w:rPr>
              <w:fldChar w:fldCharType="separate"/>
            </w:r>
            <w:r>
              <w:rPr>
                <w:noProof/>
                <w:webHidden/>
              </w:rPr>
              <w:t>1</w:t>
            </w:r>
            <w:r>
              <w:rPr>
                <w:noProof/>
                <w:webHidden/>
              </w:rPr>
              <w:fldChar w:fldCharType="end"/>
            </w:r>
          </w:hyperlink>
        </w:p>
        <w:p w14:paraId="574C986B" w14:textId="370FAFB4" w:rsidR="00621F7A" w:rsidRDefault="0064659E">
          <w:pPr>
            <w:pStyle w:val="TOC1"/>
            <w:tabs>
              <w:tab w:val="right" w:leader="dot" w:pos="9016"/>
            </w:tabs>
            <w:rPr>
              <w:rFonts w:asciiTheme="minorHAnsi" w:eastAsiaTheme="minorEastAsia" w:hAnsiTheme="minorHAnsi"/>
              <w:noProof/>
              <w:color w:val="auto"/>
              <w:sz w:val="22"/>
              <w:lang w:eastAsia="en-GB"/>
            </w:rPr>
          </w:pPr>
          <w:hyperlink w:anchor="_Toc122363554" w:history="1">
            <w:r w:rsidR="00621F7A" w:rsidRPr="00245830">
              <w:rPr>
                <w:rStyle w:val="Hyperlink"/>
                <w:noProof/>
              </w:rPr>
              <w:t>Critical evaluation of dividend distribution policy of chosen multinational corporation (MNC):</w:t>
            </w:r>
            <w:r w:rsidR="00621F7A">
              <w:rPr>
                <w:noProof/>
                <w:webHidden/>
              </w:rPr>
              <w:tab/>
            </w:r>
            <w:r w:rsidR="00621F7A">
              <w:rPr>
                <w:noProof/>
                <w:webHidden/>
              </w:rPr>
              <w:fldChar w:fldCharType="begin"/>
            </w:r>
            <w:r w:rsidR="00621F7A">
              <w:rPr>
                <w:noProof/>
                <w:webHidden/>
              </w:rPr>
              <w:instrText xml:space="preserve"> PAGEREF _Toc122363554 \h </w:instrText>
            </w:r>
            <w:r w:rsidR="00621F7A">
              <w:rPr>
                <w:noProof/>
                <w:webHidden/>
              </w:rPr>
            </w:r>
            <w:r w:rsidR="00621F7A">
              <w:rPr>
                <w:noProof/>
                <w:webHidden/>
              </w:rPr>
              <w:fldChar w:fldCharType="separate"/>
            </w:r>
            <w:r w:rsidR="00621F7A">
              <w:rPr>
                <w:noProof/>
                <w:webHidden/>
              </w:rPr>
              <w:t>1</w:t>
            </w:r>
            <w:r w:rsidR="00621F7A">
              <w:rPr>
                <w:noProof/>
                <w:webHidden/>
              </w:rPr>
              <w:fldChar w:fldCharType="end"/>
            </w:r>
          </w:hyperlink>
        </w:p>
        <w:p w14:paraId="3080286C" w14:textId="627AB8D6" w:rsidR="00621F7A" w:rsidRDefault="0064659E">
          <w:pPr>
            <w:pStyle w:val="TOC1"/>
            <w:tabs>
              <w:tab w:val="right" w:leader="dot" w:pos="9016"/>
            </w:tabs>
            <w:rPr>
              <w:rFonts w:asciiTheme="minorHAnsi" w:eastAsiaTheme="minorEastAsia" w:hAnsiTheme="minorHAnsi"/>
              <w:noProof/>
              <w:color w:val="auto"/>
              <w:sz w:val="22"/>
              <w:lang w:eastAsia="en-GB"/>
            </w:rPr>
          </w:pPr>
          <w:hyperlink w:anchor="_Toc122363555" w:history="1">
            <w:r w:rsidR="00621F7A" w:rsidRPr="00245830">
              <w:rPr>
                <w:rStyle w:val="Hyperlink"/>
                <w:noProof/>
              </w:rPr>
              <w:t>Critical analysis of efficient market hypothesis theory in the context of operations of chosen multinational corporation (MNC):</w:t>
            </w:r>
            <w:r w:rsidR="00621F7A">
              <w:rPr>
                <w:noProof/>
                <w:webHidden/>
              </w:rPr>
              <w:tab/>
            </w:r>
            <w:r w:rsidR="00621F7A">
              <w:rPr>
                <w:noProof/>
                <w:webHidden/>
              </w:rPr>
              <w:fldChar w:fldCharType="begin"/>
            </w:r>
            <w:r w:rsidR="00621F7A">
              <w:rPr>
                <w:noProof/>
                <w:webHidden/>
              </w:rPr>
              <w:instrText xml:space="preserve"> PAGEREF _Toc122363555 \h </w:instrText>
            </w:r>
            <w:r w:rsidR="00621F7A">
              <w:rPr>
                <w:noProof/>
                <w:webHidden/>
              </w:rPr>
            </w:r>
            <w:r w:rsidR="00621F7A">
              <w:rPr>
                <w:noProof/>
                <w:webHidden/>
              </w:rPr>
              <w:fldChar w:fldCharType="separate"/>
            </w:r>
            <w:r w:rsidR="00621F7A">
              <w:rPr>
                <w:noProof/>
                <w:webHidden/>
              </w:rPr>
              <w:t>2</w:t>
            </w:r>
            <w:r w:rsidR="00621F7A">
              <w:rPr>
                <w:noProof/>
                <w:webHidden/>
              </w:rPr>
              <w:fldChar w:fldCharType="end"/>
            </w:r>
          </w:hyperlink>
        </w:p>
        <w:p w14:paraId="3F9B921F" w14:textId="044A02FE" w:rsidR="00621F7A" w:rsidRDefault="0064659E">
          <w:pPr>
            <w:pStyle w:val="TOC1"/>
            <w:tabs>
              <w:tab w:val="right" w:leader="dot" w:pos="9016"/>
            </w:tabs>
            <w:rPr>
              <w:rFonts w:asciiTheme="minorHAnsi" w:eastAsiaTheme="minorEastAsia" w:hAnsiTheme="minorHAnsi"/>
              <w:noProof/>
              <w:color w:val="auto"/>
              <w:sz w:val="22"/>
              <w:lang w:eastAsia="en-GB"/>
            </w:rPr>
          </w:pPr>
          <w:hyperlink w:anchor="_Toc122363556" w:history="1">
            <w:r w:rsidR="00621F7A" w:rsidRPr="00245830">
              <w:rPr>
                <w:rStyle w:val="Hyperlink"/>
                <w:noProof/>
              </w:rPr>
              <w:t>Critical analysis of methods of appraising projects of multinational corporation (MNC):</w:t>
            </w:r>
            <w:r w:rsidR="00621F7A">
              <w:rPr>
                <w:noProof/>
                <w:webHidden/>
              </w:rPr>
              <w:tab/>
            </w:r>
            <w:r w:rsidR="00621F7A">
              <w:rPr>
                <w:noProof/>
                <w:webHidden/>
              </w:rPr>
              <w:fldChar w:fldCharType="begin"/>
            </w:r>
            <w:r w:rsidR="00621F7A">
              <w:rPr>
                <w:noProof/>
                <w:webHidden/>
              </w:rPr>
              <w:instrText xml:space="preserve"> PAGEREF _Toc122363556 \h </w:instrText>
            </w:r>
            <w:r w:rsidR="00621F7A">
              <w:rPr>
                <w:noProof/>
                <w:webHidden/>
              </w:rPr>
            </w:r>
            <w:r w:rsidR="00621F7A">
              <w:rPr>
                <w:noProof/>
                <w:webHidden/>
              </w:rPr>
              <w:fldChar w:fldCharType="separate"/>
            </w:r>
            <w:r w:rsidR="00621F7A">
              <w:rPr>
                <w:noProof/>
                <w:webHidden/>
              </w:rPr>
              <w:t>4</w:t>
            </w:r>
            <w:r w:rsidR="00621F7A">
              <w:rPr>
                <w:noProof/>
                <w:webHidden/>
              </w:rPr>
              <w:fldChar w:fldCharType="end"/>
            </w:r>
          </w:hyperlink>
        </w:p>
        <w:p w14:paraId="4E4195C3" w14:textId="4D444520" w:rsidR="00621F7A" w:rsidRDefault="0064659E">
          <w:pPr>
            <w:pStyle w:val="TOC1"/>
            <w:tabs>
              <w:tab w:val="right" w:leader="dot" w:pos="9016"/>
            </w:tabs>
            <w:rPr>
              <w:rFonts w:asciiTheme="minorHAnsi" w:eastAsiaTheme="minorEastAsia" w:hAnsiTheme="minorHAnsi"/>
              <w:noProof/>
              <w:color w:val="auto"/>
              <w:sz w:val="22"/>
              <w:lang w:eastAsia="en-GB"/>
            </w:rPr>
          </w:pPr>
          <w:hyperlink w:anchor="_Toc122363557" w:history="1">
            <w:r w:rsidR="00621F7A" w:rsidRPr="00245830">
              <w:rPr>
                <w:rStyle w:val="Hyperlink"/>
                <w:noProof/>
              </w:rPr>
              <w:t>Conclusion:</w:t>
            </w:r>
            <w:r w:rsidR="00621F7A">
              <w:rPr>
                <w:noProof/>
                <w:webHidden/>
              </w:rPr>
              <w:tab/>
            </w:r>
            <w:r w:rsidR="00621F7A">
              <w:rPr>
                <w:noProof/>
                <w:webHidden/>
              </w:rPr>
              <w:fldChar w:fldCharType="begin"/>
            </w:r>
            <w:r w:rsidR="00621F7A">
              <w:rPr>
                <w:noProof/>
                <w:webHidden/>
              </w:rPr>
              <w:instrText xml:space="preserve"> PAGEREF _Toc122363557 \h </w:instrText>
            </w:r>
            <w:r w:rsidR="00621F7A">
              <w:rPr>
                <w:noProof/>
                <w:webHidden/>
              </w:rPr>
            </w:r>
            <w:r w:rsidR="00621F7A">
              <w:rPr>
                <w:noProof/>
                <w:webHidden/>
              </w:rPr>
              <w:fldChar w:fldCharType="separate"/>
            </w:r>
            <w:r w:rsidR="00621F7A">
              <w:rPr>
                <w:noProof/>
                <w:webHidden/>
              </w:rPr>
              <w:t>5</w:t>
            </w:r>
            <w:r w:rsidR="00621F7A">
              <w:rPr>
                <w:noProof/>
                <w:webHidden/>
              </w:rPr>
              <w:fldChar w:fldCharType="end"/>
            </w:r>
          </w:hyperlink>
        </w:p>
        <w:p w14:paraId="451B4643" w14:textId="433EBCC3" w:rsidR="00621F7A" w:rsidRDefault="0064659E">
          <w:pPr>
            <w:pStyle w:val="TOC1"/>
            <w:tabs>
              <w:tab w:val="right" w:leader="dot" w:pos="9016"/>
            </w:tabs>
            <w:rPr>
              <w:rFonts w:asciiTheme="minorHAnsi" w:eastAsiaTheme="minorEastAsia" w:hAnsiTheme="minorHAnsi"/>
              <w:noProof/>
              <w:color w:val="auto"/>
              <w:sz w:val="22"/>
              <w:lang w:eastAsia="en-GB"/>
            </w:rPr>
          </w:pPr>
          <w:hyperlink w:anchor="_Toc122363558" w:history="1">
            <w:r w:rsidR="00621F7A" w:rsidRPr="00245830">
              <w:rPr>
                <w:rStyle w:val="Hyperlink"/>
                <w:noProof/>
              </w:rPr>
              <w:t>References list:</w:t>
            </w:r>
            <w:r w:rsidR="00621F7A">
              <w:rPr>
                <w:noProof/>
                <w:webHidden/>
              </w:rPr>
              <w:tab/>
            </w:r>
            <w:r w:rsidR="00621F7A">
              <w:rPr>
                <w:noProof/>
                <w:webHidden/>
              </w:rPr>
              <w:fldChar w:fldCharType="begin"/>
            </w:r>
            <w:r w:rsidR="00621F7A">
              <w:rPr>
                <w:noProof/>
                <w:webHidden/>
              </w:rPr>
              <w:instrText xml:space="preserve"> PAGEREF _Toc122363558 \h </w:instrText>
            </w:r>
            <w:r w:rsidR="00621F7A">
              <w:rPr>
                <w:noProof/>
                <w:webHidden/>
              </w:rPr>
            </w:r>
            <w:r w:rsidR="00621F7A">
              <w:rPr>
                <w:noProof/>
                <w:webHidden/>
              </w:rPr>
              <w:fldChar w:fldCharType="separate"/>
            </w:r>
            <w:r w:rsidR="00621F7A">
              <w:rPr>
                <w:noProof/>
                <w:webHidden/>
              </w:rPr>
              <w:t>6</w:t>
            </w:r>
            <w:r w:rsidR="00621F7A">
              <w:rPr>
                <w:noProof/>
                <w:webHidden/>
              </w:rPr>
              <w:fldChar w:fldCharType="end"/>
            </w:r>
          </w:hyperlink>
        </w:p>
        <w:p w14:paraId="3B7B14E9" w14:textId="58DC54F0" w:rsidR="00621F7A" w:rsidRDefault="00621F7A">
          <w:r>
            <w:rPr>
              <w:b/>
              <w:bCs/>
              <w:noProof/>
            </w:rPr>
            <w:fldChar w:fldCharType="end"/>
          </w:r>
        </w:p>
      </w:sdtContent>
    </w:sdt>
    <w:p w14:paraId="60D3D56A" w14:textId="209DE425" w:rsidR="00621F7A" w:rsidRDefault="00621F7A" w:rsidP="00A9321B"/>
    <w:p w14:paraId="64461011" w14:textId="6EE357F4" w:rsidR="00621F7A" w:rsidRDefault="00621F7A" w:rsidP="00A9321B"/>
    <w:p w14:paraId="22B22E8B" w14:textId="5DF28802" w:rsidR="00621F7A" w:rsidRDefault="00621F7A" w:rsidP="00A9321B"/>
    <w:p w14:paraId="3C589B87" w14:textId="3B5E7F83" w:rsidR="00621F7A" w:rsidRDefault="00621F7A" w:rsidP="00A9321B"/>
    <w:p w14:paraId="334E94EA" w14:textId="5C4A79FF" w:rsidR="00621F7A" w:rsidRDefault="00621F7A" w:rsidP="00A9321B"/>
    <w:p w14:paraId="303710A4" w14:textId="6A805531" w:rsidR="00621F7A" w:rsidRDefault="00621F7A" w:rsidP="00A9321B"/>
    <w:p w14:paraId="5851375A" w14:textId="43903C29" w:rsidR="00621F7A" w:rsidRDefault="00621F7A" w:rsidP="00A9321B"/>
    <w:p w14:paraId="0F60BD66" w14:textId="5F584D2E" w:rsidR="00621F7A" w:rsidRDefault="00621F7A" w:rsidP="00A9321B"/>
    <w:p w14:paraId="13BD1CA6" w14:textId="77777777" w:rsidR="00621F7A" w:rsidRPr="00656DC2" w:rsidRDefault="00621F7A" w:rsidP="00A9321B"/>
    <w:p w14:paraId="1D9B2B51" w14:textId="1D0FE62D" w:rsidR="00810E1E" w:rsidRPr="00656DC2" w:rsidRDefault="00276B06" w:rsidP="000D43A7">
      <w:pPr>
        <w:pStyle w:val="Heading1"/>
      </w:pPr>
      <w:bookmarkStart w:id="0" w:name="_Toc122363553"/>
      <w:r w:rsidRPr="00656DC2">
        <w:t>Introduction:</w:t>
      </w:r>
      <w:bookmarkEnd w:id="0"/>
    </w:p>
    <w:p w14:paraId="05FE1508" w14:textId="40F8F5A1" w:rsidR="00082131" w:rsidRPr="00656DC2" w:rsidRDefault="00696184" w:rsidP="00082131">
      <w:r>
        <w:tab/>
      </w:r>
      <w:r w:rsidR="00635ED5" w:rsidRPr="00656DC2">
        <w:t xml:space="preserve">The paper is developed to perform a critical analysis and evaluation of the international financial management importance to the corporation. In assessing the relevance of international financial management, dividend distribution policy of the multinational corporation </w:t>
      </w:r>
      <w:r w:rsidR="00E94374" w:rsidRPr="00656DC2">
        <w:t xml:space="preserve">is </w:t>
      </w:r>
      <w:r w:rsidR="00635ED5" w:rsidRPr="00656DC2">
        <w:t xml:space="preserve">evaluated. </w:t>
      </w:r>
      <w:r w:rsidR="00E94374" w:rsidRPr="00656DC2">
        <w:t xml:space="preserve">For the purpose of analysis and evaluation, the chosen multinational corporation is GlaxoSmithKline (GSK). </w:t>
      </w:r>
      <w:r w:rsidR="0009635C" w:rsidRPr="00656DC2">
        <w:t>GSK is a multinational biotechnology and pharmaceutical company headquartered in London, that is involved in making speciality medicines and innovative vaccines to prevent and treat disease</w:t>
      </w:r>
      <w:r>
        <w:t xml:space="preserve"> (</w:t>
      </w:r>
      <w:r w:rsidRPr="00696184">
        <w:rPr>
          <w:rFonts w:cs="Times New Roman"/>
          <w:szCs w:val="24"/>
        </w:rPr>
        <w:t>Gsk.com 2021</w:t>
      </w:r>
      <w:r>
        <w:rPr>
          <w:rFonts w:cs="Times New Roman"/>
          <w:szCs w:val="24"/>
        </w:rPr>
        <w:t>)</w:t>
      </w:r>
      <w:r w:rsidR="0009635C" w:rsidRPr="00656DC2">
        <w:t xml:space="preserve">. </w:t>
      </w:r>
      <w:r w:rsidR="00E94374" w:rsidRPr="00656DC2">
        <w:t xml:space="preserve">In addition to this, the method of appraising the projects by the multinational corporation such as GSK is also evaluated critically. The later section of paper also depicts the analysis of theory of efficient market hypothesis (EMH) in context of the operations of GSK. </w:t>
      </w:r>
    </w:p>
    <w:p w14:paraId="7759D2CB" w14:textId="3DB6315D" w:rsidR="000D43A7" w:rsidRPr="00656DC2" w:rsidRDefault="000D43A7" w:rsidP="000D43A7">
      <w:pPr>
        <w:pStyle w:val="Heading1"/>
      </w:pPr>
      <w:bookmarkStart w:id="1" w:name="_Toc122363554"/>
      <w:r w:rsidRPr="00656DC2">
        <w:t>Critical evaluation of dividend distribution policy of chosen multinational corporation (MNC):</w:t>
      </w:r>
      <w:bookmarkEnd w:id="1"/>
    </w:p>
    <w:p w14:paraId="1190961A" w14:textId="29F4012C" w:rsidR="005E3E1A" w:rsidRPr="00656DC2" w:rsidRDefault="00696184" w:rsidP="005E3E1A">
      <w:r>
        <w:tab/>
      </w:r>
      <w:r w:rsidR="00343AB0" w:rsidRPr="00656DC2">
        <w:t>It is indicated from the investor update of GSK as on 23</w:t>
      </w:r>
      <w:r w:rsidR="00343AB0" w:rsidRPr="00656DC2">
        <w:rPr>
          <w:vertAlign w:val="superscript"/>
        </w:rPr>
        <w:t>rd</w:t>
      </w:r>
      <w:r w:rsidR="00343AB0" w:rsidRPr="00656DC2">
        <w:t xml:space="preserve"> June 2021</w:t>
      </w:r>
      <w:r w:rsidR="005D6E08" w:rsidRPr="00656DC2">
        <w:t xml:space="preserve"> that the company would implement </w:t>
      </w:r>
      <w:r w:rsidR="00931630" w:rsidRPr="00656DC2">
        <w:t>progressive dividend policy</w:t>
      </w:r>
      <w:r w:rsidR="00086BBB" w:rsidRPr="00656DC2">
        <w:t xml:space="preserve"> from 2022</w:t>
      </w:r>
      <w:r w:rsidR="00931630" w:rsidRPr="00656DC2">
        <w:t xml:space="preserve">. </w:t>
      </w:r>
      <w:r w:rsidR="00086BBB" w:rsidRPr="00656DC2">
        <w:t xml:space="preserve">In any particular financial year, the decision about the distribution of dividend </w:t>
      </w:r>
      <w:r w:rsidR="00BA0AB2" w:rsidRPr="00656DC2">
        <w:t xml:space="preserve">account certain parameters. These parameters include financial performance of the company of the current year in relation to operating cash flow and operating profits after tax. </w:t>
      </w:r>
      <w:r w:rsidR="00667BE0" w:rsidRPr="00656DC2">
        <w:t xml:space="preserve">Dividend distribution also takes into account the capital expenditure, need for working capital and the financial outlooks of the company. </w:t>
      </w:r>
      <w:r w:rsidR="00665EAE" w:rsidRPr="00656DC2">
        <w:t>Other parameters accounted for in the policy of dividend distribution includes dividend ratios of its peers, historical trend of dividends that the company has paid, strategic outlook to fund new business acquisition or new business activity, review of market conditions and external factors the company operates within and unforeseen events or financial requirements for potential contingencies</w:t>
      </w:r>
      <w:r>
        <w:t xml:space="preserve"> (</w:t>
      </w:r>
      <w:r>
        <w:rPr>
          <w:rFonts w:cs="Times New Roman"/>
          <w:szCs w:val="24"/>
        </w:rPr>
        <w:t>G</w:t>
      </w:r>
      <w:r w:rsidRPr="00696184">
        <w:rPr>
          <w:rFonts w:cs="Times New Roman"/>
          <w:szCs w:val="24"/>
        </w:rPr>
        <w:t>sk.com</w:t>
      </w:r>
      <w:r>
        <w:rPr>
          <w:rFonts w:cs="Times New Roman"/>
          <w:szCs w:val="24"/>
        </w:rPr>
        <w:t xml:space="preserve"> 2022)</w:t>
      </w:r>
      <w:r w:rsidR="00665EAE" w:rsidRPr="00656DC2">
        <w:t xml:space="preserve">. </w:t>
      </w:r>
      <w:r w:rsidR="003A5726" w:rsidRPr="00656DC2">
        <w:t xml:space="preserve">Further, based on the distributable </w:t>
      </w:r>
      <w:r w:rsidR="00656DC2" w:rsidRPr="00656DC2">
        <w:t>reserve’s</w:t>
      </w:r>
      <w:r w:rsidR="003A5726" w:rsidRPr="00656DC2">
        <w:t xml:space="preserve"> availability, declaration of dividend is made by the company out of previous </w:t>
      </w:r>
      <w:r w:rsidR="00656DC2" w:rsidRPr="00656DC2">
        <w:t>year’s</w:t>
      </w:r>
      <w:r w:rsidR="003A5726" w:rsidRPr="00656DC2">
        <w:t xml:space="preserve"> profit</w:t>
      </w:r>
      <w:r w:rsidR="000D4A5C">
        <w:t>, after having factored all the above parameters</w:t>
      </w:r>
      <w:r w:rsidR="003A5726" w:rsidRPr="00656DC2">
        <w:t xml:space="preserve">. </w:t>
      </w:r>
      <w:r w:rsidR="000D4A5C">
        <w:t xml:space="preserve">In addition to this, an interim dividend might be declared by the company apart from the final dividend. </w:t>
      </w:r>
      <w:r w:rsidR="00420FE6">
        <w:t xml:space="preserve">The right to amend the policy of dividend distribution rests with the board </w:t>
      </w:r>
      <w:r w:rsidR="00C91DF5">
        <w:t xml:space="preserve">in part or in whole at any point </w:t>
      </w:r>
      <w:r w:rsidR="0072530F">
        <w:t>were</w:t>
      </w:r>
      <w:r w:rsidR="00C91DF5">
        <w:t xml:space="preserve"> deemed necessary. </w:t>
      </w:r>
      <w:r w:rsidR="0072530F">
        <w:t>In June 2021, it was announced by the board that it is expected to deliver adjusted operating profit and sales growth for more than 10% and 5% respectively</w:t>
      </w:r>
      <w:r>
        <w:t xml:space="preserve"> (</w:t>
      </w:r>
      <w:r>
        <w:rPr>
          <w:rFonts w:cs="Times New Roman"/>
          <w:szCs w:val="24"/>
        </w:rPr>
        <w:t>G</w:t>
      </w:r>
      <w:r w:rsidRPr="00696184">
        <w:rPr>
          <w:rFonts w:cs="Times New Roman"/>
          <w:szCs w:val="24"/>
        </w:rPr>
        <w:t>sk.com</w:t>
      </w:r>
      <w:r>
        <w:rPr>
          <w:rFonts w:cs="Times New Roman"/>
          <w:szCs w:val="24"/>
        </w:rPr>
        <w:t xml:space="preserve"> 2022)</w:t>
      </w:r>
      <w:r w:rsidR="0072530F">
        <w:t xml:space="preserve">. </w:t>
      </w:r>
      <w:r w:rsidR="00583730">
        <w:t xml:space="preserve">These figures </w:t>
      </w:r>
      <w:r w:rsidR="009C5D4B">
        <w:t>are</w:t>
      </w:r>
      <w:r w:rsidR="00583730">
        <w:t xml:space="preserve"> considered to be of paramount importance when deciding upon the dividend distribution. </w:t>
      </w:r>
    </w:p>
    <w:p w14:paraId="32FEEC3A" w14:textId="19845D03" w:rsidR="000D43A7" w:rsidRDefault="000D43A7" w:rsidP="000D43A7">
      <w:pPr>
        <w:pStyle w:val="Heading1"/>
      </w:pPr>
      <w:bookmarkStart w:id="2" w:name="_Toc122363555"/>
      <w:r w:rsidRPr="00656DC2">
        <w:t>Critical analysis of efficient market hypothesis theory in the context of operations of chosen multinational corporation (MNC):</w:t>
      </w:r>
      <w:bookmarkEnd w:id="2"/>
    </w:p>
    <w:p w14:paraId="05F0FC75" w14:textId="10DDCD1A" w:rsidR="00950771" w:rsidRDefault="00696184" w:rsidP="00950771">
      <w:r>
        <w:tab/>
      </w:r>
      <w:r w:rsidR="0054108D">
        <w:t xml:space="preserve">It is argued by the theory of efficient market hypothesis </w:t>
      </w:r>
      <w:r w:rsidR="00E93DAC">
        <w:t xml:space="preserve">that all the relevant information pertaining to stock price is available freely and shared with all the market participants. That is, </w:t>
      </w:r>
      <w:r w:rsidR="0048615A">
        <w:t xml:space="preserve">trading of </w:t>
      </w:r>
      <w:r w:rsidR="00E93DAC">
        <w:t xml:space="preserve">stock </w:t>
      </w:r>
      <w:r w:rsidR="0048615A">
        <w:t xml:space="preserve">as per the theory is always done at the fair value. </w:t>
      </w:r>
      <w:r w:rsidR="004470BE">
        <w:t xml:space="preserve">In such scenario, it implies that </w:t>
      </w:r>
      <w:r w:rsidR="001E1FD0">
        <w:t xml:space="preserve">there do not exist any opportunities for outperformance by way of market timing strategy and market analysis. </w:t>
      </w:r>
      <w:r w:rsidR="00647C07">
        <w:t xml:space="preserve">Without considering the value of stocks, investment decision cannot be efficient. An essential determinants of future price performance </w:t>
      </w:r>
      <w:r w:rsidR="00606DBD">
        <w:t>is the growth prospect of company and current price of stock that rightly reflects the business intrinsic value</w:t>
      </w:r>
      <w:r>
        <w:t xml:space="preserve"> (</w:t>
      </w:r>
      <w:r w:rsidRPr="00696184">
        <w:rPr>
          <w:rFonts w:cs="Times New Roman"/>
          <w:szCs w:val="24"/>
        </w:rPr>
        <w:t>Baldridge 2022</w:t>
      </w:r>
      <w:r>
        <w:rPr>
          <w:rFonts w:cs="Times New Roman"/>
          <w:szCs w:val="24"/>
        </w:rPr>
        <w:t>)</w:t>
      </w:r>
      <w:r w:rsidR="00606DBD">
        <w:t xml:space="preserve">. </w:t>
      </w:r>
    </w:p>
    <w:p w14:paraId="591C743E" w14:textId="2812294D" w:rsidR="00511535" w:rsidRDefault="00696184" w:rsidP="00950771">
      <w:r>
        <w:tab/>
      </w:r>
      <w:r w:rsidR="00511535">
        <w:t xml:space="preserve">When choosing the stock, an important consideration is stock valuation, and the decision to buy or sell the stock depends upon the financial metrics of the company and also based on the recent news. Analysis of how the stock is graded is done prior to the purchase or sell decision of the stocks. When an investor </w:t>
      </w:r>
      <w:r w:rsidR="00845C3A">
        <w:t>decides</w:t>
      </w:r>
      <w:r w:rsidR="00511535">
        <w:t xml:space="preserve"> to sell or purchase the stocks of GSK, it is required by them to evaluate stocks based on knowledge and access of huge amount of data</w:t>
      </w:r>
      <w:r w:rsidR="00845C3A">
        <w:t>, reading income statements, making sense of financial ratios and analysing recent stock movement</w:t>
      </w:r>
      <w:r>
        <w:t xml:space="preserve"> (</w:t>
      </w:r>
      <w:r w:rsidRPr="00696184">
        <w:rPr>
          <w:rFonts w:cs="Times New Roman"/>
          <w:szCs w:val="24"/>
        </w:rPr>
        <w:t>Gsk.com 2021</w:t>
      </w:r>
      <w:r>
        <w:rPr>
          <w:rFonts w:cs="Times New Roman"/>
          <w:szCs w:val="24"/>
        </w:rPr>
        <w:t>)</w:t>
      </w:r>
      <w:r w:rsidR="00845C3A">
        <w:t xml:space="preserve">. In order to determine whether investors should buy or sell the stocks of GSK, intrinsic value or fair market price of stock should be evaluated. </w:t>
      </w:r>
      <w:r w:rsidR="009F5A9C">
        <w:t xml:space="preserve">Any particular innovative announcement by the company can be witnessed in the stock price movement of GSK, which shows that returns generated on stock can be either positively or negatively impacted by any particular announcement. </w:t>
      </w:r>
      <w:r w:rsidR="00483124">
        <w:t>Investors also measures fluctuation in the stock volatility based on previous trends and such past trend is commonly used to predict future behaviour of GSK</w:t>
      </w:r>
      <w:r>
        <w:t xml:space="preserve"> (</w:t>
      </w:r>
      <w:proofErr w:type="spellStart"/>
      <w:r w:rsidRPr="00696184">
        <w:rPr>
          <w:rFonts w:cs="Times New Roman"/>
          <w:color w:val="222222"/>
          <w:szCs w:val="24"/>
          <w:shd w:val="clear" w:color="auto" w:fill="FFFFFF"/>
        </w:rPr>
        <w:t>Doley</w:t>
      </w:r>
      <w:proofErr w:type="spellEnd"/>
      <w:r w:rsidRPr="00696184">
        <w:rPr>
          <w:rFonts w:cs="Times New Roman"/>
          <w:color w:val="222222"/>
          <w:szCs w:val="24"/>
          <w:shd w:val="clear" w:color="auto" w:fill="FFFFFF"/>
        </w:rPr>
        <w:t xml:space="preserve"> 2022</w:t>
      </w:r>
      <w:r>
        <w:rPr>
          <w:rFonts w:cs="Times New Roman"/>
          <w:color w:val="222222"/>
          <w:szCs w:val="24"/>
          <w:shd w:val="clear" w:color="auto" w:fill="FFFFFF"/>
        </w:rPr>
        <w:t>)</w:t>
      </w:r>
      <w:r w:rsidR="00483124">
        <w:t xml:space="preserve">. However, future direct of stock price of GSK cannot be conclusively determined using past trend. </w:t>
      </w:r>
    </w:p>
    <w:p w14:paraId="61C75A2B" w14:textId="5BC7340E" w:rsidR="00D86C55" w:rsidRDefault="00696184" w:rsidP="00950771">
      <w:r>
        <w:tab/>
      </w:r>
      <w:r w:rsidR="008E454C">
        <w:t>It can be understood the stock price of GSK might shows a predictable pattern of data, and it suggest that formulation of technical rule of trading might results investors in making large profits.</w:t>
      </w:r>
      <w:r w:rsidR="00281F94">
        <w:t xml:space="preserve"> </w:t>
      </w:r>
      <w:r w:rsidR="00542A56">
        <w:t>Hence, any particular announcement might impact the company’s stock price negatively and positively.</w:t>
      </w:r>
      <w:r w:rsidR="00281F94">
        <w:t xml:space="preserve"> However, the information pertaining to the announcement is not immediately absorbed by the stock price of the company</w:t>
      </w:r>
      <w:r w:rsidR="00D86C55">
        <w:t>, and thereby leaves room for the investors to earn abnormal profits</w:t>
      </w:r>
      <w:r>
        <w:t xml:space="preserve"> (</w:t>
      </w:r>
      <w:r>
        <w:rPr>
          <w:rFonts w:cs="Times New Roman"/>
          <w:szCs w:val="24"/>
        </w:rPr>
        <w:t>R</w:t>
      </w:r>
      <w:r w:rsidRPr="00696184">
        <w:rPr>
          <w:rFonts w:cs="Times New Roman"/>
          <w:szCs w:val="24"/>
        </w:rPr>
        <w:t>esearch.tdameritrade.com</w:t>
      </w:r>
      <w:r>
        <w:rPr>
          <w:rFonts w:cs="Times New Roman"/>
          <w:szCs w:val="24"/>
        </w:rPr>
        <w:t xml:space="preserve"> 2022)</w:t>
      </w:r>
      <w:r w:rsidR="00D86C55">
        <w:t xml:space="preserve">. </w:t>
      </w:r>
    </w:p>
    <w:p w14:paraId="46FA1E6F" w14:textId="0424E910" w:rsidR="008E454C" w:rsidRDefault="00696184" w:rsidP="00950771">
      <w:r>
        <w:tab/>
      </w:r>
      <w:r w:rsidR="00D86C55">
        <w:t>It is evident that the stock price volatility of GSK provides investors to benefit from the movement in the stock price. For the investors who play the long game, for the investors, a perfect environment is the dow</w:t>
      </w:r>
      <w:r w:rsidR="005441EB">
        <w:t>nw</w:t>
      </w:r>
      <w:r w:rsidR="00D86C55">
        <w:t xml:space="preserve">ard volatility. </w:t>
      </w:r>
      <w:r w:rsidR="005441EB">
        <w:t xml:space="preserve">Investors in such situation might </w:t>
      </w:r>
      <w:r w:rsidR="002E6F0B">
        <w:t xml:space="preserve">decide to purchase additional </w:t>
      </w:r>
      <w:r w:rsidR="000F04A5">
        <w:t>stocks at lower price</w:t>
      </w:r>
      <w:r>
        <w:t xml:space="preserve"> (</w:t>
      </w:r>
      <w:r w:rsidRPr="00696184">
        <w:rPr>
          <w:rFonts w:cs="Times New Roman"/>
          <w:szCs w:val="24"/>
        </w:rPr>
        <w:t>Gsk.com 2021</w:t>
      </w:r>
      <w:r>
        <w:rPr>
          <w:rFonts w:cs="Times New Roman"/>
          <w:szCs w:val="24"/>
        </w:rPr>
        <w:t>)</w:t>
      </w:r>
      <w:r w:rsidR="000F04A5">
        <w:t xml:space="preserve">. </w:t>
      </w:r>
      <w:r w:rsidR="007101A0">
        <w:t xml:space="preserve">For instance, stocks of GSK can be purchased </w:t>
      </w:r>
      <w:r w:rsidR="00A523B4">
        <w:t xml:space="preserve">where the price is halved in a short period of time. </w:t>
      </w:r>
      <w:r w:rsidR="007B0368">
        <w:t xml:space="preserve">On other hand, when the stock price of GSK increases, </w:t>
      </w:r>
      <w:r w:rsidR="00FC6892">
        <w:t xml:space="preserve">stocks can be sold out and the proceeds can be invested in other equities with better opportunities. When the volatility indicators are used properly, stock risks of GSK can be measured by the traders against the volatility of market during both bearish and bullish trends. </w:t>
      </w:r>
      <w:r w:rsidR="00483124">
        <w:t>Further, stock price of GSK is directly impacted due to higher level of volatility associated with bear markets, and at the same time, it adds stress to investors with plummeting of share value</w:t>
      </w:r>
      <w:r>
        <w:t xml:space="preserve"> (</w:t>
      </w:r>
      <w:r>
        <w:rPr>
          <w:rFonts w:cs="Times New Roman"/>
          <w:szCs w:val="24"/>
        </w:rPr>
        <w:t>W</w:t>
      </w:r>
      <w:r w:rsidRPr="00696184">
        <w:rPr>
          <w:rFonts w:cs="Times New Roman"/>
          <w:szCs w:val="24"/>
        </w:rPr>
        <w:t>alletinvestor.com</w:t>
      </w:r>
      <w:r>
        <w:rPr>
          <w:rFonts w:cs="Times New Roman"/>
          <w:szCs w:val="24"/>
        </w:rPr>
        <w:t xml:space="preserve"> 2022)</w:t>
      </w:r>
      <w:r w:rsidR="00483124">
        <w:t>. Thereby, forcing investors to rebalance their portfolios when the price falls by purchasing different stocks. Evaluation of stock volatility and stock price movement of GSK suggests that such movement exhibits semi strong form of EMH.</w:t>
      </w:r>
    </w:p>
    <w:p w14:paraId="75EC421B" w14:textId="77777777" w:rsidR="00281F94" w:rsidRPr="00950771" w:rsidRDefault="00281F94" w:rsidP="00950771"/>
    <w:p w14:paraId="260FD0D5" w14:textId="56297ADA" w:rsidR="000D43A7" w:rsidRDefault="000D43A7" w:rsidP="000D43A7">
      <w:pPr>
        <w:pStyle w:val="Heading1"/>
      </w:pPr>
      <w:bookmarkStart w:id="3" w:name="_Toc122363556"/>
      <w:r w:rsidRPr="00656DC2">
        <w:t>Critical analysis of methods of appraising projects of multinational corporation (MNC):</w:t>
      </w:r>
      <w:bookmarkEnd w:id="3"/>
    </w:p>
    <w:p w14:paraId="7DBF356D" w14:textId="402F8D2D" w:rsidR="00BC0EAC" w:rsidRPr="003F2298" w:rsidRDefault="009C5D4B" w:rsidP="00696184">
      <w:pPr>
        <w:ind w:firstLine="720"/>
      </w:pPr>
      <w:r>
        <w:t xml:space="preserve">For the allocation of capital, GSK has a strong framework, and it also includes a board to govern the capital allocation between the businesses. Investment across the group as a whole is prioritized by utilizing a methodology of consistent cash return on the invested capital. </w:t>
      </w:r>
      <w:r w:rsidR="00BC0EAC">
        <w:t xml:space="preserve">Return on invested capital can be defined as the performance measure or profitability of the return earned by the capital provider, namely the stockholder or bondholder of the firm. </w:t>
      </w:r>
      <w:r w:rsidR="009441FD">
        <w:t xml:space="preserve">The use of ROIC helps the company in gaining three insights such as the use of </w:t>
      </w:r>
      <w:r w:rsidR="00D12845">
        <w:t>after-tax</w:t>
      </w:r>
      <w:r w:rsidR="009441FD">
        <w:t xml:space="preserve"> net operating income because it considers earnings to both the bondholders and stockholders. </w:t>
      </w:r>
      <w:r w:rsidR="00D12845">
        <w:t xml:space="preserve">Secondly, instead of using the market value, </w:t>
      </w:r>
      <w:r w:rsidR="005A3516">
        <w:t>book value of equity and debt</w:t>
      </w:r>
      <w:r w:rsidR="00696184">
        <w:t xml:space="preserve"> (</w:t>
      </w:r>
      <w:r w:rsidR="00696184" w:rsidRPr="00696184">
        <w:rPr>
          <w:rFonts w:cs="Times New Roman"/>
          <w:szCs w:val="24"/>
        </w:rPr>
        <w:t>Gsk.com 2021</w:t>
      </w:r>
      <w:r w:rsidR="00696184">
        <w:rPr>
          <w:rFonts w:cs="Times New Roman"/>
          <w:szCs w:val="24"/>
        </w:rPr>
        <w:t>)</w:t>
      </w:r>
      <w:r w:rsidR="005A3516">
        <w:t xml:space="preserve">. The reason for not using market value is because expectations for future is incorporated in the book value, and expectations to more accurately indicate current profitability is indicated by market value. </w:t>
      </w:r>
      <w:r w:rsidR="008D6145">
        <w:t xml:space="preserve">In addition to this, timing difference is also accounted for in the methodology, because the </w:t>
      </w:r>
      <w:r w:rsidR="002C1175">
        <w:t>capital is</w:t>
      </w:r>
      <w:r w:rsidR="008D6145">
        <w:t xml:space="preserve"> required to be invested before earnings is generated by the invested capital</w:t>
      </w:r>
      <w:r w:rsidR="00696184">
        <w:t xml:space="preserve"> (</w:t>
      </w:r>
      <w:r w:rsidR="00696184" w:rsidRPr="00696184">
        <w:rPr>
          <w:rFonts w:cs="Times New Roman"/>
          <w:szCs w:val="24"/>
        </w:rPr>
        <w:t>Gsk.com 2021</w:t>
      </w:r>
      <w:r w:rsidR="00696184">
        <w:rPr>
          <w:rFonts w:cs="Times New Roman"/>
          <w:szCs w:val="24"/>
        </w:rPr>
        <w:t>)</w:t>
      </w:r>
      <w:r w:rsidR="008D6145">
        <w:t xml:space="preserve">. </w:t>
      </w:r>
    </w:p>
    <w:p w14:paraId="51753986" w14:textId="170DB47A" w:rsidR="002C1175" w:rsidRDefault="00696184" w:rsidP="003F2298">
      <w:r>
        <w:tab/>
      </w:r>
      <w:r w:rsidR="009C5D4B">
        <w:t xml:space="preserve">Such method helps in effectively comparing the returns generated from each business with the allocation of capital between them. Wherever relevant, the company also accounts the impact of the method of capital appraisal on the </w:t>
      </w:r>
      <w:r w:rsidR="00AF6302">
        <w:t xml:space="preserve">credit profile and </w:t>
      </w:r>
      <w:r w:rsidR="009C5D4B">
        <w:t xml:space="preserve">earnings per share. </w:t>
      </w:r>
      <w:r w:rsidR="002C1175">
        <w:t xml:space="preserve">The discount rate used by the company in evaluating the investment appraisal </w:t>
      </w:r>
      <w:r w:rsidR="005E0048">
        <w:t xml:space="preserve">is internally decided, by allowing determination of the extent to which the cost of capital is covered by the investments. </w:t>
      </w:r>
      <w:r w:rsidR="00524AE2">
        <w:t>For assessing the individual investment, adjustment of the discount rate is done by taking into account particular business, country and risk of project</w:t>
      </w:r>
      <w:r>
        <w:t xml:space="preserve"> (</w:t>
      </w:r>
      <w:r w:rsidRPr="00696184">
        <w:rPr>
          <w:rFonts w:cs="Times New Roman"/>
          <w:szCs w:val="24"/>
        </w:rPr>
        <w:t>Gsk.com 2021</w:t>
      </w:r>
      <w:r>
        <w:rPr>
          <w:rFonts w:cs="Times New Roman"/>
          <w:szCs w:val="24"/>
        </w:rPr>
        <w:t>)</w:t>
      </w:r>
      <w:r w:rsidR="00524AE2">
        <w:t xml:space="preserve">. </w:t>
      </w:r>
    </w:p>
    <w:p w14:paraId="718F7AEC" w14:textId="03D15F80" w:rsidR="00F86203" w:rsidRPr="003F2298" w:rsidRDefault="00696184" w:rsidP="003F2298">
      <w:r>
        <w:tab/>
      </w:r>
      <w:r w:rsidR="00F86203">
        <w:t xml:space="preserve">Apart from the adoption of methodology of return on invested capital, investment appraisal at GSK is also done by determining the minimum detail such as return on investments over the life of project, opportunity cost, internal rate of return and net present value. </w:t>
      </w:r>
      <w:r w:rsidR="00312F70">
        <w:t xml:space="preserve">Methods of investment appraisal </w:t>
      </w:r>
      <w:r w:rsidR="002D1A57">
        <w:t xml:space="preserve">involves careful checking on the assumptions, data, methodology used in the preparation of the project, estimates on cost, </w:t>
      </w:r>
      <w:r w:rsidR="00BD6AAC">
        <w:t>in depth work plan review, management and organizational aspect of the project</w:t>
      </w:r>
      <w:r w:rsidR="00BA65D6">
        <w:t xml:space="preserve">, </w:t>
      </w:r>
      <w:r w:rsidR="006A2D17">
        <w:t xml:space="preserve">and final project viability. </w:t>
      </w:r>
      <w:r w:rsidR="00070E07">
        <w:t xml:space="preserve">Examination of the project is done </w:t>
      </w:r>
      <w:r w:rsidR="009B4168">
        <w:t xml:space="preserve">for organizational, institutional, technical, economic and financial view point </w:t>
      </w:r>
      <w:r w:rsidR="00271C2F">
        <w:t>depending on the project nature</w:t>
      </w:r>
      <w:r>
        <w:t xml:space="preserve"> (</w:t>
      </w:r>
      <w:r w:rsidRPr="00696184">
        <w:rPr>
          <w:rFonts w:cs="Times New Roman"/>
          <w:szCs w:val="24"/>
        </w:rPr>
        <w:t>Gsk.com 2021</w:t>
      </w:r>
      <w:r>
        <w:rPr>
          <w:rFonts w:cs="Times New Roman"/>
          <w:szCs w:val="24"/>
        </w:rPr>
        <w:t>)</w:t>
      </w:r>
      <w:r w:rsidR="00271C2F">
        <w:t xml:space="preserve">. </w:t>
      </w:r>
      <w:r w:rsidR="00983EF5">
        <w:t xml:space="preserve">Based on the overall assessment of the project, </w:t>
      </w:r>
      <w:r w:rsidR="00B12966">
        <w:t>the company reaches a judgement whether the investment project is technically sound</w:t>
      </w:r>
      <w:r w:rsidR="00263218">
        <w:t>, financially viable and justified, from the economic view point as well.</w:t>
      </w:r>
    </w:p>
    <w:p w14:paraId="21B8F4DE" w14:textId="0712A1F1" w:rsidR="00276B06" w:rsidRDefault="00276B06" w:rsidP="000D43A7">
      <w:pPr>
        <w:pStyle w:val="Heading1"/>
      </w:pPr>
      <w:bookmarkStart w:id="4" w:name="_Toc122363557"/>
      <w:r w:rsidRPr="00656DC2">
        <w:t>Conclusion:</w:t>
      </w:r>
      <w:bookmarkEnd w:id="4"/>
    </w:p>
    <w:p w14:paraId="70DB53DE" w14:textId="1249674D" w:rsidR="00483124" w:rsidRDefault="00696184" w:rsidP="00483124">
      <w:r>
        <w:tab/>
      </w:r>
      <w:r w:rsidR="00E21576">
        <w:t xml:space="preserve">It has been found from the overall analysis of the information </w:t>
      </w:r>
      <w:r w:rsidR="004C3327">
        <w:t xml:space="preserve">discussed in the paper that the multinational corporation such as GSK implements progressive dividend distribution policy, that takes into account the overall financial performance of the company in deciding about the distribution of dividends. </w:t>
      </w:r>
      <w:r w:rsidR="00FC1748">
        <w:t xml:space="preserve">Further, it has been found from the evaluation of the stock price movement and pattern of GSK that </w:t>
      </w:r>
      <w:r w:rsidR="00925B6B">
        <w:t xml:space="preserve">operation of stocks exhibits semi weak form of EMH. IT implies that the future stock price can dependent on the past trend, however, it cannot be conclusively determined. Lastly, it has been found that GSK implements a methodology of return on invested capital </w:t>
      </w:r>
      <w:r w:rsidR="00D63D4C">
        <w:t xml:space="preserve">in investment project appraisal. </w:t>
      </w:r>
    </w:p>
    <w:p w14:paraId="41736597" w14:textId="030D21BC" w:rsidR="00D63D4C" w:rsidRDefault="00D63D4C" w:rsidP="00483124"/>
    <w:p w14:paraId="29D3CE8A" w14:textId="3DA7422D" w:rsidR="00D63D4C" w:rsidRDefault="00D63D4C" w:rsidP="00483124"/>
    <w:p w14:paraId="4C3AB8B4" w14:textId="250CB87C" w:rsidR="00D63D4C" w:rsidRDefault="00D63D4C" w:rsidP="00483124"/>
    <w:p w14:paraId="740E39C5" w14:textId="77777777" w:rsidR="00696184" w:rsidRDefault="00696184" w:rsidP="00483124"/>
    <w:p w14:paraId="28D1D2DF" w14:textId="07E2A6A7" w:rsidR="00696184" w:rsidRPr="00696184" w:rsidRDefault="00D63D4C" w:rsidP="00696184">
      <w:pPr>
        <w:pStyle w:val="Heading1"/>
      </w:pPr>
      <w:bookmarkStart w:id="5" w:name="_Toc122363558"/>
      <w:r>
        <w:t>References list:</w:t>
      </w:r>
      <w:bookmarkEnd w:id="5"/>
    </w:p>
    <w:p w14:paraId="14936E2F" w14:textId="77777777" w:rsidR="00696184" w:rsidRPr="00696184" w:rsidRDefault="00696184" w:rsidP="00696184">
      <w:pPr>
        <w:rPr>
          <w:rFonts w:cs="Times New Roman"/>
          <w:szCs w:val="24"/>
        </w:rPr>
      </w:pPr>
      <w:r w:rsidRPr="00696184">
        <w:rPr>
          <w:rFonts w:cs="Times New Roman"/>
          <w:szCs w:val="24"/>
        </w:rPr>
        <w:t>Baldridge, R., 2022 </w:t>
      </w:r>
      <w:r w:rsidRPr="00696184">
        <w:rPr>
          <w:rFonts w:cs="Times New Roman"/>
          <w:i/>
          <w:iCs/>
          <w:szCs w:val="24"/>
        </w:rPr>
        <w:t xml:space="preserve">What Is the Efficient Market </w:t>
      </w:r>
      <w:proofErr w:type="gramStart"/>
      <w:r w:rsidRPr="00696184">
        <w:rPr>
          <w:rFonts w:cs="Times New Roman"/>
          <w:i/>
          <w:iCs/>
          <w:szCs w:val="24"/>
        </w:rPr>
        <w:t>Hypothesis?</w:t>
      </w:r>
      <w:r w:rsidRPr="00696184">
        <w:rPr>
          <w:rFonts w:cs="Times New Roman"/>
          <w:szCs w:val="24"/>
        </w:rPr>
        <w:t>,</w:t>
      </w:r>
      <w:proofErr w:type="gramEnd"/>
      <w:r w:rsidRPr="00696184">
        <w:rPr>
          <w:rFonts w:cs="Times New Roman"/>
          <w:szCs w:val="24"/>
        </w:rPr>
        <w:t> </w:t>
      </w:r>
      <w:r w:rsidRPr="00696184">
        <w:rPr>
          <w:rFonts w:cs="Times New Roman"/>
          <w:i/>
          <w:iCs/>
          <w:szCs w:val="24"/>
        </w:rPr>
        <w:t>Forbes Advisor</w:t>
      </w:r>
      <w:r w:rsidRPr="00696184">
        <w:rPr>
          <w:rFonts w:cs="Times New Roman"/>
          <w:szCs w:val="24"/>
        </w:rPr>
        <w:t>. Available at: https://www.forbes.com/advisor/investing/efficient-market-hypothesis/ (Accessed: 19 December 2022).</w:t>
      </w:r>
    </w:p>
    <w:p w14:paraId="76F6CB40" w14:textId="77777777" w:rsidR="00696184" w:rsidRPr="00696184" w:rsidRDefault="00696184" w:rsidP="00696184">
      <w:pPr>
        <w:rPr>
          <w:rFonts w:cs="Times New Roman"/>
          <w:color w:val="222222"/>
          <w:szCs w:val="24"/>
          <w:shd w:val="clear" w:color="auto" w:fill="FFFFFF"/>
        </w:rPr>
      </w:pPr>
      <w:proofErr w:type="spellStart"/>
      <w:r w:rsidRPr="00696184">
        <w:rPr>
          <w:rFonts w:cs="Times New Roman"/>
          <w:color w:val="222222"/>
          <w:szCs w:val="24"/>
          <w:shd w:val="clear" w:color="auto" w:fill="FFFFFF"/>
        </w:rPr>
        <w:t>Doley</w:t>
      </w:r>
      <w:proofErr w:type="spellEnd"/>
      <w:r w:rsidRPr="00696184">
        <w:rPr>
          <w:rFonts w:cs="Times New Roman"/>
          <w:color w:val="222222"/>
          <w:szCs w:val="24"/>
          <w:shd w:val="clear" w:color="auto" w:fill="FFFFFF"/>
        </w:rPr>
        <w:t>, S.R., 2022. Hypothesis Test of Weak Form of Market Efficiency in Some Selected Stocks. </w:t>
      </w:r>
      <w:r w:rsidRPr="00696184">
        <w:rPr>
          <w:rFonts w:cs="Times New Roman"/>
          <w:i/>
          <w:iCs/>
          <w:color w:val="222222"/>
          <w:szCs w:val="24"/>
          <w:shd w:val="clear" w:color="auto" w:fill="FFFFFF"/>
        </w:rPr>
        <w:t>Indian Journal of Research in Capital Markets</w:t>
      </w:r>
      <w:r w:rsidRPr="00696184">
        <w:rPr>
          <w:rFonts w:cs="Times New Roman"/>
          <w:color w:val="222222"/>
          <w:szCs w:val="24"/>
          <w:shd w:val="clear" w:color="auto" w:fill="FFFFFF"/>
        </w:rPr>
        <w:t>, </w:t>
      </w:r>
      <w:r w:rsidRPr="00696184">
        <w:rPr>
          <w:rFonts w:cs="Times New Roman"/>
          <w:i/>
          <w:iCs/>
          <w:color w:val="222222"/>
          <w:szCs w:val="24"/>
          <w:shd w:val="clear" w:color="auto" w:fill="FFFFFF"/>
        </w:rPr>
        <w:t>8</w:t>
      </w:r>
      <w:r w:rsidRPr="00696184">
        <w:rPr>
          <w:rFonts w:cs="Times New Roman"/>
          <w:color w:val="222222"/>
          <w:szCs w:val="24"/>
          <w:shd w:val="clear" w:color="auto" w:fill="FFFFFF"/>
        </w:rPr>
        <w:t>(4), pp.38-47.</w:t>
      </w:r>
    </w:p>
    <w:p w14:paraId="74E04FB5" w14:textId="77777777" w:rsidR="00696184" w:rsidRPr="00696184" w:rsidRDefault="00696184" w:rsidP="00696184">
      <w:pPr>
        <w:rPr>
          <w:rFonts w:cs="Times New Roman"/>
          <w:szCs w:val="24"/>
        </w:rPr>
      </w:pPr>
      <w:proofErr w:type="spellStart"/>
      <w:r w:rsidRPr="00696184">
        <w:rPr>
          <w:rFonts w:cs="Times New Roman"/>
          <w:i/>
          <w:iCs/>
          <w:szCs w:val="24"/>
        </w:rPr>
        <w:t>GlaxoSmithkline</w:t>
      </w:r>
      <w:proofErr w:type="spellEnd"/>
      <w:r w:rsidRPr="00696184">
        <w:rPr>
          <w:rFonts w:cs="Times New Roman"/>
          <w:i/>
          <w:iCs/>
          <w:szCs w:val="24"/>
        </w:rPr>
        <w:t xml:space="preserve"> Pharmaceuticals Stock Forecast: up to 1378.492 INR! - 500660 Stock Price Prediction, Long-Term &amp; Short-Term Share Revenue Prognosis with Smart Technical Analysis.,</w:t>
      </w:r>
      <w:r w:rsidRPr="00696184">
        <w:rPr>
          <w:rFonts w:cs="Times New Roman"/>
          <w:szCs w:val="24"/>
        </w:rPr>
        <w:t> 2022. Available at: https://walletinvestor.com/bse-stock-forecast/glaxosmithkline-pharmaceuticals-ltd-bse-prediction (Accessed: 19 December 2022).</w:t>
      </w:r>
    </w:p>
    <w:p w14:paraId="5C5EBD86" w14:textId="77777777" w:rsidR="00696184" w:rsidRPr="00696184" w:rsidRDefault="00696184" w:rsidP="00696184">
      <w:pPr>
        <w:rPr>
          <w:rFonts w:cs="Times New Roman"/>
          <w:color w:val="auto"/>
          <w:szCs w:val="24"/>
        </w:rPr>
      </w:pPr>
      <w:r w:rsidRPr="00696184">
        <w:rPr>
          <w:rFonts w:cs="Times New Roman"/>
          <w:i/>
          <w:iCs/>
          <w:szCs w:val="24"/>
        </w:rPr>
        <w:t>GSK share price.,</w:t>
      </w:r>
      <w:r w:rsidRPr="00696184">
        <w:rPr>
          <w:rFonts w:cs="Times New Roman"/>
          <w:szCs w:val="24"/>
        </w:rPr>
        <w:t xml:space="preserve"> 2022 </w:t>
      </w:r>
      <w:r w:rsidRPr="00696184">
        <w:rPr>
          <w:rFonts w:cs="Times New Roman"/>
          <w:i/>
          <w:iCs/>
          <w:szCs w:val="24"/>
        </w:rPr>
        <w:t>GSK</w:t>
      </w:r>
      <w:r w:rsidRPr="00696184">
        <w:rPr>
          <w:rFonts w:cs="Times New Roman"/>
          <w:szCs w:val="24"/>
        </w:rPr>
        <w:t xml:space="preserve">. Available at: https://www.gsk.com/en-gb/investors/dividend-and-share-price/gsk-share-price/ (Accessed: December 19, 2022). </w:t>
      </w:r>
    </w:p>
    <w:p w14:paraId="3999B7BD" w14:textId="77777777" w:rsidR="00696184" w:rsidRPr="00696184" w:rsidRDefault="00696184" w:rsidP="00696184">
      <w:pPr>
        <w:rPr>
          <w:rFonts w:cs="Times New Roman"/>
          <w:szCs w:val="24"/>
        </w:rPr>
      </w:pPr>
      <w:r w:rsidRPr="00696184">
        <w:rPr>
          <w:rFonts w:cs="Times New Roman"/>
          <w:i/>
          <w:iCs/>
          <w:szCs w:val="24"/>
        </w:rPr>
        <w:t>GSK., GSK Stock Moves -0.81%: What You Should Know</w:t>
      </w:r>
      <w:r w:rsidRPr="00696184">
        <w:rPr>
          <w:rFonts w:cs="Times New Roman"/>
          <w:szCs w:val="24"/>
        </w:rPr>
        <w:t> (2022). Available at: https://research.tdameritrade.com/grid/public/research/stocks/news/article?dockey=1584-commentary_cleaned_Action0_Slice263-5GMFFBB1A9ERNMLVFVIITA31TE (Accessed: 19 December 2022).</w:t>
      </w:r>
    </w:p>
    <w:p w14:paraId="592AA360" w14:textId="77777777" w:rsidR="00696184" w:rsidRPr="00696184" w:rsidRDefault="00696184" w:rsidP="00696184">
      <w:pPr>
        <w:rPr>
          <w:rFonts w:cs="Times New Roman"/>
          <w:color w:val="auto"/>
          <w:szCs w:val="24"/>
        </w:rPr>
      </w:pPr>
      <w:r w:rsidRPr="00696184">
        <w:rPr>
          <w:rFonts w:cs="Times New Roman"/>
          <w:szCs w:val="24"/>
        </w:rPr>
        <w:t xml:space="preserve">Gsk.com., 2021 Available at: https://www.gsk.com/media/7462/annual-report-2021.pdf (Accessed: December 19, 2022). </w:t>
      </w:r>
    </w:p>
    <w:p w14:paraId="53CA9249" w14:textId="77777777" w:rsidR="00696184" w:rsidRPr="00696184" w:rsidRDefault="00696184" w:rsidP="00696184">
      <w:pPr>
        <w:rPr>
          <w:rFonts w:cs="Times New Roman"/>
          <w:color w:val="222222"/>
          <w:szCs w:val="24"/>
          <w:shd w:val="clear" w:color="auto" w:fill="FFFFFF"/>
        </w:rPr>
      </w:pPr>
      <w:r w:rsidRPr="00696184">
        <w:rPr>
          <w:rFonts w:cs="Times New Roman"/>
          <w:color w:val="222222"/>
          <w:szCs w:val="24"/>
          <w:shd w:val="clear" w:color="auto" w:fill="FFFFFF"/>
        </w:rPr>
        <w:t xml:space="preserve">Kumar, A., </w:t>
      </w:r>
      <w:proofErr w:type="spellStart"/>
      <w:r w:rsidRPr="00696184">
        <w:rPr>
          <w:rFonts w:cs="Times New Roman"/>
          <w:color w:val="222222"/>
          <w:szCs w:val="24"/>
          <w:shd w:val="clear" w:color="auto" w:fill="FFFFFF"/>
        </w:rPr>
        <w:t>Soni</w:t>
      </w:r>
      <w:proofErr w:type="spellEnd"/>
      <w:r w:rsidRPr="00696184">
        <w:rPr>
          <w:rFonts w:cs="Times New Roman"/>
          <w:color w:val="222222"/>
          <w:szCs w:val="24"/>
          <w:shd w:val="clear" w:color="auto" w:fill="FFFFFF"/>
        </w:rPr>
        <w:t xml:space="preserve">, R., </w:t>
      </w:r>
      <w:proofErr w:type="spellStart"/>
      <w:r w:rsidRPr="00696184">
        <w:rPr>
          <w:rFonts w:cs="Times New Roman"/>
          <w:color w:val="222222"/>
          <w:szCs w:val="24"/>
          <w:shd w:val="clear" w:color="auto" w:fill="FFFFFF"/>
        </w:rPr>
        <w:t>Hawaldar</w:t>
      </w:r>
      <w:proofErr w:type="spellEnd"/>
      <w:r w:rsidRPr="00696184">
        <w:rPr>
          <w:rFonts w:cs="Times New Roman"/>
          <w:color w:val="222222"/>
          <w:szCs w:val="24"/>
          <w:shd w:val="clear" w:color="auto" w:fill="FFFFFF"/>
        </w:rPr>
        <w:t>, I.T., Vyas, M. and Yadav, V., 2020. The testing of efficient market hypotheses: A study of Indian pharmaceutical industry. </w:t>
      </w:r>
      <w:r w:rsidRPr="00696184">
        <w:rPr>
          <w:rFonts w:cs="Times New Roman"/>
          <w:i/>
          <w:iCs/>
          <w:color w:val="222222"/>
          <w:szCs w:val="24"/>
          <w:shd w:val="clear" w:color="auto" w:fill="FFFFFF"/>
        </w:rPr>
        <w:t>International Journal of Economics and Financial Issues</w:t>
      </w:r>
      <w:r w:rsidRPr="00696184">
        <w:rPr>
          <w:rFonts w:cs="Times New Roman"/>
          <w:color w:val="222222"/>
          <w:szCs w:val="24"/>
          <w:shd w:val="clear" w:color="auto" w:fill="FFFFFF"/>
        </w:rPr>
        <w:t>, </w:t>
      </w:r>
      <w:r w:rsidRPr="00696184">
        <w:rPr>
          <w:rFonts w:cs="Times New Roman"/>
          <w:i/>
          <w:iCs/>
          <w:color w:val="222222"/>
          <w:szCs w:val="24"/>
          <w:shd w:val="clear" w:color="auto" w:fill="FFFFFF"/>
        </w:rPr>
        <w:t>10</w:t>
      </w:r>
      <w:r w:rsidRPr="00696184">
        <w:rPr>
          <w:rFonts w:cs="Times New Roman"/>
          <w:color w:val="222222"/>
          <w:szCs w:val="24"/>
          <w:shd w:val="clear" w:color="auto" w:fill="FFFFFF"/>
        </w:rPr>
        <w:t>(3), pp.208-216.</w:t>
      </w:r>
    </w:p>
    <w:p w14:paraId="1D5AD064" w14:textId="77777777" w:rsidR="00696184" w:rsidRPr="00696184" w:rsidRDefault="00696184" w:rsidP="00696184">
      <w:pPr>
        <w:rPr>
          <w:rFonts w:cs="Times New Roman"/>
          <w:color w:val="222222"/>
          <w:szCs w:val="24"/>
          <w:shd w:val="clear" w:color="auto" w:fill="FFFFFF"/>
        </w:rPr>
      </w:pPr>
      <w:r w:rsidRPr="00696184">
        <w:rPr>
          <w:rFonts w:cs="Times New Roman"/>
          <w:color w:val="222222"/>
          <w:szCs w:val="24"/>
          <w:shd w:val="clear" w:color="auto" w:fill="FFFFFF"/>
        </w:rPr>
        <w:t>Kyle, A.S., 2019. Market structure, information, futures markets, and price formation. In </w:t>
      </w:r>
      <w:r w:rsidRPr="00696184">
        <w:rPr>
          <w:rFonts w:cs="Times New Roman"/>
          <w:i/>
          <w:iCs/>
          <w:color w:val="222222"/>
          <w:szCs w:val="24"/>
          <w:shd w:val="clear" w:color="auto" w:fill="FFFFFF"/>
        </w:rPr>
        <w:t>International Agricultural Trade</w:t>
      </w:r>
      <w:r w:rsidRPr="00696184">
        <w:rPr>
          <w:rFonts w:cs="Times New Roman"/>
          <w:color w:val="222222"/>
          <w:szCs w:val="24"/>
          <w:shd w:val="clear" w:color="auto" w:fill="FFFFFF"/>
        </w:rPr>
        <w:t> (pp. 45-64). CRC Press.</w:t>
      </w:r>
    </w:p>
    <w:p w14:paraId="3FF945F3" w14:textId="77777777" w:rsidR="00696184" w:rsidRPr="00696184" w:rsidRDefault="00696184" w:rsidP="00696184">
      <w:pPr>
        <w:rPr>
          <w:rFonts w:cs="Times New Roman"/>
          <w:color w:val="222222"/>
          <w:szCs w:val="24"/>
          <w:shd w:val="clear" w:color="auto" w:fill="FFFFFF"/>
        </w:rPr>
      </w:pPr>
      <w:r w:rsidRPr="00696184">
        <w:rPr>
          <w:rFonts w:cs="Times New Roman"/>
          <w:color w:val="222222"/>
          <w:szCs w:val="24"/>
          <w:shd w:val="clear" w:color="auto" w:fill="FFFFFF"/>
        </w:rPr>
        <w:t xml:space="preserve">Rossi, M. and </w:t>
      </w:r>
      <w:proofErr w:type="spellStart"/>
      <w:r w:rsidRPr="00696184">
        <w:rPr>
          <w:rFonts w:cs="Times New Roman"/>
          <w:color w:val="222222"/>
          <w:szCs w:val="24"/>
          <w:shd w:val="clear" w:color="auto" w:fill="FFFFFF"/>
        </w:rPr>
        <w:t>Gunardi</w:t>
      </w:r>
      <w:proofErr w:type="spellEnd"/>
      <w:r w:rsidRPr="00696184">
        <w:rPr>
          <w:rFonts w:cs="Times New Roman"/>
          <w:color w:val="222222"/>
          <w:szCs w:val="24"/>
          <w:shd w:val="clear" w:color="auto" w:fill="FFFFFF"/>
        </w:rPr>
        <w:t>, A., 2018. Efficient market hypothesis and stock market anomalies: Empirical evidence in four European countries. </w:t>
      </w:r>
      <w:r w:rsidRPr="00696184">
        <w:rPr>
          <w:rFonts w:cs="Times New Roman"/>
          <w:i/>
          <w:iCs/>
          <w:color w:val="222222"/>
          <w:szCs w:val="24"/>
          <w:shd w:val="clear" w:color="auto" w:fill="FFFFFF"/>
        </w:rPr>
        <w:t>Journal of Applied Business Research (JABR)</w:t>
      </w:r>
      <w:r w:rsidRPr="00696184">
        <w:rPr>
          <w:rFonts w:cs="Times New Roman"/>
          <w:color w:val="222222"/>
          <w:szCs w:val="24"/>
          <w:shd w:val="clear" w:color="auto" w:fill="FFFFFF"/>
        </w:rPr>
        <w:t>, </w:t>
      </w:r>
      <w:r w:rsidRPr="00696184">
        <w:rPr>
          <w:rFonts w:cs="Times New Roman"/>
          <w:i/>
          <w:iCs/>
          <w:color w:val="222222"/>
          <w:szCs w:val="24"/>
          <w:shd w:val="clear" w:color="auto" w:fill="FFFFFF"/>
        </w:rPr>
        <w:t>34</w:t>
      </w:r>
      <w:r w:rsidRPr="00696184">
        <w:rPr>
          <w:rFonts w:cs="Times New Roman"/>
          <w:color w:val="222222"/>
          <w:szCs w:val="24"/>
          <w:shd w:val="clear" w:color="auto" w:fill="FFFFFF"/>
        </w:rPr>
        <w:t>(1), pp.183-192.</w:t>
      </w:r>
    </w:p>
    <w:p w14:paraId="58FD48E7" w14:textId="77777777" w:rsidR="00696184" w:rsidRPr="00696184" w:rsidRDefault="00696184" w:rsidP="00696184">
      <w:pPr>
        <w:rPr>
          <w:rFonts w:cs="Times New Roman"/>
          <w:szCs w:val="24"/>
        </w:rPr>
      </w:pPr>
      <w:r w:rsidRPr="00696184">
        <w:rPr>
          <w:rFonts w:cs="Times New Roman"/>
          <w:i/>
          <w:iCs/>
          <w:szCs w:val="24"/>
        </w:rPr>
        <w:t>Yahoo is part of the Yahoo family of brands.,</w:t>
      </w:r>
      <w:r w:rsidRPr="00696184">
        <w:rPr>
          <w:rFonts w:cs="Times New Roman"/>
          <w:szCs w:val="24"/>
        </w:rPr>
        <w:t> 2022. Available at: https://finance.yahoo.com/news/most-watched-stock-gsk-plc-130001947.html (Accessed: 19 December 2022).</w:t>
      </w:r>
    </w:p>
    <w:p w14:paraId="64D62241" w14:textId="77777777" w:rsidR="009B4D1B" w:rsidRPr="00656DC2" w:rsidRDefault="009B4D1B" w:rsidP="009B4D1B"/>
    <w:sectPr w:rsidR="009B4D1B" w:rsidRPr="00656DC2" w:rsidSect="00FF3EEB">
      <w:head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572C3" w14:textId="77777777" w:rsidR="00151898" w:rsidRDefault="00151898" w:rsidP="0039349B">
      <w:pPr>
        <w:spacing w:after="0" w:line="240" w:lineRule="auto"/>
      </w:pPr>
      <w:r>
        <w:separator/>
      </w:r>
    </w:p>
  </w:endnote>
  <w:endnote w:type="continuationSeparator" w:id="0">
    <w:p w14:paraId="5C5BBAF8" w14:textId="77777777" w:rsidR="00151898" w:rsidRDefault="00151898" w:rsidP="00393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6A6DF" w14:textId="77777777" w:rsidR="00151898" w:rsidRDefault="00151898" w:rsidP="0039349B">
      <w:pPr>
        <w:spacing w:after="0" w:line="240" w:lineRule="auto"/>
      </w:pPr>
      <w:r>
        <w:separator/>
      </w:r>
    </w:p>
  </w:footnote>
  <w:footnote w:type="continuationSeparator" w:id="0">
    <w:p w14:paraId="5F55EB64" w14:textId="77777777" w:rsidR="00151898" w:rsidRDefault="00151898" w:rsidP="00393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23CE" w14:textId="22DEBB03" w:rsidR="0039349B" w:rsidRPr="00FF3EEB" w:rsidRDefault="00FF3EEB" w:rsidP="007F65CF">
    <w:pPr>
      <w:pStyle w:val="Header"/>
    </w:pPr>
    <w:r>
      <w:rPr>
        <w:noProof/>
      </w:rPr>
      <mc:AlternateContent>
        <mc:Choice Requires="wps">
          <w:drawing>
            <wp:anchor distT="0" distB="0" distL="114300" distR="114300" simplePos="0" relativeHeight="251660288" behindDoc="0" locked="0" layoutInCell="0" allowOverlap="1" wp14:anchorId="3D0B07DF" wp14:editId="0A04AE84">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EAD6BD" w14:textId="132E1C86" w:rsidR="00FF3EEB" w:rsidRDefault="00FF3EEB">
                          <w:pPr>
                            <w:spacing w:after="0" w:line="240" w:lineRule="auto"/>
                            <w:jc w:val="righ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D0B07DF"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" o:allowincell="f" filled="f" stroked="f">
              <v:textbox style="mso-fit-shape-to-text:t" inset=",0,,0">
                <w:txbxContent>
                  <w:p w14:paraId="1FEAD6BD" w14:textId="132E1C86" w:rsidR="00FF3EEB" w:rsidRDefault="00FF3EEB">
                    <w:pPr>
                      <w:spacing w:after="0" w:line="240" w:lineRule="auto"/>
                      <w:jc w:val="right"/>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22B9DD73" wp14:editId="4F714298">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2DBB10A8" w14:textId="77777777" w:rsidR="00FF3EEB" w:rsidRDefault="00FF3EEB">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2B9DD73"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" o:allowincell="f" fillcolor="#a8d08d [1945]" stroked="f">
              <v:textbox style="mso-fit-shape-to-text:t" inset=",0,,0">
                <w:txbxContent>
                  <w:p w14:paraId="2DBB10A8" w14:textId="77777777" w:rsidR="00FF3EEB" w:rsidRDefault="00FF3EEB">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r w:rsidR="000D43A7">
      <w:t>ASSESSMENT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7382D"/>
    <w:multiLevelType w:val="hybridMultilevel"/>
    <w:tmpl w:val="BC00D0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5153DA2"/>
    <w:multiLevelType w:val="hybridMultilevel"/>
    <w:tmpl w:val="66961E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B1765"/>
    <w:multiLevelType w:val="hybridMultilevel"/>
    <w:tmpl w:val="634E0A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22F173F"/>
    <w:multiLevelType w:val="multilevel"/>
    <w:tmpl w:val="26F036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4B31993"/>
    <w:multiLevelType w:val="hybridMultilevel"/>
    <w:tmpl w:val="B220F3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F9473B3"/>
    <w:multiLevelType w:val="hybridMultilevel"/>
    <w:tmpl w:val="DE5279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EE8788E"/>
    <w:multiLevelType w:val="hybridMultilevel"/>
    <w:tmpl w:val="866427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19C4545"/>
    <w:multiLevelType w:val="hybridMultilevel"/>
    <w:tmpl w:val="A560E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9164BA"/>
    <w:multiLevelType w:val="hybridMultilevel"/>
    <w:tmpl w:val="09A8E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680523"/>
    <w:multiLevelType w:val="hybridMultilevel"/>
    <w:tmpl w:val="67D4A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9151627">
    <w:abstractNumId w:val="4"/>
  </w:num>
  <w:num w:numId="2" w16cid:durableId="1289900221">
    <w:abstractNumId w:val="6"/>
  </w:num>
  <w:num w:numId="3" w16cid:durableId="1218859922">
    <w:abstractNumId w:val="2"/>
  </w:num>
  <w:num w:numId="4" w16cid:durableId="1748304703">
    <w:abstractNumId w:val="0"/>
  </w:num>
  <w:num w:numId="5" w16cid:durableId="731271588">
    <w:abstractNumId w:val="5"/>
  </w:num>
  <w:num w:numId="6" w16cid:durableId="1495563056">
    <w:abstractNumId w:val="3"/>
  </w:num>
  <w:num w:numId="7" w16cid:durableId="108625750">
    <w:abstractNumId w:val="7"/>
  </w:num>
  <w:num w:numId="8" w16cid:durableId="363411262">
    <w:abstractNumId w:val="9"/>
  </w:num>
  <w:num w:numId="9" w16cid:durableId="1254126942">
    <w:abstractNumId w:val="8"/>
  </w:num>
  <w:num w:numId="10" w16cid:durableId="324214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1NjOyMDY2NTUxtTBT0lEKTi0uzszPAykwqwUA6lG3UCwAAAA="/>
  </w:docVars>
  <w:rsids>
    <w:rsidRoot w:val="006E4F91"/>
    <w:rsid w:val="000011EE"/>
    <w:rsid w:val="00017404"/>
    <w:rsid w:val="0002098C"/>
    <w:rsid w:val="00027F8D"/>
    <w:rsid w:val="00032A68"/>
    <w:rsid w:val="000352BA"/>
    <w:rsid w:val="00037975"/>
    <w:rsid w:val="00042C04"/>
    <w:rsid w:val="00055238"/>
    <w:rsid w:val="000617DD"/>
    <w:rsid w:val="00070365"/>
    <w:rsid w:val="00070E07"/>
    <w:rsid w:val="000802D9"/>
    <w:rsid w:val="00082131"/>
    <w:rsid w:val="000826FB"/>
    <w:rsid w:val="00085D25"/>
    <w:rsid w:val="00086BBB"/>
    <w:rsid w:val="0009635C"/>
    <w:rsid w:val="000A1B35"/>
    <w:rsid w:val="000A5047"/>
    <w:rsid w:val="000A6EE5"/>
    <w:rsid w:val="000A7DC5"/>
    <w:rsid w:val="000B2A9B"/>
    <w:rsid w:val="000B2DDB"/>
    <w:rsid w:val="000C2E1F"/>
    <w:rsid w:val="000C3127"/>
    <w:rsid w:val="000D43A7"/>
    <w:rsid w:val="000D4A5C"/>
    <w:rsid w:val="000E5C87"/>
    <w:rsid w:val="000F04A5"/>
    <w:rsid w:val="000F3724"/>
    <w:rsid w:val="000F4C0A"/>
    <w:rsid w:val="000F6447"/>
    <w:rsid w:val="00101464"/>
    <w:rsid w:val="00101D6D"/>
    <w:rsid w:val="00113111"/>
    <w:rsid w:val="00120C6B"/>
    <w:rsid w:val="001276AF"/>
    <w:rsid w:val="0013498B"/>
    <w:rsid w:val="00136466"/>
    <w:rsid w:val="00141A93"/>
    <w:rsid w:val="00146914"/>
    <w:rsid w:val="00147AB5"/>
    <w:rsid w:val="00151898"/>
    <w:rsid w:val="00163DD4"/>
    <w:rsid w:val="00165110"/>
    <w:rsid w:val="001666EC"/>
    <w:rsid w:val="00167EA7"/>
    <w:rsid w:val="001732B3"/>
    <w:rsid w:val="00180F74"/>
    <w:rsid w:val="00185180"/>
    <w:rsid w:val="00186C14"/>
    <w:rsid w:val="00190F6B"/>
    <w:rsid w:val="001A5C02"/>
    <w:rsid w:val="001B1118"/>
    <w:rsid w:val="001C1079"/>
    <w:rsid w:val="001C3169"/>
    <w:rsid w:val="001C467D"/>
    <w:rsid w:val="001C54D8"/>
    <w:rsid w:val="001C644D"/>
    <w:rsid w:val="001D32F1"/>
    <w:rsid w:val="001D54D3"/>
    <w:rsid w:val="001D7CF8"/>
    <w:rsid w:val="001E1FD0"/>
    <w:rsid w:val="001E2515"/>
    <w:rsid w:val="001E41BA"/>
    <w:rsid w:val="001E716A"/>
    <w:rsid w:val="001F01BB"/>
    <w:rsid w:val="001F69E1"/>
    <w:rsid w:val="00201B11"/>
    <w:rsid w:val="00203BC0"/>
    <w:rsid w:val="00205729"/>
    <w:rsid w:val="00212623"/>
    <w:rsid w:val="00213ED4"/>
    <w:rsid w:val="002159CC"/>
    <w:rsid w:val="00222E5D"/>
    <w:rsid w:val="00224528"/>
    <w:rsid w:val="00227344"/>
    <w:rsid w:val="002279AF"/>
    <w:rsid w:val="00227FBF"/>
    <w:rsid w:val="00250ABF"/>
    <w:rsid w:val="00253868"/>
    <w:rsid w:val="00263218"/>
    <w:rsid w:val="00271C2F"/>
    <w:rsid w:val="0027406D"/>
    <w:rsid w:val="00275AE5"/>
    <w:rsid w:val="002760B3"/>
    <w:rsid w:val="00276B06"/>
    <w:rsid w:val="00281F94"/>
    <w:rsid w:val="0028289C"/>
    <w:rsid w:val="002865AD"/>
    <w:rsid w:val="00287E10"/>
    <w:rsid w:val="0029039F"/>
    <w:rsid w:val="00295310"/>
    <w:rsid w:val="002A6059"/>
    <w:rsid w:val="002A6317"/>
    <w:rsid w:val="002B08D2"/>
    <w:rsid w:val="002B3B29"/>
    <w:rsid w:val="002B4484"/>
    <w:rsid w:val="002C05C9"/>
    <w:rsid w:val="002C1175"/>
    <w:rsid w:val="002C19D1"/>
    <w:rsid w:val="002C2F35"/>
    <w:rsid w:val="002C395D"/>
    <w:rsid w:val="002D0048"/>
    <w:rsid w:val="002D042F"/>
    <w:rsid w:val="002D1A57"/>
    <w:rsid w:val="002D77C2"/>
    <w:rsid w:val="002E6F0B"/>
    <w:rsid w:val="002F11D4"/>
    <w:rsid w:val="002F2492"/>
    <w:rsid w:val="002F4707"/>
    <w:rsid w:val="00300575"/>
    <w:rsid w:val="00302222"/>
    <w:rsid w:val="00304B6C"/>
    <w:rsid w:val="0031087C"/>
    <w:rsid w:val="00312F70"/>
    <w:rsid w:val="0031522E"/>
    <w:rsid w:val="003154C3"/>
    <w:rsid w:val="00317764"/>
    <w:rsid w:val="00324CA2"/>
    <w:rsid w:val="003254DC"/>
    <w:rsid w:val="00333104"/>
    <w:rsid w:val="003331F5"/>
    <w:rsid w:val="0033533D"/>
    <w:rsid w:val="00341E84"/>
    <w:rsid w:val="00343AB0"/>
    <w:rsid w:val="003515EE"/>
    <w:rsid w:val="003635D4"/>
    <w:rsid w:val="0038265A"/>
    <w:rsid w:val="003838B8"/>
    <w:rsid w:val="00386F35"/>
    <w:rsid w:val="0039349B"/>
    <w:rsid w:val="003A3CFF"/>
    <w:rsid w:val="003A5726"/>
    <w:rsid w:val="003C08B8"/>
    <w:rsid w:val="003C25E0"/>
    <w:rsid w:val="003C3492"/>
    <w:rsid w:val="003C519F"/>
    <w:rsid w:val="003C5749"/>
    <w:rsid w:val="003C703E"/>
    <w:rsid w:val="003D3453"/>
    <w:rsid w:val="003E00EB"/>
    <w:rsid w:val="003E11BD"/>
    <w:rsid w:val="003E453F"/>
    <w:rsid w:val="003E4877"/>
    <w:rsid w:val="003F2298"/>
    <w:rsid w:val="003F2414"/>
    <w:rsid w:val="0040103D"/>
    <w:rsid w:val="00402BBF"/>
    <w:rsid w:val="00403D10"/>
    <w:rsid w:val="00405CA6"/>
    <w:rsid w:val="0041345B"/>
    <w:rsid w:val="00417A32"/>
    <w:rsid w:val="004200C0"/>
    <w:rsid w:val="00420FE6"/>
    <w:rsid w:val="00421A47"/>
    <w:rsid w:val="00424220"/>
    <w:rsid w:val="00427714"/>
    <w:rsid w:val="00431E18"/>
    <w:rsid w:val="00433E82"/>
    <w:rsid w:val="00434945"/>
    <w:rsid w:val="004470BE"/>
    <w:rsid w:val="00476B66"/>
    <w:rsid w:val="00483124"/>
    <w:rsid w:val="0048615A"/>
    <w:rsid w:val="004915F8"/>
    <w:rsid w:val="00494988"/>
    <w:rsid w:val="00497264"/>
    <w:rsid w:val="004974A2"/>
    <w:rsid w:val="004A1CB9"/>
    <w:rsid w:val="004A2A4D"/>
    <w:rsid w:val="004A500F"/>
    <w:rsid w:val="004B39CB"/>
    <w:rsid w:val="004B4E4A"/>
    <w:rsid w:val="004C06A8"/>
    <w:rsid w:val="004C1F76"/>
    <w:rsid w:val="004C3327"/>
    <w:rsid w:val="004C4075"/>
    <w:rsid w:val="004D1978"/>
    <w:rsid w:val="004D4CF0"/>
    <w:rsid w:val="004E0742"/>
    <w:rsid w:val="004E1D4B"/>
    <w:rsid w:val="004E2784"/>
    <w:rsid w:val="004E7B30"/>
    <w:rsid w:val="00510CB6"/>
    <w:rsid w:val="00511535"/>
    <w:rsid w:val="005128B6"/>
    <w:rsid w:val="005170F8"/>
    <w:rsid w:val="00521123"/>
    <w:rsid w:val="00521F16"/>
    <w:rsid w:val="00522991"/>
    <w:rsid w:val="005235DC"/>
    <w:rsid w:val="0052409D"/>
    <w:rsid w:val="00524AE2"/>
    <w:rsid w:val="0052576D"/>
    <w:rsid w:val="00526EB9"/>
    <w:rsid w:val="005279DA"/>
    <w:rsid w:val="00535C78"/>
    <w:rsid w:val="0054041C"/>
    <w:rsid w:val="0054108D"/>
    <w:rsid w:val="00541680"/>
    <w:rsid w:val="00542A56"/>
    <w:rsid w:val="005441EB"/>
    <w:rsid w:val="00564382"/>
    <w:rsid w:val="0056607C"/>
    <w:rsid w:val="00570DE9"/>
    <w:rsid w:val="0057154E"/>
    <w:rsid w:val="00583440"/>
    <w:rsid w:val="00583730"/>
    <w:rsid w:val="00585DE9"/>
    <w:rsid w:val="00590F1C"/>
    <w:rsid w:val="00591D26"/>
    <w:rsid w:val="005A0A9F"/>
    <w:rsid w:val="005A1507"/>
    <w:rsid w:val="005A3516"/>
    <w:rsid w:val="005B02AC"/>
    <w:rsid w:val="005C2CFB"/>
    <w:rsid w:val="005C2D0A"/>
    <w:rsid w:val="005C2D20"/>
    <w:rsid w:val="005D0B88"/>
    <w:rsid w:val="005D19D5"/>
    <w:rsid w:val="005D6E08"/>
    <w:rsid w:val="005E0048"/>
    <w:rsid w:val="005E0BCE"/>
    <w:rsid w:val="005E39DD"/>
    <w:rsid w:val="005E3BCC"/>
    <w:rsid w:val="005E3E1A"/>
    <w:rsid w:val="006002E8"/>
    <w:rsid w:val="0060287F"/>
    <w:rsid w:val="00606DBD"/>
    <w:rsid w:val="00607AC5"/>
    <w:rsid w:val="006147EC"/>
    <w:rsid w:val="00621F7A"/>
    <w:rsid w:val="006316FF"/>
    <w:rsid w:val="00633B96"/>
    <w:rsid w:val="00635ED5"/>
    <w:rsid w:val="00641DE6"/>
    <w:rsid w:val="0064404F"/>
    <w:rsid w:val="0064659E"/>
    <w:rsid w:val="00647C07"/>
    <w:rsid w:val="00650435"/>
    <w:rsid w:val="00655605"/>
    <w:rsid w:val="00656DC2"/>
    <w:rsid w:val="00656EC6"/>
    <w:rsid w:val="0066203C"/>
    <w:rsid w:val="00665EAE"/>
    <w:rsid w:val="00667BE0"/>
    <w:rsid w:val="0068145B"/>
    <w:rsid w:val="0069185D"/>
    <w:rsid w:val="006930BF"/>
    <w:rsid w:val="006959B4"/>
    <w:rsid w:val="00696184"/>
    <w:rsid w:val="006A1614"/>
    <w:rsid w:val="006A2D17"/>
    <w:rsid w:val="006B1B28"/>
    <w:rsid w:val="006C2459"/>
    <w:rsid w:val="006C79FC"/>
    <w:rsid w:val="006D447E"/>
    <w:rsid w:val="006D7896"/>
    <w:rsid w:val="006D7C3B"/>
    <w:rsid w:val="006E4F91"/>
    <w:rsid w:val="006F2193"/>
    <w:rsid w:val="006F2983"/>
    <w:rsid w:val="006F655B"/>
    <w:rsid w:val="006F6717"/>
    <w:rsid w:val="007030A8"/>
    <w:rsid w:val="00705848"/>
    <w:rsid w:val="007101A0"/>
    <w:rsid w:val="00711936"/>
    <w:rsid w:val="00711BBB"/>
    <w:rsid w:val="00711DF2"/>
    <w:rsid w:val="007148A9"/>
    <w:rsid w:val="00723A5D"/>
    <w:rsid w:val="0072530F"/>
    <w:rsid w:val="00734DD0"/>
    <w:rsid w:val="00735A79"/>
    <w:rsid w:val="0073717D"/>
    <w:rsid w:val="00745311"/>
    <w:rsid w:val="00762AE0"/>
    <w:rsid w:val="0076400D"/>
    <w:rsid w:val="0076682C"/>
    <w:rsid w:val="00780FE7"/>
    <w:rsid w:val="00783F50"/>
    <w:rsid w:val="00786183"/>
    <w:rsid w:val="00797F74"/>
    <w:rsid w:val="007A2F4D"/>
    <w:rsid w:val="007B0368"/>
    <w:rsid w:val="007D2F74"/>
    <w:rsid w:val="007F597F"/>
    <w:rsid w:val="007F65CF"/>
    <w:rsid w:val="007F732B"/>
    <w:rsid w:val="007F7C22"/>
    <w:rsid w:val="00801C4C"/>
    <w:rsid w:val="008022F0"/>
    <w:rsid w:val="00802560"/>
    <w:rsid w:val="00810E1E"/>
    <w:rsid w:val="00811B1B"/>
    <w:rsid w:val="0081484F"/>
    <w:rsid w:val="00820940"/>
    <w:rsid w:val="0082363B"/>
    <w:rsid w:val="0082735F"/>
    <w:rsid w:val="0083795E"/>
    <w:rsid w:val="00845C3A"/>
    <w:rsid w:val="00873123"/>
    <w:rsid w:val="00875543"/>
    <w:rsid w:val="00876831"/>
    <w:rsid w:val="008775D4"/>
    <w:rsid w:val="00881398"/>
    <w:rsid w:val="008849CE"/>
    <w:rsid w:val="00887344"/>
    <w:rsid w:val="008949C3"/>
    <w:rsid w:val="008A0A70"/>
    <w:rsid w:val="008A6D3E"/>
    <w:rsid w:val="008B1EEF"/>
    <w:rsid w:val="008B7E63"/>
    <w:rsid w:val="008C1C87"/>
    <w:rsid w:val="008C39BE"/>
    <w:rsid w:val="008C59EC"/>
    <w:rsid w:val="008D6145"/>
    <w:rsid w:val="008E0815"/>
    <w:rsid w:val="008E454C"/>
    <w:rsid w:val="008F63D3"/>
    <w:rsid w:val="0090045E"/>
    <w:rsid w:val="0090138A"/>
    <w:rsid w:val="00901EF9"/>
    <w:rsid w:val="009171E7"/>
    <w:rsid w:val="00920196"/>
    <w:rsid w:val="00925B6B"/>
    <w:rsid w:val="00931630"/>
    <w:rsid w:val="009416CE"/>
    <w:rsid w:val="009441FD"/>
    <w:rsid w:val="009505B0"/>
    <w:rsid w:val="00950771"/>
    <w:rsid w:val="0095198E"/>
    <w:rsid w:val="009709C4"/>
    <w:rsid w:val="00982E6F"/>
    <w:rsid w:val="00983EF5"/>
    <w:rsid w:val="0099229D"/>
    <w:rsid w:val="00995C98"/>
    <w:rsid w:val="009B0BE9"/>
    <w:rsid w:val="009B1286"/>
    <w:rsid w:val="009B1825"/>
    <w:rsid w:val="009B2193"/>
    <w:rsid w:val="009B28DA"/>
    <w:rsid w:val="009B4168"/>
    <w:rsid w:val="009B4D1B"/>
    <w:rsid w:val="009C10A5"/>
    <w:rsid w:val="009C5D4B"/>
    <w:rsid w:val="009D0B18"/>
    <w:rsid w:val="009E58E7"/>
    <w:rsid w:val="009F5A9C"/>
    <w:rsid w:val="00A01C91"/>
    <w:rsid w:val="00A04175"/>
    <w:rsid w:val="00A11A75"/>
    <w:rsid w:val="00A13BE9"/>
    <w:rsid w:val="00A234E4"/>
    <w:rsid w:val="00A2400D"/>
    <w:rsid w:val="00A257BF"/>
    <w:rsid w:val="00A25A91"/>
    <w:rsid w:val="00A32BBE"/>
    <w:rsid w:val="00A45324"/>
    <w:rsid w:val="00A513F0"/>
    <w:rsid w:val="00A51FCF"/>
    <w:rsid w:val="00A523B4"/>
    <w:rsid w:val="00A775B8"/>
    <w:rsid w:val="00A77AC6"/>
    <w:rsid w:val="00A800D7"/>
    <w:rsid w:val="00A80290"/>
    <w:rsid w:val="00A9321B"/>
    <w:rsid w:val="00A93ACD"/>
    <w:rsid w:val="00AB6DC9"/>
    <w:rsid w:val="00AC2303"/>
    <w:rsid w:val="00AC2702"/>
    <w:rsid w:val="00AC4B6C"/>
    <w:rsid w:val="00AC6FDA"/>
    <w:rsid w:val="00AD1573"/>
    <w:rsid w:val="00AD3B88"/>
    <w:rsid w:val="00AD4134"/>
    <w:rsid w:val="00AD66DF"/>
    <w:rsid w:val="00AD681A"/>
    <w:rsid w:val="00AE180D"/>
    <w:rsid w:val="00AF0F4A"/>
    <w:rsid w:val="00AF1C51"/>
    <w:rsid w:val="00AF2EF6"/>
    <w:rsid w:val="00AF56F5"/>
    <w:rsid w:val="00AF6302"/>
    <w:rsid w:val="00AF7730"/>
    <w:rsid w:val="00B0606A"/>
    <w:rsid w:val="00B06C4E"/>
    <w:rsid w:val="00B07F6E"/>
    <w:rsid w:val="00B12966"/>
    <w:rsid w:val="00B2347B"/>
    <w:rsid w:val="00B32312"/>
    <w:rsid w:val="00B348B1"/>
    <w:rsid w:val="00B44ABF"/>
    <w:rsid w:val="00B4657B"/>
    <w:rsid w:val="00B513E1"/>
    <w:rsid w:val="00B63356"/>
    <w:rsid w:val="00B65F78"/>
    <w:rsid w:val="00B72F8F"/>
    <w:rsid w:val="00B77C6B"/>
    <w:rsid w:val="00B8780C"/>
    <w:rsid w:val="00B900CB"/>
    <w:rsid w:val="00B93259"/>
    <w:rsid w:val="00BA0AB2"/>
    <w:rsid w:val="00BA65D6"/>
    <w:rsid w:val="00BC0EAC"/>
    <w:rsid w:val="00BC5694"/>
    <w:rsid w:val="00BD6AAC"/>
    <w:rsid w:val="00BF2E41"/>
    <w:rsid w:val="00C02281"/>
    <w:rsid w:val="00C04C5F"/>
    <w:rsid w:val="00C051A2"/>
    <w:rsid w:val="00C16FE0"/>
    <w:rsid w:val="00C20CC7"/>
    <w:rsid w:val="00C23EBF"/>
    <w:rsid w:val="00C41284"/>
    <w:rsid w:val="00C51C7A"/>
    <w:rsid w:val="00C632A3"/>
    <w:rsid w:val="00C65613"/>
    <w:rsid w:val="00C75EEA"/>
    <w:rsid w:val="00C835E9"/>
    <w:rsid w:val="00C84436"/>
    <w:rsid w:val="00C87880"/>
    <w:rsid w:val="00C9082B"/>
    <w:rsid w:val="00C91DF5"/>
    <w:rsid w:val="00CC299C"/>
    <w:rsid w:val="00CD16E6"/>
    <w:rsid w:val="00CD35A8"/>
    <w:rsid w:val="00CD71AC"/>
    <w:rsid w:val="00CD72E6"/>
    <w:rsid w:val="00CE4096"/>
    <w:rsid w:val="00CE62E5"/>
    <w:rsid w:val="00CE77F9"/>
    <w:rsid w:val="00D02A47"/>
    <w:rsid w:val="00D05DB4"/>
    <w:rsid w:val="00D117C8"/>
    <w:rsid w:val="00D12845"/>
    <w:rsid w:val="00D141A5"/>
    <w:rsid w:val="00D15CE5"/>
    <w:rsid w:val="00D16A8A"/>
    <w:rsid w:val="00D16D8F"/>
    <w:rsid w:val="00D179F8"/>
    <w:rsid w:val="00D24199"/>
    <w:rsid w:val="00D3408B"/>
    <w:rsid w:val="00D4435C"/>
    <w:rsid w:val="00D45314"/>
    <w:rsid w:val="00D5255B"/>
    <w:rsid w:val="00D53051"/>
    <w:rsid w:val="00D63D4C"/>
    <w:rsid w:val="00D76D2F"/>
    <w:rsid w:val="00D84CE1"/>
    <w:rsid w:val="00D84E60"/>
    <w:rsid w:val="00D86C55"/>
    <w:rsid w:val="00DA0631"/>
    <w:rsid w:val="00DA14CB"/>
    <w:rsid w:val="00DB3DCF"/>
    <w:rsid w:val="00DC1FDD"/>
    <w:rsid w:val="00DE27B7"/>
    <w:rsid w:val="00DE4254"/>
    <w:rsid w:val="00DF23E8"/>
    <w:rsid w:val="00E01217"/>
    <w:rsid w:val="00E14FB2"/>
    <w:rsid w:val="00E159D2"/>
    <w:rsid w:val="00E203DD"/>
    <w:rsid w:val="00E21576"/>
    <w:rsid w:val="00E223FE"/>
    <w:rsid w:val="00E263ED"/>
    <w:rsid w:val="00E31527"/>
    <w:rsid w:val="00E46397"/>
    <w:rsid w:val="00E50F03"/>
    <w:rsid w:val="00E60B88"/>
    <w:rsid w:val="00E70035"/>
    <w:rsid w:val="00E75287"/>
    <w:rsid w:val="00E77E49"/>
    <w:rsid w:val="00E8385C"/>
    <w:rsid w:val="00E862A8"/>
    <w:rsid w:val="00E86726"/>
    <w:rsid w:val="00E93DAC"/>
    <w:rsid w:val="00E94374"/>
    <w:rsid w:val="00EB171F"/>
    <w:rsid w:val="00EB5761"/>
    <w:rsid w:val="00EC46E8"/>
    <w:rsid w:val="00EC4C50"/>
    <w:rsid w:val="00EC5603"/>
    <w:rsid w:val="00ED2BE0"/>
    <w:rsid w:val="00EE3CEF"/>
    <w:rsid w:val="00EE65FF"/>
    <w:rsid w:val="00EE6A55"/>
    <w:rsid w:val="00EF0107"/>
    <w:rsid w:val="00EF5971"/>
    <w:rsid w:val="00EF74B2"/>
    <w:rsid w:val="00F00DA3"/>
    <w:rsid w:val="00F019D5"/>
    <w:rsid w:val="00F036C6"/>
    <w:rsid w:val="00F0688A"/>
    <w:rsid w:val="00F141FF"/>
    <w:rsid w:val="00F14E8A"/>
    <w:rsid w:val="00F1561D"/>
    <w:rsid w:val="00F259EB"/>
    <w:rsid w:val="00F26CA9"/>
    <w:rsid w:val="00F306AD"/>
    <w:rsid w:val="00F314B6"/>
    <w:rsid w:val="00F343C0"/>
    <w:rsid w:val="00F3639E"/>
    <w:rsid w:val="00F37EFB"/>
    <w:rsid w:val="00F46CBF"/>
    <w:rsid w:val="00F51E9E"/>
    <w:rsid w:val="00F6329A"/>
    <w:rsid w:val="00F66598"/>
    <w:rsid w:val="00F8020B"/>
    <w:rsid w:val="00F86203"/>
    <w:rsid w:val="00F87512"/>
    <w:rsid w:val="00F92B91"/>
    <w:rsid w:val="00F93868"/>
    <w:rsid w:val="00FA1EFF"/>
    <w:rsid w:val="00FB4F70"/>
    <w:rsid w:val="00FC1748"/>
    <w:rsid w:val="00FC2B24"/>
    <w:rsid w:val="00FC31B1"/>
    <w:rsid w:val="00FC35D2"/>
    <w:rsid w:val="00FC6892"/>
    <w:rsid w:val="00FD1BBE"/>
    <w:rsid w:val="00FE1BFA"/>
    <w:rsid w:val="00FE53AF"/>
    <w:rsid w:val="00FE75F8"/>
    <w:rsid w:val="00FF3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BED4A"/>
  <w15:chartTrackingRefBased/>
  <w15:docId w15:val="{1C0DA3EB-40B7-4850-8286-7E80068EA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4B6"/>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314B6"/>
    <w:pPr>
      <w:outlineLvl w:val="0"/>
    </w:pPr>
    <w:rPr>
      <w:rFonts w:cs="Times New Roman"/>
      <w:b/>
      <w:szCs w:val="24"/>
    </w:rPr>
  </w:style>
  <w:style w:type="paragraph" w:styleId="Heading2">
    <w:name w:val="heading 2"/>
    <w:basedOn w:val="Normal"/>
    <w:next w:val="Normal"/>
    <w:link w:val="Heading2Char"/>
    <w:uiPriority w:val="9"/>
    <w:unhideWhenUsed/>
    <w:qFormat/>
    <w:rsid w:val="00F314B6"/>
    <w:pPr>
      <w:keepNext/>
      <w:keepLines/>
      <w:spacing w:before="40" w:after="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2D77C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4B6"/>
    <w:rPr>
      <w:rFonts w:ascii="Times New Roman" w:hAnsi="Times New Roman" w:cs="Times New Roman"/>
      <w:b/>
      <w:color w:val="000000" w:themeColor="text1"/>
      <w:sz w:val="24"/>
      <w:szCs w:val="24"/>
    </w:rPr>
  </w:style>
  <w:style w:type="character" w:customStyle="1" w:styleId="Heading2Char">
    <w:name w:val="Heading 2 Char"/>
    <w:basedOn w:val="DefaultParagraphFont"/>
    <w:link w:val="Heading2"/>
    <w:uiPriority w:val="9"/>
    <w:rsid w:val="00F314B6"/>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F314B6"/>
    <w:pPr>
      <w:ind w:left="720"/>
      <w:contextualSpacing/>
    </w:pPr>
    <w:rPr>
      <w:lang w:val="en-US"/>
    </w:rPr>
  </w:style>
  <w:style w:type="paragraph" w:styleId="Header">
    <w:name w:val="header"/>
    <w:basedOn w:val="Normal"/>
    <w:link w:val="HeaderChar"/>
    <w:uiPriority w:val="99"/>
    <w:unhideWhenUsed/>
    <w:rsid w:val="00393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49B"/>
    <w:rPr>
      <w:rFonts w:ascii="Times New Roman" w:hAnsi="Times New Roman"/>
      <w:color w:val="000000" w:themeColor="text1"/>
      <w:sz w:val="24"/>
    </w:rPr>
  </w:style>
  <w:style w:type="paragraph" w:styleId="Footer">
    <w:name w:val="footer"/>
    <w:basedOn w:val="Normal"/>
    <w:link w:val="FooterChar"/>
    <w:uiPriority w:val="99"/>
    <w:unhideWhenUsed/>
    <w:rsid w:val="00393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49B"/>
    <w:rPr>
      <w:rFonts w:ascii="Times New Roman" w:hAnsi="Times New Roman"/>
      <w:color w:val="000000" w:themeColor="text1"/>
      <w:sz w:val="24"/>
    </w:rPr>
  </w:style>
  <w:style w:type="paragraph" w:styleId="TOCHeading">
    <w:name w:val="TOC Heading"/>
    <w:basedOn w:val="Heading1"/>
    <w:next w:val="Normal"/>
    <w:uiPriority w:val="39"/>
    <w:unhideWhenUsed/>
    <w:qFormat/>
    <w:rsid w:val="00FF3EEB"/>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F3EEB"/>
    <w:pPr>
      <w:spacing w:after="100"/>
    </w:pPr>
  </w:style>
  <w:style w:type="paragraph" w:styleId="TOC2">
    <w:name w:val="toc 2"/>
    <w:basedOn w:val="Normal"/>
    <w:next w:val="Normal"/>
    <w:autoRedefine/>
    <w:uiPriority w:val="39"/>
    <w:unhideWhenUsed/>
    <w:rsid w:val="00FF3EEB"/>
    <w:pPr>
      <w:spacing w:after="100"/>
      <w:ind w:left="240"/>
    </w:pPr>
  </w:style>
  <w:style w:type="character" w:styleId="Hyperlink">
    <w:name w:val="Hyperlink"/>
    <w:basedOn w:val="DefaultParagraphFont"/>
    <w:uiPriority w:val="99"/>
    <w:unhideWhenUsed/>
    <w:rsid w:val="00FF3EEB"/>
    <w:rPr>
      <w:color w:val="0563C1" w:themeColor="hyperlink"/>
      <w:u w:val="single"/>
    </w:rPr>
  </w:style>
  <w:style w:type="character" w:customStyle="1" w:styleId="Heading4Char">
    <w:name w:val="Heading 4 Char"/>
    <w:basedOn w:val="DefaultParagraphFont"/>
    <w:link w:val="Heading4"/>
    <w:uiPriority w:val="9"/>
    <w:semiHidden/>
    <w:rsid w:val="002D77C2"/>
    <w:rPr>
      <w:rFonts w:asciiTheme="majorHAnsi" w:eastAsiaTheme="majorEastAsia" w:hAnsiTheme="majorHAnsi" w:cstheme="majorBidi"/>
      <w:i/>
      <w:iCs/>
      <w:color w:val="2F5496" w:themeColor="accent1" w:themeShade="BF"/>
      <w:sz w:val="24"/>
    </w:rPr>
  </w:style>
  <w:style w:type="character" w:styleId="UnresolvedMention">
    <w:name w:val="Unresolved Mention"/>
    <w:basedOn w:val="DefaultParagraphFont"/>
    <w:uiPriority w:val="99"/>
    <w:semiHidden/>
    <w:unhideWhenUsed/>
    <w:rsid w:val="006C2459"/>
    <w:rPr>
      <w:color w:val="605E5C"/>
      <w:shd w:val="clear" w:color="auto" w:fill="E1DFDD"/>
    </w:rPr>
  </w:style>
  <w:style w:type="table" w:styleId="TableGrid">
    <w:name w:val="Table Grid"/>
    <w:basedOn w:val="TableNormal"/>
    <w:uiPriority w:val="39"/>
    <w:rsid w:val="005A150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86C14"/>
    <w:pPr>
      <w:spacing w:before="100" w:beforeAutospacing="1" w:after="100" w:afterAutospacing="1" w:line="240" w:lineRule="auto"/>
      <w:jc w:val="left"/>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60450">
      <w:bodyDiv w:val="1"/>
      <w:marLeft w:val="0"/>
      <w:marRight w:val="0"/>
      <w:marTop w:val="0"/>
      <w:marBottom w:val="0"/>
      <w:divBdr>
        <w:top w:val="none" w:sz="0" w:space="0" w:color="auto"/>
        <w:left w:val="none" w:sz="0" w:space="0" w:color="auto"/>
        <w:bottom w:val="none" w:sz="0" w:space="0" w:color="auto"/>
        <w:right w:val="none" w:sz="0" w:space="0" w:color="auto"/>
      </w:divBdr>
    </w:div>
    <w:div w:id="150145170">
      <w:bodyDiv w:val="1"/>
      <w:marLeft w:val="0"/>
      <w:marRight w:val="0"/>
      <w:marTop w:val="0"/>
      <w:marBottom w:val="0"/>
      <w:divBdr>
        <w:top w:val="none" w:sz="0" w:space="0" w:color="auto"/>
        <w:left w:val="none" w:sz="0" w:space="0" w:color="auto"/>
        <w:bottom w:val="none" w:sz="0" w:space="0" w:color="auto"/>
        <w:right w:val="none" w:sz="0" w:space="0" w:color="auto"/>
      </w:divBdr>
    </w:div>
    <w:div w:id="181483109">
      <w:bodyDiv w:val="1"/>
      <w:marLeft w:val="0"/>
      <w:marRight w:val="0"/>
      <w:marTop w:val="0"/>
      <w:marBottom w:val="0"/>
      <w:divBdr>
        <w:top w:val="none" w:sz="0" w:space="0" w:color="auto"/>
        <w:left w:val="none" w:sz="0" w:space="0" w:color="auto"/>
        <w:bottom w:val="none" w:sz="0" w:space="0" w:color="auto"/>
        <w:right w:val="none" w:sz="0" w:space="0" w:color="auto"/>
      </w:divBdr>
    </w:div>
    <w:div w:id="196628220">
      <w:bodyDiv w:val="1"/>
      <w:marLeft w:val="0"/>
      <w:marRight w:val="0"/>
      <w:marTop w:val="0"/>
      <w:marBottom w:val="0"/>
      <w:divBdr>
        <w:top w:val="none" w:sz="0" w:space="0" w:color="auto"/>
        <w:left w:val="none" w:sz="0" w:space="0" w:color="auto"/>
        <w:bottom w:val="none" w:sz="0" w:space="0" w:color="auto"/>
        <w:right w:val="none" w:sz="0" w:space="0" w:color="auto"/>
      </w:divBdr>
    </w:div>
    <w:div w:id="314919406">
      <w:bodyDiv w:val="1"/>
      <w:marLeft w:val="0"/>
      <w:marRight w:val="0"/>
      <w:marTop w:val="0"/>
      <w:marBottom w:val="0"/>
      <w:divBdr>
        <w:top w:val="none" w:sz="0" w:space="0" w:color="auto"/>
        <w:left w:val="none" w:sz="0" w:space="0" w:color="auto"/>
        <w:bottom w:val="none" w:sz="0" w:space="0" w:color="auto"/>
        <w:right w:val="none" w:sz="0" w:space="0" w:color="auto"/>
      </w:divBdr>
    </w:div>
    <w:div w:id="324359625">
      <w:bodyDiv w:val="1"/>
      <w:marLeft w:val="0"/>
      <w:marRight w:val="0"/>
      <w:marTop w:val="0"/>
      <w:marBottom w:val="0"/>
      <w:divBdr>
        <w:top w:val="none" w:sz="0" w:space="0" w:color="auto"/>
        <w:left w:val="none" w:sz="0" w:space="0" w:color="auto"/>
        <w:bottom w:val="none" w:sz="0" w:space="0" w:color="auto"/>
        <w:right w:val="none" w:sz="0" w:space="0" w:color="auto"/>
      </w:divBdr>
    </w:div>
    <w:div w:id="342126551">
      <w:bodyDiv w:val="1"/>
      <w:marLeft w:val="0"/>
      <w:marRight w:val="0"/>
      <w:marTop w:val="0"/>
      <w:marBottom w:val="0"/>
      <w:divBdr>
        <w:top w:val="none" w:sz="0" w:space="0" w:color="auto"/>
        <w:left w:val="none" w:sz="0" w:space="0" w:color="auto"/>
        <w:bottom w:val="none" w:sz="0" w:space="0" w:color="auto"/>
        <w:right w:val="none" w:sz="0" w:space="0" w:color="auto"/>
      </w:divBdr>
    </w:div>
    <w:div w:id="583222239">
      <w:bodyDiv w:val="1"/>
      <w:marLeft w:val="0"/>
      <w:marRight w:val="0"/>
      <w:marTop w:val="0"/>
      <w:marBottom w:val="0"/>
      <w:divBdr>
        <w:top w:val="none" w:sz="0" w:space="0" w:color="auto"/>
        <w:left w:val="none" w:sz="0" w:space="0" w:color="auto"/>
        <w:bottom w:val="none" w:sz="0" w:space="0" w:color="auto"/>
        <w:right w:val="none" w:sz="0" w:space="0" w:color="auto"/>
      </w:divBdr>
    </w:div>
    <w:div w:id="587160585">
      <w:bodyDiv w:val="1"/>
      <w:marLeft w:val="0"/>
      <w:marRight w:val="0"/>
      <w:marTop w:val="0"/>
      <w:marBottom w:val="0"/>
      <w:divBdr>
        <w:top w:val="none" w:sz="0" w:space="0" w:color="auto"/>
        <w:left w:val="none" w:sz="0" w:space="0" w:color="auto"/>
        <w:bottom w:val="none" w:sz="0" w:space="0" w:color="auto"/>
        <w:right w:val="none" w:sz="0" w:space="0" w:color="auto"/>
      </w:divBdr>
    </w:div>
    <w:div w:id="655375489">
      <w:bodyDiv w:val="1"/>
      <w:marLeft w:val="0"/>
      <w:marRight w:val="0"/>
      <w:marTop w:val="0"/>
      <w:marBottom w:val="0"/>
      <w:divBdr>
        <w:top w:val="none" w:sz="0" w:space="0" w:color="auto"/>
        <w:left w:val="none" w:sz="0" w:space="0" w:color="auto"/>
        <w:bottom w:val="none" w:sz="0" w:space="0" w:color="auto"/>
        <w:right w:val="none" w:sz="0" w:space="0" w:color="auto"/>
      </w:divBdr>
    </w:div>
    <w:div w:id="868377575">
      <w:bodyDiv w:val="1"/>
      <w:marLeft w:val="0"/>
      <w:marRight w:val="0"/>
      <w:marTop w:val="0"/>
      <w:marBottom w:val="0"/>
      <w:divBdr>
        <w:top w:val="none" w:sz="0" w:space="0" w:color="auto"/>
        <w:left w:val="none" w:sz="0" w:space="0" w:color="auto"/>
        <w:bottom w:val="none" w:sz="0" w:space="0" w:color="auto"/>
        <w:right w:val="none" w:sz="0" w:space="0" w:color="auto"/>
      </w:divBdr>
    </w:div>
    <w:div w:id="981303171">
      <w:bodyDiv w:val="1"/>
      <w:marLeft w:val="0"/>
      <w:marRight w:val="0"/>
      <w:marTop w:val="0"/>
      <w:marBottom w:val="0"/>
      <w:divBdr>
        <w:top w:val="none" w:sz="0" w:space="0" w:color="auto"/>
        <w:left w:val="none" w:sz="0" w:space="0" w:color="auto"/>
        <w:bottom w:val="none" w:sz="0" w:space="0" w:color="auto"/>
        <w:right w:val="none" w:sz="0" w:space="0" w:color="auto"/>
      </w:divBdr>
    </w:div>
    <w:div w:id="1096443200">
      <w:bodyDiv w:val="1"/>
      <w:marLeft w:val="0"/>
      <w:marRight w:val="0"/>
      <w:marTop w:val="0"/>
      <w:marBottom w:val="0"/>
      <w:divBdr>
        <w:top w:val="none" w:sz="0" w:space="0" w:color="auto"/>
        <w:left w:val="none" w:sz="0" w:space="0" w:color="auto"/>
        <w:bottom w:val="none" w:sz="0" w:space="0" w:color="auto"/>
        <w:right w:val="none" w:sz="0" w:space="0" w:color="auto"/>
      </w:divBdr>
      <w:divsChild>
        <w:div w:id="1061565016">
          <w:marLeft w:val="547"/>
          <w:marRight w:val="0"/>
          <w:marTop w:val="200"/>
          <w:marBottom w:val="0"/>
          <w:divBdr>
            <w:top w:val="none" w:sz="0" w:space="0" w:color="auto"/>
            <w:left w:val="none" w:sz="0" w:space="0" w:color="auto"/>
            <w:bottom w:val="none" w:sz="0" w:space="0" w:color="auto"/>
            <w:right w:val="none" w:sz="0" w:space="0" w:color="auto"/>
          </w:divBdr>
        </w:div>
        <w:div w:id="114715259">
          <w:marLeft w:val="547"/>
          <w:marRight w:val="0"/>
          <w:marTop w:val="200"/>
          <w:marBottom w:val="0"/>
          <w:divBdr>
            <w:top w:val="none" w:sz="0" w:space="0" w:color="auto"/>
            <w:left w:val="none" w:sz="0" w:space="0" w:color="auto"/>
            <w:bottom w:val="none" w:sz="0" w:space="0" w:color="auto"/>
            <w:right w:val="none" w:sz="0" w:space="0" w:color="auto"/>
          </w:divBdr>
        </w:div>
        <w:div w:id="359858484">
          <w:marLeft w:val="547"/>
          <w:marRight w:val="0"/>
          <w:marTop w:val="200"/>
          <w:marBottom w:val="0"/>
          <w:divBdr>
            <w:top w:val="none" w:sz="0" w:space="0" w:color="auto"/>
            <w:left w:val="none" w:sz="0" w:space="0" w:color="auto"/>
            <w:bottom w:val="none" w:sz="0" w:space="0" w:color="auto"/>
            <w:right w:val="none" w:sz="0" w:space="0" w:color="auto"/>
          </w:divBdr>
        </w:div>
        <w:div w:id="1975520412">
          <w:marLeft w:val="547"/>
          <w:marRight w:val="0"/>
          <w:marTop w:val="200"/>
          <w:marBottom w:val="0"/>
          <w:divBdr>
            <w:top w:val="none" w:sz="0" w:space="0" w:color="auto"/>
            <w:left w:val="none" w:sz="0" w:space="0" w:color="auto"/>
            <w:bottom w:val="none" w:sz="0" w:space="0" w:color="auto"/>
            <w:right w:val="none" w:sz="0" w:space="0" w:color="auto"/>
          </w:divBdr>
        </w:div>
        <w:div w:id="785319185">
          <w:marLeft w:val="547"/>
          <w:marRight w:val="0"/>
          <w:marTop w:val="200"/>
          <w:marBottom w:val="0"/>
          <w:divBdr>
            <w:top w:val="none" w:sz="0" w:space="0" w:color="auto"/>
            <w:left w:val="none" w:sz="0" w:space="0" w:color="auto"/>
            <w:bottom w:val="none" w:sz="0" w:space="0" w:color="auto"/>
            <w:right w:val="none" w:sz="0" w:space="0" w:color="auto"/>
          </w:divBdr>
        </w:div>
        <w:div w:id="50076326">
          <w:marLeft w:val="547"/>
          <w:marRight w:val="0"/>
          <w:marTop w:val="200"/>
          <w:marBottom w:val="0"/>
          <w:divBdr>
            <w:top w:val="none" w:sz="0" w:space="0" w:color="auto"/>
            <w:left w:val="none" w:sz="0" w:space="0" w:color="auto"/>
            <w:bottom w:val="none" w:sz="0" w:space="0" w:color="auto"/>
            <w:right w:val="none" w:sz="0" w:space="0" w:color="auto"/>
          </w:divBdr>
        </w:div>
        <w:div w:id="419833862">
          <w:marLeft w:val="547"/>
          <w:marRight w:val="0"/>
          <w:marTop w:val="200"/>
          <w:marBottom w:val="0"/>
          <w:divBdr>
            <w:top w:val="none" w:sz="0" w:space="0" w:color="auto"/>
            <w:left w:val="none" w:sz="0" w:space="0" w:color="auto"/>
            <w:bottom w:val="none" w:sz="0" w:space="0" w:color="auto"/>
            <w:right w:val="none" w:sz="0" w:space="0" w:color="auto"/>
          </w:divBdr>
        </w:div>
        <w:div w:id="340545547">
          <w:marLeft w:val="547"/>
          <w:marRight w:val="0"/>
          <w:marTop w:val="200"/>
          <w:marBottom w:val="0"/>
          <w:divBdr>
            <w:top w:val="none" w:sz="0" w:space="0" w:color="auto"/>
            <w:left w:val="none" w:sz="0" w:space="0" w:color="auto"/>
            <w:bottom w:val="none" w:sz="0" w:space="0" w:color="auto"/>
            <w:right w:val="none" w:sz="0" w:space="0" w:color="auto"/>
          </w:divBdr>
        </w:div>
        <w:div w:id="792670958">
          <w:marLeft w:val="547"/>
          <w:marRight w:val="0"/>
          <w:marTop w:val="200"/>
          <w:marBottom w:val="0"/>
          <w:divBdr>
            <w:top w:val="none" w:sz="0" w:space="0" w:color="auto"/>
            <w:left w:val="none" w:sz="0" w:space="0" w:color="auto"/>
            <w:bottom w:val="none" w:sz="0" w:space="0" w:color="auto"/>
            <w:right w:val="none" w:sz="0" w:space="0" w:color="auto"/>
          </w:divBdr>
        </w:div>
        <w:div w:id="1661545346">
          <w:marLeft w:val="547"/>
          <w:marRight w:val="0"/>
          <w:marTop w:val="200"/>
          <w:marBottom w:val="0"/>
          <w:divBdr>
            <w:top w:val="none" w:sz="0" w:space="0" w:color="auto"/>
            <w:left w:val="none" w:sz="0" w:space="0" w:color="auto"/>
            <w:bottom w:val="none" w:sz="0" w:space="0" w:color="auto"/>
            <w:right w:val="none" w:sz="0" w:space="0" w:color="auto"/>
          </w:divBdr>
        </w:div>
      </w:divsChild>
    </w:div>
    <w:div w:id="1139034195">
      <w:bodyDiv w:val="1"/>
      <w:marLeft w:val="0"/>
      <w:marRight w:val="0"/>
      <w:marTop w:val="0"/>
      <w:marBottom w:val="0"/>
      <w:divBdr>
        <w:top w:val="none" w:sz="0" w:space="0" w:color="auto"/>
        <w:left w:val="none" w:sz="0" w:space="0" w:color="auto"/>
        <w:bottom w:val="none" w:sz="0" w:space="0" w:color="auto"/>
        <w:right w:val="none" w:sz="0" w:space="0" w:color="auto"/>
      </w:divBdr>
    </w:div>
    <w:div w:id="1240599315">
      <w:bodyDiv w:val="1"/>
      <w:marLeft w:val="0"/>
      <w:marRight w:val="0"/>
      <w:marTop w:val="0"/>
      <w:marBottom w:val="0"/>
      <w:divBdr>
        <w:top w:val="none" w:sz="0" w:space="0" w:color="auto"/>
        <w:left w:val="none" w:sz="0" w:space="0" w:color="auto"/>
        <w:bottom w:val="none" w:sz="0" w:space="0" w:color="auto"/>
        <w:right w:val="none" w:sz="0" w:space="0" w:color="auto"/>
      </w:divBdr>
    </w:div>
    <w:div w:id="1335494028">
      <w:bodyDiv w:val="1"/>
      <w:marLeft w:val="0"/>
      <w:marRight w:val="0"/>
      <w:marTop w:val="0"/>
      <w:marBottom w:val="0"/>
      <w:divBdr>
        <w:top w:val="none" w:sz="0" w:space="0" w:color="auto"/>
        <w:left w:val="none" w:sz="0" w:space="0" w:color="auto"/>
        <w:bottom w:val="none" w:sz="0" w:space="0" w:color="auto"/>
        <w:right w:val="none" w:sz="0" w:space="0" w:color="auto"/>
      </w:divBdr>
    </w:div>
    <w:div w:id="1584561579">
      <w:bodyDiv w:val="1"/>
      <w:marLeft w:val="0"/>
      <w:marRight w:val="0"/>
      <w:marTop w:val="0"/>
      <w:marBottom w:val="0"/>
      <w:divBdr>
        <w:top w:val="none" w:sz="0" w:space="0" w:color="auto"/>
        <w:left w:val="none" w:sz="0" w:space="0" w:color="auto"/>
        <w:bottom w:val="none" w:sz="0" w:space="0" w:color="auto"/>
        <w:right w:val="none" w:sz="0" w:space="0" w:color="auto"/>
      </w:divBdr>
    </w:div>
    <w:div w:id="1898930658">
      <w:bodyDiv w:val="1"/>
      <w:marLeft w:val="0"/>
      <w:marRight w:val="0"/>
      <w:marTop w:val="0"/>
      <w:marBottom w:val="0"/>
      <w:divBdr>
        <w:top w:val="none" w:sz="0" w:space="0" w:color="auto"/>
        <w:left w:val="none" w:sz="0" w:space="0" w:color="auto"/>
        <w:bottom w:val="none" w:sz="0" w:space="0" w:color="auto"/>
        <w:right w:val="none" w:sz="0" w:space="0" w:color="auto"/>
      </w:divBdr>
    </w:div>
    <w:div w:id="1948543980">
      <w:bodyDiv w:val="1"/>
      <w:marLeft w:val="0"/>
      <w:marRight w:val="0"/>
      <w:marTop w:val="0"/>
      <w:marBottom w:val="0"/>
      <w:divBdr>
        <w:top w:val="none" w:sz="0" w:space="0" w:color="auto"/>
        <w:left w:val="none" w:sz="0" w:space="0" w:color="auto"/>
        <w:bottom w:val="none" w:sz="0" w:space="0" w:color="auto"/>
        <w:right w:val="none" w:sz="0" w:space="0" w:color="auto"/>
      </w:divBdr>
    </w:div>
    <w:div w:id="1982731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96DE9-1F70-483A-905D-F73E922091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1914</Words>
  <Characters>10910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KOLHP000130</dc:creator>
  <cp:keywords/>
  <dc:description/>
  <cp:lastModifiedBy>Borislava Zlatanova</cp:lastModifiedBy>
  <cp:revision>2</cp:revision>
  <dcterms:created xsi:type="dcterms:W3CDTF">2023-01-02T15:39:00Z</dcterms:created>
  <dcterms:modified xsi:type="dcterms:W3CDTF">2023-01-02T15:39:00Z</dcterms:modified>
</cp:coreProperties>
</file>