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4C90" w:rsidRDefault="00F54C90" w:rsidP="00F54C90">
      <w:pPr>
        <w:pStyle w:val="NormalWeb"/>
        <w:spacing w:before="0" w:beforeAutospacing="0" w:after="0" w:afterAutospacing="0"/>
        <w:ind w:left="-180" w:right="-334"/>
      </w:pPr>
      <w:r>
        <w:rPr>
          <w:noProof/>
        </w:rPr>
        <w:drawing>
          <wp:inline distT="0" distB="0" distL="0" distR="0" wp14:anchorId="1921AE7A" wp14:editId="3C2F3F5C">
            <wp:extent cx="1907540" cy="635635"/>
            <wp:effectExtent l="25400" t="25400" r="10160" b="1206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rsidR="00F54C90" w:rsidRDefault="00F54C90" w:rsidP="00F54C90">
      <w:pPr>
        <w:pStyle w:val="NormalWeb"/>
        <w:spacing w:before="0" w:beforeAutospacing="0" w:after="0" w:afterAutospacing="0"/>
        <w:ind w:left="-180" w:right="-334"/>
      </w:pPr>
    </w:p>
    <w:p w:rsidR="00F54C90" w:rsidRDefault="00F54C90" w:rsidP="00F54C90">
      <w:pPr>
        <w:pStyle w:val="NormalWeb"/>
        <w:spacing w:before="0" w:beforeAutospacing="0" w:after="0" w:afterAutospacing="0"/>
        <w:ind w:left="-180" w:right="-334"/>
      </w:pPr>
    </w:p>
    <w:p w:rsidR="00F54C90" w:rsidRDefault="00F54C90" w:rsidP="00F54C9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F54C90" w:rsidRPr="00230F35" w:rsidRDefault="00F54C90" w:rsidP="00F54C9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F54C90" w:rsidRPr="00230F35" w:rsidRDefault="00F54C90" w:rsidP="00F54C90">
      <w:pPr>
        <w:rPr>
          <w:rFonts w:ascii="Arial" w:hAnsi="Arial" w:cs="Arial"/>
          <w:sz w:val="28"/>
          <w:szCs w:val="28"/>
          <w:lang w:val="cy-GB"/>
        </w:rPr>
      </w:pPr>
    </w:p>
    <w:p w:rsidR="00F54C90" w:rsidRDefault="00F54C90" w:rsidP="00F54C90">
      <w:pPr>
        <w:pStyle w:val="Heading3"/>
        <w:jc w:val="center"/>
        <w:rPr>
          <w:lang w:val="cy-GB"/>
        </w:rPr>
      </w:pPr>
      <w:r>
        <w:rPr>
          <w:lang w:val="cy-GB"/>
        </w:rPr>
        <w:t>THIS SHEET MUST BE THE FIRST PAGE OF THE ASSIGNMENT YOU ARE SUBMITTING  (DO NOT SEND AS A SEPARATE FILE)</w:t>
      </w:r>
    </w:p>
    <w:p w:rsidR="00F54C90" w:rsidRDefault="00F54C90" w:rsidP="00F54C9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54C90" w:rsidRPr="00230F35" w:rsidTr="00454262">
        <w:trPr>
          <w:trHeight w:val="614"/>
        </w:trPr>
        <w:tc>
          <w:tcPr>
            <w:tcW w:w="8856" w:type="dxa"/>
            <w:gridSpan w:val="5"/>
          </w:tcPr>
          <w:p w:rsidR="00F54C90" w:rsidRPr="00230F35"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54C90" w:rsidRPr="00230F35" w:rsidTr="00454262">
        <w:trPr>
          <w:trHeight w:val="718"/>
        </w:trPr>
        <w:tc>
          <w:tcPr>
            <w:tcW w:w="8856" w:type="dxa"/>
            <w:gridSpan w:val="5"/>
          </w:tcPr>
          <w:p w:rsidR="00F54C90"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F54C90" w:rsidRPr="00230F35" w:rsidRDefault="00801763" w:rsidP="00454262">
            <w:pPr>
              <w:pStyle w:val="NormalWeb"/>
              <w:spacing w:before="0" w:beforeAutospacing="0" w:after="0" w:afterAutospacing="0"/>
              <w:ind w:right="34"/>
              <w:rPr>
                <w:rFonts w:ascii="Arial" w:hAnsi="Arial" w:cs="Arial"/>
                <w:sz w:val="22"/>
                <w:szCs w:val="22"/>
              </w:rPr>
            </w:pPr>
            <w:r>
              <w:rPr>
                <w:rFonts w:ascii="Arial" w:hAnsi="Arial" w:cs="Arial"/>
                <w:sz w:val="22"/>
                <w:szCs w:val="22"/>
              </w:rPr>
              <w:t>Danielle Marie Goldstein</w:t>
            </w:r>
          </w:p>
        </w:tc>
      </w:tr>
      <w:tr w:rsidR="00F54C90" w:rsidRPr="00230F35" w:rsidTr="00454262">
        <w:trPr>
          <w:trHeight w:val="849"/>
        </w:trPr>
        <w:tc>
          <w:tcPr>
            <w:tcW w:w="4788" w:type="dxa"/>
          </w:tcPr>
          <w:p w:rsidR="00F54C90" w:rsidRPr="00230F35"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801763">
              <w:rPr>
                <w:rFonts w:ascii="Arial" w:hAnsi="Arial" w:cs="Arial"/>
                <w:sz w:val="22"/>
                <w:szCs w:val="22"/>
              </w:rPr>
              <w:t xml:space="preserve"> HPCA7009</w:t>
            </w:r>
          </w:p>
          <w:p w:rsidR="00F54C90" w:rsidRPr="00230F35" w:rsidRDefault="00F54C90" w:rsidP="00454262">
            <w:pPr>
              <w:pStyle w:val="NormalWeb"/>
              <w:spacing w:before="0" w:beforeAutospacing="0" w:after="0" w:afterAutospacing="0"/>
              <w:ind w:right="34"/>
              <w:rPr>
                <w:rFonts w:ascii="Arial" w:hAnsi="Arial" w:cs="Arial"/>
                <w:sz w:val="22"/>
                <w:szCs w:val="22"/>
              </w:rPr>
            </w:pPr>
          </w:p>
          <w:p w:rsidR="00F54C90"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801763">
              <w:rPr>
                <w:rFonts w:ascii="Arial" w:hAnsi="Arial" w:cs="Arial"/>
                <w:sz w:val="22"/>
                <w:szCs w:val="22"/>
              </w:rPr>
              <w:t xml:space="preserve">  Skyscapes, Cosmology and Archaeology</w:t>
            </w:r>
          </w:p>
          <w:p w:rsidR="00F54C90" w:rsidRDefault="00F54C90" w:rsidP="00454262">
            <w:pPr>
              <w:pStyle w:val="NormalWeb"/>
              <w:spacing w:before="0" w:beforeAutospacing="0" w:after="0" w:afterAutospacing="0"/>
              <w:ind w:right="34"/>
              <w:rPr>
                <w:rFonts w:ascii="Arial" w:hAnsi="Arial" w:cs="Arial"/>
                <w:sz w:val="22"/>
                <w:szCs w:val="22"/>
              </w:rPr>
            </w:pPr>
          </w:p>
          <w:p w:rsidR="00F54C90" w:rsidRPr="00230F35" w:rsidRDefault="00F54C90" w:rsidP="00454262">
            <w:pPr>
              <w:pStyle w:val="NormalWeb"/>
              <w:spacing w:before="0" w:beforeAutospacing="0" w:after="0" w:afterAutospacing="0"/>
              <w:ind w:right="34"/>
              <w:rPr>
                <w:rFonts w:ascii="Arial" w:hAnsi="Arial" w:cs="Arial"/>
                <w:sz w:val="22"/>
                <w:szCs w:val="22"/>
              </w:rPr>
            </w:pPr>
          </w:p>
        </w:tc>
        <w:tc>
          <w:tcPr>
            <w:tcW w:w="2266" w:type="dxa"/>
            <w:gridSpan w:val="3"/>
          </w:tcPr>
          <w:p w:rsidR="00F54C90" w:rsidRPr="00230F35"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801763">
              <w:rPr>
                <w:rFonts w:ascii="Arial" w:hAnsi="Arial" w:cs="Arial"/>
                <w:sz w:val="22"/>
                <w:szCs w:val="22"/>
              </w:rPr>
              <w:t xml:space="preserve"> </w:t>
            </w:r>
            <w:r w:rsidR="001F0E97">
              <w:rPr>
                <w:rFonts w:ascii="Arial" w:hAnsi="Arial" w:cs="Arial"/>
                <w:sz w:val="22"/>
                <w:szCs w:val="22"/>
              </w:rPr>
              <w:t>171</w:t>
            </w:r>
            <w:r w:rsidR="001F0E97" w:rsidRPr="001F0E97">
              <w:rPr>
                <w:rFonts w:ascii="Arial" w:hAnsi="Arial" w:cs="Arial"/>
                <w:sz w:val="22"/>
                <w:szCs w:val="22"/>
              </w:rPr>
              <w:t>0933</w:t>
            </w:r>
          </w:p>
        </w:tc>
        <w:tc>
          <w:tcPr>
            <w:tcW w:w="1802" w:type="dxa"/>
          </w:tcPr>
          <w:p w:rsidR="00F54C90" w:rsidRPr="00230F35"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F54C90" w:rsidRPr="00230F35"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54C90" w:rsidRPr="00230F35" w:rsidTr="00454262">
        <w:trPr>
          <w:trHeight w:val="1139"/>
        </w:trPr>
        <w:tc>
          <w:tcPr>
            <w:tcW w:w="8856" w:type="dxa"/>
            <w:gridSpan w:val="5"/>
          </w:tcPr>
          <w:p w:rsidR="001F0E97" w:rsidRDefault="00F54C90" w:rsidP="001F0E97">
            <w:pPr>
              <w:rPr>
                <w:rFonts w:eastAsia="Times New Roman"/>
                <w:lang w:val="en-US" w:eastAsia="en-US"/>
              </w:rPr>
            </w:pPr>
            <w:r>
              <w:rPr>
                <w:rFonts w:ascii="Arial" w:hAnsi="Arial" w:cs="Arial"/>
                <w:sz w:val="22"/>
                <w:szCs w:val="22"/>
              </w:rPr>
              <w:t>Module tutor:</w:t>
            </w:r>
            <w:r w:rsidR="001F0E97">
              <w:rPr>
                <w:rFonts w:ascii="Arial" w:hAnsi="Arial" w:cs="Arial"/>
                <w:sz w:val="22"/>
                <w:szCs w:val="22"/>
              </w:rPr>
              <w:t xml:space="preserve">  Fabio Silva, Bernadette Brady and Kim Malville</w:t>
            </w:r>
          </w:p>
          <w:p w:rsidR="00F54C90" w:rsidRPr="00230F35" w:rsidRDefault="00F54C90" w:rsidP="00454262">
            <w:pPr>
              <w:pStyle w:val="NormalWeb"/>
              <w:spacing w:before="0" w:beforeAutospacing="0" w:after="0" w:afterAutospacing="0"/>
              <w:ind w:right="34"/>
              <w:rPr>
                <w:rFonts w:ascii="Arial" w:hAnsi="Arial" w:cs="Arial"/>
                <w:sz w:val="22"/>
                <w:szCs w:val="22"/>
              </w:rPr>
            </w:pPr>
          </w:p>
          <w:p w:rsidR="00F54C90" w:rsidRPr="00230F35" w:rsidRDefault="00F54C90" w:rsidP="00454262">
            <w:pPr>
              <w:pStyle w:val="NormalWeb"/>
              <w:spacing w:before="0" w:beforeAutospacing="0" w:after="0" w:afterAutospacing="0"/>
              <w:ind w:right="34"/>
              <w:rPr>
                <w:rFonts w:ascii="Arial" w:hAnsi="Arial" w:cs="Arial"/>
                <w:sz w:val="22"/>
                <w:szCs w:val="22"/>
              </w:rPr>
            </w:pPr>
          </w:p>
          <w:p w:rsidR="00F54C90" w:rsidRDefault="00F54C90" w:rsidP="00454262">
            <w:pPr>
              <w:pStyle w:val="NormalWeb"/>
              <w:spacing w:before="0" w:beforeAutospacing="0" w:after="0" w:afterAutospacing="0"/>
              <w:ind w:right="34"/>
              <w:rPr>
                <w:rFonts w:ascii="Arial" w:hAnsi="Arial" w:cs="Arial"/>
                <w:sz w:val="22"/>
                <w:szCs w:val="22"/>
              </w:rPr>
            </w:pPr>
          </w:p>
          <w:p w:rsidR="00F54C90" w:rsidRPr="00230F35"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F0E97">
              <w:rPr>
                <w:rFonts w:ascii="Arial" w:hAnsi="Arial" w:cs="Arial"/>
                <w:sz w:val="22"/>
                <w:szCs w:val="22"/>
              </w:rPr>
              <w:t xml:space="preserve"> March 4</w:t>
            </w:r>
            <w:r w:rsidR="001F0E97" w:rsidRPr="001F0E97">
              <w:rPr>
                <w:rFonts w:ascii="Arial" w:hAnsi="Arial" w:cs="Arial"/>
                <w:sz w:val="22"/>
                <w:szCs w:val="22"/>
                <w:vertAlign w:val="superscript"/>
              </w:rPr>
              <w:t>th</w:t>
            </w:r>
            <w:r w:rsidR="001F0E97">
              <w:rPr>
                <w:rFonts w:ascii="Arial" w:hAnsi="Arial" w:cs="Arial"/>
                <w:sz w:val="22"/>
                <w:szCs w:val="22"/>
              </w:rPr>
              <w:t>, 2019</w:t>
            </w:r>
          </w:p>
        </w:tc>
      </w:tr>
      <w:tr w:rsidR="00F54C90" w:rsidRPr="00230F35" w:rsidTr="00454262">
        <w:trPr>
          <w:trHeight w:val="978"/>
        </w:trPr>
        <w:tc>
          <w:tcPr>
            <w:tcW w:w="8856" w:type="dxa"/>
            <w:gridSpan w:val="5"/>
            <w:tcBorders>
              <w:bottom w:val="single" w:sz="4" w:space="0" w:color="000000"/>
            </w:tcBorders>
          </w:tcPr>
          <w:p w:rsidR="00F54C90" w:rsidRDefault="00F54C90" w:rsidP="00454262">
            <w:pPr>
              <w:rPr>
                <w:rFonts w:ascii="Arial" w:hAnsi="Arial" w:cs="Arial"/>
                <w:sz w:val="22"/>
                <w:szCs w:val="22"/>
              </w:rPr>
            </w:pPr>
            <w:r>
              <w:rPr>
                <w:rFonts w:ascii="Arial" w:hAnsi="Arial" w:cs="Arial"/>
                <w:sz w:val="22"/>
                <w:szCs w:val="22"/>
              </w:rPr>
              <w:t xml:space="preserve">If your module has multiple </w:t>
            </w:r>
            <w:r w:rsidR="00347888">
              <w:rPr>
                <w:rFonts w:ascii="Arial" w:hAnsi="Arial" w:cs="Arial"/>
                <w:sz w:val="22"/>
                <w:szCs w:val="22"/>
              </w:rPr>
              <w:t>submissions,</w:t>
            </w:r>
            <w:r>
              <w:rPr>
                <w:rFonts w:ascii="Arial" w:hAnsi="Arial" w:cs="Arial"/>
                <w:sz w:val="22"/>
                <w:szCs w:val="22"/>
              </w:rPr>
              <w:t xml:space="preserve"> please indicate which piece of work this is.</w:t>
            </w:r>
          </w:p>
          <w:p w:rsidR="00F54C90" w:rsidRDefault="00F54C90" w:rsidP="00454262">
            <w:pPr>
              <w:rPr>
                <w:rFonts w:ascii="Arial" w:hAnsi="Arial" w:cs="Arial"/>
                <w:sz w:val="22"/>
                <w:szCs w:val="22"/>
              </w:rPr>
            </w:pPr>
          </w:p>
          <w:p w:rsidR="00F54C90" w:rsidRPr="00230F35" w:rsidRDefault="00F54C90" w:rsidP="00454262">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1F0E97">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205A3E">
              <w:rPr>
                <w:rFonts w:ascii="Arial" w:hAnsi="Arial" w:cs="Arial"/>
                <w:sz w:val="22"/>
                <w:szCs w:val="22"/>
              </w:rPr>
            </w:r>
            <w:r w:rsidR="00205A3E">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205A3E">
              <w:rPr>
                <w:rFonts w:ascii="Arial" w:hAnsi="Arial" w:cs="Arial"/>
                <w:sz w:val="22"/>
                <w:szCs w:val="22"/>
              </w:rPr>
            </w:r>
            <w:r w:rsidR="00205A3E">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205A3E">
              <w:rPr>
                <w:rFonts w:ascii="Arial" w:hAnsi="Arial" w:cs="Arial"/>
                <w:sz w:val="22"/>
                <w:szCs w:val="22"/>
              </w:rPr>
            </w:r>
            <w:r w:rsidR="00205A3E">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205A3E">
              <w:rPr>
                <w:rFonts w:ascii="Arial" w:hAnsi="Arial" w:cs="Arial"/>
                <w:sz w:val="22"/>
                <w:szCs w:val="22"/>
              </w:rPr>
            </w:r>
            <w:r w:rsidR="00205A3E">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205A3E">
              <w:rPr>
                <w:rFonts w:ascii="Arial" w:hAnsi="Arial" w:cs="Arial"/>
                <w:sz w:val="22"/>
                <w:szCs w:val="22"/>
              </w:rPr>
            </w:r>
            <w:r w:rsidR="00205A3E">
              <w:rPr>
                <w:rFonts w:ascii="Arial" w:hAnsi="Arial" w:cs="Arial"/>
                <w:sz w:val="22"/>
                <w:szCs w:val="22"/>
              </w:rPr>
              <w:fldChar w:fldCharType="separate"/>
            </w:r>
            <w:r w:rsidRPr="00230F35">
              <w:rPr>
                <w:rFonts w:ascii="Arial" w:hAnsi="Arial" w:cs="Arial"/>
                <w:sz w:val="22"/>
                <w:szCs w:val="22"/>
              </w:rPr>
              <w:fldChar w:fldCharType="end"/>
            </w:r>
            <w:bookmarkEnd w:id="4"/>
          </w:p>
        </w:tc>
      </w:tr>
      <w:tr w:rsidR="00F54C90" w:rsidRPr="00230F35" w:rsidTr="00454262">
        <w:trPr>
          <w:trHeight w:val="978"/>
        </w:trPr>
        <w:tc>
          <w:tcPr>
            <w:tcW w:w="8856" w:type="dxa"/>
            <w:gridSpan w:val="5"/>
            <w:shd w:val="clear" w:color="auto" w:fill="D9D9D9"/>
          </w:tcPr>
          <w:p w:rsidR="00F54C90" w:rsidRPr="00230F35" w:rsidRDefault="00F54C90"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F54C90" w:rsidRDefault="00E6748A" w:rsidP="0045426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Danielle</w:t>
            </w:r>
            <w:r w:rsidR="001F0E97">
              <w:rPr>
                <w:rFonts w:ascii="Arial" w:hAnsi="Arial" w:cs="Arial"/>
                <w:sz w:val="22"/>
                <w:szCs w:val="22"/>
              </w:rPr>
              <w:t xml:space="preserve"> Marie Goldstein</w:t>
            </w:r>
          </w:p>
          <w:p w:rsidR="00F54C90" w:rsidRDefault="00F54C90" w:rsidP="0045426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1F0E97">
              <w:rPr>
                <w:rFonts w:ascii="Calibri" w:hAnsi="Calibri" w:cs="Calibri"/>
                <w:b/>
                <w:sz w:val="44"/>
                <w:szCs w:val="44"/>
              </w:rPr>
              <w:t>X</w:t>
            </w:r>
          </w:p>
          <w:p w:rsidR="00F54C90" w:rsidRPr="00230F35" w:rsidRDefault="00F54C90" w:rsidP="0045426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54C90" w:rsidRPr="00230F35" w:rsidTr="00454262">
        <w:trPr>
          <w:trHeight w:val="3972"/>
        </w:trPr>
        <w:tc>
          <w:tcPr>
            <w:tcW w:w="8856" w:type="dxa"/>
            <w:gridSpan w:val="5"/>
          </w:tcPr>
          <w:p w:rsidR="00F54C90" w:rsidRDefault="00F54C90" w:rsidP="00454262">
            <w:pPr>
              <w:rPr>
                <w:rFonts w:ascii="Arial" w:hAnsi="Arial"/>
                <w:b/>
              </w:rPr>
            </w:pPr>
          </w:p>
          <w:p w:rsidR="00F54C90" w:rsidRPr="00116CE6" w:rsidRDefault="00F54C90" w:rsidP="0045426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54C90" w:rsidRPr="00116CE6" w:rsidTr="00454262">
              <w:tc>
                <w:tcPr>
                  <w:tcW w:w="6970" w:type="dxa"/>
                </w:tcPr>
                <w:p w:rsidR="00F54C90" w:rsidRPr="00116CE6" w:rsidRDefault="00F54C90" w:rsidP="00454262">
                  <w:pPr>
                    <w:rPr>
                      <w:rFonts w:ascii="Arial" w:hAnsi="Arial"/>
                      <w:sz w:val="20"/>
                      <w:szCs w:val="20"/>
                    </w:rPr>
                  </w:pPr>
                </w:p>
                <w:p w:rsidR="00F54C90" w:rsidRPr="00116CE6" w:rsidRDefault="00F54C90" w:rsidP="0045426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F54C90" w:rsidRPr="00116CE6" w:rsidRDefault="00F54C90" w:rsidP="00454262">
                  <w:pPr>
                    <w:rPr>
                      <w:rFonts w:ascii="Arial" w:hAnsi="Arial"/>
                      <w:sz w:val="20"/>
                      <w:szCs w:val="20"/>
                    </w:rPr>
                  </w:pPr>
                </w:p>
              </w:tc>
            </w:tr>
            <w:tr w:rsidR="00F54C90" w:rsidRPr="00116CE6" w:rsidTr="00454262">
              <w:tc>
                <w:tcPr>
                  <w:tcW w:w="6970" w:type="dxa"/>
                </w:tcPr>
                <w:p w:rsidR="00F54C90" w:rsidRPr="00116CE6" w:rsidRDefault="00F54C90" w:rsidP="00454262">
                  <w:pPr>
                    <w:rPr>
                      <w:rFonts w:ascii="Arial" w:hAnsi="Arial"/>
                      <w:sz w:val="20"/>
                      <w:szCs w:val="20"/>
                    </w:rPr>
                  </w:pPr>
                </w:p>
                <w:p w:rsidR="00F54C90" w:rsidRPr="00116CE6" w:rsidRDefault="00F54C90" w:rsidP="0045426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F54C90" w:rsidRPr="00116CE6" w:rsidRDefault="00F54C90" w:rsidP="00454262">
                  <w:pPr>
                    <w:rPr>
                      <w:rFonts w:ascii="Arial" w:hAnsi="Arial"/>
                      <w:sz w:val="20"/>
                      <w:szCs w:val="20"/>
                    </w:rPr>
                  </w:pPr>
                </w:p>
              </w:tc>
            </w:tr>
            <w:tr w:rsidR="00F54C90" w:rsidRPr="00116CE6" w:rsidTr="00454262">
              <w:tc>
                <w:tcPr>
                  <w:tcW w:w="6970" w:type="dxa"/>
                </w:tcPr>
                <w:p w:rsidR="00F54C90" w:rsidRPr="006367FD" w:rsidRDefault="00F54C90" w:rsidP="00454262">
                  <w:pPr>
                    <w:rPr>
                      <w:rFonts w:ascii="Arial" w:hAnsi="Arial"/>
                      <w:color w:val="000000"/>
                      <w:sz w:val="20"/>
                      <w:szCs w:val="20"/>
                    </w:rPr>
                  </w:pPr>
                  <w:r w:rsidRPr="006367FD">
                    <w:rPr>
                      <w:rFonts w:ascii="Arial" w:hAnsi="Arial"/>
                      <w:color w:val="000000"/>
                      <w:sz w:val="20"/>
                      <w:szCs w:val="20"/>
                    </w:rPr>
                    <w:t xml:space="preserve">Agreed Internal Mark: </w:t>
                  </w:r>
                </w:p>
                <w:p w:rsidR="00F54C90" w:rsidRPr="00E14D2E" w:rsidRDefault="00F54C90" w:rsidP="00454262">
                  <w:pPr>
                    <w:rPr>
                      <w:rFonts w:ascii="Arial" w:hAnsi="Arial"/>
                      <w:sz w:val="20"/>
                      <w:szCs w:val="20"/>
                      <w:highlight w:val="yellow"/>
                    </w:rPr>
                  </w:pPr>
                </w:p>
              </w:tc>
              <w:tc>
                <w:tcPr>
                  <w:tcW w:w="1660" w:type="dxa"/>
                </w:tcPr>
                <w:p w:rsidR="00F54C90" w:rsidRPr="00E14D2E" w:rsidRDefault="00F54C90" w:rsidP="00454262">
                  <w:pPr>
                    <w:rPr>
                      <w:rFonts w:ascii="Arial" w:hAnsi="Arial"/>
                      <w:sz w:val="20"/>
                      <w:szCs w:val="20"/>
                      <w:highlight w:val="yellow"/>
                    </w:rPr>
                  </w:pPr>
                </w:p>
              </w:tc>
            </w:tr>
            <w:tr w:rsidR="00F54C90" w:rsidRPr="00116CE6" w:rsidTr="00454262">
              <w:tc>
                <w:tcPr>
                  <w:tcW w:w="6970" w:type="dxa"/>
                </w:tcPr>
                <w:p w:rsidR="00F54C90" w:rsidRPr="00116CE6" w:rsidRDefault="00F54C90" w:rsidP="00454262">
                  <w:pPr>
                    <w:rPr>
                      <w:rFonts w:ascii="Arial" w:hAnsi="Arial"/>
                      <w:sz w:val="20"/>
                      <w:szCs w:val="20"/>
                    </w:rPr>
                  </w:pPr>
                </w:p>
                <w:p w:rsidR="00F54C90" w:rsidRPr="00116CE6" w:rsidRDefault="00F54C90" w:rsidP="0045426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F54C90" w:rsidRPr="00116CE6" w:rsidRDefault="00F54C90" w:rsidP="00454262">
                  <w:pPr>
                    <w:rPr>
                      <w:rFonts w:ascii="Arial" w:hAnsi="Arial"/>
                      <w:sz w:val="20"/>
                      <w:szCs w:val="20"/>
                    </w:rPr>
                  </w:pPr>
                </w:p>
              </w:tc>
            </w:tr>
            <w:tr w:rsidR="00F54C90" w:rsidRPr="00116CE6" w:rsidTr="00454262">
              <w:tc>
                <w:tcPr>
                  <w:tcW w:w="6970" w:type="dxa"/>
                </w:tcPr>
                <w:p w:rsidR="00F54C90" w:rsidRDefault="00F54C90" w:rsidP="00454262">
                  <w:pPr>
                    <w:rPr>
                      <w:rFonts w:ascii="Arial" w:hAnsi="Arial"/>
                      <w:sz w:val="20"/>
                      <w:szCs w:val="20"/>
                    </w:rPr>
                  </w:pPr>
                </w:p>
                <w:p w:rsidR="00F54C90" w:rsidRPr="00022345" w:rsidRDefault="00F54C90" w:rsidP="00454262">
                  <w:pPr>
                    <w:rPr>
                      <w:rFonts w:ascii="Arial" w:hAnsi="Arial"/>
                      <w:b/>
                      <w:sz w:val="20"/>
                      <w:szCs w:val="20"/>
                    </w:rPr>
                  </w:pPr>
                  <w:r w:rsidRPr="00022345">
                    <w:rPr>
                      <w:rFonts w:ascii="Arial" w:hAnsi="Arial"/>
                      <w:b/>
                      <w:sz w:val="20"/>
                      <w:szCs w:val="20"/>
                    </w:rPr>
                    <w:t>Final Mark</w:t>
                  </w:r>
                </w:p>
                <w:p w:rsidR="00F54C90" w:rsidRPr="00116CE6" w:rsidRDefault="00F54C90" w:rsidP="00454262">
                  <w:pPr>
                    <w:rPr>
                      <w:rFonts w:ascii="Arial" w:hAnsi="Arial"/>
                      <w:sz w:val="20"/>
                      <w:szCs w:val="20"/>
                    </w:rPr>
                  </w:pPr>
                </w:p>
              </w:tc>
              <w:tc>
                <w:tcPr>
                  <w:tcW w:w="1660" w:type="dxa"/>
                </w:tcPr>
                <w:p w:rsidR="00F54C90" w:rsidRPr="00116CE6" w:rsidRDefault="00F54C90" w:rsidP="00454262">
                  <w:pPr>
                    <w:rPr>
                      <w:rFonts w:ascii="Arial" w:hAnsi="Arial"/>
                      <w:sz w:val="20"/>
                      <w:szCs w:val="20"/>
                    </w:rPr>
                  </w:pPr>
                </w:p>
              </w:tc>
            </w:tr>
          </w:tbl>
          <w:p w:rsidR="00F54C90" w:rsidRDefault="00F54C90" w:rsidP="00454262">
            <w:pPr>
              <w:pStyle w:val="NormalWeb"/>
              <w:spacing w:before="0" w:beforeAutospacing="0" w:after="0" w:afterAutospacing="0"/>
              <w:ind w:left="142" w:right="34"/>
              <w:rPr>
                <w:rFonts w:ascii="Arial" w:hAnsi="Arial" w:cs="Arial"/>
                <w:b/>
                <w:sz w:val="22"/>
                <w:szCs w:val="22"/>
              </w:rPr>
            </w:pPr>
          </w:p>
          <w:p w:rsidR="00F54C90" w:rsidRPr="00230F35" w:rsidRDefault="00F54C90" w:rsidP="0045426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F54C90" w:rsidRDefault="00F54C90" w:rsidP="00454262">
            <w:pPr>
              <w:pStyle w:val="NormalWeb"/>
              <w:spacing w:before="0" w:beforeAutospacing="0" w:after="0" w:afterAutospacing="0"/>
              <w:rPr>
                <w:rFonts w:ascii="Arial" w:hAnsi="Arial" w:cs="Arial"/>
                <w:b/>
                <w:sz w:val="22"/>
                <w:szCs w:val="22"/>
              </w:rPr>
            </w:pPr>
          </w:p>
          <w:p w:rsidR="00F54C90" w:rsidRDefault="00F54C90" w:rsidP="00454262">
            <w:pPr>
              <w:pStyle w:val="NormalWeb"/>
              <w:spacing w:before="0" w:beforeAutospacing="0" w:after="0" w:afterAutospacing="0"/>
              <w:rPr>
                <w:rFonts w:ascii="Arial" w:hAnsi="Arial" w:cs="Arial"/>
                <w:b/>
                <w:sz w:val="22"/>
                <w:szCs w:val="22"/>
              </w:rPr>
            </w:pPr>
          </w:p>
          <w:p w:rsidR="00F54C90" w:rsidRDefault="00F54C90" w:rsidP="00454262">
            <w:pPr>
              <w:pStyle w:val="NormalWeb"/>
              <w:spacing w:before="0" w:beforeAutospacing="0" w:after="0" w:afterAutospacing="0"/>
              <w:rPr>
                <w:rFonts w:ascii="Arial" w:hAnsi="Arial" w:cs="Arial"/>
                <w:b/>
                <w:sz w:val="22"/>
                <w:szCs w:val="22"/>
              </w:rPr>
            </w:pPr>
          </w:p>
          <w:p w:rsidR="00F54C90" w:rsidRDefault="00F54C90" w:rsidP="00454262">
            <w:pPr>
              <w:pStyle w:val="NormalWeb"/>
              <w:spacing w:before="0" w:beforeAutospacing="0" w:after="0" w:afterAutospacing="0"/>
              <w:rPr>
                <w:rFonts w:ascii="Arial" w:hAnsi="Arial" w:cs="Arial"/>
                <w:b/>
                <w:sz w:val="22"/>
                <w:szCs w:val="22"/>
              </w:rPr>
            </w:pPr>
          </w:p>
          <w:p w:rsidR="00F54C90" w:rsidRPr="00230F35" w:rsidRDefault="00F54C90" w:rsidP="0045426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F54C90" w:rsidRDefault="00F54C90" w:rsidP="0045426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F54C90" w:rsidRPr="00001C3B" w:rsidRDefault="00F54C90" w:rsidP="00454262">
            <w:pPr>
              <w:pStyle w:val="NormalWeb"/>
              <w:rPr>
                <w:rFonts w:ascii="Arial" w:hAnsi="Arial" w:cs="Arial"/>
                <w:sz w:val="22"/>
                <w:szCs w:val="22"/>
              </w:rPr>
            </w:pPr>
          </w:p>
        </w:tc>
      </w:tr>
      <w:tr w:rsidR="00F54C90" w:rsidRPr="00230F35" w:rsidTr="00454262">
        <w:trPr>
          <w:trHeight w:val="492"/>
        </w:trPr>
        <w:tc>
          <w:tcPr>
            <w:tcW w:w="6768" w:type="dxa"/>
            <w:gridSpan w:val="3"/>
          </w:tcPr>
          <w:p w:rsidR="00F54C90" w:rsidRPr="00230F35" w:rsidRDefault="00F54C90" w:rsidP="0045426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F54C90" w:rsidRPr="00230F35" w:rsidRDefault="00F54C90" w:rsidP="00454262">
            <w:pPr>
              <w:pStyle w:val="NormalWeb"/>
              <w:spacing w:after="0"/>
              <w:ind w:left="142" w:right="34"/>
              <w:rPr>
                <w:rFonts w:ascii="Arial" w:hAnsi="Arial" w:cs="Arial"/>
                <w:sz w:val="22"/>
                <w:szCs w:val="22"/>
              </w:rPr>
            </w:pPr>
            <w:r w:rsidRPr="00230F35">
              <w:rPr>
                <w:rFonts w:ascii="Arial" w:hAnsi="Arial" w:cs="Arial"/>
                <w:sz w:val="22"/>
                <w:szCs w:val="22"/>
              </w:rPr>
              <w:t>Date:</w:t>
            </w:r>
          </w:p>
        </w:tc>
      </w:tr>
      <w:tr w:rsidR="00F54C90" w:rsidRPr="002F467C" w:rsidTr="00454262">
        <w:tc>
          <w:tcPr>
            <w:tcW w:w="8856" w:type="dxa"/>
            <w:gridSpan w:val="5"/>
          </w:tcPr>
          <w:p w:rsidR="00F54C90" w:rsidRPr="00230F35" w:rsidRDefault="00F54C90" w:rsidP="00454262">
            <w:pPr>
              <w:pStyle w:val="NormalWeb"/>
              <w:spacing w:before="0" w:beforeAutospacing="0" w:after="0" w:afterAutospacing="0"/>
              <w:ind w:right="-334"/>
              <w:rPr>
                <w:rFonts w:ascii="Arial" w:hAnsi="Arial" w:cs="Arial"/>
                <w:bCs/>
                <w:i/>
                <w:sz w:val="22"/>
                <w:szCs w:val="22"/>
              </w:rPr>
            </w:pPr>
          </w:p>
          <w:p w:rsidR="00F54C90" w:rsidRPr="00230F35" w:rsidRDefault="00F54C90" w:rsidP="0045426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F54C90" w:rsidRPr="00230F35" w:rsidRDefault="00F54C90" w:rsidP="00454262">
            <w:pPr>
              <w:pStyle w:val="NormalWeb"/>
              <w:spacing w:before="0" w:beforeAutospacing="0" w:after="0" w:afterAutospacing="0"/>
              <w:ind w:right="-334"/>
              <w:rPr>
                <w:rFonts w:ascii="Arial" w:hAnsi="Arial" w:cs="Arial"/>
                <w:b/>
                <w:bCs/>
                <w:sz w:val="22"/>
                <w:szCs w:val="22"/>
              </w:rPr>
            </w:pPr>
          </w:p>
          <w:p w:rsidR="00F54C90" w:rsidRPr="00230F35" w:rsidRDefault="00F54C90" w:rsidP="0045426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F54C90" w:rsidRPr="00230F35" w:rsidRDefault="00F54C90" w:rsidP="00454262">
            <w:pPr>
              <w:pStyle w:val="NormalWeb"/>
              <w:spacing w:before="0" w:beforeAutospacing="0" w:after="0" w:afterAutospacing="0"/>
              <w:ind w:right="-334"/>
              <w:rPr>
                <w:rFonts w:ascii="Arial" w:hAnsi="Arial" w:cs="Arial"/>
                <w:bCs/>
                <w:sz w:val="22"/>
                <w:szCs w:val="22"/>
              </w:rPr>
            </w:pPr>
          </w:p>
          <w:p w:rsidR="00F54C90" w:rsidRPr="00230F35" w:rsidRDefault="00F54C90" w:rsidP="00454262">
            <w:pPr>
              <w:pStyle w:val="NormalWeb"/>
              <w:spacing w:before="0" w:beforeAutospacing="0" w:after="0" w:afterAutospacing="0"/>
              <w:ind w:right="-334"/>
              <w:rPr>
                <w:rFonts w:ascii="Arial" w:hAnsi="Arial" w:cs="Arial"/>
                <w:bCs/>
                <w:sz w:val="22"/>
                <w:szCs w:val="22"/>
              </w:rPr>
            </w:pPr>
          </w:p>
          <w:p w:rsidR="00F54C90" w:rsidRPr="00230F35" w:rsidRDefault="00F54C90" w:rsidP="00454262">
            <w:pPr>
              <w:pStyle w:val="NormalWeb"/>
              <w:spacing w:before="0" w:beforeAutospacing="0" w:after="0" w:afterAutospacing="0"/>
              <w:ind w:right="-334"/>
              <w:rPr>
                <w:rFonts w:ascii="Arial" w:hAnsi="Arial" w:cs="Arial"/>
                <w:bCs/>
                <w:sz w:val="22"/>
                <w:szCs w:val="22"/>
              </w:rPr>
            </w:pPr>
          </w:p>
        </w:tc>
      </w:tr>
      <w:tr w:rsidR="00F54C90" w:rsidRPr="002F467C" w:rsidTr="00454262">
        <w:trPr>
          <w:trHeight w:val="720"/>
        </w:trPr>
        <w:tc>
          <w:tcPr>
            <w:tcW w:w="5211" w:type="dxa"/>
            <w:gridSpan w:val="2"/>
          </w:tcPr>
          <w:p w:rsidR="00F54C90" w:rsidRPr="00230F35" w:rsidRDefault="00F54C90" w:rsidP="0045426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F54C90" w:rsidRPr="00230F35" w:rsidRDefault="00F54C90" w:rsidP="0045426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54C90" w:rsidRPr="002F467C" w:rsidTr="00454262">
        <w:trPr>
          <w:trHeight w:val="720"/>
        </w:trPr>
        <w:tc>
          <w:tcPr>
            <w:tcW w:w="8856" w:type="dxa"/>
            <w:gridSpan w:val="5"/>
          </w:tcPr>
          <w:p w:rsidR="00F54C90" w:rsidRPr="006367FD" w:rsidRDefault="00F54C90" w:rsidP="00454262">
            <w:pPr>
              <w:rPr>
                <w:rFonts w:ascii="Arial" w:hAnsi="Arial" w:cs="Arial"/>
                <w:b/>
                <w:sz w:val="22"/>
                <w:szCs w:val="22"/>
              </w:rPr>
            </w:pPr>
            <w:r w:rsidRPr="006367FD">
              <w:rPr>
                <w:rFonts w:ascii="Arial" w:hAnsi="Arial" w:cs="Arial"/>
                <w:b/>
                <w:sz w:val="22"/>
                <w:szCs w:val="22"/>
              </w:rPr>
              <w:t>AGREED INTERNAL MARK (where necessary):</w:t>
            </w:r>
          </w:p>
          <w:p w:rsidR="00F54C90" w:rsidRPr="006367FD" w:rsidRDefault="00F54C90" w:rsidP="00454262">
            <w:pPr>
              <w:rPr>
                <w:rFonts w:ascii="Arial" w:hAnsi="Arial" w:cs="Arial"/>
                <w:b/>
                <w:sz w:val="22"/>
                <w:szCs w:val="22"/>
              </w:rPr>
            </w:pPr>
          </w:p>
          <w:p w:rsidR="00F54C90" w:rsidRDefault="00F54C90" w:rsidP="00454262">
            <w:pPr>
              <w:rPr>
                <w:rFonts w:ascii="Arial" w:hAnsi="Arial" w:cs="Arial"/>
                <w:b/>
                <w:sz w:val="22"/>
                <w:szCs w:val="22"/>
              </w:rPr>
            </w:pPr>
            <w:r w:rsidRPr="006367FD">
              <w:rPr>
                <w:rFonts w:ascii="Arial" w:hAnsi="Arial" w:cs="Arial"/>
                <w:b/>
                <w:sz w:val="22"/>
                <w:szCs w:val="22"/>
              </w:rPr>
              <w:t>Comment on process of arriving at agreed mark:</w:t>
            </w:r>
          </w:p>
          <w:p w:rsidR="00F54C90" w:rsidRDefault="00F54C90" w:rsidP="00454262">
            <w:pPr>
              <w:rPr>
                <w:rFonts w:ascii="Arial" w:hAnsi="Arial" w:cs="Arial"/>
                <w:b/>
                <w:sz w:val="22"/>
                <w:szCs w:val="22"/>
              </w:rPr>
            </w:pPr>
          </w:p>
          <w:p w:rsidR="00F54C90" w:rsidRDefault="00F54C90" w:rsidP="00454262">
            <w:pPr>
              <w:rPr>
                <w:rFonts w:ascii="Arial" w:hAnsi="Arial" w:cs="Arial"/>
                <w:b/>
                <w:sz w:val="22"/>
                <w:szCs w:val="22"/>
              </w:rPr>
            </w:pPr>
          </w:p>
          <w:p w:rsidR="00F54C90" w:rsidRDefault="00F54C90" w:rsidP="00454262">
            <w:pPr>
              <w:rPr>
                <w:rFonts w:ascii="Arial" w:hAnsi="Arial" w:cs="Arial"/>
                <w:b/>
                <w:sz w:val="22"/>
                <w:szCs w:val="22"/>
              </w:rPr>
            </w:pPr>
          </w:p>
          <w:p w:rsidR="00F54C90" w:rsidRDefault="00F54C90" w:rsidP="00454262">
            <w:pPr>
              <w:rPr>
                <w:rFonts w:ascii="Arial" w:hAnsi="Arial" w:cs="Arial"/>
                <w:b/>
                <w:sz w:val="22"/>
                <w:szCs w:val="22"/>
              </w:rPr>
            </w:pPr>
          </w:p>
          <w:p w:rsidR="00F54C90" w:rsidRDefault="00F54C90" w:rsidP="00454262">
            <w:pPr>
              <w:rPr>
                <w:rFonts w:ascii="Arial" w:hAnsi="Arial" w:cs="Arial"/>
                <w:b/>
                <w:sz w:val="22"/>
                <w:szCs w:val="22"/>
              </w:rPr>
            </w:pPr>
          </w:p>
          <w:p w:rsidR="00F54C90" w:rsidRDefault="00F54C90" w:rsidP="00454262">
            <w:pPr>
              <w:rPr>
                <w:rFonts w:ascii="Arial" w:hAnsi="Arial" w:cs="Arial"/>
                <w:b/>
                <w:sz w:val="22"/>
                <w:szCs w:val="22"/>
              </w:rPr>
            </w:pPr>
          </w:p>
          <w:p w:rsidR="00F54C90" w:rsidRDefault="00F54C90" w:rsidP="00454262">
            <w:pPr>
              <w:rPr>
                <w:rFonts w:ascii="Arial" w:hAnsi="Arial" w:cs="Arial"/>
                <w:b/>
                <w:sz w:val="22"/>
                <w:szCs w:val="22"/>
              </w:rPr>
            </w:pPr>
          </w:p>
          <w:p w:rsidR="00F54C90" w:rsidRPr="00B34964" w:rsidRDefault="00F54C90" w:rsidP="00454262">
            <w:pPr>
              <w:rPr>
                <w:rFonts w:ascii="Arial" w:hAnsi="Arial" w:cs="Arial"/>
                <w:b/>
                <w:sz w:val="22"/>
                <w:szCs w:val="22"/>
              </w:rPr>
            </w:pPr>
          </w:p>
        </w:tc>
      </w:tr>
      <w:tr w:rsidR="00F54C90" w:rsidRPr="002F467C" w:rsidTr="00454262">
        <w:trPr>
          <w:trHeight w:val="720"/>
        </w:trPr>
        <w:tc>
          <w:tcPr>
            <w:tcW w:w="8856" w:type="dxa"/>
            <w:gridSpan w:val="5"/>
          </w:tcPr>
          <w:p w:rsidR="00F54C90" w:rsidRPr="00B34964" w:rsidRDefault="00F54C90" w:rsidP="00454262">
            <w:pPr>
              <w:rPr>
                <w:rFonts w:ascii="Arial" w:hAnsi="Arial" w:cs="Arial"/>
                <w:b/>
                <w:sz w:val="22"/>
                <w:szCs w:val="22"/>
              </w:rPr>
            </w:pPr>
            <w:r w:rsidRPr="00B34964">
              <w:rPr>
                <w:rFonts w:ascii="Arial" w:hAnsi="Arial" w:cs="Arial"/>
                <w:b/>
                <w:sz w:val="22"/>
                <w:szCs w:val="22"/>
              </w:rPr>
              <w:t>External Examiner’s comments (if relevant)</w:t>
            </w:r>
          </w:p>
          <w:p w:rsidR="00F54C90" w:rsidRDefault="00F54C90" w:rsidP="00454262">
            <w:pPr>
              <w:pStyle w:val="NormalWeb"/>
              <w:spacing w:before="0" w:beforeAutospacing="0" w:after="0" w:afterAutospacing="0"/>
              <w:ind w:right="-334"/>
              <w:rPr>
                <w:rFonts w:ascii="Arial" w:hAnsi="Arial" w:cs="Arial"/>
                <w:bCs/>
                <w:sz w:val="22"/>
                <w:szCs w:val="22"/>
              </w:rPr>
            </w:pPr>
          </w:p>
          <w:p w:rsidR="00F54C90" w:rsidRDefault="00F54C90" w:rsidP="00454262">
            <w:pPr>
              <w:pStyle w:val="NormalWeb"/>
              <w:spacing w:before="0" w:beforeAutospacing="0" w:after="0" w:afterAutospacing="0"/>
              <w:ind w:right="-334"/>
              <w:rPr>
                <w:rFonts w:ascii="Arial" w:hAnsi="Arial" w:cs="Arial"/>
                <w:bCs/>
                <w:sz w:val="22"/>
                <w:szCs w:val="22"/>
              </w:rPr>
            </w:pPr>
          </w:p>
          <w:p w:rsidR="00F54C90" w:rsidRDefault="00F54C90" w:rsidP="00454262">
            <w:pPr>
              <w:pStyle w:val="NormalWeb"/>
              <w:spacing w:before="0" w:beforeAutospacing="0" w:after="0" w:afterAutospacing="0"/>
              <w:ind w:right="-334"/>
              <w:rPr>
                <w:rFonts w:ascii="Arial" w:hAnsi="Arial" w:cs="Arial"/>
                <w:bCs/>
                <w:sz w:val="22"/>
                <w:szCs w:val="22"/>
              </w:rPr>
            </w:pPr>
          </w:p>
          <w:p w:rsidR="00F54C90" w:rsidRDefault="00F54C90" w:rsidP="00454262">
            <w:pPr>
              <w:pStyle w:val="NormalWeb"/>
              <w:spacing w:before="0" w:beforeAutospacing="0" w:after="0" w:afterAutospacing="0"/>
              <w:ind w:right="-334"/>
              <w:rPr>
                <w:rFonts w:ascii="Arial" w:hAnsi="Arial" w:cs="Arial"/>
                <w:bCs/>
                <w:sz w:val="22"/>
                <w:szCs w:val="22"/>
              </w:rPr>
            </w:pPr>
          </w:p>
          <w:p w:rsidR="00F54C90" w:rsidRPr="00230F35" w:rsidRDefault="00F54C90" w:rsidP="00454262">
            <w:pPr>
              <w:pStyle w:val="NormalWeb"/>
              <w:spacing w:before="0" w:beforeAutospacing="0" w:after="0" w:afterAutospacing="0"/>
              <w:ind w:right="-334"/>
              <w:rPr>
                <w:rFonts w:ascii="Arial" w:hAnsi="Arial" w:cs="Arial"/>
                <w:bCs/>
                <w:sz w:val="22"/>
                <w:szCs w:val="22"/>
              </w:rPr>
            </w:pPr>
          </w:p>
          <w:p w:rsidR="00F54C90" w:rsidRPr="00230F35" w:rsidRDefault="00F54C90" w:rsidP="00454262">
            <w:pPr>
              <w:pStyle w:val="NormalWeb"/>
              <w:spacing w:before="0" w:beforeAutospacing="0" w:after="0" w:afterAutospacing="0"/>
              <w:ind w:right="-334"/>
              <w:rPr>
                <w:rFonts w:ascii="Arial" w:hAnsi="Arial" w:cs="Arial"/>
                <w:bCs/>
                <w:sz w:val="22"/>
                <w:szCs w:val="22"/>
              </w:rPr>
            </w:pPr>
          </w:p>
          <w:p w:rsidR="00F54C90" w:rsidRPr="00230F35" w:rsidRDefault="00F54C90" w:rsidP="00454262">
            <w:pPr>
              <w:pStyle w:val="NormalWeb"/>
              <w:spacing w:before="0" w:beforeAutospacing="0" w:after="0" w:afterAutospacing="0"/>
              <w:ind w:right="-334"/>
              <w:rPr>
                <w:rFonts w:ascii="Arial" w:hAnsi="Arial" w:cs="Arial"/>
                <w:bCs/>
                <w:sz w:val="22"/>
                <w:szCs w:val="22"/>
              </w:rPr>
            </w:pPr>
          </w:p>
        </w:tc>
      </w:tr>
      <w:tr w:rsidR="00F54C90" w:rsidRPr="002F467C" w:rsidTr="00454262">
        <w:trPr>
          <w:trHeight w:val="720"/>
        </w:trPr>
        <w:tc>
          <w:tcPr>
            <w:tcW w:w="5211" w:type="dxa"/>
            <w:gridSpan w:val="2"/>
          </w:tcPr>
          <w:p w:rsidR="00F54C90" w:rsidRPr="00230F35" w:rsidRDefault="00F54C90" w:rsidP="00454262">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rsidR="00F54C90" w:rsidRPr="00230F35" w:rsidRDefault="00F54C90" w:rsidP="00454262">
            <w:pPr>
              <w:rPr>
                <w:rFonts w:ascii="Arial" w:hAnsi="Arial" w:cs="Arial"/>
                <w:sz w:val="22"/>
                <w:szCs w:val="22"/>
              </w:rPr>
            </w:pPr>
            <w:r w:rsidRPr="00230F35">
              <w:rPr>
                <w:rFonts w:ascii="Arial" w:hAnsi="Arial" w:cs="Arial"/>
                <w:sz w:val="22"/>
                <w:szCs w:val="22"/>
              </w:rPr>
              <w:t>Date:</w:t>
            </w:r>
          </w:p>
        </w:tc>
      </w:tr>
    </w:tbl>
    <w:p w:rsidR="00F54C90" w:rsidRPr="00D67BF8" w:rsidRDefault="00F54C90" w:rsidP="00F54C90">
      <w:pPr>
        <w:pStyle w:val="NormalWeb"/>
        <w:spacing w:before="0" w:beforeAutospacing="0" w:after="0" w:afterAutospacing="0"/>
        <w:ind w:right="-334"/>
        <w:rPr>
          <w:rFonts w:ascii="Trebuchet MS" w:hAnsi="Trebuchet MS" w:cs="Tahoma"/>
          <w:bCs/>
          <w:sz w:val="24"/>
          <w:szCs w:val="24"/>
        </w:rPr>
      </w:pPr>
    </w:p>
    <w:p w:rsidR="00F54C90" w:rsidRDefault="00F54C90"/>
    <w:p w:rsidR="00866DD9" w:rsidRDefault="00866DD9"/>
    <w:p w:rsidR="00C922FB" w:rsidRDefault="00C922FB">
      <w:r>
        <w:br w:type="page"/>
      </w:r>
    </w:p>
    <w:p w:rsidR="001F0E97" w:rsidRPr="00511448" w:rsidRDefault="00C02B76">
      <w:pPr>
        <w:rPr>
          <w:b/>
        </w:rPr>
      </w:pPr>
      <w:r w:rsidRPr="00511448">
        <w:rPr>
          <w:b/>
        </w:rPr>
        <w:lastRenderedPageBreak/>
        <w:t>A Critical Review of Two Papers Concerning Chankillo, Peru</w:t>
      </w:r>
    </w:p>
    <w:p w:rsidR="00E6748A" w:rsidRDefault="00E6748A">
      <w:pPr>
        <w:rPr>
          <w:b/>
        </w:rPr>
      </w:pPr>
    </w:p>
    <w:p w:rsidR="001F0E97" w:rsidRPr="00884FFD" w:rsidRDefault="00511448">
      <w:pPr>
        <w:rPr>
          <w:b/>
        </w:rPr>
      </w:pPr>
      <w:r>
        <w:rPr>
          <w:b/>
        </w:rPr>
        <w:t>Introduction</w:t>
      </w:r>
    </w:p>
    <w:p w:rsidR="00621F98" w:rsidRDefault="001F0E97">
      <w:r>
        <w:t>The aim of this essay is to critically review</w:t>
      </w:r>
      <w:r w:rsidR="006722F4">
        <w:t xml:space="preserve"> the paper</w:t>
      </w:r>
      <w:r w:rsidR="00716E9F">
        <w:t xml:space="preserve"> </w:t>
      </w:r>
      <w:r>
        <w:t>‘The social and ritual context of horizon astronomical observations at Chankillo’ by Ivan Ghezzi and Clive L. N. Ruggles to</w:t>
      </w:r>
      <w:r w:rsidR="00F60349">
        <w:t xml:space="preserve"> the paper</w:t>
      </w:r>
      <w:r>
        <w:t xml:space="preserve"> ‘Astronomy and ceremony at Chankillo: an Andean perspective’</w:t>
      </w:r>
      <w:r w:rsidR="006722F4">
        <w:t xml:space="preserve"> by J. McKim Malville.  </w:t>
      </w:r>
      <w:r w:rsidR="00730276">
        <w:t>Each</w:t>
      </w:r>
      <w:r w:rsidR="00E6748A">
        <w:t xml:space="preserve"> of these</w:t>
      </w:r>
      <w:r w:rsidR="00716E9F">
        <w:t xml:space="preserve"> essays </w:t>
      </w:r>
      <w:r w:rsidR="006722F4">
        <w:t>take into consider</w:t>
      </w:r>
      <w:r w:rsidR="00E6748A">
        <w:t>ation</w:t>
      </w:r>
      <w:r w:rsidR="006722F4">
        <w:t xml:space="preserve"> the </w:t>
      </w:r>
      <w:r w:rsidR="00716E9F">
        <w:t>astronom</w:t>
      </w:r>
      <w:r w:rsidR="006722F4">
        <w:t>ical connections of the site</w:t>
      </w:r>
      <w:r w:rsidR="00716E9F">
        <w:t xml:space="preserve"> Chankillo</w:t>
      </w:r>
      <w:r w:rsidR="00637AF6">
        <w:t xml:space="preserve"> in Peru, yet the authors culminate with </w:t>
      </w:r>
      <w:r w:rsidR="006722F4">
        <w:t xml:space="preserve">two different </w:t>
      </w:r>
      <w:r w:rsidR="00E6748A">
        <w:t>conclusions</w:t>
      </w:r>
      <w:r w:rsidR="006722F4">
        <w:t xml:space="preserve">.  </w:t>
      </w:r>
      <w:r w:rsidR="00637AF6">
        <w:t>Both</w:t>
      </w:r>
      <w:r w:rsidR="00C657D5">
        <w:t xml:space="preserve"> papers were </w:t>
      </w:r>
      <w:r w:rsidR="00E6748A">
        <w:t xml:space="preserve">presented </w:t>
      </w:r>
      <w:r w:rsidR="006722F4">
        <w:t>at the International Symposium on Archaeoastronomy in 2011</w:t>
      </w:r>
      <w:r w:rsidR="00121C9F">
        <w:t xml:space="preserve"> in Lima</w:t>
      </w:r>
      <w:r w:rsidR="00637AF6">
        <w:t>, Peru.  Clearly this</w:t>
      </w:r>
      <w:r w:rsidR="00121C9F">
        <w:t xml:space="preserve"> research wa</w:t>
      </w:r>
      <w:r w:rsidR="00E6748A">
        <w:t xml:space="preserve">s intended for </w:t>
      </w:r>
      <w:r w:rsidR="00637AF6">
        <w:t>an academic audience</w:t>
      </w:r>
      <w:r w:rsidR="00E6748A">
        <w:t xml:space="preserve"> with an interest in skyscapes</w:t>
      </w:r>
      <w:r w:rsidR="00121C9F">
        <w:t xml:space="preserve"> and archaeology</w:t>
      </w:r>
      <w:r w:rsidR="00C97E4E">
        <w:t xml:space="preserve">.  Fabio Silva defined skyscapes as an </w:t>
      </w:r>
      <w:r w:rsidR="00E53C4D">
        <w:t>indigenous</w:t>
      </w:r>
      <w:r w:rsidR="00C97E4E">
        <w:t xml:space="preserve"> conceptual framework that constitutes a society’s understanding of the sky and those that live within it, and how they related to the society’s beliefs and practices, to their considerations of time and space, to their structure and material culture</w:t>
      </w:r>
      <w:r w:rsidR="00C657D5">
        <w:t>.</w:t>
      </w:r>
      <w:r w:rsidR="00C97E4E">
        <w:rPr>
          <w:rStyle w:val="FootnoteReference"/>
        </w:rPr>
        <w:footnoteReference w:id="1"/>
      </w:r>
      <w:r w:rsidR="006722F4">
        <w:t xml:space="preserve"> </w:t>
      </w:r>
      <w:r w:rsidR="00C657D5">
        <w:t xml:space="preserve"> </w:t>
      </w:r>
      <w:r w:rsidR="006722F4">
        <w:t>Malville</w:t>
      </w:r>
      <w:r w:rsidR="00E53C4D">
        <w:t xml:space="preserve"> </w:t>
      </w:r>
      <w:r w:rsidR="006722F4">
        <w:t xml:space="preserve">trained </w:t>
      </w:r>
      <w:r w:rsidR="00E53C4D">
        <w:t xml:space="preserve">as a </w:t>
      </w:r>
      <w:r w:rsidR="006722F4">
        <w:t xml:space="preserve">solar physicist with an </w:t>
      </w:r>
      <w:r w:rsidR="00E6748A">
        <w:t>interest</w:t>
      </w:r>
      <w:r w:rsidR="00F60349">
        <w:t xml:space="preserve"> in</w:t>
      </w:r>
      <w:r w:rsidR="00E53C4D">
        <w:t xml:space="preserve"> </w:t>
      </w:r>
      <w:r w:rsidR="00E6748A">
        <w:t>archaeoastronomy</w:t>
      </w:r>
      <w:r w:rsidR="006722F4">
        <w:t xml:space="preserve"> particular to South America and the American Southwest</w:t>
      </w:r>
      <w:r w:rsidR="00E53C4D">
        <w:t>.  He</w:t>
      </w:r>
      <w:r w:rsidR="00121C9F">
        <w:t xml:space="preserve"> has taught as a professor of astronomy at University of Colorado Boulder,</w:t>
      </w:r>
      <w:r w:rsidR="00E53C4D">
        <w:t xml:space="preserve"> and began the Archaeoastronomy module at University of Wales Trinity Saint David in 2011</w:t>
      </w:r>
      <w:r w:rsidR="00637AF6">
        <w:t xml:space="preserve"> where he currently </w:t>
      </w:r>
      <w:r w:rsidR="00EF066C">
        <w:t>tutor</w:t>
      </w:r>
      <w:r w:rsidR="00637AF6">
        <w:t>s postgraduate students</w:t>
      </w:r>
      <w:r w:rsidR="006722F4">
        <w:t xml:space="preserve">. </w:t>
      </w:r>
      <w:r w:rsidR="006722F4" w:rsidRPr="00EF066C">
        <w:rPr>
          <w:b/>
        </w:rPr>
        <w:t>Who is Ruggles and Ghezzi?</w:t>
      </w:r>
      <w:r w:rsidR="00121C9F">
        <w:t xml:space="preserve">  </w:t>
      </w:r>
      <w:r w:rsidR="00621F98">
        <w:t>This paper will explore the methods that Malville, Ghezzi and Ruggles used t</w:t>
      </w:r>
      <w:r w:rsidR="00EF066C">
        <w:t>o come to their differing conclusions while offering an analytical review of each paper.</w:t>
      </w:r>
    </w:p>
    <w:p w:rsidR="00621F98" w:rsidRDefault="00621F98"/>
    <w:p w:rsidR="00884FFD" w:rsidRPr="00621F98" w:rsidRDefault="00FA02C2">
      <w:r>
        <w:rPr>
          <w:b/>
        </w:rPr>
        <w:t>Overview</w:t>
      </w:r>
    </w:p>
    <w:p w:rsidR="008C476F" w:rsidRDefault="00FA02C2" w:rsidP="00884FFD">
      <w:r>
        <w:t>While the Ghezzi and Ruggles paper claimed that Chankillo is a unique site of landscape timekeeping that could have been a place of an elite warrior class, Malville claimed that Chankillo was similar to other Peruvian sites and his essay reviewe</w:t>
      </w:r>
      <w:r w:rsidR="00F60349">
        <w:t>d the connection of Chankillo within</w:t>
      </w:r>
      <w:r>
        <w:t xml:space="preserve"> Andean cosmology. </w:t>
      </w:r>
      <w:r w:rsidR="00621F98">
        <w:t>‘The social and ritual context of horizon astronomical observations at Chankillo’ is a follow up to</w:t>
      </w:r>
      <w:r w:rsidR="00637AF6">
        <w:t xml:space="preserve"> the</w:t>
      </w:r>
      <w:r w:rsidR="00621F98">
        <w:t xml:space="preserve"> </w:t>
      </w:r>
      <w:r w:rsidR="00EF066C">
        <w:t>previous</w:t>
      </w:r>
      <w:r w:rsidR="00621F98">
        <w:t xml:space="preserve"> paper that Ghezzi and Ruggles wrote in 2007 where they claim</w:t>
      </w:r>
      <w:r w:rsidR="00EF066C">
        <w:t>ed</w:t>
      </w:r>
      <w:r w:rsidR="00621F98">
        <w:t xml:space="preserve"> that Chankillo formed a uni</w:t>
      </w:r>
      <w:r w:rsidR="00EF066C">
        <w:t>que solar device of timekeeping,</w:t>
      </w:r>
      <w:r w:rsidR="00B43C76">
        <w:t xml:space="preserve"> particularly that the Thirteen Towers and the nearby plazas provide</w:t>
      </w:r>
      <w:r w:rsidR="00637AF6">
        <w:t>d</w:t>
      </w:r>
      <w:r w:rsidR="00B43C76">
        <w:t xml:space="preserve"> a place for public rituals and feasts that were measured at the site by the seasonal passage of the sun.</w:t>
      </w:r>
      <w:r w:rsidR="00B43C76">
        <w:rPr>
          <w:rStyle w:val="FootnoteReference"/>
        </w:rPr>
        <w:footnoteReference w:id="2"/>
      </w:r>
      <w:r w:rsidR="00621F98">
        <w:t xml:space="preserve">  In the</w:t>
      </w:r>
      <w:r w:rsidR="00B43C76">
        <w:t xml:space="preserve"> follow-up paper</w:t>
      </w:r>
      <w:r w:rsidR="00F11997">
        <w:t xml:space="preserve"> that is analysed in this essay,</w:t>
      </w:r>
      <w:r w:rsidR="00B43C76">
        <w:t xml:space="preserve"> </w:t>
      </w:r>
      <w:r w:rsidR="00621F98">
        <w:t>Ghezzi and Ruggles</w:t>
      </w:r>
      <w:r w:rsidR="00B43C76">
        <w:t xml:space="preserve"> continued to justify with evidence that Chanikillo was</w:t>
      </w:r>
      <w:r w:rsidR="00621F98">
        <w:t xml:space="preserve"> a solar calendar observatory</w:t>
      </w:r>
      <w:r w:rsidR="00637AF6">
        <w:t>, adding to their hypothesis</w:t>
      </w:r>
      <w:r w:rsidR="00B43C76">
        <w:t xml:space="preserve"> that there was also </w:t>
      </w:r>
      <w:r w:rsidR="00621F98">
        <w:t>evidence of lunar alignments</w:t>
      </w:r>
      <w:r w:rsidR="00F60349">
        <w:t>,</w:t>
      </w:r>
      <w:r w:rsidR="00B43C76">
        <w:t xml:space="preserve"> while noting that Chankillo </w:t>
      </w:r>
      <w:r w:rsidR="00621F98">
        <w:t>was a unique site for the warrior elite.</w:t>
      </w:r>
      <w:r w:rsidR="00B43C76">
        <w:t xml:space="preserve">  Malville’</w:t>
      </w:r>
      <w:r>
        <w:t>s paper wa</w:t>
      </w:r>
      <w:r w:rsidR="00B43C76">
        <w:t>s written as a</w:t>
      </w:r>
      <w:r w:rsidR="00EF066C">
        <w:t>n academic</w:t>
      </w:r>
      <w:r w:rsidR="00B43C76">
        <w:t xml:space="preserve"> response to the the</w:t>
      </w:r>
      <w:r w:rsidR="00EF066C">
        <w:t>ories of Ghezzi and Ruggles</w:t>
      </w:r>
      <w:r w:rsidR="00F60349">
        <w:t>, offering an alternative perspective</w:t>
      </w:r>
      <w:r w:rsidR="00EF066C">
        <w:t>.  His evidence stated</w:t>
      </w:r>
      <w:r w:rsidR="00B43C76">
        <w:t xml:space="preserve"> that solar observatories are not a</w:t>
      </w:r>
      <w:r w:rsidR="00F60349">
        <w:t>n element</w:t>
      </w:r>
      <w:r w:rsidR="00B43C76">
        <w:t xml:space="preserve"> of Andean cosmology.</w:t>
      </w:r>
      <w:r w:rsidR="00F60349">
        <w:rPr>
          <w:rStyle w:val="FootnoteReference"/>
        </w:rPr>
        <w:footnoteReference w:id="3"/>
      </w:r>
      <w:r w:rsidR="00B43C76">
        <w:t xml:space="preserve">  He wrote to compare Chankillo to other </w:t>
      </w:r>
      <w:r w:rsidR="00EF066C">
        <w:t xml:space="preserve">Central </w:t>
      </w:r>
      <w:r w:rsidR="00B43C76">
        <w:t>Andean sites</w:t>
      </w:r>
      <w:r w:rsidR="00EF066C">
        <w:t>, particularly the site of Chavi</w:t>
      </w:r>
      <w:r w:rsidR="00B43C76">
        <w:t>n</w:t>
      </w:r>
      <w:r w:rsidR="00EF066C">
        <w:t xml:space="preserve"> de Huantar while outlining key components</w:t>
      </w:r>
      <w:r w:rsidR="00B43C76">
        <w:t xml:space="preserve"> of this cultural </w:t>
      </w:r>
      <w:r w:rsidR="00EF066C">
        <w:t>worldview</w:t>
      </w:r>
      <w:r w:rsidR="006722F4">
        <w:t xml:space="preserve">.  </w:t>
      </w:r>
    </w:p>
    <w:p w:rsidR="00B43C76" w:rsidRDefault="00884FFD">
      <w:r>
        <w:t xml:space="preserve"> </w:t>
      </w:r>
    </w:p>
    <w:p w:rsidR="00FA02C2" w:rsidRPr="00347888" w:rsidRDefault="00347888" w:rsidP="00637AF6">
      <w:pPr>
        <w:rPr>
          <w:b/>
        </w:rPr>
      </w:pPr>
      <w:r>
        <w:rPr>
          <w:b/>
        </w:rPr>
        <w:t>A Solar</w:t>
      </w:r>
      <w:r w:rsidR="00FA02C2" w:rsidRPr="00347888">
        <w:rPr>
          <w:b/>
        </w:rPr>
        <w:t xml:space="preserve"> and Lunar Connection</w:t>
      </w:r>
    </w:p>
    <w:p w:rsidR="008C476F" w:rsidRDefault="00C922FB" w:rsidP="008C476F">
      <w:r>
        <w:t>Each of the</w:t>
      </w:r>
      <w:r w:rsidR="00985913">
        <w:t xml:space="preserve"> papers </w:t>
      </w:r>
      <w:r>
        <w:t xml:space="preserve">written by </w:t>
      </w:r>
      <w:r w:rsidR="00347888">
        <w:t>Malville</w:t>
      </w:r>
      <w:r>
        <w:t>, Ghezzi and Ruggles highlight</w:t>
      </w:r>
      <w:r w:rsidR="00A04AC6">
        <w:t>ed</w:t>
      </w:r>
      <w:r>
        <w:t xml:space="preserve"> the December and June solstices as being sig</w:t>
      </w:r>
      <w:r w:rsidR="00A04AC6">
        <w:t>nificant to the site, while they also suggested</w:t>
      </w:r>
      <w:r>
        <w:t xml:space="preserve"> a lunar connection.  </w:t>
      </w:r>
      <w:r w:rsidR="00F60349">
        <w:t xml:space="preserve">Malville’s perspective discussed the alignment of the December solstice sunrise with the June solstice sunset in the plaza at Chankillo.  He compared this to other Peruvian sites including Caral, </w:t>
      </w:r>
      <w:r w:rsidR="00F60349">
        <w:lastRenderedPageBreak/>
        <w:t>Sechin Bajo, and Chavin.</w:t>
      </w:r>
      <w:r w:rsidR="00F60349">
        <w:rPr>
          <w:rStyle w:val="FootnoteReference"/>
        </w:rPr>
        <w:footnoteReference w:id="4"/>
      </w:r>
      <w:r w:rsidR="00F60349">
        <w:t xml:space="preserve">  Whereas </w:t>
      </w:r>
      <w:r w:rsidR="006722F4">
        <w:t xml:space="preserve">Ghezzi and Ruggles </w:t>
      </w:r>
      <w:r w:rsidR="00E6748A">
        <w:t>suggest</w:t>
      </w:r>
      <w:r w:rsidR="00A34258">
        <w:t>ed</w:t>
      </w:r>
      <w:r w:rsidR="00E6748A">
        <w:t xml:space="preserve"> that </w:t>
      </w:r>
      <w:r w:rsidR="00A34258">
        <w:t>Cha</w:t>
      </w:r>
      <w:r w:rsidR="00985913">
        <w:t xml:space="preserve">nkillo was a unique site of </w:t>
      </w:r>
      <w:r w:rsidR="00991076">
        <w:t>cultural</w:t>
      </w:r>
      <w:r w:rsidR="00A04AC6">
        <w:t xml:space="preserve"> influence.  They claimed </w:t>
      </w:r>
      <w:r w:rsidR="00985913">
        <w:t xml:space="preserve">that the Thirteen Towers were not just astronomical landmarks, but were also ‘a place where the ceremonial </w:t>
      </w:r>
      <w:r w:rsidR="00991076">
        <w:t>calendar</w:t>
      </w:r>
      <w:r w:rsidR="00985913">
        <w:t xml:space="preserve"> was regulated and re-created, and where the established and social hierarchies were reproduced.’</w:t>
      </w:r>
      <w:r w:rsidR="00985913">
        <w:rPr>
          <w:rStyle w:val="FootnoteReference"/>
        </w:rPr>
        <w:footnoteReference w:id="5"/>
      </w:r>
      <w:r>
        <w:t xml:space="preserve">  </w:t>
      </w:r>
      <w:r w:rsidR="00C252E1">
        <w:t xml:space="preserve">They </w:t>
      </w:r>
      <w:r>
        <w:t>proposed that Chankillo</w:t>
      </w:r>
      <w:r w:rsidR="00F03331">
        <w:t xml:space="preserve"> could be a place where a ceremonial calendar kept a society in order where a special elite class of warrior leaders was created.</w:t>
      </w:r>
      <w:r w:rsidR="00F03331">
        <w:rPr>
          <w:rStyle w:val="FootnoteReference"/>
        </w:rPr>
        <w:footnoteReference w:id="6"/>
      </w:r>
      <w:r w:rsidR="00F03331">
        <w:t xml:space="preserve">  </w:t>
      </w:r>
      <w:r w:rsidR="00A04AC6">
        <w:t>While they</w:t>
      </w:r>
      <w:r w:rsidR="00637AF6">
        <w:t xml:space="preserve"> claimed the Thirteen Towers were an important solar calendrical device, Malville suggested that they were instead ‘stations of the moon for public ceremonies during the bright half of the lunar cycle.’</w:t>
      </w:r>
      <w:r w:rsidR="00637AF6">
        <w:rPr>
          <w:rStyle w:val="FootnoteReference"/>
        </w:rPr>
        <w:footnoteReference w:id="7"/>
      </w:r>
      <w:r w:rsidR="00637AF6">
        <w:t xml:space="preserve">  </w:t>
      </w:r>
      <w:r w:rsidR="00F60349">
        <w:t>Ghezzi and Ruggles also suggested the theory of Ch</w:t>
      </w:r>
      <w:r w:rsidR="00A04AC6">
        <w:t>ankillo being a lunar device, h</w:t>
      </w:r>
      <w:r w:rsidR="00F60349">
        <w:t xml:space="preserve">owever </w:t>
      </w:r>
      <w:r w:rsidR="00637AF6">
        <w:t xml:space="preserve">Malville discussed </w:t>
      </w:r>
      <w:r w:rsidR="00F60349">
        <w:t xml:space="preserve">specifically </w:t>
      </w:r>
      <w:r w:rsidR="00A04AC6">
        <w:t xml:space="preserve">in his paper of how an </w:t>
      </w:r>
      <w:r w:rsidR="00637AF6">
        <w:t>Andean’s life depended on lunar’s rhythms as they allowed one to know when they could access the tidal areas depicting that the moon was more important than the sun.</w:t>
      </w:r>
      <w:r w:rsidR="00637AF6">
        <w:rPr>
          <w:rStyle w:val="FootnoteReference"/>
        </w:rPr>
        <w:footnoteReference w:id="8"/>
      </w:r>
      <w:r w:rsidR="00637AF6">
        <w:t xml:space="preserve">  Both papers came to the conclusion that Chankillo marked lunar movements, however Ghezzi and Ruggles signified Chankillo as a unique Peruvian site, while Malville claimed that it consistently fit into Central Andean </w:t>
      </w:r>
      <w:r w:rsidR="00347888">
        <w:t>c</w:t>
      </w:r>
      <w:r w:rsidR="00A04AC6">
        <w:t>osmology</w:t>
      </w:r>
      <w:r w:rsidR="00F11997">
        <w:t>.  M</w:t>
      </w:r>
      <w:r w:rsidR="008C476F">
        <w:t xml:space="preserve">alville </w:t>
      </w:r>
      <w:r w:rsidR="00F11997">
        <w:t xml:space="preserve">emphasized the </w:t>
      </w:r>
      <w:r w:rsidR="008C476F">
        <w:t xml:space="preserve">importance of the Moon in Andean </w:t>
      </w:r>
      <w:r w:rsidR="00F11997">
        <w:t>culture, stating that</w:t>
      </w:r>
      <w:r w:rsidR="008C476F">
        <w:t xml:space="preserve"> </w:t>
      </w:r>
      <w:r w:rsidR="00A04AC6">
        <w:t xml:space="preserve">a </w:t>
      </w:r>
      <w:r w:rsidR="00F11997">
        <w:t>s</w:t>
      </w:r>
      <w:r w:rsidR="008C476F">
        <w:t xml:space="preserve">olar observatory is not a part of </w:t>
      </w:r>
      <w:r w:rsidR="00A04AC6">
        <w:t>the culture</w:t>
      </w:r>
      <w:r w:rsidR="008C476F">
        <w:t xml:space="preserve">, </w:t>
      </w:r>
      <w:r w:rsidR="00F11997">
        <w:t xml:space="preserve">which a reader </w:t>
      </w:r>
      <w:r w:rsidR="00A04AC6">
        <w:t xml:space="preserve">could </w:t>
      </w:r>
      <w:r w:rsidR="00F11997">
        <w:t xml:space="preserve">assume is in direct </w:t>
      </w:r>
      <w:r w:rsidR="008C476F">
        <w:t xml:space="preserve">response to </w:t>
      </w:r>
      <w:r w:rsidR="00F11997">
        <w:t xml:space="preserve">the </w:t>
      </w:r>
      <w:r w:rsidR="00A04AC6">
        <w:t>findings</w:t>
      </w:r>
      <w:r w:rsidR="00F11997">
        <w:t xml:space="preserve"> of Ghezzi and Ruggles</w:t>
      </w:r>
      <w:r w:rsidR="008C476F">
        <w:t xml:space="preserve">.  </w:t>
      </w:r>
    </w:p>
    <w:p w:rsidR="00637AF6" w:rsidRDefault="00637AF6"/>
    <w:p w:rsidR="00FA02C2" w:rsidRPr="00F11997" w:rsidRDefault="00FA02C2">
      <w:pPr>
        <w:rPr>
          <w:b/>
        </w:rPr>
      </w:pPr>
      <w:r w:rsidRPr="00F11997">
        <w:rPr>
          <w:b/>
        </w:rPr>
        <w:t>Community Ceremony</w:t>
      </w:r>
    </w:p>
    <w:p w:rsidR="00605AD6" w:rsidRDefault="00F11997">
      <w:r>
        <w:t xml:space="preserve">Both papers </w:t>
      </w:r>
      <w:r w:rsidR="00FA02C2">
        <w:t>offer</w:t>
      </w:r>
      <w:r>
        <w:t>ed</w:t>
      </w:r>
      <w:r w:rsidR="00FA02C2">
        <w:t xml:space="preserve"> evidence that community and ceremony occurred </w:t>
      </w:r>
      <w:r>
        <w:t xml:space="preserve">at Chankillo.  </w:t>
      </w:r>
      <w:r w:rsidR="006F268B">
        <w:t>The paper written by Ghezzi and Ruggles demonstrated that they used methodology including findings of ritual items, and the orientation of different buildings to determine what part of a structure was used for which particular use.</w:t>
      </w:r>
      <w:r w:rsidR="006F268B">
        <w:rPr>
          <w:rStyle w:val="FootnoteReference"/>
        </w:rPr>
        <w:footnoteReference w:id="9"/>
      </w:r>
      <w:r w:rsidR="006F268B">
        <w:t xml:space="preserve">  They said it is necessary to contextualize the astronomical alignments with the archaeological evidence. And that the evidence indicated ‘that they society that built Chankillo was on a path towards increasing political centralization and social differentiation.’</w:t>
      </w:r>
      <w:r w:rsidR="006F268B">
        <w:rPr>
          <w:rStyle w:val="FootnoteReference"/>
        </w:rPr>
        <w:footnoteReference w:id="10"/>
      </w:r>
      <w:r w:rsidR="006F268B">
        <w:t xml:space="preserve">  </w:t>
      </w:r>
      <w:r w:rsidR="006F268B">
        <w:t xml:space="preserve">While Malville discussed that neither the western or </w:t>
      </w:r>
      <w:r w:rsidR="00654E29">
        <w:t>eastern</w:t>
      </w:r>
      <w:r w:rsidR="006F268B">
        <w:t xml:space="preserve"> observing stations would have been important locations for ceremony, as he explained </w:t>
      </w:r>
      <w:r w:rsidR="00654E29">
        <w:t>that</w:t>
      </w:r>
      <w:r w:rsidR="006F268B">
        <w:t xml:space="preserve"> at various sites including Chankillo, the plazas would be the space for public ritual.</w:t>
      </w:r>
      <w:r w:rsidR="006F268B">
        <w:rPr>
          <w:rStyle w:val="FootnoteReference"/>
        </w:rPr>
        <w:footnoteReference w:id="11"/>
      </w:r>
      <w:r w:rsidR="006F268B">
        <w:t xml:space="preserve"> Pearson and Richards stressed that spatial </w:t>
      </w:r>
      <w:r>
        <w:t>structure ‘is now seen not merely as an arena in which social life unfolds, but rather as a medium through which social relations are produced and reproduced.’</w:t>
      </w:r>
      <w:r>
        <w:rPr>
          <w:rStyle w:val="FootnoteReference"/>
        </w:rPr>
        <w:footnoteReference w:id="12"/>
      </w:r>
      <w:r w:rsidR="006F268B">
        <w:t xml:space="preserve">  The site of Chankillo offered a number of spatial structures that educated </w:t>
      </w:r>
      <w:r w:rsidR="00654E29">
        <w:t>archaeoastronomy</w:t>
      </w:r>
      <w:r w:rsidR="006F268B">
        <w:t xml:space="preserve"> come away with two differing perspectives.  </w:t>
      </w:r>
      <w:r w:rsidR="00991076">
        <w:t>Ghezzi and Ru</w:t>
      </w:r>
      <w:r w:rsidR="006F268B">
        <w:t>ggles suggested that those with access to the</w:t>
      </w:r>
      <w:r w:rsidR="00991076">
        <w:t xml:space="preserve"> sacred spaces </w:t>
      </w:r>
      <w:r w:rsidR="006F268B">
        <w:t xml:space="preserve">at Chankillo </w:t>
      </w:r>
      <w:r w:rsidR="00991076">
        <w:t>had a special relationship with the sun and were an elite class of warrior leaders.</w:t>
      </w:r>
      <w:r w:rsidR="00991076">
        <w:rPr>
          <w:rStyle w:val="FootnoteReference"/>
        </w:rPr>
        <w:footnoteReference w:id="13"/>
      </w:r>
      <w:r w:rsidR="006F268B">
        <w:t xml:space="preserve">  Malville concluded that the structures at Chankillo are in </w:t>
      </w:r>
      <w:r w:rsidR="00654E29">
        <w:t>alignment</w:t>
      </w:r>
      <w:r w:rsidR="006F268B">
        <w:t xml:space="preserve"> with Chavin.</w:t>
      </w:r>
      <w:r w:rsidR="006F268B">
        <w:rPr>
          <w:rStyle w:val="FootnoteReference"/>
        </w:rPr>
        <w:footnoteReference w:id="14"/>
      </w:r>
    </w:p>
    <w:p w:rsidR="00347888" w:rsidRDefault="00347888"/>
    <w:p w:rsidR="00692BFF" w:rsidRDefault="00692BFF" w:rsidP="00884FFD">
      <w:pPr>
        <w:rPr>
          <w:b/>
        </w:rPr>
      </w:pPr>
    </w:p>
    <w:p w:rsidR="00FA02C2" w:rsidRPr="00F11997" w:rsidRDefault="00FA02C2" w:rsidP="00884FFD">
      <w:pPr>
        <w:rPr>
          <w:b/>
        </w:rPr>
      </w:pPr>
      <w:r w:rsidRPr="00F11997">
        <w:rPr>
          <w:b/>
        </w:rPr>
        <w:lastRenderedPageBreak/>
        <w:t>Andean Cosmology</w:t>
      </w:r>
    </w:p>
    <w:p w:rsidR="00884FFD" w:rsidRDefault="00F11997">
      <w:r>
        <w:t xml:space="preserve">Both papers give context to Andean culture.  </w:t>
      </w:r>
      <w:r w:rsidR="001E6A30">
        <w:t xml:space="preserve">Malville agreed that the Thirteen Towers aligns with the June solstice sunset and the December solstice sunrise, however that solar </w:t>
      </w:r>
      <w:r w:rsidR="00991076">
        <w:t>observatories</w:t>
      </w:r>
      <w:r w:rsidR="001E6A30">
        <w:t xml:space="preserve"> are not a part of Central Andean cosmology.</w:t>
      </w:r>
      <w:r w:rsidR="001E6A30">
        <w:rPr>
          <w:rStyle w:val="FootnoteReference"/>
        </w:rPr>
        <w:footnoteReference w:id="15"/>
      </w:r>
      <w:r w:rsidR="00C252E1">
        <w:t xml:space="preserve">  </w:t>
      </w:r>
      <w:r w:rsidR="006F268B">
        <w:t>He</w:t>
      </w:r>
      <w:r w:rsidR="00C252E1">
        <w:t xml:space="preserve"> explored key features of Andean cosmology</w:t>
      </w:r>
      <w:r w:rsidR="00692BFF">
        <w:t xml:space="preserve"> ranging from the importance of </w:t>
      </w:r>
      <w:r w:rsidR="00692BFF">
        <w:t>Huacas and Ushnus</w:t>
      </w:r>
      <w:r w:rsidR="00692BFF">
        <w:t>, the significance of stairways as an entry into another realm, and the</w:t>
      </w:r>
      <w:r w:rsidR="00985913">
        <w:t xml:space="preserve"> concept of ascent an</w:t>
      </w:r>
      <w:r w:rsidR="00C252E1">
        <w:t>d descent as a continual theme</w:t>
      </w:r>
      <w:r w:rsidR="00340CAF">
        <w:t xml:space="preserve"> as a way to connect with shamanic transformation</w:t>
      </w:r>
      <w:r w:rsidR="00901678">
        <w:t xml:space="preserve"> and the structure of pyramids</w:t>
      </w:r>
      <w:r w:rsidR="00340CAF">
        <w:t>.</w:t>
      </w:r>
      <w:r w:rsidR="00340CAF">
        <w:rPr>
          <w:rStyle w:val="FootnoteReference"/>
        </w:rPr>
        <w:footnoteReference w:id="16"/>
      </w:r>
      <w:r w:rsidR="00340CAF">
        <w:t xml:space="preserve">  </w:t>
      </w:r>
      <w:r w:rsidR="00692BFF">
        <w:t>Ghezzi and Ruggles touched on the concept of ascent and descent by stressing the important of duality in the Central Andes, noting that specifically the dual staircases at Chankillo.</w:t>
      </w:r>
      <w:r w:rsidR="00692BFF">
        <w:rPr>
          <w:rStyle w:val="FootnoteReference"/>
        </w:rPr>
        <w:footnoteReference w:id="17"/>
      </w:r>
      <w:r w:rsidR="00692BFF">
        <w:t xml:space="preserve">  </w:t>
      </w:r>
      <w:r w:rsidR="00340CAF">
        <w:t>Malville argued that Chankillo was closely connected with Chavin de Huantar, a place of important religious activity that held underground galleries and that was also connected with stairs, a large plaza and mounds.</w:t>
      </w:r>
      <w:r w:rsidR="00340CAF">
        <w:rPr>
          <w:rStyle w:val="FootnoteReference"/>
        </w:rPr>
        <w:footnoteReference w:id="18"/>
      </w:r>
      <w:r w:rsidR="00340CAF">
        <w:t xml:space="preserve">  To Malville, Chankillo</w:t>
      </w:r>
      <w:r w:rsidR="001E6A30">
        <w:t xml:space="preserve"> offered a mini secret world that is apart from the experience most would be having, suggesting the connection of Chankillo with Chavin.</w:t>
      </w:r>
      <w:r w:rsidR="001E6A30">
        <w:rPr>
          <w:rStyle w:val="FootnoteReference"/>
        </w:rPr>
        <w:footnoteReference w:id="19"/>
      </w:r>
      <w:r w:rsidR="00A748E4">
        <w:t xml:space="preserve">  </w:t>
      </w:r>
      <w:r w:rsidR="00901678">
        <w:t xml:space="preserve">As Malville stated in regards to stairway </w:t>
      </w:r>
      <w:r w:rsidR="00991076">
        <w:t>one</w:t>
      </w:r>
      <w:r w:rsidR="00901678">
        <w:t xml:space="preserve"> </w:t>
      </w:r>
      <w:r w:rsidR="00991076">
        <w:t>meets</w:t>
      </w:r>
      <w:r w:rsidR="00901678">
        <w:t xml:space="preserve"> when approaching the first tower from below, ‘One does not know what lies on top or beyond.  It seems an entry into another realm.’</w:t>
      </w:r>
      <w:r w:rsidR="00901678">
        <w:rPr>
          <w:rStyle w:val="FootnoteReference"/>
        </w:rPr>
        <w:footnoteReference w:id="20"/>
      </w:r>
      <w:r w:rsidR="00692BFF">
        <w:t xml:space="preserve">  </w:t>
      </w:r>
    </w:p>
    <w:p w:rsidR="00692BFF" w:rsidRDefault="00692BFF"/>
    <w:p w:rsidR="001F0E97" w:rsidRPr="00884FFD" w:rsidRDefault="00FA02C2">
      <w:pPr>
        <w:rPr>
          <w:b/>
        </w:rPr>
      </w:pPr>
      <w:r>
        <w:rPr>
          <w:b/>
        </w:rPr>
        <w:t>Style</w:t>
      </w:r>
    </w:p>
    <w:p w:rsidR="00605AD6" w:rsidRDefault="00FA02C2">
      <w:r>
        <w:t xml:space="preserve">Malville opened his paper with </w:t>
      </w:r>
      <w:r w:rsidR="00692BFF">
        <w:t>an introduction of</w:t>
      </w:r>
      <w:r>
        <w:t xml:space="preserve"> Central Andean culture</w:t>
      </w:r>
      <w:r w:rsidR="008C476F">
        <w:t xml:space="preserve">, </w:t>
      </w:r>
      <w:r w:rsidR="00692BFF">
        <w:t>as he emphasized</w:t>
      </w:r>
      <w:r w:rsidR="008C476F">
        <w:t xml:space="preserve"> the importance of</w:t>
      </w:r>
      <w:r>
        <w:t xml:space="preserve"> trade and pilgrimage</w:t>
      </w:r>
      <w:r w:rsidR="008C476F">
        <w:t xml:space="preserve"> which offered the reader a clear understanding of the way of life.  He stated</w:t>
      </w:r>
      <w:r>
        <w:t xml:space="preserve"> his intention of the paper early on</w:t>
      </w:r>
      <w:r w:rsidR="00692BFF">
        <w:t xml:space="preserve"> so that the reader is informed about the topic</w:t>
      </w:r>
      <w:r>
        <w:t xml:space="preserve">.  </w:t>
      </w:r>
      <w:r w:rsidR="00C252E1">
        <w:t xml:space="preserve">The </w:t>
      </w:r>
      <w:r w:rsidR="00C03E76">
        <w:t xml:space="preserve">paper </w:t>
      </w:r>
      <w:r w:rsidR="00C252E1">
        <w:t xml:space="preserve">by Ghezzi and Ruggles </w:t>
      </w:r>
      <w:r w:rsidR="00C03E76">
        <w:t>is logically structured</w:t>
      </w:r>
      <w:r w:rsidR="00692BFF">
        <w:t>, however the reader w</w:t>
      </w:r>
      <w:r w:rsidR="00C252E1">
        <w:t>ould benefit from a highlight of the</w:t>
      </w:r>
      <w:r w:rsidR="00C03E76">
        <w:t xml:space="preserve"> conclusion at the beginning of the paper</w:t>
      </w:r>
      <w:r w:rsidR="008C476F">
        <w:t xml:space="preserve">.  </w:t>
      </w:r>
      <w:r>
        <w:t>Malville’s paper is well laid out with descriptive headings that allows the reader to understand the flow of ideas</w:t>
      </w:r>
      <w:r w:rsidR="008C476F">
        <w:t xml:space="preserve"> and the paper written by Ghezzi and Ruggles would have benefited from this structure</w:t>
      </w:r>
      <w:r>
        <w:t xml:space="preserve">.  </w:t>
      </w:r>
      <w:r w:rsidR="008C476F">
        <w:t>Each paper offered images, photographs of the features of Chankillo, maps and graphs which assist the reader in navigating the location</w:t>
      </w:r>
      <w:r w:rsidR="00692BFF">
        <w:t xml:space="preserve">.  When </w:t>
      </w:r>
      <w:r w:rsidR="008B3517">
        <w:t>Ghezzi and Ruggles intro</w:t>
      </w:r>
      <w:r w:rsidR="00692BFF">
        <w:t xml:space="preserve">duced the site of Chankillo, they </w:t>
      </w:r>
      <w:r w:rsidR="008B3517">
        <w:t>gave context to the</w:t>
      </w:r>
      <w:r w:rsidR="00C252E1">
        <w:t xml:space="preserve"> dating and size of the site.  </w:t>
      </w:r>
      <w:r w:rsidR="00347888">
        <w:t>As t</w:t>
      </w:r>
      <w:r w:rsidR="008C476F">
        <w:t xml:space="preserve">hey offered a </w:t>
      </w:r>
      <w:r w:rsidR="00347888">
        <w:t>hypothesis</w:t>
      </w:r>
      <w:r w:rsidR="008C476F">
        <w:t xml:space="preserve"> of the site, </w:t>
      </w:r>
      <w:r w:rsidR="00347888">
        <w:t xml:space="preserve">they </w:t>
      </w:r>
      <w:r w:rsidR="008B3517">
        <w:t xml:space="preserve">shared </w:t>
      </w:r>
      <w:r w:rsidR="00991076">
        <w:t>other</w:t>
      </w:r>
      <w:r w:rsidR="008C476F">
        <w:t xml:space="preserve"> </w:t>
      </w:r>
      <w:r w:rsidR="00347888">
        <w:t>researchers’</w:t>
      </w:r>
      <w:r w:rsidR="008C476F">
        <w:t xml:space="preserve"> findings</w:t>
      </w:r>
      <w:r w:rsidR="008B3517">
        <w:t xml:space="preserve"> </w:t>
      </w:r>
      <w:r w:rsidR="00C252E1">
        <w:t>and</w:t>
      </w:r>
      <w:r w:rsidR="00F03331">
        <w:t xml:space="preserve"> data </w:t>
      </w:r>
      <w:r w:rsidR="00C252E1">
        <w:t>collected in 2010</w:t>
      </w:r>
      <w:r w:rsidR="00347888">
        <w:t xml:space="preserve"> that was obtained by differential GPS</w:t>
      </w:r>
      <w:r w:rsidR="008C476F">
        <w:t xml:space="preserve"> with the intention</w:t>
      </w:r>
      <w:r w:rsidR="00C252E1">
        <w:t xml:space="preserve"> to c</w:t>
      </w:r>
      <w:r w:rsidR="008C476F">
        <w:t>larify</w:t>
      </w:r>
      <w:r w:rsidR="00C252E1">
        <w:t xml:space="preserve"> their earlier results from 2007 however they do not explain this further.</w:t>
      </w:r>
      <w:r w:rsidR="00C252E1">
        <w:rPr>
          <w:rStyle w:val="FootnoteReference"/>
        </w:rPr>
        <w:footnoteReference w:id="21"/>
      </w:r>
      <w:r w:rsidR="00C252E1">
        <w:t xml:space="preserve">  </w:t>
      </w:r>
      <w:r w:rsidR="00692BFF">
        <w:t>It would assist a reader to know t</w:t>
      </w:r>
      <w:r w:rsidR="00C252E1">
        <w:t>he sources of this data for the GPS</w:t>
      </w:r>
      <w:r>
        <w:t xml:space="preserve">.  </w:t>
      </w:r>
      <w:r w:rsidR="00654E29">
        <w:t>Similarly</w:t>
      </w:r>
      <w:r w:rsidR="00692BFF">
        <w:t xml:space="preserve">, </w:t>
      </w:r>
      <w:r w:rsidR="00347888">
        <w:t>Malville mentioned the three levels of the cosmos</w:t>
      </w:r>
      <w:r w:rsidR="00692BFF">
        <w:t xml:space="preserve"> in his paper,</w:t>
      </w:r>
      <w:r w:rsidR="00347888">
        <w:t xml:space="preserve"> </w:t>
      </w:r>
      <w:r w:rsidR="00692BFF">
        <w:t xml:space="preserve">however did not explain this </w:t>
      </w:r>
      <w:r w:rsidR="00347888">
        <w:t xml:space="preserve">further and this leaves an outsider wishing </w:t>
      </w:r>
      <w:r w:rsidR="00692BFF">
        <w:t>for clarification</w:t>
      </w:r>
      <w:r w:rsidR="00347888">
        <w:t>.</w:t>
      </w:r>
      <w:r w:rsidR="00347888">
        <w:rPr>
          <w:rStyle w:val="FootnoteReference"/>
        </w:rPr>
        <w:footnoteReference w:id="22"/>
      </w:r>
      <w:r w:rsidR="00692BFF">
        <w:t xml:space="preserve">   </w:t>
      </w:r>
      <w:r w:rsidR="00347888">
        <w:t xml:space="preserve">A strength in </w:t>
      </w:r>
      <w:r>
        <w:t>Malville</w:t>
      </w:r>
      <w:r w:rsidR="00347888">
        <w:t>’s writing is that he</w:t>
      </w:r>
      <w:r>
        <w:t xml:space="preserve"> </w:t>
      </w:r>
      <w:r w:rsidR="00692BFF">
        <w:t xml:space="preserve">outlined </w:t>
      </w:r>
      <w:r>
        <w:t>Andean culture, defining the importance of plazas for public ritual, ancestor honouring, mountain worship, shamanic movement, huacas and ushnus.</w:t>
      </w:r>
      <w:r>
        <w:rPr>
          <w:rStyle w:val="FootnoteReference"/>
        </w:rPr>
        <w:footnoteReference w:id="23"/>
      </w:r>
      <w:r>
        <w:t xml:space="preserve">  He looked to other scholars to draw the foundation of Andean culture that included agriculture, irrigation, terracing, weaving, public buildings, long distance pilgrimage.</w:t>
      </w:r>
      <w:r>
        <w:rPr>
          <w:rStyle w:val="FootnoteReference"/>
        </w:rPr>
        <w:footnoteReference w:id="24"/>
      </w:r>
      <w:r>
        <w:t xml:space="preserve">  </w:t>
      </w:r>
      <w:r w:rsidR="00347888">
        <w:t xml:space="preserve">As Malville stated in the Introductions to Skyscapes:  The Role and Importance of the Sky in Archaeology, ‘Repetition, patterns in the </w:t>
      </w:r>
      <w:r w:rsidR="00347888">
        <w:lastRenderedPageBreak/>
        <w:t>landscape, and redundancies can provide hits of continuities within the culture. . .The intent of the people should be more interesting than tests for intentionality of a particular astronomical orientation.’</w:t>
      </w:r>
      <w:r w:rsidR="00347888">
        <w:rPr>
          <w:rStyle w:val="FootnoteReference"/>
        </w:rPr>
        <w:footnoteReference w:id="25"/>
      </w:r>
      <w:r w:rsidR="00692BFF">
        <w:t xml:space="preserve">  Clearly Malville believed</w:t>
      </w:r>
      <w:r w:rsidR="00347888">
        <w:t xml:space="preserve"> that seeking to understand the culture of any given site is most important.  This stands out as theme of different</w:t>
      </w:r>
      <w:r w:rsidR="00654E29">
        <w:t xml:space="preserve">iation between the two papers.  </w:t>
      </w:r>
      <w:r w:rsidR="00C252E1">
        <w:t xml:space="preserve">Ghezzi and Ruggles </w:t>
      </w:r>
      <w:r w:rsidR="00F03331">
        <w:t xml:space="preserve">contextualized the astronomical </w:t>
      </w:r>
      <w:r w:rsidR="00991076">
        <w:t>alignments</w:t>
      </w:r>
      <w:r w:rsidR="00F03331">
        <w:t xml:space="preserve"> with </w:t>
      </w:r>
      <w:r w:rsidR="00991076">
        <w:t>archaeological</w:t>
      </w:r>
      <w:r w:rsidR="00F03331">
        <w:t xml:space="preserve"> evidence, which they used to support their theory of an elite class of people at Chankillo</w:t>
      </w:r>
      <w:r w:rsidR="00C252E1">
        <w:t xml:space="preserve">.  </w:t>
      </w:r>
      <w:r w:rsidR="00654E29">
        <w:t xml:space="preserve">They </w:t>
      </w:r>
      <w:r w:rsidR="00C252E1">
        <w:t>demonstrated s</w:t>
      </w:r>
      <w:r w:rsidR="00605AD6">
        <w:t>trength</w:t>
      </w:r>
      <w:r w:rsidR="00C252E1">
        <w:t xml:space="preserve"> in their honesty of how to approach the field of archaeoastronomy </w:t>
      </w:r>
      <w:r w:rsidR="00654E29">
        <w:t>when</w:t>
      </w:r>
      <w:r>
        <w:t xml:space="preserve"> they </w:t>
      </w:r>
      <w:r w:rsidR="00605AD6">
        <w:t xml:space="preserve">wrote that evaluating </w:t>
      </w:r>
      <w:r w:rsidR="00C252E1">
        <w:t xml:space="preserve">the nature of the observations </w:t>
      </w:r>
      <w:r w:rsidR="00605AD6">
        <w:t>of astronomical events like the rising and setting of the sun in relation to seasonal events and the ritual connection is not simple.</w:t>
      </w:r>
      <w:r w:rsidR="00605AD6">
        <w:rPr>
          <w:rStyle w:val="FootnoteReference"/>
        </w:rPr>
        <w:footnoteReference w:id="26"/>
      </w:r>
      <w:r w:rsidR="00605AD6">
        <w:t xml:space="preserve">  </w:t>
      </w:r>
    </w:p>
    <w:p w:rsidR="00340CAF" w:rsidRDefault="00340CAF"/>
    <w:p w:rsidR="00884FFD" w:rsidRDefault="00884FFD"/>
    <w:p w:rsidR="00884FFD" w:rsidRPr="00511448" w:rsidRDefault="00511448">
      <w:pPr>
        <w:rPr>
          <w:b/>
        </w:rPr>
      </w:pPr>
      <w:r w:rsidRPr="00511448">
        <w:rPr>
          <w:b/>
        </w:rPr>
        <w:t>Conclusion</w:t>
      </w:r>
    </w:p>
    <w:p w:rsidR="00884FFD" w:rsidRDefault="00884FFD">
      <w:r>
        <w:t>Revis</w:t>
      </w:r>
      <w:r w:rsidR="006722F4">
        <w:t>i</w:t>
      </w:r>
      <w:r>
        <w:t>t the aim of the</w:t>
      </w:r>
      <w:r w:rsidR="006722F4">
        <w:t xml:space="preserve"> essay, </w:t>
      </w:r>
      <w:r>
        <w:t xml:space="preserve">state any conclusions you have reached and draw to a close.  DO NOT introduce any new material.  </w:t>
      </w:r>
    </w:p>
    <w:p w:rsidR="00654E29" w:rsidRDefault="00654E29">
      <w:bookmarkStart w:id="5" w:name="_GoBack"/>
      <w:bookmarkEnd w:id="5"/>
    </w:p>
    <w:sectPr w:rsidR="00654E29" w:rsidSect="00346C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5A3E" w:rsidRDefault="00205A3E" w:rsidP="00E6748A">
      <w:r>
        <w:separator/>
      </w:r>
    </w:p>
  </w:endnote>
  <w:endnote w:type="continuationSeparator" w:id="0">
    <w:p w:rsidR="00205A3E" w:rsidRDefault="00205A3E" w:rsidP="00E674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5A3E" w:rsidRDefault="00205A3E" w:rsidP="00E6748A">
      <w:r>
        <w:separator/>
      </w:r>
    </w:p>
  </w:footnote>
  <w:footnote w:type="continuationSeparator" w:id="0">
    <w:p w:rsidR="00205A3E" w:rsidRDefault="00205A3E" w:rsidP="00E6748A">
      <w:r>
        <w:continuationSeparator/>
      </w:r>
    </w:p>
  </w:footnote>
  <w:footnote w:id="1">
    <w:p w:rsidR="00C97E4E" w:rsidRPr="00C97E4E" w:rsidRDefault="00C97E4E">
      <w:pPr>
        <w:pStyle w:val="FootnoteText"/>
        <w:rPr>
          <w:lang w:val="en-US"/>
        </w:rPr>
      </w:pPr>
      <w:r>
        <w:rPr>
          <w:rStyle w:val="FootnoteReference"/>
        </w:rPr>
        <w:footnoteRef/>
      </w:r>
      <w:r>
        <w:t xml:space="preserve"> </w:t>
      </w:r>
      <w:r>
        <w:rPr>
          <w:lang w:val="en-US"/>
        </w:rPr>
        <w:t xml:space="preserve">F Silva (2017) Defining skyscape </w:t>
      </w:r>
      <w:r w:rsidRPr="00C97E4E">
        <w:rPr>
          <w:i/>
          <w:lang w:val="en-US"/>
        </w:rPr>
        <w:t>Sophia Centre Press Blog</w:t>
      </w:r>
    </w:p>
  </w:footnote>
  <w:footnote w:id="2">
    <w:p w:rsidR="00B43C76" w:rsidRPr="00B43C76" w:rsidRDefault="00B43C76">
      <w:pPr>
        <w:pStyle w:val="FootnoteText"/>
        <w:rPr>
          <w:lang w:val="en-US"/>
        </w:rPr>
      </w:pPr>
      <w:r>
        <w:rPr>
          <w:rStyle w:val="FootnoteReference"/>
        </w:rPr>
        <w:footnoteRef/>
      </w:r>
      <w:r>
        <w:t xml:space="preserve"> </w:t>
      </w:r>
      <w:r>
        <w:rPr>
          <w:lang w:val="en-US"/>
        </w:rPr>
        <w:t>Ghezzi and Ruggles, Chankillo A 2,300-Year-Old Solar Observatory in Coastal Peru, p 196, Foundations of New World Cultural Astronomy</w:t>
      </w:r>
    </w:p>
  </w:footnote>
  <w:footnote w:id="3">
    <w:p w:rsidR="00F60349" w:rsidRPr="00F60349" w:rsidRDefault="00F60349">
      <w:pPr>
        <w:pStyle w:val="FootnoteText"/>
        <w:rPr>
          <w:lang w:val="en-US"/>
        </w:rPr>
      </w:pPr>
      <w:r>
        <w:rPr>
          <w:rStyle w:val="FootnoteReference"/>
        </w:rPr>
        <w:footnoteRef/>
      </w:r>
      <w:r>
        <w:t xml:space="preserve"> </w:t>
      </w:r>
      <w:r>
        <w:rPr>
          <w:lang w:val="en-US"/>
        </w:rPr>
        <w:t>Malville, p. 159</w:t>
      </w:r>
    </w:p>
  </w:footnote>
  <w:footnote w:id="4">
    <w:p w:rsidR="00F60349" w:rsidRPr="00F60349" w:rsidRDefault="00F60349">
      <w:pPr>
        <w:pStyle w:val="FootnoteText"/>
        <w:rPr>
          <w:lang w:val="en-US"/>
        </w:rPr>
      </w:pPr>
      <w:r>
        <w:rPr>
          <w:rStyle w:val="FootnoteReference"/>
        </w:rPr>
        <w:footnoteRef/>
      </w:r>
      <w:r>
        <w:t xml:space="preserve"> </w:t>
      </w:r>
      <w:r>
        <w:rPr>
          <w:lang w:val="en-US"/>
        </w:rPr>
        <w:t>Malville, p. 158</w:t>
      </w:r>
    </w:p>
  </w:footnote>
  <w:footnote w:id="5">
    <w:p w:rsidR="00985913" w:rsidRPr="00985913" w:rsidRDefault="00985913">
      <w:pPr>
        <w:pStyle w:val="FootnoteText"/>
        <w:rPr>
          <w:lang w:val="en-US"/>
        </w:rPr>
      </w:pPr>
      <w:r>
        <w:rPr>
          <w:rStyle w:val="FootnoteReference"/>
        </w:rPr>
        <w:footnoteRef/>
      </w:r>
      <w:r>
        <w:t xml:space="preserve"> </w:t>
      </w:r>
      <w:r>
        <w:rPr>
          <w:lang w:val="en-US"/>
        </w:rPr>
        <w:t>Ghezzi and Ruggles, p. 153</w:t>
      </w:r>
    </w:p>
  </w:footnote>
  <w:footnote w:id="6">
    <w:p w:rsidR="00F03331" w:rsidRPr="00F03331" w:rsidRDefault="00F03331">
      <w:pPr>
        <w:pStyle w:val="FootnoteText"/>
        <w:rPr>
          <w:lang w:val="en-US"/>
        </w:rPr>
      </w:pPr>
      <w:r>
        <w:rPr>
          <w:rStyle w:val="FootnoteReference"/>
        </w:rPr>
        <w:footnoteRef/>
      </w:r>
      <w:r>
        <w:t xml:space="preserve"> </w:t>
      </w:r>
      <w:r>
        <w:rPr>
          <w:lang w:val="en-US"/>
        </w:rPr>
        <w:t>Ghezzi and Ruggles, p. 153</w:t>
      </w:r>
    </w:p>
  </w:footnote>
  <w:footnote w:id="7">
    <w:p w:rsidR="00637AF6" w:rsidRPr="00985913" w:rsidRDefault="00637AF6" w:rsidP="00637AF6">
      <w:pPr>
        <w:pStyle w:val="FootnoteText"/>
        <w:rPr>
          <w:lang w:val="en-US"/>
        </w:rPr>
      </w:pPr>
      <w:r>
        <w:rPr>
          <w:rStyle w:val="FootnoteReference"/>
        </w:rPr>
        <w:footnoteRef/>
      </w:r>
      <w:r>
        <w:t xml:space="preserve"> </w:t>
      </w:r>
      <w:r>
        <w:rPr>
          <w:lang w:val="en-US"/>
        </w:rPr>
        <w:t>Malville, p. 154</w:t>
      </w:r>
    </w:p>
  </w:footnote>
  <w:footnote w:id="8">
    <w:p w:rsidR="00637AF6" w:rsidRPr="00985913" w:rsidRDefault="00637AF6" w:rsidP="00637AF6">
      <w:pPr>
        <w:pStyle w:val="FootnoteText"/>
        <w:rPr>
          <w:lang w:val="en-US"/>
        </w:rPr>
      </w:pPr>
      <w:r>
        <w:rPr>
          <w:rStyle w:val="FootnoteReference"/>
        </w:rPr>
        <w:footnoteRef/>
      </w:r>
      <w:r>
        <w:t xml:space="preserve"> </w:t>
      </w:r>
      <w:r>
        <w:rPr>
          <w:lang w:val="en-US"/>
        </w:rPr>
        <w:t>Malville, p. 155</w:t>
      </w:r>
    </w:p>
  </w:footnote>
  <w:footnote w:id="9">
    <w:p w:rsidR="006F268B" w:rsidRPr="00F03331" w:rsidRDefault="006F268B" w:rsidP="006F268B">
      <w:pPr>
        <w:pStyle w:val="FootnoteText"/>
        <w:rPr>
          <w:lang w:val="en-US"/>
        </w:rPr>
      </w:pPr>
      <w:r>
        <w:rPr>
          <w:rStyle w:val="FootnoteReference"/>
        </w:rPr>
        <w:footnoteRef/>
      </w:r>
      <w:r>
        <w:t xml:space="preserve"> </w:t>
      </w:r>
      <w:r>
        <w:rPr>
          <w:lang w:val="en-US"/>
        </w:rPr>
        <w:t>Ghezzi and Ruggles, p. 148.</w:t>
      </w:r>
    </w:p>
  </w:footnote>
  <w:footnote w:id="10">
    <w:p w:rsidR="006F268B" w:rsidRPr="00605AD6" w:rsidRDefault="006F268B" w:rsidP="006F268B">
      <w:pPr>
        <w:pStyle w:val="FootnoteText"/>
        <w:rPr>
          <w:lang w:val="en-US"/>
        </w:rPr>
      </w:pPr>
      <w:r>
        <w:rPr>
          <w:rStyle w:val="FootnoteReference"/>
        </w:rPr>
        <w:footnoteRef/>
      </w:r>
      <w:r>
        <w:t xml:space="preserve"> </w:t>
      </w:r>
      <w:r>
        <w:rPr>
          <w:lang w:val="en-US"/>
        </w:rPr>
        <w:t>Ghezzi and Ruggles, p. 151</w:t>
      </w:r>
    </w:p>
  </w:footnote>
  <w:footnote w:id="11">
    <w:p w:rsidR="006F268B" w:rsidRPr="006F268B" w:rsidRDefault="006F268B">
      <w:pPr>
        <w:pStyle w:val="FootnoteText"/>
        <w:rPr>
          <w:lang w:val="en-US"/>
        </w:rPr>
      </w:pPr>
      <w:r>
        <w:rPr>
          <w:rStyle w:val="FootnoteReference"/>
        </w:rPr>
        <w:footnoteRef/>
      </w:r>
      <w:r>
        <w:t xml:space="preserve"> </w:t>
      </w:r>
      <w:r>
        <w:rPr>
          <w:lang w:val="en-US"/>
        </w:rPr>
        <w:t>Malville, p. 159.</w:t>
      </w:r>
    </w:p>
  </w:footnote>
  <w:footnote w:id="12">
    <w:p w:rsidR="00F11997" w:rsidRPr="00C97E4E" w:rsidRDefault="00F11997" w:rsidP="00F11997">
      <w:pPr>
        <w:pStyle w:val="FootnoteText"/>
        <w:rPr>
          <w:lang w:val="en-US"/>
        </w:rPr>
      </w:pPr>
      <w:r>
        <w:rPr>
          <w:rStyle w:val="FootnoteReference"/>
        </w:rPr>
        <w:footnoteRef/>
      </w:r>
      <w:r>
        <w:t xml:space="preserve"> </w:t>
      </w:r>
      <w:r>
        <w:rPr>
          <w:lang w:val="en-US"/>
        </w:rPr>
        <w:t xml:space="preserve">M Parker Pearson and C Richards (1994) </w:t>
      </w:r>
      <w:r w:rsidRPr="00C97E4E">
        <w:rPr>
          <w:i/>
          <w:lang w:val="en-US"/>
        </w:rPr>
        <w:t>Arch</w:t>
      </w:r>
      <w:r>
        <w:rPr>
          <w:i/>
          <w:lang w:val="en-US"/>
        </w:rPr>
        <w:t>it</w:t>
      </w:r>
      <w:r w:rsidRPr="00C97E4E">
        <w:rPr>
          <w:i/>
          <w:lang w:val="en-US"/>
        </w:rPr>
        <w:t>ecture and Order: Approaches to Social Space</w:t>
      </w:r>
      <w:r>
        <w:rPr>
          <w:lang w:val="en-US"/>
        </w:rPr>
        <w:t>, p. 2-3</w:t>
      </w:r>
    </w:p>
  </w:footnote>
  <w:footnote w:id="13">
    <w:p w:rsidR="00991076" w:rsidRPr="00991076" w:rsidRDefault="00991076">
      <w:pPr>
        <w:pStyle w:val="FootnoteText"/>
        <w:rPr>
          <w:lang w:val="en-US"/>
        </w:rPr>
      </w:pPr>
      <w:r>
        <w:rPr>
          <w:rStyle w:val="FootnoteReference"/>
        </w:rPr>
        <w:footnoteRef/>
      </w:r>
      <w:r>
        <w:t xml:space="preserve"> </w:t>
      </w:r>
      <w:r>
        <w:rPr>
          <w:lang w:val="en-US"/>
        </w:rPr>
        <w:t>Ghezzi and Ruggles, p. 152-3.</w:t>
      </w:r>
    </w:p>
  </w:footnote>
  <w:footnote w:id="14">
    <w:p w:rsidR="006F268B" w:rsidRPr="006F268B" w:rsidRDefault="006F268B">
      <w:pPr>
        <w:pStyle w:val="FootnoteText"/>
        <w:rPr>
          <w:lang w:val="en-US"/>
        </w:rPr>
      </w:pPr>
      <w:r>
        <w:rPr>
          <w:rStyle w:val="FootnoteReference"/>
        </w:rPr>
        <w:footnoteRef/>
      </w:r>
      <w:r>
        <w:t xml:space="preserve"> </w:t>
      </w:r>
      <w:r>
        <w:rPr>
          <w:lang w:val="en-US"/>
        </w:rPr>
        <w:t>Malville, p. 161.</w:t>
      </w:r>
    </w:p>
  </w:footnote>
  <w:footnote w:id="15">
    <w:p w:rsidR="001E6A30" w:rsidRPr="001E6A30" w:rsidRDefault="001E6A30">
      <w:pPr>
        <w:pStyle w:val="FootnoteText"/>
        <w:rPr>
          <w:lang w:val="en-US"/>
        </w:rPr>
      </w:pPr>
      <w:r>
        <w:rPr>
          <w:rStyle w:val="FootnoteReference"/>
        </w:rPr>
        <w:footnoteRef/>
      </w:r>
      <w:r>
        <w:t xml:space="preserve"> </w:t>
      </w:r>
      <w:r>
        <w:rPr>
          <w:lang w:val="en-US"/>
        </w:rPr>
        <w:t>Malville, p. 158, 159</w:t>
      </w:r>
    </w:p>
  </w:footnote>
  <w:footnote w:id="16">
    <w:p w:rsidR="00340CAF" w:rsidRPr="00340CAF" w:rsidRDefault="00340CAF">
      <w:pPr>
        <w:pStyle w:val="FootnoteText"/>
        <w:rPr>
          <w:lang w:val="en-US"/>
        </w:rPr>
      </w:pPr>
      <w:r>
        <w:rPr>
          <w:rStyle w:val="FootnoteReference"/>
        </w:rPr>
        <w:footnoteRef/>
      </w:r>
      <w:r>
        <w:t xml:space="preserve"> </w:t>
      </w:r>
      <w:r>
        <w:rPr>
          <w:lang w:val="en-US"/>
        </w:rPr>
        <w:t>Malville, p. 155</w:t>
      </w:r>
    </w:p>
  </w:footnote>
  <w:footnote w:id="17">
    <w:p w:rsidR="00692BFF" w:rsidRPr="00692BFF" w:rsidRDefault="00692BFF" w:rsidP="00692BFF">
      <w:pPr>
        <w:pStyle w:val="FootnoteText"/>
        <w:rPr>
          <w:lang w:val="en-US"/>
        </w:rPr>
      </w:pPr>
      <w:r>
        <w:rPr>
          <w:rStyle w:val="FootnoteReference"/>
        </w:rPr>
        <w:footnoteRef/>
      </w:r>
      <w:r>
        <w:t xml:space="preserve"> </w:t>
      </w:r>
      <w:r>
        <w:rPr>
          <w:lang w:val="en-US"/>
        </w:rPr>
        <w:t>Ghezzi and Ruggles p 147</w:t>
      </w:r>
    </w:p>
  </w:footnote>
  <w:footnote w:id="18">
    <w:p w:rsidR="00340CAF" w:rsidRPr="00340CAF" w:rsidRDefault="00340CAF">
      <w:pPr>
        <w:pStyle w:val="FootnoteText"/>
        <w:rPr>
          <w:lang w:val="en-US"/>
        </w:rPr>
      </w:pPr>
      <w:r>
        <w:rPr>
          <w:rStyle w:val="FootnoteReference"/>
        </w:rPr>
        <w:footnoteRef/>
      </w:r>
      <w:r>
        <w:t xml:space="preserve"> </w:t>
      </w:r>
      <w:r>
        <w:rPr>
          <w:lang w:val="en-US"/>
        </w:rPr>
        <w:t>Malville, p. 156</w:t>
      </w:r>
    </w:p>
  </w:footnote>
  <w:footnote w:id="19">
    <w:p w:rsidR="001E6A30" w:rsidRPr="001E6A30" w:rsidRDefault="001E6A30">
      <w:pPr>
        <w:pStyle w:val="FootnoteText"/>
        <w:rPr>
          <w:lang w:val="en-US"/>
        </w:rPr>
      </w:pPr>
      <w:r>
        <w:rPr>
          <w:rStyle w:val="FootnoteReference"/>
        </w:rPr>
        <w:footnoteRef/>
      </w:r>
      <w:r>
        <w:t xml:space="preserve"> </w:t>
      </w:r>
      <w:r>
        <w:rPr>
          <w:lang w:val="en-US"/>
        </w:rPr>
        <w:t>Malville, p. 156</w:t>
      </w:r>
    </w:p>
  </w:footnote>
  <w:footnote w:id="20">
    <w:p w:rsidR="00901678" w:rsidRPr="00901678" w:rsidRDefault="00901678">
      <w:pPr>
        <w:pStyle w:val="FootnoteText"/>
        <w:rPr>
          <w:lang w:val="en-US"/>
        </w:rPr>
      </w:pPr>
      <w:r>
        <w:rPr>
          <w:rStyle w:val="FootnoteReference"/>
        </w:rPr>
        <w:footnoteRef/>
      </w:r>
      <w:r>
        <w:t xml:space="preserve"> </w:t>
      </w:r>
      <w:r>
        <w:rPr>
          <w:lang w:val="en-US"/>
        </w:rPr>
        <w:t>Malville, p. 158</w:t>
      </w:r>
    </w:p>
  </w:footnote>
  <w:footnote w:id="21">
    <w:p w:rsidR="00C252E1" w:rsidRPr="00F03331" w:rsidRDefault="00C252E1" w:rsidP="00C252E1">
      <w:pPr>
        <w:pStyle w:val="FootnoteText"/>
        <w:rPr>
          <w:lang w:val="en-US"/>
        </w:rPr>
      </w:pPr>
      <w:r>
        <w:rPr>
          <w:rStyle w:val="FootnoteReference"/>
        </w:rPr>
        <w:footnoteRef/>
      </w:r>
      <w:r>
        <w:t xml:space="preserve"> </w:t>
      </w:r>
      <w:r>
        <w:rPr>
          <w:lang w:val="en-US"/>
        </w:rPr>
        <w:t>Ghezzi and Ruggles p. 149</w:t>
      </w:r>
    </w:p>
  </w:footnote>
  <w:footnote w:id="22">
    <w:p w:rsidR="00347888" w:rsidRPr="00340CAF" w:rsidRDefault="00347888" w:rsidP="00347888">
      <w:pPr>
        <w:pStyle w:val="FootnoteText"/>
        <w:rPr>
          <w:lang w:val="en-US"/>
        </w:rPr>
      </w:pPr>
      <w:r>
        <w:rPr>
          <w:rStyle w:val="FootnoteReference"/>
        </w:rPr>
        <w:footnoteRef/>
      </w:r>
      <w:r>
        <w:t xml:space="preserve"> </w:t>
      </w:r>
      <w:r>
        <w:rPr>
          <w:lang w:val="en-US"/>
        </w:rPr>
        <w:t>Malville, p. 156</w:t>
      </w:r>
    </w:p>
  </w:footnote>
  <w:footnote w:id="23">
    <w:p w:rsidR="00FA02C2" w:rsidRPr="00340CAF" w:rsidRDefault="00FA02C2" w:rsidP="00FA02C2">
      <w:pPr>
        <w:pStyle w:val="FootnoteText"/>
        <w:rPr>
          <w:lang w:val="en-US"/>
        </w:rPr>
      </w:pPr>
      <w:r>
        <w:rPr>
          <w:rStyle w:val="FootnoteReference"/>
        </w:rPr>
        <w:footnoteRef/>
      </w:r>
      <w:r>
        <w:t xml:space="preserve"> </w:t>
      </w:r>
      <w:r>
        <w:rPr>
          <w:lang w:val="en-US"/>
        </w:rPr>
        <w:t>Malville, p. 155</w:t>
      </w:r>
    </w:p>
  </w:footnote>
  <w:footnote w:id="24">
    <w:p w:rsidR="00FA02C2" w:rsidRPr="00340CAF" w:rsidRDefault="00FA02C2" w:rsidP="00FA02C2">
      <w:pPr>
        <w:pStyle w:val="FootnoteText"/>
        <w:rPr>
          <w:lang w:val="en-US"/>
        </w:rPr>
      </w:pPr>
      <w:r>
        <w:rPr>
          <w:rStyle w:val="FootnoteReference"/>
        </w:rPr>
        <w:footnoteRef/>
      </w:r>
      <w:r>
        <w:t xml:space="preserve"> </w:t>
      </w:r>
      <w:r>
        <w:rPr>
          <w:lang w:val="en-US"/>
        </w:rPr>
        <w:t>Malville, p. 154</w:t>
      </w:r>
    </w:p>
  </w:footnote>
  <w:footnote w:id="25">
    <w:p w:rsidR="00347888" w:rsidRPr="009711C1" w:rsidRDefault="00347888" w:rsidP="00347888">
      <w:pPr>
        <w:pStyle w:val="FootnoteText"/>
        <w:rPr>
          <w:lang w:val="en-US"/>
        </w:rPr>
      </w:pPr>
      <w:r>
        <w:rPr>
          <w:rStyle w:val="FootnoteReference"/>
        </w:rPr>
        <w:footnoteRef/>
      </w:r>
      <w:r>
        <w:t xml:space="preserve"> </w:t>
      </w:r>
      <w:r>
        <w:rPr>
          <w:lang w:val="en-US"/>
        </w:rPr>
        <w:t>Malville, Skyscapes p. xiii</w:t>
      </w:r>
    </w:p>
  </w:footnote>
  <w:footnote w:id="26">
    <w:p w:rsidR="00605AD6" w:rsidRPr="00605AD6" w:rsidRDefault="00605AD6">
      <w:pPr>
        <w:pStyle w:val="FootnoteText"/>
        <w:rPr>
          <w:lang w:val="en-US"/>
        </w:rPr>
      </w:pPr>
      <w:r>
        <w:rPr>
          <w:rStyle w:val="FootnoteReference"/>
        </w:rPr>
        <w:footnoteRef/>
      </w:r>
      <w:r>
        <w:t xml:space="preserve"> </w:t>
      </w:r>
      <w:r>
        <w:rPr>
          <w:lang w:val="en-US"/>
        </w:rPr>
        <w:t>Ghezzi and Ruggles p. 151.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C90"/>
    <w:rsid w:val="00121C9F"/>
    <w:rsid w:val="00153DD8"/>
    <w:rsid w:val="001E6A30"/>
    <w:rsid w:val="001F0E97"/>
    <w:rsid w:val="00205A3E"/>
    <w:rsid w:val="00284FB6"/>
    <w:rsid w:val="00340CAF"/>
    <w:rsid w:val="00346C76"/>
    <w:rsid w:val="00347888"/>
    <w:rsid w:val="00357F01"/>
    <w:rsid w:val="0042770A"/>
    <w:rsid w:val="00511448"/>
    <w:rsid w:val="00562EAF"/>
    <w:rsid w:val="00593143"/>
    <w:rsid w:val="00605AD6"/>
    <w:rsid w:val="00621F98"/>
    <w:rsid w:val="00637AF6"/>
    <w:rsid w:val="00654E29"/>
    <w:rsid w:val="00661C0C"/>
    <w:rsid w:val="006722F4"/>
    <w:rsid w:val="00692BFF"/>
    <w:rsid w:val="006F268B"/>
    <w:rsid w:val="00716E9F"/>
    <w:rsid w:val="00730276"/>
    <w:rsid w:val="00741713"/>
    <w:rsid w:val="007D0164"/>
    <w:rsid w:val="00801763"/>
    <w:rsid w:val="00866DD9"/>
    <w:rsid w:val="00884FFD"/>
    <w:rsid w:val="008B3517"/>
    <w:rsid w:val="008C476F"/>
    <w:rsid w:val="00901678"/>
    <w:rsid w:val="009711C1"/>
    <w:rsid w:val="00985913"/>
    <w:rsid w:val="00991076"/>
    <w:rsid w:val="009F0CCE"/>
    <w:rsid w:val="00A04AC6"/>
    <w:rsid w:val="00A307FC"/>
    <w:rsid w:val="00A34258"/>
    <w:rsid w:val="00A519DE"/>
    <w:rsid w:val="00A748E4"/>
    <w:rsid w:val="00B43C76"/>
    <w:rsid w:val="00BF5AED"/>
    <w:rsid w:val="00C02B76"/>
    <w:rsid w:val="00C03E76"/>
    <w:rsid w:val="00C252E1"/>
    <w:rsid w:val="00C657D5"/>
    <w:rsid w:val="00C922FB"/>
    <w:rsid w:val="00C97E4E"/>
    <w:rsid w:val="00D0351D"/>
    <w:rsid w:val="00E53C4D"/>
    <w:rsid w:val="00E6748A"/>
    <w:rsid w:val="00EF066C"/>
    <w:rsid w:val="00F03331"/>
    <w:rsid w:val="00F11997"/>
    <w:rsid w:val="00F54C90"/>
    <w:rsid w:val="00F60349"/>
    <w:rsid w:val="00F80317"/>
    <w:rsid w:val="00FA02C2"/>
    <w:rsid w:val="00FA68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2CAE22"/>
  <w14:defaultImageDpi w14:val="32767"/>
  <w15:chartTrackingRefBased/>
  <w15:docId w15:val="{2A14509D-4BB8-7046-A148-C30D85206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54C90"/>
    <w:rPr>
      <w:rFonts w:ascii="Times New Roman" w:eastAsia="SimSun" w:hAnsi="Times New Roman" w:cs="Times New Roman"/>
      <w:lang w:val="en-GB" w:eastAsia="zh-CN"/>
    </w:rPr>
  </w:style>
  <w:style w:type="paragraph" w:styleId="Heading1">
    <w:name w:val="heading 1"/>
    <w:basedOn w:val="Normal"/>
    <w:next w:val="Normal"/>
    <w:link w:val="Heading1Char"/>
    <w:uiPriority w:val="9"/>
    <w:qFormat/>
    <w:rsid w:val="00866DD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F54C90"/>
    <w:pPr>
      <w:keepNext/>
      <w:ind w:left="720"/>
      <w:jc w:val="both"/>
      <w:outlineLvl w:val="2"/>
    </w:pPr>
    <w:rPr>
      <w:rFonts w:ascii="Tahoma" w:hAnsi="Tahoma" w:cs="Tahoma"/>
      <w:b/>
      <w:bCs/>
      <w:sz w:val="20"/>
      <w:szCs w:val="20"/>
    </w:rPr>
  </w:style>
  <w:style w:type="paragraph" w:styleId="Heading4">
    <w:name w:val="heading 4"/>
    <w:basedOn w:val="Normal"/>
    <w:next w:val="Normal"/>
    <w:link w:val="Heading4Char"/>
    <w:uiPriority w:val="9"/>
    <w:semiHidden/>
    <w:unhideWhenUsed/>
    <w:qFormat/>
    <w:rsid w:val="00866DD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F54C90"/>
    <w:rPr>
      <w:rFonts w:ascii="Tahoma" w:eastAsia="SimSun" w:hAnsi="Tahoma" w:cs="Tahoma"/>
      <w:b/>
      <w:bCs/>
      <w:sz w:val="20"/>
      <w:szCs w:val="20"/>
      <w:lang w:val="en-GB" w:eastAsia="zh-CN"/>
    </w:rPr>
  </w:style>
  <w:style w:type="paragraph" w:styleId="NormalWeb">
    <w:name w:val="Normal (Web)"/>
    <w:basedOn w:val="Normal"/>
    <w:rsid w:val="00F54C90"/>
    <w:pPr>
      <w:spacing w:before="100" w:beforeAutospacing="1" w:after="100" w:afterAutospacing="1"/>
    </w:pPr>
    <w:rPr>
      <w:rFonts w:ascii="Georgia" w:hAnsi="Georgia"/>
      <w:color w:val="000000"/>
      <w:sz w:val="21"/>
      <w:szCs w:val="21"/>
    </w:rPr>
  </w:style>
  <w:style w:type="character" w:customStyle="1" w:styleId="Heading4Char">
    <w:name w:val="Heading 4 Char"/>
    <w:basedOn w:val="DefaultParagraphFont"/>
    <w:link w:val="Heading4"/>
    <w:uiPriority w:val="9"/>
    <w:semiHidden/>
    <w:rsid w:val="00866DD9"/>
    <w:rPr>
      <w:rFonts w:asciiTheme="majorHAnsi" w:eastAsiaTheme="majorEastAsia" w:hAnsiTheme="majorHAnsi" w:cstheme="majorBidi"/>
      <w:i/>
      <w:iCs/>
      <w:color w:val="2F5496" w:themeColor="accent1" w:themeShade="BF"/>
      <w:lang w:val="en-GB" w:eastAsia="zh-CN"/>
    </w:rPr>
  </w:style>
  <w:style w:type="character" w:customStyle="1" w:styleId="Heading1Char">
    <w:name w:val="Heading 1 Char"/>
    <w:basedOn w:val="DefaultParagraphFont"/>
    <w:link w:val="Heading1"/>
    <w:uiPriority w:val="9"/>
    <w:rsid w:val="00866DD9"/>
    <w:rPr>
      <w:rFonts w:asciiTheme="majorHAnsi" w:eastAsiaTheme="majorEastAsia" w:hAnsiTheme="majorHAnsi" w:cstheme="majorBidi"/>
      <w:color w:val="2F5496" w:themeColor="accent1" w:themeShade="BF"/>
      <w:sz w:val="32"/>
      <w:szCs w:val="32"/>
      <w:lang w:val="en-GB" w:eastAsia="zh-CN"/>
    </w:rPr>
  </w:style>
  <w:style w:type="character" w:styleId="Hyperlink">
    <w:name w:val="Hyperlink"/>
    <w:basedOn w:val="DefaultParagraphFont"/>
    <w:uiPriority w:val="99"/>
    <w:unhideWhenUsed/>
    <w:rsid w:val="00866DD9"/>
    <w:rPr>
      <w:color w:val="0563C1" w:themeColor="hyperlink"/>
      <w:u w:val="single"/>
    </w:rPr>
  </w:style>
  <w:style w:type="character" w:styleId="UnresolvedMention">
    <w:name w:val="Unresolved Mention"/>
    <w:basedOn w:val="DefaultParagraphFont"/>
    <w:uiPriority w:val="99"/>
    <w:rsid w:val="00866DD9"/>
    <w:rPr>
      <w:color w:val="808080"/>
      <w:shd w:val="clear" w:color="auto" w:fill="E6E6E6"/>
    </w:rPr>
  </w:style>
  <w:style w:type="paragraph" w:styleId="FootnoteText">
    <w:name w:val="footnote text"/>
    <w:basedOn w:val="Normal"/>
    <w:link w:val="FootnoteTextChar"/>
    <w:uiPriority w:val="99"/>
    <w:semiHidden/>
    <w:unhideWhenUsed/>
    <w:rsid w:val="00E6748A"/>
    <w:rPr>
      <w:sz w:val="20"/>
      <w:szCs w:val="20"/>
    </w:rPr>
  </w:style>
  <w:style w:type="character" w:customStyle="1" w:styleId="FootnoteTextChar">
    <w:name w:val="Footnote Text Char"/>
    <w:basedOn w:val="DefaultParagraphFont"/>
    <w:link w:val="FootnoteText"/>
    <w:uiPriority w:val="99"/>
    <w:semiHidden/>
    <w:rsid w:val="00E6748A"/>
    <w:rPr>
      <w:rFonts w:ascii="Times New Roman" w:eastAsia="SimSun" w:hAnsi="Times New Roman" w:cs="Times New Roman"/>
      <w:sz w:val="20"/>
      <w:szCs w:val="20"/>
      <w:lang w:val="en-GB" w:eastAsia="zh-CN"/>
    </w:rPr>
  </w:style>
  <w:style w:type="character" w:styleId="FootnoteReference">
    <w:name w:val="footnote reference"/>
    <w:basedOn w:val="DefaultParagraphFont"/>
    <w:uiPriority w:val="99"/>
    <w:semiHidden/>
    <w:unhideWhenUsed/>
    <w:rsid w:val="00E6748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045076">
      <w:bodyDiv w:val="1"/>
      <w:marLeft w:val="0"/>
      <w:marRight w:val="0"/>
      <w:marTop w:val="0"/>
      <w:marBottom w:val="0"/>
      <w:divBdr>
        <w:top w:val="none" w:sz="0" w:space="0" w:color="auto"/>
        <w:left w:val="none" w:sz="0" w:space="0" w:color="auto"/>
        <w:bottom w:val="none" w:sz="0" w:space="0" w:color="auto"/>
        <w:right w:val="none" w:sz="0" w:space="0" w:color="auto"/>
      </w:divBdr>
      <w:divsChild>
        <w:div w:id="1892378761">
          <w:marLeft w:val="0"/>
          <w:marRight w:val="0"/>
          <w:marTop w:val="0"/>
          <w:marBottom w:val="0"/>
          <w:divBdr>
            <w:top w:val="none" w:sz="0" w:space="0" w:color="auto"/>
            <w:left w:val="none" w:sz="0" w:space="0" w:color="auto"/>
            <w:bottom w:val="none" w:sz="0" w:space="0" w:color="auto"/>
            <w:right w:val="none" w:sz="0" w:space="0" w:color="auto"/>
          </w:divBdr>
          <w:divsChild>
            <w:div w:id="109012665">
              <w:marLeft w:val="0"/>
              <w:marRight w:val="0"/>
              <w:marTop w:val="0"/>
              <w:marBottom w:val="0"/>
              <w:divBdr>
                <w:top w:val="none" w:sz="0" w:space="0" w:color="auto"/>
                <w:left w:val="none" w:sz="0" w:space="0" w:color="auto"/>
                <w:bottom w:val="none" w:sz="0" w:space="0" w:color="auto"/>
                <w:right w:val="none" w:sz="0" w:space="0" w:color="auto"/>
              </w:divBdr>
            </w:div>
          </w:divsChild>
        </w:div>
        <w:div w:id="1546600456">
          <w:marLeft w:val="0"/>
          <w:marRight w:val="0"/>
          <w:marTop w:val="0"/>
          <w:marBottom w:val="0"/>
          <w:divBdr>
            <w:top w:val="none" w:sz="0" w:space="0" w:color="auto"/>
            <w:left w:val="none" w:sz="0" w:space="0" w:color="auto"/>
            <w:bottom w:val="none" w:sz="0" w:space="0" w:color="auto"/>
            <w:right w:val="none" w:sz="0" w:space="0" w:color="auto"/>
          </w:divBdr>
          <w:divsChild>
            <w:div w:id="1275165407">
              <w:marLeft w:val="0"/>
              <w:marRight w:val="0"/>
              <w:marTop w:val="0"/>
              <w:marBottom w:val="0"/>
              <w:divBdr>
                <w:top w:val="none" w:sz="0" w:space="0" w:color="auto"/>
                <w:left w:val="none" w:sz="0" w:space="0" w:color="auto"/>
                <w:bottom w:val="none" w:sz="0" w:space="0" w:color="auto"/>
                <w:right w:val="none" w:sz="0" w:space="0" w:color="auto"/>
              </w:divBdr>
              <w:divsChild>
                <w:div w:id="74673081">
                  <w:marLeft w:val="0"/>
                  <w:marRight w:val="0"/>
                  <w:marTop w:val="0"/>
                  <w:marBottom w:val="0"/>
                  <w:divBdr>
                    <w:top w:val="none" w:sz="0" w:space="0" w:color="auto"/>
                    <w:left w:val="none" w:sz="0" w:space="0" w:color="auto"/>
                    <w:bottom w:val="none" w:sz="0" w:space="0" w:color="auto"/>
                    <w:right w:val="none" w:sz="0" w:space="0" w:color="auto"/>
                  </w:divBdr>
                  <w:divsChild>
                    <w:div w:id="379987550">
                      <w:marLeft w:val="0"/>
                      <w:marRight w:val="0"/>
                      <w:marTop w:val="0"/>
                      <w:marBottom w:val="0"/>
                      <w:divBdr>
                        <w:top w:val="none" w:sz="0" w:space="0" w:color="auto"/>
                        <w:left w:val="none" w:sz="0" w:space="0" w:color="auto"/>
                        <w:bottom w:val="none" w:sz="0" w:space="0" w:color="auto"/>
                        <w:right w:val="none" w:sz="0" w:space="0" w:color="auto"/>
                      </w:divBdr>
                      <w:divsChild>
                        <w:div w:id="199899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469897">
      <w:bodyDiv w:val="1"/>
      <w:marLeft w:val="0"/>
      <w:marRight w:val="0"/>
      <w:marTop w:val="0"/>
      <w:marBottom w:val="0"/>
      <w:divBdr>
        <w:top w:val="none" w:sz="0" w:space="0" w:color="auto"/>
        <w:left w:val="none" w:sz="0" w:space="0" w:color="auto"/>
        <w:bottom w:val="none" w:sz="0" w:space="0" w:color="auto"/>
        <w:right w:val="none" w:sz="0" w:space="0" w:color="auto"/>
      </w:divBdr>
    </w:div>
    <w:div w:id="985663464">
      <w:bodyDiv w:val="1"/>
      <w:marLeft w:val="0"/>
      <w:marRight w:val="0"/>
      <w:marTop w:val="0"/>
      <w:marBottom w:val="0"/>
      <w:divBdr>
        <w:top w:val="none" w:sz="0" w:space="0" w:color="auto"/>
        <w:left w:val="none" w:sz="0" w:space="0" w:color="auto"/>
        <w:bottom w:val="none" w:sz="0" w:space="0" w:color="auto"/>
        <w:right w:val="none" w:sz="0" w:space="0" w:color="auto"/>
      </w:divBdr>
    </w:div>
    <w:div w:id="1176922417">
      <w:bodyDiv w:val="1"/>
      <w:marLeft w:val="0"/>
      <w:marRight w:val="0"/>
      <w:marTop w:val="0"/>
      <w:marBottom w:val="0"/>
      <w:divBdr>
        <w:top w:val="none" w:sz="0" w:space="0" w:color="auto"/>
        <w:left w:val="none" w:sz="0" w:space="0" w:color="auto"/>
        <w:bottom w:val="none" w:sz="0" w:space="0" w:color="auto"/>
        <w:right w:val="none" w:sz="0" w:space="0" w:color="auto"/>
      </w:divBdr>
    </w:div>
    <w:div w:id="1549800974">
      <w:bodyDiv w:val="1"/>
      <w:marLeft w:val="0"/>
      <w:marRight w:val="0"/>
      <w:marTop w:val="0"/>
      <w:marBottom w:val="0"/>
      <w:divBdr>
        <w:top w:val="none" w:sz="0" w:space="0" w:color="auto"/>
        <w:left w:val="none" w:sz="0" w:space="0" w:color="auto"/>
        <w:bottom w:val="none" w:sz="0" w:space="0" w:color="auto"/>
        <w:right w:val="none" w:sz="0" w:space="0" w:color="auto"/>
      </w:divBdr>
    </w:div>
    <w:div w:id="205064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5C1B8AE-6FD6-5C40-9F25-2B2C253CB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446</TotalTime>
  <Pages>7</Pages>
  <Words>1813</Words>
  <Characters>10336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Goldstein (1710933)</dc:creator>
  <cp:keywords/>
  <dc:description/>
  <cp:lastModifiedBy>Danielle Goldstein (1710933)</cp:lastModifiedBy>
  <cp:revision>11</cp:revision>
  <dcterms:created xsi:type="dcterms:W3CDTF">2019-02-21T02:04:00Z</dcterms:created>
  <dcterms:modified xsi:type="dcterms:W3CDTF">2019-03-04T00:52:00Z</dcterms:modified>
</cp:coreProperties>
</file>