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3159EB" w14:textId="09DC64D3" w:rsidR="00CB5B66" w:rsidRDefault="00CB5B66" w:rsidP="00CB5B66"/>
    <w:p w14:paraId="6714A3E1" w14:textId="1DDFD58B" w:rsidR="00F71926" w:rsidRDefault="00F71926" w:rsidP="00CB5B66"/>
    <w:p w14:paraId="2F0FF111" w14:textId="119FDC2A" w:rsidR="00F71926" w:rsidRDefault="00F71926" w:rsidP="00F71926">
      <w:pPr>
        <w:jc w:val="center"/>
      </w:pPr>
    </w:p>
    <w:p w14:paraId="3CCDF992" w14:textId="58EA571E" w:rsidR="00F71926" w:rsidRPr="00F71926" w:rsidRDefault="00F71926" w:rsidP="00F71926">
      <w:pPr>
        <w:jc w:val="center"/>
        <w:rPr>
          <w:b/>
          <w:bCs/>
          <w:sz w:val="34"/>
          <w:szCs w:val="34"/>
        </w:rPr>
      </w:pPr>
      <w:r w:rsidRPr="00F71926">
        <w:rPr>
          <w:b/>
          <w:bCs/>
          <w:sz w:val="34"/>
          <w:szCs w:val="34"/>
        </w:rPr>
        <w:t>Business</w:t>
      </w:r>
      <w:r w:rsidRPr="00F71926">
        <w:rPr>
          <w:b/>
          <w:bCs/>
          <w:sz w:val="34"/>
          <w:szCs w:val="34"/>
        </w:rPr>
        <w:t xml:space="preserve"> Skills for International Hotel Industry</w:t>
      </w:r>
    </w:p>
    <w:p w14:paraId="311CFA55" w14:textId="61E28B06" w:rsidR="00F71926" w:rsidRPr="00F71926" w:rsidRDefault="00F71926" w:rsidP="00F71926">
      <w:pPr>
        <w:jc w:val="center"/>
        <w:rPr>
          <w:i/>
          <w:iCs/>
          <w:sz w:val="34"/>
          <w:szCs w:val="34"/>
        </w:rPr>
      </w:pPr>
      <w:r w:rsidRPr="00F71926">
        <w:rPr>
          <w:i/>
          <w:iCs/>
          <w:sz w:val="34"/>
          <w:szCs w:val="34"/>
        </w:rPr>
        <w:t>“How impossible turns out to be possible”</w:t>
      </w:r>
    </w:p>
    <w:p w14:paraId="2DD16BE8" w14:textId="4DF88739" w:rsidR="00F71926" w:rsidRDefault="00F71926" w:rsidP="00F71926">
      <w:pPr>
        <w:jc w:val="center"/>
        <w:rPr>
          <w:sz w:val="34"/>
          <w:szCs w:val="34"/>
        </w:rPr>
      </w:pPr>
      <w:r w:rsidRPr="00F71926">
        <w:rPr>
          <w:sz w:val="34"/>
          <w:szCs w:val="34"/>
        </w:rPr>
        <w:t>M4X01917</w:t>
      </w:r>
    </w:p>
    <w:p w14:paraId="52687E88" w14:textId="0DCB05AB" w:rsidR="00F71926" w:rsidRDefault="00F71926" w:rsidP="00F71926">
      <w:pPr>
        <w:jc w:val="center"/>
        <w:rPr>
          <w:sz w:val="34"/>
          <w:szCs w:val="34"/>
        </w:rPr>
      </w:pPr>
    </w:p>
    <w:p w14:paraId="40A537EE" w14:textId="1D5F71E4" w:rsidR="00F71926" w:rsidRDefault="00F71926" w:rsidP="00F71926">
      <w:pPr>
        <w:jc w:val="center"/>
        <w:rPr>
          <w:sz w:val="34"/>
          <w:szCs w:val="34"/>
        </w:rPr>
      </w:pPr>
    </w:p>
    <w:p w14:paraId="71A0F5CB" w14:textId="47024EE7" w:rsidR="00F71926" w:rsidRDefault="00F71926" w:rsidP="00F71926">
      <w:pPr>
        <w:jc w:val="center"/>
        <w:rPr>
          <w:sz w:val="34"/>
          <w:szCs w:val="34"/>
        </w:rPr>
      </w:pPr>
    </w:p>
    <w:p w14:paraId="3E99CBF6" w14:textId="2D326041" w:rsidR="00F71926" w:rsidRDefault="00F71926" w:rsidP="00F71926">
      <w:pPr>
        <w:jc w:val="center"/>
        <w:rPr>
          <w:sz w:val="34"/>
          <w:szCs w:val="34"/>
        </w:rPr>
      </w:pPr>
    </w:p>
    <w:p w14:paraId="00A366D3" w14:textId="17AC4B87" w:rsidR="00F71926" w:rsidRDefault="00F71926" w:rsidP="00F71926">
      <w:pPr>
        <w:jc w:val="center"/>
        <w:rPr>
          <w:sz w:val="34"/>
          <w:szCs w:val="34"/>
        </w:rPr>
      </w:pPr>
    </w:p>
    <w:p w14:paraId="47DA273A" w14:textId="171FAF5B" w:rsidR="00F71926" w:rsidRDefault="00F71926" w:rsidP="00F71926">
      <w:pPr>
        <w:jc w:val="center"/>
        <w:rPr>
          <w:sz w:val="34"/>
          <w:szCs w:val="34"/>
        </w:rPr>
      </w:pPr>
    </w:p>
    <w:p w14:paraId="3596F899" w14:textId="7BCBC472" w:rsidR="00F71926" w:rsidRDefault="00F71926" w:rsidP="00F71926">
      <w:pPr>
        <w:jc w:val="center"/>
        <w:rPr>
          <w:sz w:val="34"/>
          <w:szCs w:val="34"/>
        </w:rPr>
      </w:pPr>
    </w:p>
    <w:p w14:paraId="533C3276" w14:textId="4768CC2F" w:rsidR="00F71926" w:rsidRDefault="00F71926" w:rsidP="00F71926">
      <w:pPr>
        <w:jc w:val="center"/>
        <w:rPr>
          <w:sz w:val="34"/>
          <w:szCs w:val="34"/>
        </w:rPr>
      </w:pPr>
    </w:p>
    <w:p w14:paraId="1A6DEF75" w14:textId="068820D1" w:rsidR="00F71926" w:rsidRDefault="00F71926" w:rsidP="00F71926">
      <w:pPr>
        <w:jc w:val="center"/>
        <w:rPr>
          <w:sz w:val="34"/>
          <w:szCs w:val="34"/>
        </w:rPr>
      </w:pPr>
    </w:p>
    <w:p w14:paraId="2F5FA614" w14:textId="037310EE" w:rsidR="00F71926" w:rsidRDefault="00F71926" w:rsidP="00F71926">
      <w:pPr>
        <w:jc w:val="center"/>
        <w:rPr>
          <w:sz w:val="34"/>
          <w:szCs w:val="34"/>
        </w:rPr>
      </w:pPr>
    </w:p>
    <w:p w14:paraId="705D2EC2" w14:textId="41D7C070" w:rsidR="00F71926" w:rsidRDefault="00F71926" w:rsidP="00F71926">
      <w:pPr>
        <w:jc w:val="center"/>
        <w:rPr>
          <w:sz w:val="34"/>
          <w:szCs w:val="34"/>
        </w:rPr>
      </w:pPr>
    </w:p>
    <w:p w14:paraId="0CFE5B30" w14:textId="14FCF364" w:rsidR="00F71926" w:rsidRDefault="00F71926" w:rsidP="00F71926">
      <w:pPr>
        <w:jc w:val="center"/>
        <w:rPr>
          <w:sz w:val="34"/>
          <w:szCs w:val="34"/>
        </w:rPr>
      </w:pPr>
    </w:p>
    <w:p w14:paraId="47120A96" w14:textId="0BE1A05E" w:rsidR="00F71926" w:rsidRPr="00F71926" w:rsidRDefault="00F71926" w:rsidP="00F71926">
      <w:pPr>
        <w:rPr>
          <w:sz w:val="32"/>
          <w:szCs w:val="32"/>
        </w:rPr>
      </w:pPr>
      <w:r w:rsidRPr="00F71926">
        <w:rPr>
          <w:b/>
          <w:bCs/>
          <w:sz w:val="32"/>
          <w:szCs w:val="32"/>
        </w:rPr>
        <w:t>Student:</w:t>
      </w:r>
      <w:r w:rsidRPr="00F71926">
        <w:rPr>
          <w:sz w:val="32"/>
          <w:szCs w:val="32"/>
        </w:rPr>
        <w:t xml:space="preserve"> Maria-Madalina </w:t>
      </w:r>
      <w:proofErr w:type="spellStart"/>
      <w:r w:rsidRPr="00F71926">
        <w:rPr>
          <w:sz w:val="32"/>
          <w:szCs w:val="32"/>
        </w:rPr>
        <w:t>Costache</w:t>
      </w:r>
      <w:proofErr w:type="spellEnd"/>
    </w:p>
    <w:p w14:paraId="69D1F0F7" w14:textId="5FEABE46" w:rsidR="00F71926" w:rsidRPr="00F71926" w:rsidRDefault="00F71926" w:rsidP="00F71926">
      <w:pPr>
        <w:rPr>
          <w:sz w:val="32"/>
          <w:szCs w:val="32"/>
        </w:rPr>
      </w:pPr>
      <w:r w:rsidRPr="00F71926">
        <w:rPr>
          <w:b/>
          <w:bCs/>
          <w:sz w:val="32"/>
          <w:szCs w:val="32"/>
        </w:rPr>
        <w:t>Student ID:</w:t>
      </w:r>
      <w:r w:rsidRPr="00F71926">
        <w:rPr>
          <w:sz w:val="32"/>
          <w:szCs w:val="32"/>
        </w:rPr>
        <w:t xml:space="preserve"> </w:t>
      </w:r>
      <w:r w:rsidRPr="00F71926">
        <w:rPr>
          <w:sz w:val="32"/>
          <w:szCs w:val="32"/>
        </w:rPr>
        <w:t>1818496</w:t>
      </w:r>
    </w:p>
    <w:p w14:paraId="2A5D2DCD" w14:textId="5A3A3FEE" w:rsidR="00F71926" w:rsidRPr="00F71926" w:rsidRDefault="00F71926" w:rsidP="00F71926">
      <w:pPr>
        <w:rPr>
          <w:sz w:val="32"/>
          <w:szCs w:val="32"/>
        </w:rPr>
      </w:pPr>
      <w:r w:rsidRPr="00F71926">
        <w:rPr>
          <w:b/>
          <w:bCs/>
          <w:sz w:val="32"/>
          <w:szCs w:val="32"/>
        </w:rPr>
        <w:t>Lecturer:</w:t>
      </w:r>
      <w:r w:rsidRPr="00F71926">
        <w:rPr>
          <w:sz w:val="32"/>
          <w:szCs w:val="32"/>
        </w:rPr>
        <w:t xml:space="preserve"> Dale Clarke</w:t>
      </w:r>
    </w:p>
    <w:p w14:paraId="07B37D7C" w14:textId="77777777" w:rsidR="00F71926" w:rsidRPr="00F71926" w:rsidRDefault="00F71926" w:rsidP="00F71926">
      <w:pPr>
        <w:rPr>
          <w:sz w:val="34"/>
          <w:szCs w:val="34"/>
        </w:rPr>
      </w:pPr>
    </w:p>
    <w:p w14:paraId="7718B4B3" w14:textId="09D930F0" w:rsidR="00CB5B66" w:rsidRDefault="00CB5B66" w:rsidP="00CB5B66"/>
    <w:sdt>
      <w:sdtPr>
        <w:rPr>
          <w:rFonts w:ascii="Arial" w:hAnsi="Arial" w:cs="Arial"/>
          <w:b/>
          <w:bCs/>
          <w:color w:val="000000" w:themeColor="text1"/>
        </w:rPr>
        <w:id w:val="503793233"/>
        <w:docPartObj>
          <w:docPartGallery w:val="Table of Contents"/>
          <w:docPartUnique/>
        </w:docPartObj>
      </w:sdtPr>
      <w:sdtEndPr>
        <w:rPr>
          <w:rFonts w:eastAsiaTheme="minorHAnsi" w:cstheme="minorBidi"/>
          <w:noProof/>
          <w:color w:val="auto"/>
          <w:sz w:val="22"/>
          <w:szCs w:val="22"/>
          <w:lang w:val="en-GB"/>
        </w:rPr>
      </w:sdtEndPr>
      <w:sdtContent>
        <w:p w14:paraId="4B4110E9" w14:textId="77777777" w:rsidR="00F71926" w:rsidRDefault="00F71926">
          <w:pPr>
            <w:pStyle w:val="TOCHeading"/>
            <w:rPr>
              <w:rFonts w:ascii="Arial" w:hAnsi="Arial" w:cs="Arial"/>
              <w:b/>
              <w:bCs/>
              <w:color w:val="000000" w:themeColor="text1"/>
            </w:rPr>
          </w:pPr>
        </w:p>
        <w:p w14:paraId="1FBF5E82" w14:textId="77777777" w:rsidR="00F71926" w:rsidRDefault="00F71926">
          <w:pPr>
            <w:pStyle w:val="TOCHeading"/>
            <w:rPr>
              <w:rFonts w:ascii="Arial" w:hAnsi="Arial" w:cs="Arial"/>
              <w:b/>
              <w:bCs/>
              <w:color w:val="000000" w:themeColor="text1"/>
            </w:rPr>
          </w:pPr>
        </w:p>
        <w:p w14:paraId="633993B9" w14:textId="1A328906" w:rsidR="00F71926" w:rsidRPr="00F71926" w:rsidRDefault="00F71926">
          <w:pPr>
            <w:pStyle w:val="TOCHeading"/>
            <w:rPr>
              <w:rFonts w:ascii="Arial" w:hAnsi="Arial" w:cs="Arial"/>
              <w:b/>
              <w:bCs/>
              <w:color w:val="000000" w:themeColor="text1"/>
            </w:rPr>
          </w:pPr>
          <w:r w:rsidRPr="00F71926">
            <w:rPr>
              <w:rFonts w:ascii="Arial" w:hAnsi="Arial" w:cs="Arial"/>
              <w:b/>
              <w:bCs/>
              <w:color w:val="000000" w:themeColor="text1"/>
            </w:rPr>
            <w:t>Table of Contents</w:t>
          </w:r>
        </w:p>
        <w:p w14:paraId="46FE2A22" w14:textId="4D01E03D" w:rsidR="00F71926" w:rsidRDefault="00F71926">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2283904" w:history="1">
            <w:r w:rsidRPr="003A4B75">
              <w:rPr>
                <w:rStyle w:val="Hyperlink"/>
                <w:noProof/>
              </w:rPr>
              <w:t>Introduction</w:t>
            </w:r>
            <w:r>
              <w:rPr>
                <w:noProof/>
                <w:webHidden/>
              </w:rPr>
              <w:tab/>
            </w:r>
            <w:r>
              <w:rPr>
                <w:noProof/>
                <w:webHidden/>
              </w:rPr>
              <w:fldChar w:fldCharType="begin"/>
            </w:r>
            <w:r>
              <w:rPr>
                <w:noProof/>
                <w:webHidden/>
              </w:rPr>
              <w:instrText xml:space="preserve"> PAGEREF _Toc22283904 \h </w:instrText>
            </w:r>
            <w:r>
              <w:rPr>
                <w:noProof/>
                <w:webHidden/>
              </w:rPr>
            </w:r>
            <w:r>
              <w:rPr>
                <w:noProof/>
                <w:webHidden/>
              </w:rPr>
              <w:fldChar w:fldCharType="separate"/>
            </w:r>
            <w:r>
              <w:rPr>
                <w:noProof/>
                <w:webHidden/>
              </w:rPr>
              <w:t>2</w:t>
            </w:r>
            <w:r>
              <w:rPr>
                <w:noProof/>
                <w:webHidden/>
              </w:rPr>
              <w:fldChar w:fldCharType="end"/>
            </w:r>
          </w:hyperlink>
        </w:p>
        <w:p w14:paraId="1FA3268E" w14:textId="729DBFAB" w:rsidR="00F71926" w:rsidRDefault="00F71926">
          <w:pPr>
            <w:pStyle w:val="TOC1"/>
            <w:tabs>
              <w:tab w:val="right" w:leader="dot" w:pos="9350"/>
            </w:tabs>
            <w:rPr>
              <w:rFonts w:asciiTheme="minorHAnsi" w:eastAsiaTheme="minorEastAsia" w:hAnsiTheme="minorHAnsi"/>
              <w:noProof/>
              <w:lang w:eastAsia="en-GB"/>
            </w:rPr>
          </w:pPr>
          <w:hyperlink w:anchor="_Toc22283905" w:history="1">
            <w:r w:rsidRPr="003A4B75">
              <w:rPr>
                <w:rStyle w:val="Hyperlink"/>
                <w:noProof/>
              </w:rPr>
              <w:t>Literacy review</w:t>
            </w:r>
            <w:r>
              <w:rPr>
                <w:noProof/>
                <w:webHidden/>
              </w:rPr>
              <w:tab/>
            </w:r>
            <w:r>
              <w:rPr>
                <w:noProof/>
                <w:webHidden/>
              </w:rPr>
              <w:fldChar w:fldCharType="begin"/>
            </w:r>
            <w:r>
              <w:rPr>
                <w:noProof/>
                <w:webHidden/>
              </w:rPr>
              <w:instrText xml:space="preserve"> PAGEREF _Toc22283905 \h </w:instrText>
            </w:r>
            <w:r>
              <w:rPr>
                <w:noProof/>
                <w:webHidden/>
              </w:rPr>
            </w:r>
            <w:r>
              <w:rPr>
                <w:noProof/>
                <w:webHidden/>
              </w:rPr>
              <w:fldChar w:fldCharType="separate"/>
            </w:r>
            <w:r>
              <w:rPr>
                <w:noProof/>
                <w:webHidden/>
              </w:rPr>
              <w:t>3</w:t>
            </w:r>
            <w:r>
              <w:rPr>
                <w:noProof/>
                <w:webHidden/>
              </w:rPr>
              <w:fldChar w:fldCharType="end"/>
            </w:r>
          </w:hyperlink>
        </w:p>
        <w:p w14:paraId="510AE502" w14:textId="2F8EF88C" w:rsidR="00F71926" w:rsidRDefault="00F71926">
          <w:pPr>
            <w:pStyle w:val="TOC1"/>
            <w:tabs>
              <w:tab w:val="right" w:leader="dot" w:pos="9350"/>
            </w:tabs>
            <w:rPr>
              <w:rFonts w:asciiTheme="minorHAnsi" w:eastAsiaTheme="minorEastAsia" w:hAnsiTheme="minorHAnsi"/>
              <w:noProof/>
              <w:lang w:eastAsia="en-GB"/>
            </w:rPr>
          </w:pPr>
          <w:hyperlink w:anchor="_Toc22283906" w:history="1">
            <w:r w:rsidRPr="003A4B75">
              <w:rPr>
                <w:rStyle w:val="Hyperlink"/>
                <w:noProof/>
              </w:rPr>
              <w:t>SWOT analysis</w:t>
            </w:r>
            <w:r>
              <w:rPr>
                <w:noProof/>
                <w:webHidden/>
              </w:rPr>
              <w:tab/>
            </w:r>
            <w:r>
              <w:rPr>
                <w:noProof/>
                <w:webHidden/>
              </w:rPr>
              <w:fldChar w:fldCharType="begin"/>
            </w:r>
            <w:r>
              <w:rPr>
                <w:noProof/>
                <w:webHidden/>
              </w:rPr>
              <w:instrText xml:space="preserve"> PAGEREF _Toc22283906 \h </w:instrText>
            </w:r>
            <w:r>
              <w:rPr>
                <w:noProof/>
                <w:webHidden/>
              </w:rPr>
            </w:r>
            <w:r>
              <w:rPr>
                <w:noProof/>
                <w:webHidden/>
              </w:rPr>
              <w:fldChar w:fldCharType="separate"/>
            </w:r>
            <w:r>
              <w:rPr>
                <w:noProof/>
                <w:webHidden/>
              </w:rPr>
              <w:t>3</w:t>
            </w:r>
            <w:r>
              <w:rPr>
                <w:noProof/>
                <w:webHidden/>
              </w:rPr>
              <w:fldChar w:fldCharType="end"/>
            </w:r>
          </w:hyperlink>
        </w:p>
        <w:p w14:paraId="2A006C3F" w14:textId="3BF04790" w:rsidR="00F71926" w:rsidRDefault="00F71926">
          <w:pPr>
            <w:pStyle w:val="TOC1"/>
            <w:tabs>
              <w:tab w:val="right" w:leader="dot" w:pos="9350"/>
            </w:tabs>
            <w:rPr>
              <w:rFonts w:asciiTheme="minorHAnsi" w:eastAsiaTheme="minorEastAsia" w:hAnsiTheme="minorHAnsi"/>
              <w:noProof/>
              <w:lang w:eastAsia="en-GB"/>
            </w:rPr>
          </w:pPr>
          <w:hyperlink w:anchor="_Toc22283907" w:history="1">
            <w:r w:rsidRPr="003A4B75">
              <w:rPr>
                <w:rStyle w:val="Hyperlink"/>
                <w:noProof/>
              </w:rPr>
              <w:t>Personal Development Plan</w:t>
            </w:r>
            <w:r>
              <w:rPr>
                <w:noProof/>
                <w:webHidden/>
              </w:rPr>
              <w:tab/>
            </w:r>
            <w:r>
              <w:rPr>
                <w:noProof/>
                <w:webHidden/>
              </w:rPr>
              <w:fldChar w:fldCharType="begin"/>
            </w:r>
            <w:r>
              <w:rPr>
                <w:noProof/>
                <w:webHidden/>
              </w:rPr>
              <w:instrText xml:space="preserve"> PAGEREF _Toc22283907 \h </w:instrText>
            </w:r>
            <w:r>
              <w:rPr>
                <w:noProof/>
                <w:webHidden/>
              </w:rPr>
            </w:r>
            <w:r>
              <w:rPr>
                <w:noProof/>
                <w:webHidden/>
              </w:rPr>
              <w:fldChar w:fldCharType="separate"/>
            </w:r>
            <w:r>
              <w:rPr>
                <w:noProof/>
                <w:webHidden/>
              </w:rPr>
              <w:t>3</w:t>
            </w:r>
            <w:r>
              <w:rPr>
                <w:noProof/>
                <w:webHidden/>
              </w:rPr>
              <w:fldChar w:fldCharType="end"/>
            </w:r>
          </w:hyperlink>
        </w:p>
        <w:p w14:paraId="6D4583A7" w14:textId="28A43E2A" w:rsidR="00F71926" w:rsidRDefault="00F71926">
          <w:pPr>
            <w:pStyle w:val="TOC1"/>
            <w:tabs>
              <w:tab w:val="right" w:leader="dot" w:pos="9350"/>
            </w:tabs>
            <w:rPr>
              <w:rFonts w:asciiTheme="minorHAnsi" w:eastAsiaTheme="minorEastAsia" w:hAnsiTheme="minorHAnsi"/>
              <w:noProof/>
              <w:lang w:eastAsia="en-GB"/>
            </w:rPr>
          </w:pPr>
          <w:hyperlink w:anchor="_Toc22283908" w:history="1">
            <w:r w:rsidRPr="003A4B75">
              <w:rPr>
                <w:rStyle w:val="Hyperlink"/>
                <w:noProof/>
              </w:rPr>
              <w:t>Conclusion</w:t>
            </w:r>
            <w:r>
              <w:rPr>
                <w:noProof/>
                <w:webHidden/>
              </w:rPr>
              <w:tab/>
            </w:r>
            <w:r>
              <w:rPr>
                <w:noProof/>
                <w:webHidden/>
              </w:rPr>
              <w:fldChar w:fldCharType="begin"/>
            </w:r>
            <w:r>
              <w:rPr>
                <w:noProof/>
                <w:webHidden/>
              </w:rPr>
              <w:instrText xml:space="preserve"> PAGEREF _Toc22283908 \h </w:instrText>
            </w:r>
            <w:r>
              <w:rPr>
                <w:noProof/>
                <w:webHidden/>
              </w:rPr>
            </w:r>
            <w:r>
              <w:rPr>
                <w:noProof/>
                <w:webHidden/>
              </w:rPr>
              <w:fldChar w:fldCharType="separate"/>
            </w:r>
            <w:r>
              <w:rPr>
                <w:noProof/>
                <w:webHidden/>
              </w:rPr>
              <w:t>4</w:t>
            </w:r>
            <w:r>
              <w:rPr>
                <w:noProof/>
                <w:webHidden/>
              </w:rPr>
              <w:fldChar w:fldCharType="end"/>
            </w:r>
          </w:hyperlink>
        </w:p>
        <w:p w14:paraId="32E51000" w14:textId="3FF19FC8" w:rsidR="00F71926" w:rsidRDefault="00F71926">
          <w:r>
            <w:rPr>
              <w:b/>
              <w:bCs/>
              <w:noProof/>
            </w:rPr>
            <w:fldChar w:fldCharType="end"/>
          </w:r>
        </w:p>
      </w:sdtContent>
    </w:sdt>
    <w:p w14:paraId="6C372F0B" w14:textId="1C149A41" w:rsidR="00CB5B66" w:rsidRDefault="00CB5B66" w:rsidP="00CB5B66"/>
    <w:p w14:paraId="5D6E80C2" w14:textId="734E87D0" w:rsidR="00CB5B66" w:rsidRDefault="00CB5B66" w:rsidP="00CB5B66"/>
    <w:p w14:paraId="26BD21A3" w14:textId="40C0336C" w:rsidR="00CB5B66" w:rsidRDefault="00CB5B66" w:rsidP="00CB5B66"/>
    <w:p w14:paraId="28817B78" w14:textId="0A6A7E24" w:rsidR="00CB5B66" w:rsidRDefault="00CB5B66" w:rsidP="00CB5B66"/>
    <w:p w14:paraId="3275F2DC" w14:textId="71F2BC35" w:rsidR="00CB5B66" w:rsidRDefault="00CB5B66" w:rsidP="00CB5B66"/>
    <w:p w14:paraId="082B38BD" w14:textId="7D2C6B52" w:rsidR="00CB5B66" w:rsidRDefault="00CB5B66" w:rsidP="00CB5B66"/>
    <w:p w14:paraId="2C1E1FA0" w14:textId="1AB01A43" w:rsidR="00CB5B66" w:rsidRDefault="00CB5B66" w:rsidP="00CB5B66"/>
    <w:p w14:paraId="70EC4DB6" w14:textId="346E22FF" w:rsidR="00CB5B66" w:rsidRDefault="00CB5B66" w:rsidP="00CB5B66"/>
    <w:p w14:paraId="00416F6D" w14:textId="695C5374" w:rsidR="00CB5B66" w:rsidRDefault="00CB5B66" w:rsidP="00CB5B66"/>
    <w:p w14:paraId="15FA8573" w14:textId="46DE5BC0" w:rsidR="00CB5B66" w:rsidRDefault="00CB5B66" w:rsidP="00CB5B66"/>
    <w:p w14:paraId="5B72BFD2" w14:textId="5C35CAC8" w:rsidR="00CB5B66" w:rsidRDefault="00CB5B66" w:rsidP="00CB5B66"/>
    <w:p w14:paraId="16B13F4A" w14:textId="28D5AB30" w:rsidR="00CB5B66" w:rsidRDefault="00CB5B66" w:rsidP="00CB5B66"/>
    <w:p w14:paraId="281517D9" w14:textId="4C409747" w:rsidR="00CB5B66" w:rsidRDefault="00CB5B66" w:rsidP="00CB5B66"/>
    <w:p w14:paraId="64F86884" w14:textId="28CE751C" w:rsidR="00CB5B66" w:rsidRDefault="00CB5B66" w:rsidP="00CB5B66"/>
    <w:p w14:paraId="136F6EE5" w14:textId="34FDF1C0" w:rsidR="00CB5B66" w:rsidRDefault="00CB5B66" w:rsidP="00CB5B66"/>
    <w:p w14:paraId="0D303330" w14:textId="0D286326" w:rsidR="00CB5B66" w:rsidRDefault="00CB5B66" w:rsidP="00CB5B66"/>
    <w:p w14:paraId="617070CF" w14:textId="31A4A465" w:rsidR="00CB5B66" w:rsidRDefault="00CB5B66" w:rsidP="00CB5B66"/>
    <w:p w14:paraId="14437F73" w14:textId="7C7D2090" w:rsidR="00CB5B66" w:rsidRDefault="00CB5B66" w:rsidP="00CB5B66"/>
    <w:p w14:paraId="67572095" w14:textId="1489E01B" w:rsidR="00CB5B66" w:rsidRDefault="00CB5B66" w:rsidP="00CB5B66"/>
    <w:p w14:paraId="08671579" w14:textId="75AF7621" w:rsidR="00CB5B66" w:rsidRDefault="00CB5B66" w:rsidP="00CB5B66"/>
    <w:p w14:paraId="6753D283" w14:textId="15BFD59E" w:rsidR="00CB5B66" w:rsidRDefault="00CB5B66" w:rsidP="00CB5B66"/>
    <w:p w14:paraId="0B3419B6" w14:textId="2B6201A0" w:rsidR="00340CB4" w:rsidRDefault="00340CB4" w:rsidP="00340CB4">
      <w:pPr>
        <w:pStyle w:val="Heading1"/>
      </w:pPr>
      <w:bookmarkStart w:id="0" w:name="_Toc22283575"/>
      <w:bookmarkStart w:id="1" w:name="_Toc22283904"/>
      <w:r>
        <w:lastRenderedPageBreak/>
        <w:t>Introduction</w:t>
      </w:r>
      <w:bookmarkEnd w:id="0"/>
      <w:bookmarkEnd w:id="1"/>
    </w:p>
    <w:p w14:paraId="38CE4CC1" w14:textId="36C1DC96" w:rsidR="00340CB4" w:rsidRDefault="00340CB4" w:rsidP="00340CB4">
      <w:r>
        <w:tab/>
        <w:t xml:space="preserve">This report identifies the current level of Academic and employability skills of mine and outlines how I am going to fructify my abilities and skills. Throughout the report, there will be </w:t>
      </w:r>
      <w:r w:rsidR="00A81AEC">
        <w:t xml:space="preserve">notes of theory which are linked straight to the desired outcome of analysing and trying to think how I can develop furthermore. </w:t>
      </w:r>
      <w:r w:rsidR="00370B1F">
        <w:t>Thus, the objective of this report is to discover the opportunities available for me to develop on both plans: personal and professional.</w:t>
      </w:r>
    </w:p>
    <w:p w14:paraId="2279F991" w14:textId="35308B4A" w:rsidR="00A81AEC" w:rsidRDefault="00A81AEC" w:rsidP="00A81AEC">
      <w:pPr>
        <w:pStyle w:val="Heading1"/>
      </w:pPr>
      <w:bookmarkStart w:id="2" w:name="_Toc22283576"/>
      <w:bookmarkStart w:id="3" w:name="_Toc22283905"/>
      <w:r>
        <w:t>Literacy review</w:t>
      </w:r>
      <w:bookmarkEnd w:id="2"/>
      <w:bookmarkEnd w:id="3"/>
    </w:p>
    <w:p w14:paraId="225C6D40" w14:textId="2C2D1BE8" w:rsidR="00A81AEC" w:rsidRDefault="00A81AEC" w:rsidP="00A81AEC">
      <w:r>
        <w:tab/>
        <w:t xml:space="preserve">As stated before, this report is based on personal examination as well as theory. A reflection and self-awareness are important in the process of development because is needed to have a start point. </w:t>
      </w:r>
      <w:r w:rsidR="00370B1F">
        <w:t xml:space="preserve">A personal development plan and an introspection help the person to raise questions about his/her </w:t>
      </w:r>
      <w:r w:rsidR="005677FF">
        <w:t>capability to get something done. Cottrell (2008, p. 36) states that the term “skill” could be referred to as a capability of “being able to perform a learned activity well and at will”. However, one’s skill is learnt in time in a long process of refining the specific skill and improving it. As we are different personas, there will be also factors that would make slight differences in the process of improving such as: perseverance, motivation, commitment etc. (p. 38) Particularly referred here, the skills which are to be looked at are the Academic and employability ones.</w:t>
      </w:r>
      <w:r w:rsidR="00B42433">
        <w:t xml:space="preserve"> In order to achieve </w:t>
      </w:r>
      <w:r w:rsidR="0096244A">
        <w:t>the outcomes of this report, practical analysis have been undertaken and studied such as a personal development plan and a SWOT analysis. It is stated that “i</w:t>
      </w:r>
      <w:r w:rsidR="0096244A" w:rsidRPr="0096244A">
        <w:t>n the personal development plan students are building a model of what they want to become</w:t>
      </w:r>
      <w:r w:rsidR="002025E7">
        <w:t>.</w:t>
      </w:r>
      <w:r w:rsidR="0096244A">
        <w:t xml:space="preserve">” </w:t>
      </w:r>
      <w:sdt>
        <w:sdtPr>
          <w:id w:val="1179397338"/>
          <w:citation/>
        </w:sdtPr>
        <w:sdtContent>
          <w:r w:rsidR="0096244A">
            <w:fldChar w:fldCharType="begin"/>
          </w:r>
          <w:r w:rsidR="0096244A">
            <w:instrText xml:space="preserve"> CITATION Mit08 \l 2057 </w:instrText>
          </w:r>
          <w:r w:rsidR="0096244A">
            <w:fldChar w:fldCharType="separate"/>
          </w:r>
          <w:r w:rsidR="007C579D" w:rsidRPr="007C579D">
            <w:rPr>
              <w:noProof/>
            </w:rPr>
            <w:t>(Mittendorff, et al., 2008)</w:t>
          </w:r>
          <w:r w:rsidR="0096244A">
            <w:fldChar w:fldCharType="end"/>
          </w:r>
        </w:sdtContent>
      </w:sdt>
      <w:r w:rsidR="002025E7">
        <w:t xml:space="preserve"> The SWOT diagram outlines the whole self, while the personal development plan is used together with the SWOT analysis to create a clear path of the progress in time.</w:t>
      </w:r>
    </w:p>
    <w:p w14:paraId="5AF0CF11" w14:textId="3FD28F86" w:rsidR="002025E7" w:rsidRDefault="002025E7" w:rsidP="002025E7">
      <w:pPr>
        <w:pStyle w:val="Heading1"/>
      </w:pPr>
      <w:bookmarkStart w:id="4" w:name="_Toc22283577"/>
      <w:bookmarkStart w:id="5" w:name="_Toc22283906"/>
      <w:r>
        <w:t>SWOT analysis</w:t>
      </w:r>
      <w:bookmarkEnd w:id="4"/>
      <w:bookmarkEnd w:id="5"/>
    </w:p>
    <w:p w14:paraId="0BD8E678" w14:textId="6F062F17" w:rsidR="002025E7" w:rsidRDefault="002025E7" w:rsidP="002025E7">
      <w:r>
        <w:tab/>
        <w:t xml:space="preserve">The SWOT analysis </w:t>
      </w:r>
      <w:r w:rsidR="0097071A">
        <w:t xml:space="preserve">was patented in order to highlight the strengths, weaknesses, opportunities and threats of a business. The whole analysis relies on the fact that </w:t>
      </w:r>
      <w:r w:rsidR="00271C36">
        <w:t xml:space="preserve">I need to focus on the strengths and develop them further through different methods. One of the strengths that I have is that I am a highly motivated and self-conscious person who is also a creative and critical thinker as well, </w:t>
      </w:r>
      <w:r w:rsidR="00A6145F">
        <w:t xml:space="preserve">great team leader and a very communicative person. However, the weaknesses identified are that I am easily </w:t>
      </w:r>
      <w:r w:rsidR="009D29C5">
        <w:t>distracted,</w:t>
      </w:r>
      <w:r w:rsidR="00A6145F">
        <w:t xml:space="preserve"> and I am often trying to leave all the work in the last minute. </w:t>
      </w:r>
      <w:r w:rsidR="009D29C5">
        <w:t xml:space="preserve">However, the opportunities I have are numerous. Starting from the fact that I am living now in UK even if I am from Romania really made a difference. There are a lot of opportunities in UK starting with the educational system in which I am right now and, further to the employability system which is much more developed than in my home country. More, making a living in UK compared to making a living in Romania is different from a couple of reasons. The important idea is that the opportunity that I have access to education easily and </w:t>
      </w:r>
      <w:r w:rsidR="00D811E4">
        <w:t xml:space="preserve">I can take advantage of the fact that I have native English speakers around me so I can improve my English in the same time. The threats I have are regarding someone who is better than me in a position I would like to work in because he/she will occupy my desired job. Therefore, in order to achieve the best, I am willing to develop my capacities so I could be taken into consideration in another manner. </w:t>
      </w:r>
    </w:p>
    <w:p w14:paraId="5B496BB5" w14:textId="32D6318C" w:rsidR="00D811E4" w:rsidRDefault="00D811E4" w:rsidP="002025E7">
      <w:r>
        <w:tab/>
        <w:t xml:space="preserve">The whole personal SWOT analysis represents a reflection of me and a reflection of what I am capable of and what I am still learning. </w:t>
      </w:r>
      <w:r w:rsidR="00995F39">
        <w:t xml:space="preserve">In order to develop myself, I should look first </w:t>
      </w:r>
      <w:r w:rsidR="00995F39">
        <w:lastRenderedPageBreak/>
        <w:t xml:space="preserve">at the “starting point” (which are the weaknesses) and work on them towards transforming them into strengths with the help of a long-term process of practicing. </w:t>
      </w:r>
    </w:p>
    <w:p w14:paraId="5E37A1D9" w14:textId="07AB216E" w:rsidR="00995F39" w:rsidRDefault="00995F39" w:rsidP="00995F39">
      <w:pPr>
        <w:pStyle w:val="Heading1"/>
      </w:pPr>
      <w:bookmarkStart w:id="6" w:name="_Toc22283578"/>
      <w:bookmarkStart w:id="7" w:name="_Toc22283907"/>
      <w:r>
        <w:t>Personal Development Plan</w:t>
      </w:r>
      <w:bookmarkEnd w:id="6"/>
      <w:bookmarkEnd w:id="7"/>
    </w:p>
    <w:p w14:paraId="4B2E1AC1" w14:textId="2B195A23" w:rsidR="00995F39" w:rsidRDefault="00995F39" w:rsidP="00995F39">
      <w:r>
        <w:tab/>
        <w:t xml:space="preserve">A personal development plan (PDP) is a very utile tool in order to analyse </w:t>
      </w:r>
      <w:r w:rsidR="00945F3A">
        <w:t>the steps into achieving a big goal. “</w:t>
      </w:r>
      <w:r w:rsidR="00945F3A" w:rsidRPr="00945F3A">
        <w:t>It is a structured and supported process undertaken by an individual to reflect upon their own learning, performance and/or achievement and to plan for their personal, educational and career development</w:t>
      </w:r>
      <w:r w:rsidR="00945F3A">
        <w:t xml:space="preserve">.” </w:t>
      </w:r>
      <w:sdt>
        <w:sdtPr>
          <w:id w:val="1099681122"/>
          <w:citation/>
        </w:sdtPr>
        <w:sdtContent>
          <w:r w:rsidR="00945F3A">
            <w:fldChar w:fldCharType="begin"/>
          </w:r>
          <w:r w:rsidR="00945F3A">
            <w:instrText xml:space="preserve"> CITATION Hul10 \l 2057 </w:instrText>
          </w:r>
          <w:r w:rsidR="00945F3A">
            <w:fldChar w:fldCharType="separate"/>
          </w:r>
          <w:r w:rsidR="007C579D" w:rsidRPr="007C579D">
            <w:rPr>
              <w:noProof/>
            </w:rPr>
            <w:t>(Hulme &amp; Lisewski, 2010)</w:t>
          </w:r>
          <w:r w:rsidR="00945F3A">
            <w:fldChar w:fldCharType="end"/>
          </w:r>
        </w:sdtContent>
      </w:sdt>
      <w:r w:rsidR="00945F3A">
        <w:t xml:space="preserve"> Therefore, </w:t>
      </w:r>
      <w:r w:rsidR="00E5570C">
        <w:t>a PDP for me would look with a big goal written down and a couple of steps into achieving that specific goal. These steps are represented by other small goals which are needed to be accomplished chronologically and in order. A SMART goal is also needed in order to assure that the goal is specific, measurable, attainable, realistic and time bounded. Therefore, the goal specific for me would be achieving a better English level</w:t>
      </w:r>
      <w:r w:rsidR="00B97816">
        <w:t xml:space="preserve"> – specifically I would like to obtain the B2 Cambridge diploma next year</w:t>
      </w:r>
      <w:r w:rsidR="00E5570C">
        <w:t>. This can be reached through going to English classes for example or surrounding myself with persons who speak English at a fluent level</w:t>
      </w:r>
      <w:r w:rsidR="00B97816">
        <w:t xml:space="preserve">, studying on my own and reading in English. All of these small goals are also linked to a time frame as well which are also supported by positive factors such as seeking for help and guidance from someone else, getting a mobile phone application which would help me to engage often with English words and their meaning etc. At the end of the day, however, I need to track my progress and see </w:t>
      </w:r>
      <w:r w:rsidR="00CD7EBB">
        <w:t>how I am developing. “</w:t>
      </w:r>
      <w:r w:rsidR="00CD7EBB" w:rsidRPr="00CD7EBB">
        <w:t>We must all develop skills and positive attitudes that enable us to be active members of learning organisations and the learning society, whether employed as a social worker, social care worker or social work educator.</w:t>
      </w:r>
      <w:r w:rsidR="00CD7EBB">
        <w:t xml:space="preserve">” </w:t>
      </w:r>
      <w:sdt>
        <w:sdtPr>
          <w:id w:val="-805320822"/>
          <w:citation/>
        </w:sdtPr>
        <w:sdtContent>
          <w:r w:rsidR="00CD7EBB">
            <w:fldChar w:fldCharType="begin"/>
          </w:r>
          <w:r w:rsidR="00CD7EBB">
            <w:instrText xml:space="preserve"> CITATION Hun04 \l 2057 </w:instrText>
          </w:r>
          <w:r w:rsidR="00CD7EBB">
            <w:fldChar w:fldCharType="separate"/>
          </w:r>
          <w:r w:rsidR="007C579D" w:rsidRPr="007C579D">
            <w:rPr>
              <w:noProof/>
            </w:rPr>
            <w:t>(Huntington &amp; Moss, 2004)</w:t>
          </w:r>
          <w:r w:rsidR="00CD7EBB">
            <w:fldChar w:fldCharType="end"/>
          </w:r>
        </w:sdtContent>
      </w:sdt>
    </w:p>
    <w:p w14:paraId="18AA0B15" w14:textId="559184A9" w:rsidR="00CD7EBB" w:rsidRDefault="00CD7EBB" w:rsidP="00CD7EBB">
      <w:pPr>
        <w:pStyle w:val="Heading1"/>
      </w:pPr>
      <w:bookmarkStart w:id="8" w:name="_Toc22283579"/>
      <w:bookmarkStart w:id="9" w:name="_Toc22283908"/>
      <w:r>
        <w:t>Conclusion</w:t>
      </w:r>
      <w:bookmarkEnd w:id="8"/>
      <w:bookmarkEnd w:id="9"/>
    </w:p>
    <w:p w14:paraId="4A9B3564" w14:textId="472FD811" w:rsidR="00CD7EBB" w:rsidRDefault="00CD7EBB" w:rsidP="00CD7EBB">
      <w:r>
        <w:tab/>
        <w:t xml:space="preserve">To sum up, I would like to put emphasize on similarity between these two tools of analysing (SWOT and PDP) which are very important not only in a better employability chance, but they are also seen as instruments that </w:t>
      </w:r>
      <w:r w:rsidR="00CB5B66">
        <w:t xml:space="preserve">can transform if they are put in use in a successful way of evolving on a personal plan. </w:t>
      </w:r>
      <w:r>
        <w:t>“</w:t>
      </w:r>
      <w:r w:rsidR="00CB5B66">
        <w:t>E</w:t>
      </w:r>
      <w:r w:rsidRPr="00CD7EBB">
        <w:t>ffective implementation of PDPs entails the investment of significant time, effort and insight from relevant staff members</w:t>
      </w:r>
      <w:r>
        <w:t>.”</w:t>
      </w:r>
      <w:r w:rsidR="00CB5B66">
        <w:t xml:space="preserve"> </w:t>
      </w:r>
      <w:sdt>
        <w:sdtPr>
          <w:id w:val="1672300861"/>
          <w:citation/>
        </w:sdtPr>
        <w:sdtContent>
          <w:r w:rsidR="00CB5B66">
            <w:fldChar w:fldCharType="begin"/>
          </w:r>
          <w:r w:rsidR="00CB5B66">
            <w:instrText xml:space="preserve"> CITATION Hea12 \l 2057 </w:instrText>
          </w:r>
          <w:r w:rsidR="00CB5B66">
            <w:fldChar w:fldCharType="separate"/>
          </w:r>
          <w:r w:rsidR="007C579D" w:rsidRPr="007C579D">
            <w:rPr>
              <w:noProof/>
            </w:rPr>
            <w:t>(Head &amp; Johnston, 2012)</w:t>
          </w:r>
          <w:r w:rsidR="00CB5B66">
            <w:fldChar w:fldCharType="end"/>
          </w:r>
        </w:sdtContent>
      </w:sdt>
      <w:r w:rsidR="00CB5B66">
        <w:t xml:space="preserve"> </w:t>
      </w:r>
    </w:p>
    <w:p w14:paraId="0A672AC2" w14:textId="1AF3F8D1" w:rsidR="00CB5B66" w:rsidRDefault="00CB5B66" w:rsidP="00CD7EBB">
      <w:r>
        <w:tab/>
        <w:t xml:space="preserve">Therefore, I will take the time necessarily for me to develop my set-goal regarding the level of English I am at. Discovering myself and discovering the fact that I am capable of doing more does not only motivate me, but it also shows me that even if it is challenging, I can still cope with the fact that having a different mother-tongue, I can actually be capable of doing much bigger goals. </w:t>
      </w:r>
      <w:r w:rsidR="007C579D">
        <w:t>“</w:t>
      </w:r>
      <w:r w:rsidR="007C579D" w:rsidRPr="007C579D">
        <w:t>These moves</w:t>
      </w:r>
      <w:r w:rsidR="007C579D">
        <w:t xml:space="preserve"> [e.g. implementing PDP in higher education]</w:t>
      </w:r>
      <w:r w:rsidR="007C579D" w:rsidRPr="007C579D">
        <w:t xml:space="preserve"> represent</w:t>
      </w:r>
      <w:r w:rsidR="007C579D">
        <w:t xml:space="preserve"> </w:t>
      </w:r>
      <w:r w:rsidR="007C579D" w:rsidRPr="007C579D">
        <w:t xml:space="preserve">one strand in the broader employability agenda and global shifts, which according </w:t>
      </w:r>
      <w:r w:rsidR="007C579D" w:rsidRPr="007C579D">
        <w:t>to Edwards</w:t>
      </w:r>
      <w:r w:rsidR="007C579D" w:rsidRPr="007C579D">
        <w:t xml:space="preserve"> and Usher (2000), are replacing the dominant identity of the ‘</w:t>
      </w:r>
      <w:r w:rsidR="007C579D" w:rsidRPr="007C579D">
        <w:t>enlightened student</w:t>
      </w:r>
      <w:r w:rsidR="007C579D" w:rsidRPr="007C579D">
        <w:t>’ with that of ‘autonomous/self-directed/flexible lifelong learners’ (p. 55).</w:t>
      </w:r>
      <w:r w:rsidR="007C579D">
        <w:t xml:space="preserve">” </w:t>
      </w:r>
      <w:sdt>
        <w:sdtPr>
          <w:id w:val="740690155"/>
          <w:citation/>
        </w:sdtPr>
        <w:sdtContent>
          <w:r w:rsidR="007C579D">
            <w:fldChar w:fldCharType="begin"/>
          </w:r>
          <w:r w:rsidR="007C579D">
            <w:instrText xml:space="preserve"> CITATION Cle06 \l 2057 </w:instrText>
          </w:r>
          <w:r w:rsidR="007C579D">
            <w:fldChar w:fldCharType="separate"/>
          </w:r>
          <w:r w:rsidR="007C579D" w:rsidRPr="007C579D">
            <w:rPr>
              <w:noProof/>
            </w:rPr>
            <w:t>(Clegg &amp; Bradley, 2006)</w:t>
          </w:r>
          <w:r w:rsidR="007C579D">
            <w:fldChar w:fldCharType="end"/>
          </w:r>
        </w:sdtContent>
      </w:sdt>
      <w:bookmarkStart w:id="10" w:name="_GoBack"/>
      <w:bookmarkEnd w:id="10"/>
    </w:p>
    <w:p w14:paraId="35C5F402" w14:textId="3D0E5441" w:rsidR="00F71926" w:rsidRDefault="00F71926" w:rsidP="00CD7EBB"/>
    <w:sdt>
      <w:sdtPr>
        <w:id w:val="1377897654"/>
        <w:docPartObj>
          <w:docPartGallery w:val="Bibliographies"/>
          <w:docPartUnique/>
        </w:docPartObj>
      </w:sdtPr>
      <w:sdtEndPr>
        <w:rPr>
          <w:b w:val="0"/>
        </w:rPr>
      </w:sdtEndPr>
      <w:sdtContent>
        <w:p w14:paraId="6A8ADEB8" w14:textId="24D561AC" w:rsidR="00F71926" w:rsidRDefault="00F71926">
          <w:pPr>
            <w:pStyle w:val="Heading1"/>
          </w:pPr>
          <w:r>
            <w:t>References</w:t>
          </w:r>
        </w:p>
        <w:sdt>
          <w:sdtPr>
            <w:id w:val="-573587230"/>
            <w:bibliography/>
          </w:sdtPr>
          <w:sdtContent>
            <w:p w14:paraId="6EB7EAF2" w14:textId="77777777" w:rsidR="007C579D" w:rsidRDefault="00F71926" w:rsidP="007C579D">
              <w:pPr>
                <w:pStyle w:val="Bibliography"/>
                <w:rPr>
                  <w:noProof/>
                  <w:sz w:val="24"/>
                  <w:szCs w:val="24"/>
                </w:rPr>
              </w:pPr>
              <w:r>
                <w:fldChar w:fldCharType="begin"/>
              </w:r>
              <w:r>
                <w:instrText xml:space="preserve"> BIBLIOGRAPHY </w:instrText>
              </w:r>
              <w:r>
                <w:fldChar w:fldCharType="separate"/>
              </w:r>
              <w:r w:rsidR="007C579D">
                <w:rPr>
                  <w:noProof/>
                </w:rPr>
                <w:t xml:space="preserve">Clegg, S. &amp; Bradley, S., 2006. Models of Personal Development Planning: practice and processes. </w:t>
              </w:r>
              <w:r w:rsidR="007C579D">
                <w:rPr>
                  <w:i/>
                  <w:iCs/>
                  <w:noProof/>
                </w:rPr>
                <w:t xml:space="preserve">British Educational Research Journal, </w:t>
              </w:r>
              <w:r w:rsidR="007C579D">
                <w:rPr>
                  <w:noProof/>
                </w:rPr>
                <w:t>32(1), pp. 57-76.</w:t>
              </w:r>
            </w:p>
            <w:p w14:paraId="20BD3CFA" w14:textId="77777777" w:rsidR="007C579D" w:rsidRDefault="007C579D" w:rsidP="007C579D">
              <w:pPr>
                <w:pStyle w:val="Bibliography"/>
                <w:rPr>
                  <w:noProof/>
                </w:rPr>
              </w:pPr>
              <w:r>
                <w:rPr>
                  <w:noProof/>
                </w:rPr>
                <w:t xml:space="preserve">Head, K. &amp; Johnston, J., 2012. Evaluation of the personal development portfolio in higher education: An explorative study. </w:t>
              </w:r>
              <w:r>
                <w:rPr>
                  <w:i/>
                  <w:iCs/>
                  <w:noProof/>
                </w:rPr>
                <w:t xml:space="preserve">Nurse Education Today, </w:t>
              </w:r>
              <w:r>
                <w:rPr>
                  <w:noProof/>
                </w:rPr>
                <w:t>32(8), pp. 857-861.</w:t>
              </w:r>
            </w:p>
            <w:p w14:paraId="16D90E6D" w14:textId="77777777" w:rsidR="007C579D" w:rsidRDefault="007C579D" w:rsidP="007C579D">
              <w:pPr>
                <w:pStyle w:val="Bibliography"/>
                <w:rPr>
                  <w:noProof/>
                </w:rPr>
              </w:pPr>
              <w:r>
                <w:rPr>
                  <w:noProof/>
                </w:rPr>
                <w:lastRenderedPageBreak/>
                <w:t xml:space="preserve">Hulme, C. &amp; Lisewski, B., 2010. Support structures for facilitators of student personal development planning: lessons from two departmental case studies. </w:t>
              </w:r>
              <w:r>
                <w:rPr>
                  <w:i/>
                  <w:iCs/>
                  <w:noProof/>
                </w:rPr>
                <w:t xml:space="preserve">Journal of Further and Higher Education, </w:t>
              </w:r>
              <w:r>
                <w:rPr>
                  <w:noProof/>
                </w:rPr>
                <w:t>34(2), pp. 137-148.</w:t>
              </w:r>
            </w:p>
            <w:p w14:paraId="200B29A4" w14:textId="77777777" w:rsidR="007C579D" w:rsidRDefault="007C579D" w:rsidP="007C579D">
              <w:pPr>
                <w:pStyle w:val="Bibliography"/>
                <w:rPr>
                  <w:noProof/>
                </w:rPr>
              </w:pPr>
              <w:r>
                <w:rPr>
                  <w:noProof/>
                </w:rPr>
                <w:t xml:space="preserve">Huntington, A. &amp; Moss, B., 2004. Personal development planning: into a brave new world?. </w:t>
              </w:r>
              <w:r>
                <w:rPr>
                  <w:i/>
                  <w:iCs/>
                  <w:noProof/>
                </w:rPr>
                <w:t xml:space="preserve">Social Work Education, </w:t>
              </w:r>
              <w:r>
                <w:rPr>
                  <w:noProof/>
                </w:rPr>
                <w:t>23(1), pp. 51-62.</w:t>
              </w:r>
            </w:p>
            <w:p w14:paraId="67493B56" w14:textId="77777777" w:rsidR="007C579D" w:rsidRDefault="007C579D" w:rsidP="007C579D">
              <w:pPr>
                <w:pStyle w:val="Bibliography"/>
                <w:rPr>
                  <w:noProof/>
                </w:rPr>
              </w:pPr>
              <w:r>
                <w:rPr>
                  <w:noProof/>
                </w:rPr>
                <w:t xml:space="preserve">Kolb, D., 1984. </w:t>
              </w:r>
              <w:r>
                <w:rPr>
                  <w:i/>
                  <w:iCs/>
                  <w:noProof/>
                </w:rPr>
                <w:t xml:space="preserve">Experiential learning: experience as the source of learning and development. </w:t>
              </w:r>
              <w:r>
                <w:rPr>
                  <w:noProof/>
                </w:rPr>
                <w:t>1st ed. Englewood Cliffs, NJ: Prentice Hall.</w:t>
              </w:r>
            </w:p>
            <w:p w14:paraId="7F764C5F" w14:textId="77777777" w:rsidR="007C579D" w:rsidRDefault="007C579D" w:rsidP="007C579D">
              <w:pPr>
                <w:pStyle w:val="Bibliography"/>
                <w:rPr>
                  <w:noProof/>
                </w:rPr>
              </w:pPr>
              <w:r>
                <w:rPr>
                  <w:noProof/>
                </w:rPr>
                <w:t xml:space="preserve">Mittendorff, K., Jochems, W., Meijers, F. &amp; den Brok, P., 2008. Differences and similarities in the use of the portfolio and personal development plan for career guidance in various vocational schools in The Netherlands. </w:t>
              </w:r>
              <w:r>
                <w:rPr>
                  <w:i/>
                  <w:iCs/>
                  <w:noProof/>
                </w:rPr>
                <w:t xml:space="preserve">Journal of Vocational Education and Training, </w:t>
              </w:r>
              <w:r>
                <w:rPr>
                  <w:noProof/>
                </w:rPr>
                <w:t>60(1), pp. 75-91.</w:t>
              </w:r>
            </w:p>
            <w:p w14:paraId="6C8F294F" w14:textId="2668FD97" w:rsidR="00F71926" w:rsidRDefault="00F71926" w:rsidP="007C579D">
              <w:r>
                <w:rPr>
                  <w:b/>
                  <w:bCs/>
                  <w:noProof/>
                </w:rPr>
                <w:fldChar w:fldCharType="end"/>
              </w:r>
            </w:p>
          </w:sdtContent>
        </w:sdt>
      </w:sdtContent>
    </w:sdt>
    <w:p w14:paraId="69C32291" w14:textId="77777777" w:rsidR="00F71926" w:rsidRPr="00CD7EBB" w:rsidRDefault="00F71926" w:rsidP="00CD7EBB"/>
    <w:sectPr w:rsidR="00F71926" w:rsidRPr="00CD7EBB" w:rsidSect="00F71926">
      <w:headerReference w:type="default" r:id="rId7"/>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278B67" w14:textId="77777777" w:rsidR="0031447C" w:rsidRDefault="0031447C" w:rsidP="00F71926">
      <w:pPr>
        <w:spacing w:after="0" w:line="240" w:lineRule="auto"/>
      </w:pPr>
      <w:r>
        <w:separator/>
      </w:r>
    </w:p>
  </w:endnote>
  <w:endnote w:type="continuationSeparator" w:id="0">
    <w:p w14:paraId="0DBB5CD3" w14:textId="77777777" w:rsidR="0031447C" w:rsidRDefault="0031447C" w:rsidP="00F71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745170"/>
      <w:docPartObj>
        <w:docPartGallery w:val="Page Numbers (Bottom of Page)"/>
        <w:docPartUnique/>
      </w:docPartObj>
    </w:sdtPr>
    <w:sdtEndPr>
      <w:rPr>
        <w:noProof/>
      </w:rPr>
    </w:sdtEndPr>
    <w:sdtContent>
      <w:p w14:paraId="56731647" w14:textId="2F885687" w:rsidR="00F71926" w:rsidRDefault="00F719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26317E" w14:textId="77777777" w:rsidR="00F71926" w:rsidRDefault="00F719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47B4A" w14:textId="77777777" w:rsidR="0031447C" w:rsidRDefault="0031447C" w:rsidP="00F71926">
      <w:pPr>
        <w:spacing w:after="0" w:line="240" w:lineRule="auto"/>
      </w:pPr>
      <w:r>
        <w:separator/>
      </w:r>
    </w:p>
  </w:footnote>
  <w:footnote w:type="continuationSeparator" w:id="0">
    <w:p w14:paraId="5C05512B" w14:textId="77777777" w:rsidR="0031447C" w:rsidRDefault="0031447C" w:rsidP="00F71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47F1D" w14:textId="53595EC0" w:rsidR="00F71926" w:rsidRDefault="00F71926">
    <w:pPr>
      <w:pStyle w:val="Header"/>
    </w:pPr>
    <w:r>
      <w:rPr>
        <w:noProof/>
      </w:rPr>
      <w:drawing>
        <wp:anchor distT="0" distB="0" distL="114300" distR="114300" simplePos="0" relativeHeight="251658240" behindDoc="0" locked="0" layoutInCell="1" allowOverlap="1" wp14:anchorId="23E11958" wp14:editId="0EE47338">
          <wp:simplePos x="0" y="0"/>
          <wp:positionH relativeFrom="margin">
            <wp:align>left</wp:align>
          </wp:positionH>
          <wp:positionV relativeFrom="paragraph">
            <wp:posOffset>-148664</wp:posOffset>
          </wp:positionV>
          <wp:extent cx="1056904" cy="424174"/>
          <wp:effectExtent l="0" t="0" r="0" b="0"/>
          <wp:wrapThrough wrapText="bothSides">
            <wp:wrapPolygon edited="0">
              <wp:start x="0" y="0"/>
              <wp:lineTo x="0" y="14573"/>
              <wp:lineTo x="389" y="18459"/>
              <wp:lineTo x="3115" y="19430"/>
              <wp:lineTo x="8178" y="20402"/>
              <wp:lineTo x="9736" y="20402"/>
              <wp:lineTo x="16356" y="19430"/>
              <wp:lineTo x="18303" y="18459"/>
              <wp:lineTo x="21029" y="15544"/>
              <wp:lineTo x="21029" y="972"/>
              <wp:lineTo x="15577" y="0"/>
              <wp:lineTo x="0" y="0"/>
            </wp:wrapPolygon>
          </wp:wrapThrough>
          <wp:docPr id="1" name="Picture 1" descr="Imagini pentru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6904" cy="424174"/>
                  </a:xfrm>
                  <a:prstGeom prst="rect">
                    <a:avLst/>
                  </a:prstGeom>
                  <a:noFill/>
                  <a:ln>
                    <a:noFill/>
                  </a:ln>
                </pic:spPr>
              </pic:pic>
            </a:graphicData>
          </a:graphic>
        </wp:anchor>
      </w:drawing>
    </w:r>
    <w:r>
      <w:tab/>
    </w:r>
    <w:r>
      <w:tab/>
      <w:t>Maria-</w:t>
    </w:r>
    <w:r w:rsidRPr="00F71926">
      <w:t xml:space="preserve"> </w:t>
    </w:r>
    <w:r>
      <w:t>Madalina</w:t>
    </w:r>
    <w:r>
      <w:t xml:space="preserve"> </w:t>
    </w:r>
    <w:proofErr w:type="spellStart"/>
    <w:r>
      <w:t>Costache</w:t>
    </w:r>
    <w:proofErr w:type="spellEnd"/>
    <w:r>
      <w:t xml:space="preserve"> | </w:t>
    </w:r>
    <w:r w:rsidRPr="00F71926">
      <w:t>1818496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904"/>
    <w:rsid w:val="002025E7"/>
    <w:rsid w:val="00271C36"/>
    <w:rsid w:val="002C0B9E"/>
    <w:rsid w:val="0031447C"/>
    <w:rsid w:val="00340CB4"/>
    <w:rsid w:val="00370B1F"/>
    <w:rsid w:val="00436904"/>
    <w:rsid w:val="0051383A"/>
    <w:rsid w:val="005677FF"/>
    <w:rsid w:val="005C4FA2"/>
    <w:rsid w:val="0066534A"/>
    <w:rsid w:val="007C579D"/>
    <w:rsid w:val="00830DCA"/>
    <w:rsid w:val="00945F3A"/>
    <w:rsid w:val="0096244A"/>
    <w:rsid w:val="0097071A"/>
    <w:rsid w:val="00995F39"/>
    <w:rsid w:val="009D29C5"/>
    <w:rsid w:val="00A6145F"/>
    <w:rsid w:val="00A81AEC"/>
    <w:rsid w:val="00B42433"/>
    <w:rsid w:val="00B97816"/>
    <w:rsid w:val="00BD65A6"/>
    <w:rsid w:val="00CB5B66"/>
    <w:rsid w:val="00CD7EBB"/>
    <w:rsid w:val="00D811E4"/>
    <w:rsid w:val="00E5570C"/>
    <w:rsid w:val="00F719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F150B"/>
  <w15:chartTrackingRefBased/>
  <w15:docId w15:val="{9DE0A367-6E43-4EF9-8E78-C0C572820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36904"/>
    <w:rPr>
      <w:rFonts w:ascii="Arial" w:hAnsi="Arial"/>
    </w:rPr>
  </w:style>
  <w:style w:type="paragraph" w:styleId="Heading1">
    <w:name w:val="heading 1"/>
    <w:basedOn w:val="Normal"/>
    <w:next w:val="Normal"/>
    <w:link w:val="Heading1Char"/>
    <w:uiPriority w:val="9"/>
    <w:qFormat/>
    <w:rsid w:val="00340CB4"/>
    <w:pPr>
      <w:spacing w:line="360" w:lineRule="auto"/>
      <w:outlineLvl w:val="0"/>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CB4"/>
    <w:rPr>
      <w:rFonts w:ascii="Arial" w:hAnsi="Arial"/>
      <w:b/>
    </w:rPr>
  </w:style>
  <w:style w:type="paragraph" w:styleId="TOCHeading">
    <w:name w:val="TOC Heading"/>
    <w:basedOn w:val="Heading1"/>
    <w:next w:val="Normal"/>
    <w:uiPriority w:val="39"/>
    <w:unhideWhenUsed/>
    <w:qFormat/>
    <w:rsid w:val="00CB5B66"/>
    <w:pPr>
      <w:keepNext/>
      <w:keepLines/>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CB5B66"/>
    <w:pPr>
      <w:spacing w:after="100"/>
    </w:pPr>
  </w:style>
  <w:style w:type="character" w:styleId="Hyperlink">
    <w:name w:val="Hyperlink"/>
    <w:basedOn w:val="DefaultParagraphFont"/>
    <w:uiPriority w:val="99"/>
    <w:unhideWhenUsed/>
    <w:rsid w:val="00CB5B66"/>
    <w:rPr>
      <w:color w:val="0563C1" w:themeColor="hyperlink"/>
      <w:u w:val="single"/>
    </w:rPr>
  </w:style>
  <w:style w:type="paragraph" w:styleId="Header">
    <w:name w:val="header"/>
    <w:basedOn w:val="Normal"/>
    <w:link w:val="HeaderChar"/>
    <w:uiPriority w:val="99"/>
    <w:unhideWhenUsed/>
    <w:rsid w:val="00F71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926"/>
    <w:rPr>
      <w:rFonts w:ascii="Arial" w:hAnsi="Arial"/>
    </w:rPr>
  </w:style>
  <w:style w:type="paragraph" w:styleId="Footer">
    <w:name w:val="footer"/>
    <w:basedOn w:val="Normal"/>
    <w:link w:val="FooterChar"/>
    <w:uiPriority w:val="99"/>
    <w:unhideWhenUsed/>
    <w:rsid w:val="00F71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926"/>
    <w:rPr>
      <w:rFonts w:ascii="Arial" w:hAnsi="Arial"/>
    </w:rPr>
  </w:style>
  <w:style w:type="paragraph" w:styleId="Bibliography">
    <w:name w:val="Bibliography"/>
    <w:basedOn w:val="Normal"/>
    <w:next w:val="Normal"/>
    <w:uiPriority w:val="37"/>
    <w:unhideWhenUsed/>
    <w:rsid w:val="00F719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668829">
      <w:bodyDiv w:val="1"/>
      <w:marLeft w:val="0"/>
      <w:marRight w:val="0"/>
      <w:marTop w:val="0"/>
      <w:marBottom w:val="0"/>
      <w:divBdr>
        <w:top w:val="none" w:sz="0" w:space="0" w:color="auto"/>
        <w:left w:val="none" w:sz="0" w:space="0" w:color="auto"/>
        <w:bottom w:val="none" w:sz="0" w:space="0" w:color="auto"/>
        <w:right w:val="none" w:sz="0" w:space="0" w:color="auto"/>
      </w:divBdr>
    </w:div>
    <w:div w:id="547183566">
      <w:bodyDiv w:val="1"/>
      <w:marLeft w:val="0"/>
      <w:marRight w:val="0"/>
      <w:marTop w:val="0"/>
      <w:marBottom w:val="0"/>
      <w:divBdr>
        <w:top w:val="none" w:sz="0" w:space="0" w:color="auto"/>
        <w:left w:val="none" w:sz="0" w:space="0" w:color="auto"/>
        <w:bottom w:val="none" w:sz="0" w:space="0" w:color="auto"/>
        <w:right w:val="none" w:sz="0" w:space="0" w:color="auto"/>
      </w:divBdr>
    </w:div>
    <w:div w:id="585921539">
      <w:bodyDiv w:val="1"/>
      <w:marLeft w:val="0"/>
      <w:marRight w:val="0"/>
      <w:marTop w:val="0"/>
      <w:marBottom w:val="0"/>
      <w:divBdr>
        <w:top w:val="none" w:sz="0" w:space="0" w:color="auto"/>
        <w:left w:val="none" w:sz="0" w:space="0" w:color="auto"/>
        <w:bottom w:val="none" w:sz="0" w:space="0" w:color="auto"/>
        <w:right w:val="none" w:sz="0" w:space="0" w:color="auto"/>
      </w:divBdr>
    </w:div>
    <w:div w:id="634214055">
      <w:bodyDiv w:val="1"/>
      <w:marLeft w:val="0"/>
      <w:marRight w:val="0"/>
      <w:marTop w:val="0"/>
      <w:marBottom w:val="0"/>
      <w:divBdr>
        <w:top w:val="none" w:sz="0" w:space="0" w:color="auto"/>
        <w:left w:val="none" w:sz="0" w:space="0" w:color="auto"/>
        <w:bottom w:val="none" w:sz="0" w:space="0" w:color="auto"/>
        <w:right w:val="none" w:sz="0" w:space="0" w:color="auto"/>
      </w:divBdr>
    </w:div>
    <w:div w:id="691885523">
      <w:bodyDiv w:val="1"/>
      <w:marLeft w:val="0"/>
      <w:marRight w:val="0"/>
      <w:marTop w:val="0"/>
      <w:marBottom w:val="0"/>
      <w:divBdr>
        <w:top w:val="none" w:sz="0" w:space="0" w:color="auto"/>
        <w:left w:val="none" w:sz="0" w:space="0" w:color="auto"/>
        <w:bottom w:val="none" w:sz="0" w:space="0" w:color="auto"/>
        <w:right w:val="none" w:sz="0" w:space="0" w:color="auto"/>
      </w:divBdr>
    </w:div>
    <w:div w:id="891621496">
      <w:bodyDiv w:val="1"/>
      <w:marLeft w:val="0"/>
      <w:marRight w:val="0"/>
      <w:marTop w:val="0"/>
      <w:marBottom w:val="0"/>
      <w:divBdr>
        <w:top w:val="none" w:sz="0" w:space="0" w:color="auto"/>
        <w:left w:val="none" w:sz="0" w:space="0" w:color="auto"/>
        <w:bottom w:val="none" w:sz="0" w:space="0" w:color="auto"/>
        <w:right w:val="none" w:sz="0" w:space="0" w:color="auto"/>
      </w:divBdr>
    </w:div>
    <w:div w:id="1032876493">
      <w:bodyDiv w:val="1"/>
      <w:marLeft w:val="0"/>
      <w:marRight w:val="0"/>
      <w:marTop w:val="0"/>
      <w:marBottom w:val="0"/>
      <w:divBdr>
        <w:top w:val="none" w:sz="0" w:space="0" w:color="auto"/>
        <w:left w:val="none" w:sz="0" w:space="0" w:color="auto"/>
        <w:bottom w:val="none" w:sz="0" w:space="0" w:color="auto"/>
        <w:right w:val="none" w:sz="0" w:space="0" w:color="auto"/>
      </w:divBdr>
    </w:div>
    <w:div w:id="1128470649">
      <w:bodyDiv w:val="1"/>
      <w:marLeft w:val="0"/>
      <w:marRight w:val="0"/>
      <w:marTop w:val="0"/>
      <w:marBottom w:val="0"/>
      <w:divBdr>
        <w:top w:val="none" w:sz="0" w:space="0" w:color="auto"/>
        <w:left w:val="none" w:sz="0" w:space="0" w:color="auto"/>
        <w:bottom w:val="none" w:sz="0" w:space="0" w:color="auto"/>
        <w:right w:val="none" w:sz="0" w:space="0" w:color="auto"/>
      </w:divBdr>
    </w:div>
    <w:div w:id="1261446552">
      <w:bodyDiv w:val="1"/>
      <w:marLeft w:val="0"/>
      <w:marRight w:val="0"/>
      <w:marTop w:val="0"/>
      <w:marBottom w:val="0"/>
      <w:divBdr>
        <w:top w:val="none" w:sz="0" w:space="0" w:color="auto"/>
        <w:left w:val="none" w:sz="0" w:space="0" w:color="auto"/>
        <w:bottom w:val="none" w:sz="0" w:space="0" w:color="auto"/>
        <w:right w:val="none" w:sz="0" w:space="0" w:color="auto"/>
      </w:divBdr>
    </w:div>
    <w:div w:id="1517890026">
      <w:bodyDiv w:val="1"/>
      <w:marLeft w:val="0"/>
      <w:marRight w:val="0"/>
      <w:marTop w:val="0"/>
      <w:marBottom w:val="0"/>
      <w:divBdr>
        <w:top w:val="none" w:sz="0" w:space="0" w:color="auto"/>
        <w:left w:val="none" w:sz="0" w:space="0" w:color="auto"/>
        <w:bottom w:val="none" w:sz="0" w:space="0" w:color="auto"/>
        <w:right w:val="none" w:sz="0" w:space="0" w:color="auto"/>
      </w:divBdr>
    </w:div>
    <w:div w:id="164897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Kol84</b:Tag>
    <b:SourceType>Book</b:SourceType>
    <b:Guid>{1FB287D3-1A27-4200-8335-ED6DB8F72E46}</b:Guid>
    <b:Title>Experiential learning: experience as the source of learning and development</b:Title>
    <b:Year>1984</b:Year>
    <b:City>Englewood Cliffs, NJ</b:City>
    <b:Publisher> Prentice Hall</b:Publisher>
    <b:Edition>1st</b:Edition>
    <b:Author>
      <b:Author>
        <b:NameList>
          <b:Person>
            <b:Last>Kolb</b:Last>
            <b:First>D.</b:First>
          </b:Person>
        </b:NameList>
      </b:Author>
    </b:Author>
    <b:RefOrder>6</b:RefOrder>
  </b:Source>
  <b:Source>
    <b:Tag>Mit08</b:Tag>
    <b:SourceType>JournalArticle</b:SourceType>
    <b:Guid>{D119E555-DAF5-43D7-9C1C-AA1F5B1DF4E6}</b:Guid>
    <b:Title>Differences and similarities in the use of the portfolio and personal development plan for career guidance in various vocational schools in The Netherlands</b:Title>
    <b:Year>2008</b:Year>
    <b:JournalName>Journal of Vocational Education and Training</b:JournalName>
    <b:Pages>75-91</b:Pages>
    <b:Volume>60</b:Volume>
    <b:Issue>1</b:Issue>
    <b:Author>
      <b:Author>
        <b:NameList>
          <b:Person>
            <b:Last>Mittendorff</b:Last>
            <b:First>K.</b:First>
          </b:Person>
          <b:Person>
            <b:Last>Jochems</b:Last>
            <b:First>W.</b:First>
          </b:Person>
          <b:Person>
            <b:Last>Meijers</b:Last>
            <b:First>F.</b:First>
          </b:Person>
          <b:Person>
            <b:Last>den Brok</b:Last>
            <b:First>P.</b:First>
          </b:Person>
        </b:NameList>
      </b:Author>
    </b:Author>
    <b:RefOrder>1</b:RefOrder>
  </b:Source>
  <b:Source>
    <b:Tag>Hul10</b:Tag>
    <b:SourceType>JournalArticle</b:SourceType>
    <b:Guid>{2CB66D9A-9538-4A02-951D-69BD65A3CD48}</b:Guid>
    <b:Title>Support structures for facilitators of student personal development planning: lessons from two departmental case studies</b:Title>
    <b:JournalName>Journal of Further and Higher Education</b:JournalName>
    <b:Year>2010</b:Year>
    <b:Pages>137-148</b:Pages>
    <b:Volume>34</b:Volume>
    <b:Issue>2</b:Issue>
    <b:Author>
      <b:Author>
        <b:NameList>
          <b:Person>
            <b:Last>Hulme</b:Last>
            <b:First>C.</b:First>
          </b:Person>
          <b:Person>
            <b:Last>Lisewski</b:Last>
            <b:First>B.</b:First>
          </b:Person>
        </b:NameList>
      </b:Author>
    </b:Author>
    <b:RefOrder>2</b:RefOrder>
  </b:Source>
  <b:Source>
    <b:Tag>Hun04</b:Tag>
    <b:SourceType>JournalArticle</b:SourceType>
    <b:Guid>{6394E8FA-0DFF-4672-9F03-9BD9B2DAFBE5}</b:Guid>
    <b:Title>Personal development planning: into a brave new world?</b:Title>
    <b:JournalName>Social Work Education</b:JournalName>
    <b:Year>2004</b:Year>
    <b:Pages>51-62</b:Pages>
    <b:Volume>23</b:Volume>
    <b:Issue>1</b:Issue>
    <b:Author>
      <b:Author>
        <b:NameList>
          <b:Person>
            <b:Last>Huntington</b:Last>
            <b:First>A.</b:First>
          </b:Person>
          <b:Person>
            <b:Last>Moss</b:Last>
            <b:First>B.</b:First>
          </b:Person>
        </b:NameList>
      </b:Author>
    </b:Author>
    <b:RefOrder>3</b:RefOrder>
  </b:Source>
  <b:Source>
    <b:Tag>Hea12</b:Tag>
    <b:SourceType>JournalArticle</b:SourceType>
    <b:Guid>{C4FDBC9D-8820-4B90-BC99-C6B6E74D9528}</b:Guid>
    <b:Title>Evaluation of the personal development portfolio in higher education: An explorative study</b:Title>
    <b:JournalName>Nurse Education Today</b:JournalName>
    <b:Year>2012</b:Year>
    <b:Pages>857-861</b:Pages>
    <b:Volume>32</b:Volume>
    <b:Issue>8</b:Issue>
    <b:Author>
      <b:Author>
        <b:NameList>
          <b:Person>
            <b:Last>Head</b:Last>
            <b:First>K.S.</b:First>
          </b:Person>
          <b:Person>
            <b:Last>Johnston</b:Last>
            <b:First>J.H.</b:First>
          </b:Person>
        </b:NameList>
      </b:Author>
    </b:Author>
    <b:RefOrder>4</b:RefOrder>
  </b:Source>
  <b:Source>
    <b:Tag>Cle06</b:Tag>
    <b:SourceType>JournalArticle</b:SourceType>
    <b:Guid>{9A0D5D22-74BC-4A16-A66B-17B525AB0F4B}</b:Guid>
    <b:Title>Models of Personal Development Planning: practice and processes</b:Title>
    <b:JournalName>British Educational Research Journal</b:JournalName>
    <b:Year>2006</b:Year>
    <b:Pages>57-76</b:Pages>
    <b:Volume>32</b:Volume>
    <b:Issue>1</b:Issue>
    <b:Author>
      <b:Author>
        <b:NameList>
          <b:Person>
            <b:Last>Clegg</b:Last>
            <b:First>S.</b:First>
          </b:Person>
          <b:Person>
            <b:Last>Bradley</b:Last>
            <b:First>S.</b:First>
          </b:Person>
        </b:NameList>
      </b:Author>
    </b:Author>
    <b:RefOrder>5</b:RefOrder>
  </b:Source>
</b:Sources>
</file>

<file path=customXml/itemProps1.xml><?xml version="1.0" encoding="utf-8"?>
<ds:datastoreItem xmlns:ds="http://schemas.openxmlformats.org/officeDocument/2006/customXml" ds:itemID="{E603DE03-06E4-4FC6-9785-CE4143746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5</Pages>
  <Words>1272</Words>
  <Characters>7251</Characters>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2019-10-18T01:56:00Z</dcterms:created>
  <dcterms:modified xsi:type="dcterms:W3CDTF">2019-10-18T06:50:00Z</dcterms:modified>
</cp:coreProperties>
</file>