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E83BC2" w:rsidRPr="00E83BC2" w:rsidRDefault="00E83BC2" w:rsidP="00E83BC2">
      <w:pPr>
        <w:jc w:val="center"/>
        <w:rPr>
          <w:rFonts w:ascii="Times New Roman" w:hAnsi="Times New Roman" w:cs="Times New Roman"/>
          <w:sz w:val="24"/>
        </w:rPr>
      </w:pP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UNIVERSITY OF WALES TRINITY SAINT DAVID</w:t>
      </w: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DOCTOR OF BUSINESS ADMINSTRATION</w:t>
      </w:r>
    </w:p>
    <w:p w:rsidR="00D90074" w:rsidRDefault="00D90074" w:rsidP="00D90074">
      <w:pPr>
        <w:jc w:val="center"/>
        <w:rPr>
          <w:rFonts w:ascii="Times New Roman" w:hAnsi="Times New Roman" w:cs="Times New Roman"/>
          <w:b/>
          <w:sz w:val="36"/>
          <w:szCs w:val="36"/>
        </w:rPr>
      </w:pP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Assessment</w:t>
      </w: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For</w:t>
      </w:r>
    </w:p>
    <w:p w:rsidR="00D90074" w:rsidRDefault="00D90074" w:rsidP="00D90074">
      <w:pPr>
        <w:jc w:val="center"/>
        <w:rPr>
          <w:rFonts w:ascii="Times New Roman" w:hAnsi="Times New Roman" w:cs="Times New Roman"/>
          <w:b/>
          <w:sz w:val="36"/>
          <w:szCs w:val="36"/>
        </w:rPr>
      </w:pP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Strategic change and Organisations (SBPD7005)</w:t>
      </w:r>
    </w:p>
    <w:p w:rsidR="00D90074" w:rsidRPr="0033479F" w:rsidRDefault="00D90074" w:rsidP="00D90074">
      <w:pPr>
        <w:jc w:val="center"/>
        <w:rPr>
          <w:rFonts w:ascii="Times New Roman" w:hAnsi="Times New Roman" w:cs="Times New Roman"/>
          <w:b/>
          <w:sz w:val="36"/>
          <w:szCs w:val="36"/>
        </w:rPr>
      </w:pP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CASE STUDY (INEOS)</w:t>
      </w:r>
    </w:p>
    <w:p w:rsidR="00D90074" w:rsidRPr="0033479F" w:rsidRDefault="00D90074" w:rsidP="00D90074">
      <w:pPr>
        <w:jc w:val="center"/>
        <w:rPr>
          <w:rFonts w:ascii="Times New Roman" w:hAnsi="Times New Roman" w:cs="Times New Roman"/>
          <w:b/>
          <w:sz w:val="36"/>
          <w:szCs w:val="36"/>
        </w:rPr>
      </w:pPr>
    </w:p>
    <w:p w:rsidR="00D90074" w:rsidRDefault="00D90074" w:rsidP="00D90074">
      <w:pPr>
        <w:jc w:val="center"/>
        <w:rPr>
          <w:rFonts w:ascii="Times New Roman" w:hAnsi="Times New Roman" w:cs="Times New Roman"/>
          <w:b/>
          <w:sz w:val="36"/>
          <w:szCs w:val="36"/>
        </w:rPr>
      </w:pP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Submitted By</w:t>
      </w:r>
    </w:p>
    <w:p w:rsidR="00D90074" w:rsidRPr="0033479F"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PINKY JODHA</w:t>
      </w:r>
    </w:p>
    <w:p w:rsidR="00E83BC2" w:rsidRPr="00D90074" w:rsidRDefault="00D90074" w:rsidP="00D90074">
      <w:pPr>
        <w:jc w:val="center"/>
        <w:rPr>
          <w:rFonts w:ascii="Times New Roman" w:hAnsi="Times New Roman" w:cs="Times New Roman"/>
          <w:b/>
          <w:sz w:val="36"/>
          <w:szCs w:val="36"/>
        </w:rPr>
      </w:pPr>
      <w:r w:rsidRPr="0033479F">
        <w:rPr>
          <w:rFonts w:ascii="Times New Roman" w:hAnsi="Times New Roman" w:cs="Times New Roman"/>
          <w:b/>
          <w:sz w:val="36"/>
          <w:szCs w:val="36"/>
        </w:rPr>
        <w:t>STUDENT ID -1</w:t>
      </w:r>
      <w:r>
        <w:rPr>
          <w:rFonts w:ascii="Times New Roman" w:hAnsi="Times New Roman" w:cs="Times New Roman"/>
          <w:b/>
          <w:sz w:val="36"/>
          <w:szCs w:val="36"/>
        </w:rPr>
        <w:t>603667</w:t>
      </w:r>
    </w:p>
    <w:p w:rsidR="0004048A" w:rsidRPr="00E83BC2" w:rsidRDefault="0004048A">
      <w:pPr>
        <w:rPr>
          <w:rFonts w:ascii="Times New Roman" w:hAnsi="Times New Roman" w:cs="Times New Roman"/>
          <w:sz w:val="24"/>
        </w:rPr>
      </w:pPr>
      <w:r w:rsidRPr="00E83BC2">
        <w:rPr>
          <w:rFonts w:ascii="Times New Roman" w:hAnsi="Times New Roman" w:cs="Times New Roman"/>
          <w:sz w:val="24"/>
        </w:rPr>
        <w:br w:type="page"/>
      </w:r>
    </w:p>
    <w:sdt>
      <w:sdtPr>
        <w:rPr>
          <w:rFonts w:ascii="Times New Roman" w:eastAsiaTheme="minorHAnsi" w:hAnsi="Times New Roman" w:cs="Times New Roman"/>
          <w:color w:val="auto"/>
          <w:sz w:val="22"/>
          <w:szCs w:val="22"/>
          <w:lang w:val="en-GB"/>
        </w:rPr>
        <w:id w:val="132921640"/>
        <w:docPartObj>
          <w:docPartGallery w:val="Table of Contents"/>
          <w:docPartUnique/>
        </w:docPartObj>
      </w:sdtPr>
      <w:sdtEndPr>
        <w:rPr>
          <w:b/>
          <w:bCs/>
          <w:noProof/>
        </w:rPr>
      </w:sdtEndPr>
      <w:sdtContent>
        <w:p w:rsidR="00E83BC2" w:rsidRPr="00E83BC2" w:rsidRDefault="00E83BC2">
          <w:pPr>
            <w:pStyle w:val="TOCHeading"/>
            <w:rPr>
              <w:rFonts w:ascii="Times New Roman" w:hAnsi="Times New Roman" w:cs="Times New Roman"/>
            </w:rPr>
          </w:pPr>
          <w:r w:rsidRPr="00E83BC2">
            <w:rPr>
              <w:rFonts w:ascii="Times New Roman" w:hAnsi="Times New Roman" w:cs="Times New Roman"/>
            </w:rPr>
            <w:t>Contents</w:t>
          </w:r>
        </w:p>
        <w:p w:rsidR="00E83BC2" w:rsidRDefault="00E83BC2">
          <w:pPr>
            <w:pStyle w:val="TOC1"/>
            <w:tabs>
              <w:tab w:val="right" w:leader="dot" w:pos="9016"/>
            </w:tabs>
            <w:rPr>
              <w:rFonts w:eastAsiaTheme="minorEastAsia"/>
              <w:noProof/>
              <w:lang w:eastAsia="en-GB"/>
            </w:rPr>
          </w:pPr>
          <w:r w:rsidRPr="00E83BC2">
            <w:rPr>
              <w:rFonts w:ascii="Times New Roman" w:hAnsi="Times New Roman" w:cs="Times New Roman"/>
              <w:b/>
              <w:bCs/>
              <w:noProof/>
            </w:rPr>
            <w:fldChar w:fldCharType="begin"/>
          </w:r>
          <w:r w:rsidRPr="00E83BC2">
            <w:rPr>
              <w:rFonts w:ascii="Times New Roman" w:hAnsi="Times New Roman" w:cs="Times New Roman"/>
              <w:b/>
              <w:bCs/>
              <w:noProof/>
            </w:rPr>
            <w:instrText xml:space="preserve"> TOC \o "1-3" \h \z \u </w:instrText>
          </w:r>
          <w:r w:rsidRPr="00E83BC2">
            <w:rPr>
              <w:rFonts w:ascii="Times New Roman" w:hAnsi="Times New Roman" w:cs="Times New Roman"/>
              <w:b/>
              <w:bCs/>
              <w:noProof/>
            </w:rPr>
            <w:fldChar w:fldCharType="separate"/>
          </w:r>
          <w:hyperlink w:anchor="_Toc523612406" w:history="1">
            <w:r w:rsidRPr="00612F14">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_Toc523612406 \h </w:instrText>
            </w:r>
            <w:r>
              <w:rPr>
                <w:noProof/>
                <w:webHidden/>
              </w:rPr>
            </w:r>
            <w:r>
              <w:rPr>
                <w:noProof/>
                <w:webHidden/>
              </w:rPr>
              <w:fldChar w:fldCharType="separate"/>
            </w:r>
            <w:r>
              <w:rPr>
                <w:noProof/>
                <w:webHidden/>
              </w:rPr>
              <w:t>3</w:t>
            </w:r>
            <w:r>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07" w:history="1">
            <w:r w:rsidR="00E83BC2" w:rsidRPr="00612F14">
              <w:rPr>
                <w:rStyle w:val="Hyperlink"/>
                <w:rFonts w:ascii="Times New Roman" w:hAnsi="Times New Roman" w:cs="Times New Roman"/>
                <w:noProof/>
              </w:rPr>
              <w:t>Company Situation</w:t>
            </w:r>
            <w:r w:rsidR="00E83BC2">
              <w:rPr>
                <w:noProof/>
                <w:webHidden/>
              </w:rPr>
              <w:tab/>
            </w:r>
            <w:r w:rsidR="00E83BC2">
              <w:rPr>
                <w:noProof/>
                <w:webHidden/>
              </w:rPr>
              <w:fldChar w:fldCharType="begin"/>
            </w:r>
            <w:r w:rsidR="00E83BC2">
              <w:rPr>
                <w:noProof/>
                <w:webHidden/>
              </w:rPr>
              <w:instrText xml:space="preserve"> PAGEREF _Toc523612407 \h </w:instrText>
            </w:r>
            <w:r w:rsidR="00E83BC2">
              <w:rPr>
                <w:noProof/>
                <w:webHidden/>
              </w:rPr>
            </w:r>
            <w:r w:rsidR="00E83BC2">
              <w:rPr>
                <w:noProof/>
                <w:webHidden/>
              </w:rPr>
              <w:fldChar w:fldCharType="separate"/>
            </w:r>
            <w:r w:rsidR="00E83BC2">
              <w:rPr>
                <w:noProof/>
                <w:webHidden/>
              </w:rPr>
              <w:t>3</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08" w:history="1">
            <w:r w:rsidR="00E83BC2" w:rsidRPr="00612F14">
              <w:rPr>
                <w:rStyle w:val="Hyperlink"/>
                <w:rFonts w:ascii="Times New Roman" w:hAnsi="Times New Roman" w:cs="Times New Roman"/>
                <w:noProof/>
              </w:rPr>
              <w:t>Strategic Issues</w:t>
            </w:r>
            <w:r w:rsidR="00E83BC2">
              <w:rPr>
                <w:noProof/>
                <w:webHidden/>
              </w:rPr>
              <w:tab/>
            </w:r>
            <w:r w:rsidR="00E83BC2">
              <w:rPr>
                <w:noProof/>
                <w:webHidden/>
              </w:rPr>
              <w:fldChar w:fldCharType="begin"/>
            </w:r>
            <w:r w:rsidR="00E83BC2">
              <w:rPr>
                <w:noProof/>
                <w:webHidden/>
              </w:rPr>
              <w:instrText xml:space="preserve"> PAGEREF _Toc523612408 \h </w:instrText>
            </w:r>
            <w:r w:rsidR="00E83BC2">
              <w:rPr>
                <w:noProof/>
                <w:webHidden/>
              </w:rPr>
            </w:r>
            <w:r w:rsidR="00E83BC2">
              <w:rPr>
                <w:noProof/>
                <w:webHidden/>
              </w:rPr>
              <w:fldChar w:fldCharType="separate"/>
            </w:r>
            <w:r w:rsidR="00E83BC2">
              <w:rPr>
                <w:noProof/>
                <w:webHidden/>
              </w:rPr>
              <w:t>3</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09" w:history="1">
            <w:r w:rsidR="00E83BC2" w:rsidRPr="00612F14">
              <w:rPr>
                <w:rStyle w:val="Hyperlink"/>
                <w:rFonts w:ascii="Times New Roman" w:hAnsi="Times New Roman" w:cs="Times New Roman"/>
                <w:noProof/>
              </w:rPr>
              <w:t>Analysis and Evaluation</w:t>
            </w:r>
            <w:r w:rsidR="00E83BC2">
              <w:rPr>
                <w:noProof/>
                <w:webHidden/>
              </w:rPr>
              <w:tab/>
            </w:r>
            <w:r w:rsidR="00E83BC2">
              <w:rPr>
                <w:noProof/>
                <w:webHidden/>
              </w:rPr>
              <w:fldChar w:fldCharType="begin"/>
            </w:r>
            <w:r w:rsidR="00E83BC2">
              <w:rPr>
                <w:noProof/>
                <w:webHidden/>
              </w:rPr>
              <w:instrText xml:space="preserve"> PAGEREF _Toc523612409 \h </w:instrText>
            </w:r>
            <w:r w:rsidR="00E83BC2">
              <w:rPr>
                <w:noProof/>
                <w:webHidden/>
              </w:rPr>
            </w:r>
            <w:r w:rsidR="00E83BC2">
              <w:rPr>
                <w:noProof/>
                <w:webHidden/>
              </w:rPr>
              <w:fldChar w:fldCharType="separate"/>
            </w:r>
            <w:r w:rsidR="00E83BC2">
              <w:rPr>
                <w:noProof/>
                <w:webHidden/>
              </w:rPr>
              <w:t>4</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10" w:history="1">
            <w:r w:rsidR="00E83BC2" w:rsidRPr="00612F14">
              <w:rPr>
                <w:rStyle w:val="Hyperlink"/>
                <w:rFonts w:ascii="Times New Roman" w:hAnsi="Times New Roman" w:cs="Times New Roman"/>
                <w:noProof/>
              </w:rPr>
              <w:t>Internal Analysis</w:t>
            </w:r>
            <w:r w:rsidR="00E83BC2">
              <w:rPr>
                <w:noProof/>
                <w:webHidden/>
              </w:rPr>
              <w:tab/>
            </w:r>
            <w:r w:rsidR="00E83BC2">
              <w:rPr>
                <w:noProof/>
                <w:webHidden/>
              </w:rPr>
              <w:fldChar w:fldCharType="begin"/>
            </w:r>
            <w:r w:rsidR="00E83BC2">
              <w:rPr>
                <w:noProof/>
                <w:webHidden/>
              </w:rPr>
              <w:instrText xml:space="preserve"> PAGEREF _Toc523612410 \h </w:instrText>
            </w:r>
            <w:r w:rsidR="00E83BC2">
              <w:rPr>
                <w:noProof/>
                <w:webHidden/>
              </w:rPr>
            </w:r>
            <w:r w:rsidR="00E83BC2">
              <w:rPr>
                <w:noProof/>
                <w:webHidden/>
              </w:rPr>
              <w:fldChar w:fldCharType="separate"/>
            </w:r>
            <w:r w:rsidR="00E83BC2">
              <w:rPr>
                <w:noProof/>
                <w:webHidden/>
              </w:rPr>
              <w:t>4</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1" w:history="1">
            <w:r w:rsidR="00E83BC2" w:rsidRPr="00612F14">
              <w:rPr>
                <w:rStyle w:val="Hyperlink"/>
                <w:rFonts w:ascii="Times New Roman" w:hAnsi="Times New Roman" w:cs="Times New Roman"/>
                <w:noProof/>
              </w:rPr>
              <w:t>SWOT Analysis</w:t>
            </w:r>
            <w:r w:rsidR="00E83BC2">
              <w:rPr>
                <w:noProof/>
                <w:webHidden/>
              </w:rPr>
              <w:tab/>
            </w:r>
            <w:r w:rsidR="00E83BC2">
              <w:rPr>
                <w:noProof/>
                <w:webHidden/>
              </w:rPr>
              <w:fldChar w:fldCharType="begin"/>
            </w:r>
            <w:r w:rsidR="00E83BC2">
              <w:rPr>
                <w:noProof/>
                <w:webHidden/>
              </w:rPr>
              <w:instrText xml:space="preserve"> PAGEREF _Toc523612411 \h </w:instrText>
            </w:r>
            <w:r w:rsidR="00E83BC2">
              <w:rPr>
                <w:noProof/>
                <w:webHidden/>
              </w:rPr>
            </w:r>
            <w:r w:rsidR="00E83BC2">
              <w:rPr>
                <w:noProof/>
                <w:webHidden/>
              </w:rPr>
              <w:fldChar w:fldCharType="separate"/>
            </w:r>
            <w:r w:rsidR="00E83BC2">
              <w:rPr>
                <w:noProof/>
                <w:webHidden/>
              </w:rPr>
              <w:t>4</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2" w:history="1">
            <w:r w:rsidR="00E83BC2" w:rsidRPr="00612F14">
              <w:rPr>
                <w:rStyle w:val="Hyperlink"/>
                <w:rFonts w:ascii="Times New Roman" w:hAnsi="Times New Roman" w:cs="Times New Roman"/>
                <w:noProof/>
              </w:rPr>
              <w:t>Financial Analysis</w:t>
            </w:r>
            <w:r w:rsidR="00E83BC2">
              <w:rPr>
                <w:noProof/>
                <w:webHidden/>
              </w:rPr>
              <w:tab/>
            </w:r>
            <w:r w:rsidR="00E83BC2">
              <w:rPr>
                <w:noProof/>
                <w:webHidden/>
              </w:rPr>
              <w:fldChar w:fldCharType="begin"/>
            </w:r>
            <w:r w:rsidR="00E83BC2">
              <w:rPr>
                <w:noProof/>
                <w:webHidden/>
              </w:rPr>
              <w:instrText xml:space="preserve"> PAGEREF _Toc523612412 \h </w:instrText>
            </w:r>
            <w:r w:rsidR="00E83BC2">
              <w:rPr>
                <w:noProof/>
                <w:webHidden/>
              </w:rPr>
            </w:r>
            <w:r w:rsidR="00E83BC2">
              <w:rPr>
                <w:noProof/>
                <w:webHidden/>
              </w:rPr>
              <w:fldChar w:fldCharType="separate"/>
            </w:r>
            <w:r w:rsidR="00E83BC2">
              <w:rPr>
                <w:noProof/>
                <w:webHidden/>
              </w:rPr>
              <w:t>4</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13" w:history="1">
            <w:r w:rsidR="00E83BC2" w:rsidRPr="00612F14">
              <w:rPr>
                <w:rStyle w:val="Hyperlink"/>
                <w:rFonts w:ascii="Times New Roman" w:hAnsi="Times New Roman" w:cs="Times New Roman"/>
                <w:noProof/>
              </w:rPr>
              <w:t>External Analysis</w:t>
            </w:r>
            <w:r w:rsidR="00E83BC2">
              <w:rPr>
                <w:noProof/>
                <w:webHidden/>
              </w:rPr>
              <w:tab/>
            </w:r>
            <w:r w:rsidR="00E83BC2">
              <w:rPr>
                <w:noProof/>
                <w:webHidden/>
              </w:rPr>
              <w:fldChar w:fldCharType="begin"/>
            </w:r>
            <w:r w:rsidR="00E83BC2">
              <w:rPr>
                <w:noProof/>
                <w:webHidden/>
              </w:rPr>
              <w:instrText xml:space="preserve"> PAGEREF _Toc523612413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14" w:history="1">
            <w:r w:rsidR="00E83BC2" w:rsidRPr="00612F14">
              <w:rPr>
                <w:rStyle w:val="Hyperlink"/>
                <w:rFonts w:ascii="Times New Roman" w:hAnsi="Times New Roman" w:cs="Times New Roman"/>
                <w:noProof/>
              </w:rPr>
              <w:t>Porter’s 5 Forces</w:t>
            </w:r>
            <w:r w:rsidR="00E83BC2">
              <w:rPr>
                <w:noProof/>
                <w:webHidden/>
              </w:rPr>
              <w:tab/>
            </w:r>
            <w:r w:rsidR="00E83BC2">
              <w:rPr>
                <w:noProof/>
                <w:webHidden/>
              </w:rPr>
              <w:fldChar w:fldCharType="begin"/>
            </w:r>
            <w:r w:rsidR="00E83BC2">
              <w:rPr>
                <w:noProof/>
                <w:webHidden/>
              </w:rPr>
              <w:instrText xml:space="preserve"> PAGEREF _Toc523612414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5" w:history="1">
            <w:r w:rsidR="00E83BC2" w:rsidRPr="00612F14">
              <w:rPr>
                <w:rStyle w:val="Hyperlink"/>
                <w:rFonts w:ascii="Times New Roman" w:hAnsi="Times New Roman" w:cs="Times New Roman"/>
                <w:noProof/>
              </w:rPr>
              <w:t>Competitive Rivalry - High</w:t>
            </w:r>
            <w:r w:rsidR="00E83BC2">
              <w:rPr>
                <w:noProof/>
                <w:webHidden/>
              </w:rPr>
              <w:tab/>
            </w:r>
            <w:r w:rsidR="00E83BC2">
              <w:rPr>
                <w:noProof/>
                <w:webHidden/>
              </w:rPr>
              <w:fldChar w:fldCharType="begin"/>
            </w:r>
            <w:r w:rsidR="00E83BC2">
              <w:rPr>
                <w:noProof/>
                <w:webHidden/>
              </w:rPr>
              <w:instrText xml:space="preserve"> PAGEREF _Toc523612415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6" w:history="1">
            <w:r w:rsidR="00E83BC2" w:rsidRPr="00612F14">
              <w:rPr>
                <w:rStyle w:val="Hyperlink"/>
                <w:rFonts w:ascii="Times New Roman" w:hAnsi="Times New Roman" w:cs="Times New Roman"/>
                <w:noProof/>
              </w:rPr>
              <w:t>Threat of a New Entrant - Low</w:t>
            </w:r>
            <w:r w:rsidR="00E83BC2">
              <w:rPr>
                <w:noProof/>
                <w:webHidden/>
              </w:rPr>
              <w:tab/>
            </w:r>
            <w:r w:rsidR="00E83BC2">
              <w:rPr>
                <w:noProof/>
                <w:webHidden/>
              </w:rPr>
              <w:fldChar w:fldCharType="begin"/>
            </w:r>
            <w:r w:rsidR="00E83BC2">
              <w:rPr>
                <w:noProof/>
                <w:webHidden/>
              </w:rPr>
              <w:instrText xml:space="preserve"> PAGEREF _Toc523612416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7" w:history="1">
            <w:r w:rsidR="00E83BC2" w:rsidRPr="00612F14">
              <w:rPr>
                <w:rStyle w:val="Hyperlink"/>
                <w:rFonts w:ascii="Times New Roman" w:hAnsi="Times New Roman" w:cs="Times New Roman"/>
                <w:noProof/>
              </w:rPr>
              <w:t>Threat of a Substitute – Medium</w:t>
            </w:r>
            <w:r w:rsidR="00E83BC2">
              <w:rPr>
                <w:noProof/>
                <w:webHidden/>
              </w:rPr>
              <w:tab/>
            </w:r>
            <w:r w:rsidR="00E83BC2">
              <w:rPr>
                <w:noProof/>
                <w:webHidden/>
              </w:rPr>
              <w:fldChar w:fldCharType="begin"/>
            </w:r>
            <w:r w:rsidR="00E83BC2">
              <w:rPr>
                <w:noProof/>
                <w:webHidden/>
              </w:rPr>
              <w:instrText xml:space="preserve"> PAGEREF _Toc523612417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8" w:history="1">
            <w:r w:rsidR="00E83BC2" w:rsidRPr="00612F14">
              <w:rPr>
                <w:rStyle w:val="Hyperlink"/>
                <w:rFonts w:ascii="Times New Roman" w:hAnsi="Times New Roman" w:cs="Times New Roman"/>
                <w:noProof/>
              </w:rPr>
              <w:t>Bargaining Power of Suppliers – Low</w:t>
            </w:r>
            <w:r w:rsidR="00E83BC2">
              <w:rPr>
                <w:noProof/>
                <w:webHidden/>
              </w:rPr>
              <w:tab/>
            </w:r>
            <w:r w:rsidR="00E83BC2">
              <w:rPr>
                <w:noProof/>
                <w:webHidden/>
              </w:rPr>
              <w:fldChar w:fldCharType="begin"/>
            </w:r>
            <w:r w:rsidR="00E83BC2">
              <w:rPr>
                <w:noProof/>
                <w:webHidden/>
              </w:rPr>
              <w:instrText xml:space="preserve"> PAGEREF _Toc523612418 \h </w:instrText>
            </w:r>
            <w:r w:rsidR="00E83BC2">
              <w:rPr>
                <w:noProof/>
                <w:webHidden/>
              </w:rPr>
            </w:r>
            <w:r w:rsidR="00E83BC2">
              <w:rPr>
                <w:noProof/>
                <w:webHidden/>
              </w:rPr>
              <w:fldChar w:fldCharType="separate"/>
            </w:r>
            <w:r w:rsidR="00E83BC2">
              <w:rPr>
                <w:noProof/>
                <w:webHidden/>
              </w:rPr>
              <w:t>15</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19" w:history="1">
            <w:r w:rsidR="00E83BC2" w:rsidRPr="00612F14">
              <w:rPr>
                <w:rStyle w:val="Hyperlink"/>
                <w:rFonts w:ascii="Times New Roman" w:hAnsi="Times New Roman" w:cs="Times New Roman"/>
                <w:noProof/>
              </w:rPr>
              <w:t>Bargaining Power of Buyers - High</w:t>
            </w:r>
            <w:r w:rsidR="00E83BC2">
              <w:rPr>
                <w:noProof/>
                <w:webHidden/>
              </w:rPr>
              <w:tab/>
            </w:r>
            <w:r w:rsidR="00E83BC2">
              <w:rPr>
                <w:noProof/>
                <w:webHidden/>
              </w:rPr>
              <w:fldChar w:fldCharType="begin"/>
            </w:r>
            <w:r w:rsidR="00E83BC2">
              <w:rPr>
                <w:noProof/>
                <w:webHidden/>
              </w:rPr>
              <w:instrText xml:space="preserve"> PAGEREF _Toc523612419 \h </w:instrText>
            </w:r>
            <w:r w:rsidR="00E83BC2">
              <w:rPr>
                <w:noProof/>
                <w:webHidden/>
              </w:rPr>
            </w:r>
            <w:r w:rsidR="00E83BC2">
              <w:rPr>
                <w:noProof/>
                <w:webHidden/>
              </w:rPr>
              <w:fldChar w:fldCharType="separate"/>
            </w:r>
            <w:r w:rsidR="00E83BC2">
              <w:rPr>
                <w:noProof/>
                <w:webHidden/>
              </w:rPr>
              <w:t>16</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20" w:history="1">
            <w:r w:rsidR="00E83BC2" w:rsidRPr="00612F14">
              <w:rPr>
                <w:rStyle w:val="Hyperlink"/>
                <w:rFonts w:ascii="Times New Roman" w:hAnsi="Times New Roman" w:cs="Times New Roman"/>
                <w:noProof/>
              </w:rPr>
              <w:t>Alternative Approaches</w:t>
            </w:r>
            <w:r w:rsidR="00E83BC2">
              <w:rPr>
                <w:noProof/>
                <w:webHidden/>
              </w:rPr>
              <w:tab/>
            </w:r>
            <w:r w:rsidR="00E83BC2">
              <w:rPr>
                <w:noProof/>
                <w:webHidden/>
              </w:rPr>
              <w:fldChar w:fldCharType="begin"/>
            </w:r>
            <w:r w:rsidR="00E83BC2">
              <w:rPr>
                <w:noProof/>
                <w:webHidden/>
              </w:rPr>
              <w:instrText xml:space="preserve"> PAGEREF _Toc523612420 \h </w:instrText>
            </w:r>
            <w:r w:rsidR="00E83BC2">
              <w:rPr>
                <w:noProof/>
                <w:webHidden/>
              </w:rPr>
            </w:r>
            <w:r w:rsidR="00E83BC2">
              <w:rPr>
                <w:noProof/>
                <w:webHidden/>
              </w:rPr>
              <w:fldChar w:fldCharType="separate"/>
            </w:r>
            <w:r w:rsidR="00E83BC2">
              <w:rPr>
                <w:noProof/>
                <w:webHidden/>
              </w:rPr>
              <w:t>16</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21" w:history="1">
            <w:r w:rsidR="00E83BC2" w:rsidRPr="00612F14">
              <w:rPr>
                <w:rStyle w:val="Hyperlink"/>
                <w:rFonts w:ascii="Times New Roman" w:hAnsi="Times New Roman" w:cs="Times New Roman"/>
                <w:noProof/>
              </w:rPr>
              <w:t>Alternative 1: Do Nothing</w:t>
            </w:r>
            <w:r w:rsidR="00E83BC2">
              <w:rPr>
                <w:noProof/>
                <w:webHidden/>
              </w:rPr>
              <w:tab/>
            </w:r>
            <w:r w:rsidR="00E83BC2">
              <w:rPr>
                <w:noProof/>
                <w:webHidden/>
              </w:rPr>
              <w:fldChar w:fldCharType="begin"/>
            </w:r>
            <w:r w:rsidR="00E83BC2">
              <w:rPr>
                <w:noProof/>
                <w:webHidden/>
              </w:rPr>
              <w:instrText xml:space="preserve"> PAGEREF _Toc523612421 \h </w:instrText>
            </w:r>
            <w:r w:rsidR="00E83BC2">
              <w:rPr>
                <w:noProof/>
                <w:webHidden/>
              </w:rPr>
            </w:r>
            <w:r w:rsidR="00E83BC2">
              <w:rPr>
                <w:noProof/>
                <w:webHidden/>
              </w:rPr>
              <w:fldChar w:fldCharType="separate"/>
            </w:r>
            <w:r w:rsidR="00E83BC2">
              <w:rPr>
                <w:noProof/>
                <w:webHidden/>
              </w:rPr>
              <w:t>16</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2" w:history="1">
            <w:r w:rsidR="00E83BC2" w:rsidRPr="00612F14">
              <w:rPr>
                <w:rStyle w:val="Hyperlink"/>
                <w:rFonts w:ascii="Times New Roman" w:hAnsi="Times New Roman" w:cs="Times New Roman"/>
                <w:noProof/>
              </w:rPr>
              <w:t>Pros</w:t>
            </w:r>
            <w:r w:rsidR="00E83BC2">
              <w:rPr>
                <w:noProof/>
                <w:webHidden/>
              </w:rPr>
              <w:tab/>
            </w:r>
            <w:r w:rsidR="00E83BC2">
              <w:rPr>
                <w:noProof/>
                <w:webHidden/>
              </w:rPr>
              <w:fldChar w:fldCharType="begin"/>
            </w:r>
            <w:r w:rsidR="00E83BC2">
              <w:rPr>
                <w:noProof/>
                <w:webHidden/>
              </w:rPr>
              <w:instrText xml:space="preserve"> PAGEREF _Toc523612422 \h </w:instrText>
            </w:r>
            <w:r w:rsidR="00E83BC2">
              <w:rPr>
                <w:noProof/>
                <w:webHidden/>
              </w:rPr>
            </w:r>
            <w:r w:rsidR="00E83BC2">
              <w:rPr>
                <w:noProof/>
                <w:webHidden/>
              </w:rPr>
              <w:fldChar w:fldCharType="separate"/>
            </w:r>
            <w:r w:rsidR="00E83BC2">
              <w:rPr>
                <w:noProof/>
                <w:webHidden/>
              </w:rPr>
              <w:t>16</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3" w:history="1">
            <w:r w:rsidR="00E83BC2" w:rsidRPr="00612F14">
              <w:rPr>
                <w:rStyle w:val="Hyperlink"/>
                <w:rFonts w:ascii="Times New Roman" w:hAnsi="Times New Roman" w:cs="Times New Roman"/>
                <w:noProof/>
              </w:rPr>
              <w:t>Cons</w:t>
            </w:r>
            <w:r w:rsidR="00E83BC2">
              <w:rPr>
                <w:noProof/>
                <w:webHidden/>
              </w:rPr>
              <w:tab/>
            </w:r>
            <w:r w:rsidR="00E83BC2">
              <w:rPr>
                <w:noProof/>
                <w:webHidden/>
              </w:rPr>
              <w:fldChar w:fldCharType="begin"/>
            </w:r>
            <w:r w:rsidR="00E83BC2">
              <w:rPr>
                <w:noProof/>
                <w:webHidden/>
              </w:rPr>
              <w:instrText xml:space="preserve"> PAGEREF _Toc523612423 \h </w:instrText>
            </w:r>
            <w:r w:rsidR="00E83BC2">
              <w:rPr>
                <w:noProof/>
                <w:webHidden/>
              </w:rPr>
            </w:r>
            <w:r w:rsidR="00E83BC2">
              <w:rPr>
                <w:noProof/>
                <w:webHidden/>
              </w:rPr>
              <w:fldChar w:fldCharType="separate"/>
            </w:r>
            <w:r w:rsidR="00E83BC2">
              <w:rPr>
                <w:noProof/>
                <w:webHidden/>
              </w:rPr>
              <w:t>16</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24" w:history="1">
            <w:r w:rsidR="00E83BC2" w:rsidRPr="00612F14">
              <w:rPr>
                <w:rStyle w:val="Hyperlink"/>
                <w:rFonts w:ascii="Times New Roman" w:hAnsi="Times New Roman" w:cs="Times New Roman"/>
                <w:noProof/>
              </w:rPr>
              <w:t>Alternative 2: Float the Stock Market</w:t>
            </w:r>
            <w:r w:rsidR="00E83BC2">
              <w:rPr>
                <w:noProof/>
                <w:webHidden/>
              </w:rPr>
              <w:tab/>
            </w:r>
            <w:r w:rsidR="00E83BC2">
              <w:rPr>
                <w:noProof/>
                <w:webHidden/>
              </w:rPr>
              <w:fldChar w:fldCharType="begin"/>
            </w:r>
            <w:r w:rsidR="00E83BC2">
              <w:rPr>
                <w:noProof/>
                <w:webHidden/>
              </w:rPr>
              <w:instrText xml:space="preserve"> PAGEREF _Toc523612424 \h </w:instrText>
            </w:r>
            <w:r w:rsidR="00E83BC2">
              <w:rPr>
                <w:noProof/>
                <w:webHidden/>
              </w:rPr>
            </w:r>
            <w:r w:rsidR="00E83BC2">
              <w:rPr>
                <w:noProof/>
                <w:webHidden/>
              </w:rPr>
              <w:fldChar w:fldCharType="separate"/>
            </w:r>
            <w:r w:rsidR="00E83BC2">
              <w:rPr>
                <w:noProof/>
                <w:webHidden/>
              </w:rPr>
              <w:t>17</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5" w:history="1">
            <w:r w:rsidR="00E83BC2" w:rsidRPr="00612F14">
              <w:rPr>
                <w:rStyle w:val="Hyperlink"/>
                <w:rFonts w:ascii="Times New Roman" w:hAnsi="Times New Roman" w:cs="Times New Roman"/>
                <w:noProof/>
              </w:rPr>
              <w:t>Pros</w:t>
            </w:r>
            <w:r w:rsidR="00E83BC2">
              <w:rPr>
                <w:noProof/>
                <w:webHidden/>
              </w:rPr>
              <w:tab/>
            </w:r>
            <w:r w:rsidR="00E83BC2">
              <w:rPr>
                <w:noProof/>
                <w:webHidden/>
              </w:rPr>
              <w:fldChar w:fldCharType="begin"/>
            </w:r>
            <w:r w:rsidR="00E83BC2">
              <w:rPr>
                <w:noProof/>
                <w:webHidden/>
              </w:rPr>
              <w:instrText xml:space="preserve"> PAGEREF _Toc523612425 \h </w:instrText>
            </w:r>
            <w:r w:rsidR="00E83BC2">
              <w:rPr>
                <w:noProof/>
                <w:webHidden/>
              </w:rPr>
            </w:r>
            <w:r w:rsidR="00E83BC2">
              <w:rPr>
                <w:noProof/>
                <w:webHidden/>
              </w:rPr>
              <w:fldChar w:fldCharType="separate"/>
            </w:r>
            <w:r w:rsidR="00E83BC2">
              <w:rPr>
                <w:noProof/>
                <w:webHidden/>
              </w:rPr>
              <w:t>17</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6" w:history="1">
            <w:r w:rsidR="00E83BC2" w:rsidRPr="00612F14">
              <w:rPr>
                <w:rStyle w:val="Hyperlink"/>
                <w:rFonts w:ascii="Times New Roman" w:hAnsi="Times New Roman" w:cs="Times New Roman"/>
                <w:noProof/>
              </w:rPr>
              <w:t>Cons</w:t>
            </w:r>
            <w:r w:rsidR="00E83BC2">
              <w:rPr>
                <w:noProof/>
                <w:webHidden/>
              </w:rPr>
              <w:tab/>
            </w:r>
            <w:r w:rsidR="00E83BC2">
              <w:rPr>
                <w:noProof/>
                <w:webHidden/>
              </w:rPr>
              <w:fldChar w:fldCharType="begin"/>
            </w:r>
            <w:r w:rsidR="00E83BC2">
              <w:rPr>
                <w:noProof/>
                <w:webHidden/>
              </w:rPr>
              <w:instrText xml:space="preserve"> PAGEREF _Toc523612426 \h </w:instrText>
            </w:r>
            <w:r w:rsidR="00E83BC2">
              <w:rPr>
                <w:noProof/>
                <w:webHidden/>
              </w:rPr>
            </w:r>
            <w:r w:rsidR="00E83BC2">
              <w:rPr>
                <w:noProof/>
                <w:webHidden/>
              </w:rPr>
              <w:fldChar w:fldCharType="separate"/>
            </w:r>
            <w:r w:rsidR="00E83BC2">
              <w:rPr>
                <w:noProof/>
                <w:webHidden/>
              </w:rPr>
              <w:t>17</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27" w:history="1">
            <w:r w:rsidR="00E83BC2" w:rsidRPr="00612F14">
              <w:rPr>
                <w:rStyle w:val="Hyperlink"/>
                <w:rFonts w:ascii="Times New Roman" w:hAnsi="Times New Roman" w:cs="Times New Roman"/>
                <w:noProof/>
              </w:rPr>
              <w:t>Alternative 3: Related Diversification in Different Markets</w:t>
            </w:r>
            <w:r w:rsidR="00E83BC2">
              <w:rPr>
                <w:noProof/>
                <w:webHidden/>
              </w:rPr>
              <w:tab/>
            </w:r>
            <w:r w:rsidR="00E83BC2">
              <w:rPr>
                <w:noProof/>
                <w:webHidden/>
              </w:rPr>
              <w:fldChar w:fldCharType="begin"/>
            </w:r>
            <w:r w:rsidR="00E83BC2">
              <w:rPr>
                <w:noProof/>
                <w:webHidden/>
              </w:rPr>
              <w:instrText xml:space="preserve"> PAGEREF _Toc523612427 \h </w:instrText>
            </w:r>
            <w:r w:rsidR="00E83BC2">
              <w:rPr>
                <w:noProof/>
                <w:webHidden/>
              </w:rPr>
            </w:r>
            <w:r w:rsidR="00E83BC2">
              <w:rPr>
                <w:noProof/>
                <w:webHidden/>
              </w:rPr>
              <w:fldChar w:fldCharType="separate"/>
            </w:r>
            <w:r w:rsidR="00E83BC2">
              <w:rPr>
                <w:noProof/>
                <w:webHidden/>
              </w:rPr>
              <w:t>18</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8" w:history="1">
            <w:r w:rsidR="00E83BC2" w:rsidRPr="00612F14">
              <w:rPr>
                <w:rStyle w:val="Hyperlink"/>
                <w:rFonts w:ascii="Times New Roman" w:hAnsi="Times New Roman" w:cs="Times New Roman"/>
                <w:noProof/>
              </w:rPr>
              <w:t>Pros</w:t>
            </w:r>
            <w:r w:rsidR="00E83BC2">
              <w:rPr>
                <w:noProof/>
                <w:webHidden/>
              </w:rPr>
              <w:tab/>
            </w:r>
            <w:r w:rsidR="00E83BC2">
              <w:rPr>
                <w:noProof/>
                <w:webHidden/>
              </w:rPr>
              <w:fldChar w:fldCharType="begin"/>
            </w:r>
            <w:r w:rsidR="00E83BC2">
              <w:rPr>
                <w:noProof/>
                <w:webHidden/>
              </w:rPr>
              <w:instrText xml:space="preserve"> PAGEREF _Toc523612428 \h </w:instrText>
            </w:r>
            <w:r w:rsidR="00E83BC2">
              <w:rPr>
                <w:noProof/>
                <w:webHidden/>
              </w:rPr>
            </w:r>
            <w:r w:rsidR="00E83BC2">
              <w:rPr>
                <w:noProof/>
                <w:webHidden/>
              </w:rPr>
              <w:fldChar w:fldCharType="separate"/>
            </w:r>
            <w:r w:rsidR="00E83BC2">
              <w:rPr>
                <w:noProof/>
                <w:webHidden/>
              </w:rPr>
              <w:t>18</w:t>
            </w:r>
            <w:r w:rsidR="00E83BC2">
              <w:rPr>
                <w:noProof/>
                <w:webHidden/>
              </w:rPr>
              <w:fldChar w:fldCharType="end"/>
            </w:r>
          </w:hyperlink>
        </w:p>
        <w:p w:rsidR="00E83BC2" w:rsidRDefault="00347956">
          <w:pPr>
            <w:pStyle w:val="TOC3"/>
            <w:tabs>
              <w:tab w:val="right" w:leader="dot" w:pos="9016"/>
            </w:tabs>
            <w:rPr>
              <w:rFonts w:eastAsiaTheme="minorEastAsia"/>
              <w:noProof/>
              <w:lang w:eastAsia="en-GB"/>
            </w:rPr>
          </w:pPr>
          <w:hyperlink w:anchor="_Toc523612429" w:history="1">
            <w:r w:rsidR="00E83BC2" w:rsidRPr="00612F14">
              <w:rPr>
                <w:rStyle w:val="Hyperlink"/>
                <w:rFonts w:ascii="Times New Roman" w:hAnsi="Times New Roman" w:cs="Times New Roman"/>
                <w:noProof/>
              </w:rPr>
              <w:t>Cons</w:t>
            </w:r>
            <w:r w:rsidR="00E83BC2">
              <w:rPr>
                <w:noProof/>
                <w:webHidden/>
              </w:rPr>
              <w:tab/>
            </w:r>
            <w:r w:rsidR="00E83BC2">
              <w:rPr>
                <w:noProof/>
                <w:webHidden/>
              </w:rPr>
              <w:fldChar w:fldCharType="begin"/>
            </w:r>
            <w:r w:rsidR="00E83BC2">
              <w:rPr>
                <w:noProof/>
                <w:webHidden/>
              </w:rPr>
              <w:instrText xml:space="preserve"> PAGEREF _Toc523612429 \h </w:instrText>
            </w:r>
            <w:r w:rsidR="00E83BC2">
              <w:rPr>
                <w:noProof/>
                <w:webHidden/>
              </w:rPr>
            </w:r>
            <w:r w:rsidR="00E83BC2">
              <w:rPr>
                <w:noProof/>
                <w:webHidden/>
              </w:rPr>
              <w:fldChar w:fldCharType="separate"/>
            </w:r>
            <w:r w:rsidR="00E83BC2">
              <w:rPr>
                <w:noProof/>
                <w:webHidden/>
              </w:rPr>
              <w:t>18</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30" w:history="1">
            <w:r w:rsidR="00E83BC2" w:rsidRPr="00612F14">
              <w:rPr>
                <w:rStyle w:val="Hyperlink"/>
                <w:rFonts w:ascii="Times New Roman" w:hAnsi="Times New Roman" w:cs="Times New Roman"/>
                <w:noProof/>
              </w:rPr>
              <w:t>Recommendation</w:t>
            </w:r>
            <w:r w:rsidR="00E83BC2">
              <w:rPr>
                <w:noProof/>
                <w:webHidden/>
              </w:rPr>
              <w:tab/>
            </w:r>
            <w:r w:rsidR="00E83BC2">
              <w:rPr>
                <w:noProof/>
                <w:webHidden/>
              </w:rPr>
              <w:fldChar w:fldCharType="begin"/>
            </w:r>
            <w:r w:rsidR="00E83BC2">
              <w:rPr>
                <w:noProof/>
                <w:webHidden/>
              </w:rPr>
              <w:instrText xml:space="preserve"> PAGEREF _Toc523612430 \h </w:instrText>
            </w:r>
            <w:r w:rsidR="00E83BC2">
              <w:rPr>
                <w:noProof/>
                <w:webHidden/>
              </w:rPr>
            </w:r>
            <w:r w:rsidR="00E83BC2">
              <w:rPr>
                <w:noProof/>
                <w:webHidden/>
              </w:rPr>
              <w:fldChar w:fldCharType="separate"/>
            </w:r>
            <w:r w:rsidR="00E83BC2">
              <w:rPr>
                <w:noProof/>
                <w:webHidden/>
              </w:rPr>
              <w:t>19</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31" w:history="1">
            <w:r w:rsidR="00E83BC2" w:rsidRPr="00612F14">
              <w:rPr>
                <w:rStyle w:val="Hyperlink"/>
                <w:rFonts w:ascii="Times New Roman" w:hAnsi="Times New Roman" w:cs="Times New Roman"/>
                <w:noProof/>
              </w:rPr>
              <w:t>Action Plan</w:t>
            </w:r>
            <w:r w:rsidR="00E83BC2">
              <w:rPr>
                <w:noProof/>
                <w:webHidden/>
              </w:rPr>
              <w:tab/>
            </w:r>
            <w:r w:rsidR="00E83BC2">
              <w:rPr>
                <w:noProof/>
                <w:webHidden/>
              </w:rPr>
              <w:fldChar w:fldCharType="begin"/>
            </w:r>
            <w:r w:rsidR="00E83BC2">
              <w:rPr>
                <w:noProof/>
                <w:webHidden/>
              </w:rPr>
              <w:instrText xml:space="preserve"> PAGEREF _Toc523612431 \h </w:instrText>
            </w:r>
            <w:r w:rsidR="00E83BC2">
              <w:rPr>
                <w:noProof/>
                <w:webHidden/>
              </w:rPr>
            </w:r>
            <w:r w:rsidR="00E83BC2">
              <w:rPr>
                <w:noProof/>
                <w:webHidden/>
              </w:rPr>
              <w:fldChar w:fldCharType="separate"/>
            </w:r>
            <w:r w:rsidR="00E83BC2">
              <w:rPr>
                <w:noProof/>
                <w:webHidden/>
              </w:rPr>
              <w:t>20</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2" w:history="1">
            <w:r w:rsidR="00E83BC2" w:rsidRPr="00612F14">
              <w:rPr>
                <w:rStyle w:val="Hyperlink"/>
                <w:rFonts w:ascii="Times New Roman" w:hAnsi="Times New Roman" w:cs="Times New Roman"/>
                <w:noProof/>
              </w:rPr>
              <w:t>Appoint Advisers</w:t>
            </w:r>
            <w:r w:rsidR="00E83BC2">
              <w:rPr>
                <w:noProof/>
                <w:webHidden/>
              </w:rPr>
              <w:tab/>
            </w:r>
            <w:r w:rsidR="00E83BC2">
              <w:rPr>
                <w:noProof/>
                <w:webHidden/>
              </w:rPr>
              <w:fldChar w:fldCharType="begin"/>
            </w:r>
            <w:r w:rsidR="00E83BC2">
              <w:rPr>
                <w:noProof/>
                <w:webHidden/>
              </w:rPr>
              <w:instrText xml:space="preserve"> PAGEREF _Toc523612432 \h </w:instrText>
            </w:r>
            <w:r w:rsidR="00E83BC2">
              <w:rPr>
                <w:noProof/>
                <w:webHidden/>
              </w:rPr>
            </w:r>
            <w:r w:rsidR="00E83BC2">
              <w:rPr>
                <w:noProof/>
                <w:webHidden/>
              </w:rPr>
              <w:fldChar w:fldCharType="separate"/>
            </w:r>
            <w:r w:rsidR="00E83BC2">
              <w:rPr>
                <w:noProof/>
                <w:webHidden/>
              </w:rPr>
              <w:t>20</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3" w:history="1">
            <w:r w:rsidR="00E83BC2" w:rsidRPr="00612F14">
              <w:rPr>
                <w:rStyle w:val="Hyperlink"/>
                <w:rFonts w:ascii="Times New Roman" w:hAnsi="Times New Roman" w:cs="Times New Roman"/>
                <w:noProof/>
              </w:rPr>
              <w:t>Preliminary Steps</w:t>
            </w:r>
            <w:r w:rsidR="00E83BC2">
              <w:rPr>
                <w:noProof/>
                <w:webHidden/>
              </w:rPr>
              <w:tab/>
            </w:r>
            <w:r w:rsidR="00E83BC2">
              <w:rPr>
                <w:noProof/>
                <w:webHidden/>
              </w:rPr>
              <w:fldChar w:fldCharType="begin"/>
            </w:r>
            <w:r w:rsidR="00E83BC2">
              <w:rPr>
                <w:noProof/>
                <w:webHidden/>
              </w:rPr>
              <w:instrText xml:space="preserve"> PAGEREF _Toc523612433 \h </w:instrText>
            </w:r>
            <w:r w:rsidR="00E83BC2">
              <w:rPr>
                <w:noProof/>
                <w:webHidden/>
              </w:rPr>
            </w:r>
            <w:r w:rsidR="00E83BC2">
              <w:rPr>
                <w:noProof/>
                <w:webHidden/>
              </w:rPr>
              <w:fldChar w:fldCharType="separate"/>
            </w:r>
            <w:r w:rsidR="00E83BC2">
              <w:rPr>
                <w:noProof/>
                <w:webHidden/>
              </w:rPr>
              <w:t>21</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4" w:history="1">
            <w:r w:rsidR="00E83BC2" w:rsidRPr="00612F14">
              <w:rPr>
                <w:rStyle w:val="Hyperlink"/>
                <w:rFonts w:ascii="Times New Roman" w:hAnsi="Times New Roman" w:cs="Times New Roman"/>
                <w:noProof/>
              </w:rPr>
              <w:t>Preparation for Flotation of Stocks</w:t>
            </w:r>
            <w:r w:rsidR="00E83BC2">
              <w:rPr>
                <w:noProof/>
                <w:webHidden/>
              </w:rPr>
              <w:tab/>
            </w:r>
            <w:r w:rsidR="00E83BC2">
              <w:rPr>
                <w:noProof/>
                <w:webHidden/>
              </w:rPr>
              <w:fldChar w:fldCharType="begin"/>
            </w:r>
            <w:r w:rsidR="00E83BC2">
              <w:rPr>
                <w:noProof/>
                <w:webHidden/>
              </w:rPr>
              <w:instrText xml:space="preserve"> PAGEREF _Toc523612434 \h </w:instrText>
            </w:r>
            <w:r w:rsidR="00E83BC2">
              <w:rPr>
                <w:noProof/>
                <w:webHidden/>
              </w:rPr>
            </w:r>
            <w:r w:rsidR="00E83BC2">
              <w:rPr>
                <w:noProof/>
                <w:webHidden/>
              </w:rPr>
              <w:fldChar w:fldCharType="separate"/>
            </w:r>
            <w:r w:rsidR="00E83BC2">
              <w:rPr>
                <w:noProof/>
                <w:webHidden/>
              </w:rPr>
              <w:t>21</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5" w:history="1">
            <w:r w:rsidR="00E83BC2" w:rsidRPr="00612F14">
              <w:rPr>
                <w:rStyle w:val="Hyperlink"/>
                <w:rFonts w:ascii="Times New Roman" w:hAnsi="Times New Roman" w:cs="Times New Roman"/>
                <w:noProof/>
              </w:rPr>
              <w:t>Legal Review, Due Diligence, and Verification</w:t>
            </w:r>
            <w:r w:rsidR="00E83BC2">
              <w:rPr>
                <w:noProof/>
                <w:webHidden/>
              </w:rPr>
              <w:tab/>
            </w:r>
            <w:r w:rsidR="00E83BC2">
              <w:rPr>
                <w:noProof/>
                <w:webHidden/>
              </w:rPr>
              <w:fldChar w:fldCharType="begin"/>
            </w:r>
            <w:r w:rsidR="00E83BC2">
              <w:rPr>
                <w:noProof/>
                <w:webHidden/>
              </w:rPr>
              <w:instrText xml:space="preserve"> PAGEREF _Toc523612435 \h </w:instrText>
            </w:r>
            <w:r w:rsidR="00E83BC2">
              <w:rPr>
                <w:noProof/>
                <w:webHidden/>
              </w:rPr>
            </w:r>
            <w:r w:rsidR="00E83BC2">
              <w:rPr>
                <w:noProof/>
                <w:webHidden/>
              </w:rPr>
              <w:fldChar w:fldCharType="separate"/>
            </w:r>
            <w:r w:rsidR="00E83BC2">
              <w:rPr>
                <w:noProof/>
                <w:webHidden/>
              </w:rPr>
              <w:t>21</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6" w:history="1">
            <w:r w:rsidR="00E83BC2" w:rsidRPr="00612F14">
              <w:rPr>
                <w:rStyle w:val="Hyperlink"/>
                <w:rFonts w:ascii="Times New Roman" w:hAnsi="Times New Roman" w:cs="Times New Roman"/>
                <w:noProof/>
              </w:rPr>
              <w:t>Timetable</w:t>
            </w:r>
            <w:r w:rsidR="00E83BC2">
              <w:rPr>
                <w:noProof/>
                <w:webHidden/>
              </w:rPr>
              <w:tab/>
            </w:r>
            <w:r w:rsidR="00E83BC2">
              <w:rPr>
                <w:noProof/>
                <w:webHidden/>
              </w:rPr>
              <w:fldChar w:fldCharType="begin"/>
            </w:r>
            <w:r w:rsidR="00E83BC2">
              <w:rPr>
                <w:noProof/>
                <w:webHidden/>
              </w:rPr>
              <w:instrText xml:space="preserve"> PAGEREF _Toc523612436 \h </w:instrText>
            </w:r>
            <w:r w:rsidR="00E83BC2">
              <w:rPr>
                <w:noProof/>
                <w:webHidden/>
              </w:rPr>
            </w:r>
            <w:r w:rsidR="00E83BC2">
              <w:rPr>
                <w:noProof/>
                <w:webHidden/>
              </w:rPr>
              <w:fldChar w:fldCharType="separate"/>
            </w:r>
            <w:r w:rsidR="00E83BC2">
              <w:rPr>
                <w:noProof/>
                <w:webHidden/>
              </w:rPr>
              <w:t>21</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7" w:history="1">
            <w:r w:rsidR="00E83BC2" w:rsidRPr="00612F14">
              <w:rPr>
                <w:rStyle w:val="Hyperlink"/>
                <w:rFonts w:ascii="Times New Roman" w:hAnsi="Times New Roman" w:cs="Times New Roman"/>
                <w:noProof/>
              </w:rPr>
              <w:t>Admission to Trading</w:t>
            </w:r>
            <w:r w:rsidR="00E83BC2">
              <w:rPr>
                <w:noProof/>
                <w:webHidden/>
              </w:rPr>
              <w:tab/>
            </w:r>
            <w:r w:rsidR="00E83BC2">
              <w:rPr>
                <w:noProof/>
                <w:webHidden/>
              </w:rPr>
              <w:fldChar w:fldCharType="begin"/>
            </w:r>
            <w:r w:rsidR="00E83BC2">
              <w:rPr>
                <w:noProof/>
                <w:webHidden/>
              </w:rPr>
              <w:instrText xml:space="preserve"> PAGEREF _Toc523612437 \h </w:instrText>
            </w:r>
            <w:r w:rsidR="00E83BC2">
              <w:rPr>
                <w:noProof/>
                <w:webHidden/>
              </w:rPr>
            </w:r>
            <w:r w:rsidR="00E83BC2">
              <w:rPr>
                <w:noProof/>
                <w:webHidden/>
              </w:rPr>
              <w:fldChar w:fldCharType="separate"/>
            </w:r>
            <w:r w:rsidR="00E83BC2">
              <w:rPr>
                <w:noProof/>
                <w:webHidden/>
              </w:rPr>
              <w:t>21</w:t>
            </w:r>
            <w:r w:rsidR="00E83BC2">
              <w:rPr>
                <w:noProof/>
                <w:webHidden/>
              </w:rPr>
              <w:fldChar w:fldCharType="end"/>
            </w:r>
          </w:hyperlink>
        </w:p>
        <w:p w:rsidR="00E83BC2" w:rsidRDefault="00347956">
          <w:pPr>
            <w:pStyle w:val="TOC1"/>
            <w:tabs>
              <w:tab w:val="right" w:leader="dot" w:pos="9016"/>
            </w:tabs>
            <w:rPr>
              <w:rFonts w:eastAsiaTheme="minorEastAsia"/>
              <w:noProof/>
              <w:lang w:eastAsia="en-GB"/>
            </w:rPr>
          </w:pPr>
          <w:hyperlink w:anchor="_Toc523612438" w:history="1">
            <w:r w:rsidR="00E83BC2" w:rsidRPr="00612F14">
              <w:rPr>
                <w:rStyle w:val="Hyperlink"/>
                <w:rFonts w:ascii="Times New Roman" w:hAnsi="Times New Roman" w:cs="Times New Roman"/>
                <w:noProof/>
              </w:rPr>
              <w:t>Conclusion</w:t>
            </w:r>
            <w:r w:rsidR="00E83BC2">
              <w:rPr>
                <w:noProof/>
                <w:webHidden/>
              </w:rPr>
              <w:tab/>
            </w:r>
            <w:r w:rsidR="00E83BC2">
              <w:rPr>
                <w:noProof/>
                <w:webHidden/>
              </w:rPr>
              <w:fldChar w:fldCharType="begin"/>
            </w:r>
            <w:r w:rsidR="00E83BC2">
              <w:rPr>
                <w:noProof/>
                <w:webHidden/>
              </w:rPr>
              <w:instrText xml:space="preserve"> PAGEREF _Toc523612438 \h </w:instrText>
            </w:r>
            <w:r w:rsidR="00E83BC2">
              <w:rPr>
                <w:noProof/>
                <w:webHidden/>
              </w:rPr>
            </w:r>
            <w:r w:rsidR="00E83BC2">
              <w:rPr>
                <w:noProof/>
                <w:webHidden/>
              </w:rPr>
              <w:fldChar w:fldCharType="separate"/>
            </w:r>
            <w:r w:rsidR="00E83BC2">
              <w:rPr>
                <w:noProof/>
                <w:webHidden/>
              </w:rPr>
              <w:t>22</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39" w:history="1">
            <w:r w:rsidR="00E83BC2" w:rsidRPr="00612F14">
              <w:rPr>
                <w:rStyle w:val="Hyperlink"/>
                <w:rFonts w:ascii="Times New Roman" w:hAnsi="Times New Roman" w:cs="Times New Roman"/>
                <w:noProof/>
              </w:rPr>
              <w:t>Exhibit 1</w:t>
            </w:r>
            <w:r w:rsidR="00E83BC2">
              <w:rPr>
                <w:noProof/>
                <w:webHidden/>
              </w:rPr>
              <w:tab/>
            </w:r>
            <w:r w:rsidR="00E83BC2">
              <w:rPr>
                <w:noProof/>
                <w:webHidden/>
              </w:rPr>
              <w:fldChar w:fldCharType="begin"/>
            </w:r>
            <w:r w:rsidR="00E83BC2">
              <w:rPr>
                <w:noProof/>
                <w:webHidden/>
              </w:rPr>
              <w:instrText xml:space="preserve"> PAGEREF _Toc523612439 \h </w:instrText>
            </w:r>
            <w:r w:rsidR="00E83BC2">
              <w:rPr>
                <w:noProof/>
                <w:webHidden/>
              </w:rPr>
            </w:r>
            <w:r w:rsidR="00E83BC2">
              <w:rPr>
                <w:noProof/>
                <w:webHidden/>
              </w:rPr>
              <w:fldChar w:fldCharType="separate"/>
            </w:r>
            <w:r w:rsidR="00E83BC2">
              <w:rPr>
                <w:noProof/>
                <w:webHidden/>
              </w:rPr>
              <w:t>23</w:t>
            </w:r>
            <w:r w:rsidR="00E83BC2">
              <w:rPr>
                <w:noProof/>
                <w:webHidden/>
              </w:rPr>
              <w:fldChar w:fldCharType="end"/>
            </w:r>
          </w:hyperlink>
        </w:p>
        <w:p w:rsidR="00E83BC2" w:rsidRDefault="00347956">
          <w:pPr>
            <w:pStyle w:val="TOC2"/>
            <w:tabs>
              <w:tab w:val="right" w:leader="dot" w:pos="9016"/>
            </w:tabs>
            <w:rPr>
              <w:rFonts w:eastAsiaTheme="minorEastAsia"/>
              <w:noProof/>
              <w:lang w:eastAsia="en-GB"/>
            </w:rPr>
          </w:pPr>
          <w:hyperlink w:anchor="_Toc523612440" w:history="1">
            <w:r w:rsidR="00E83BC2" w:rsidRPr="00612F14">
              <w:rPr>
                <w:rStyle w:val="Hyperlink"/>
                <w:rFonts w:ascii="Times New Roman" w:hAnsi="Times New Roman" w:cs="Times New Roman"/>
                <w:noProof/>
              </w:rPr>
              <w:t>Exhibit 2</w:t>
            </w:r>
            <w:r w:rsidR="00E83BC2">
              <w:rPr>
                <w:noProof/>
                <w:webHidden/>
              </w:rPr>
              <w:tab/>
            </w:r>
            <w:r w:rsidR="00E83BC2">
              <w:rPr>
                <w:noProof/>
                <w:webHidden/>
              </w:rPr>
              <w:fldChar w:fldCharType="begin"/>
            </w:r>
            <w:r w:rsidR="00E83BC2">
              <w:rPr>
                <w:noProof/>
                <w:webHidden/>
              </w:rPr>
              <w:instrText xml:space="preserve"> PAGEREF _Toc523612440 \h </w:instrText>
            </w:r>
            <w:r w:rsidR="00E83BC2">
              <w:rPr>
                <w:noProof/>
                <w:webHidden/>
              </w:rPr>
            </w:r>
            <w:r w:rsidR="00E83BC2">
              <w:rPr>
                <w:noProof/>
                <w:webHidden/>
              </w:rPr>
              <w:fldChar w:fldCharType="separate"/>
            </w:r>
            <w:r w:rsidR="00E83BC2">
              <w:rPr>
                <w:noProof/>
                <w:webHidden/>
              </w:rPr>
              <w:t>24</w:t>
            </w:r>
            <w:r w:rsidR="00E83BC2">
              <w:rPr>
                <w:noProof/>
                <w:webHidden/>
              </w:rPr>
              <w:fldChar w:fldCharType="end"/>
            </w:r>
          </w:hyperlink>
        </w:p>
        <w:p w:rsidR="00E83BC2" w:rsidRPr="00E83BC2" w:rsidRDefault="00E83BC2">
          <w:pPr>
            <w:rPr>
              <w:rFonts w:ascii="Times New Roman" w:hAnsi="Times New Roman" w:cs="Times New Roman"/>
            </w:rPr>
          </w:pPr>
          <w:r w:rsidRPr="00E83BC2">
            <w:rPr>
              <w:rFonts w:ascii="Times New Roman" w:hAnsi="Times New Roman" w:cs="Times New Roman"/>
              <w:b/>
              <w:bCs/>
              <w:noProof/>
            </w:rPr>
            <w:lastRenderedPageBreak/>
            <w:fldChar w:fldCharType="end"/>
          </w:r>
        </w:p>
      </w:sdtContent>
    </w:sdt>
    <w:p w:rsidR="00202E3E" w:rsidRPr="00E83BC2" w:rsidRDefault="00B275EB" w:rsidP="0004048A">
      <w:pPr>
        <w:pStyle w:val="Heading1"/>
        <w:rPr>
          <w:rFonts w:ascii="Times New Roman" w:hAnsi="Times New Roman" w:cs="Times New Roman"/>
        </w:rPr>
      </w:pPr>
      <w:bookmarkStart w:id="0" w:name="_Toc523612406"/>
      <w:r w:rsidRPr="00E83BC2">
        <w:rPr>
          <w:rFonts w:ascii="Times New Roman" w:hAnsi="Times New Roman" w:cs="Times New Roman"/>
        </w:rPr>
        <w:t>Executive Summary</w:t>
      </w:r>
      <w:bookmarkEnd w:id="0"/>
    </w:p>
    <w:p w:rsidR="009C0B75" w:rsidRPr="00E83BC2" w:rsidRDefault="0004048A">
      <w:pPr>
        <w:rPr>
          <w:rFonts w:ascii="Times New Roman" w:hAnsi="Times New Roman" w:cs="Times New Roman"/>
          <w:sz w:val="24"/>
        </w:rPr>
      </w:pPr>
      <w:r w:rsidRPr="00E83BC2">
        <w:rPr>
          <w:rFonts w:ascii="Times New Roman" w:hAnsi="Times New Roman" w:cs="Times New Roman"/>
          <w:sz w:val="24"/>
        </w:rPr>
        <w:t xml:space="preserve">Ineos is currently worth a </w:t>
      </w:r>
      <w:r w:rsidR="001C6E99">
        <w:rPr>
          <w:rFonts w:ascii="Times New Roman" w:hAnsi="Times New Roman" w:cs="Times New Roman"/>
          <w:sz w:val="24"/>
        </w:rPr>
        <w:t>£35bn company that employees over 18,500 and has presence</w:t>
      </w:r>
      <w:r w:rsidRPr="00E83BC2">
        <w:rPr>
          <w:rFonts w:ascii="Times New Roman" w:hAnsi="Times New Roman" w:cs="Times New Roman"/>
          <w:sz w:val="24"/>
        </w:rPr>
        <w:t xml:space="preserve"> in 22 countries. The company adopts a strategy to buy cast-off business from large companies and turns it around as a successful company. The most successful cast-off for Ineos so far has been Innovene. It was British Petroleum’s petrochemical plant that quadrupled its sales. Despite this success, the company hasn’t been able to transform other businesses as successful as Innovene. It is time for the company to make exponential growth. The company follows unrelated diversification strategy as a result to make businesses worth a success. Company’s ROE and Gross Profit Margin is gradually declining and therefore it needs a good strategy to gain capital and earn revenues. Hence, there are 3 alternatives presented to Ineos. The first alternative is to do nothing, the second alternative is to float its shares, and the third alternative is to adopt related diversification in different markets. It is recommended that the company should float its shares to</w:t>
      </w:r>
      <w:r w:rsidR="00E83BC2" w:rsidRPr="00E83BC2">
        <w:rPr>
          <w:rFonts w:ascii="Times New Roman" w:hAnsi="Times New Roman" w:cs="Times New Roman"/>
          <w:sz w:val="24"/>
        </w:rPr>
        <w:t xml:space="preserve"> gain new capital and further enhance its growth. </w:t>
      </w:r>
    </w:p>
    <w:p w:rsidR="00B275EB" w:rsidRPr="00E83BC2" w:rsidRDefault="00B275EB" w:rsidP="009C0B75">
      <w:pPr>
        <w:pStyle w:val="Heading1"/>
        <w:rPr>
          <w:rFonts w:ascii="Times New Roman" w:hAnsi="Times New Roman" w:cs="Times New Roman"/>
        </w:rPr>
      </w:pPr>
      <w:bookmarkStart w:id="1" w:name="_Toc523612407"/>
      <w:r w:rsidRPr="00E83BC2">
        <w:rPr>
          <w:rFonts w:ascii="Times New Roman" w:hAnsi="Times New Roman" w:cs="Times New Roman"/>
        </w:rPr>
        <w:t>Company Situation</w:t>
      </w:r>
      <w:bookmarkEnd w:id="1"/>
    </w:p>
    <w:p w:rsidR="009F7D7A" w:rsidRPr="00E83BC2" w:rsidRDefault="009F7D7A">
      <w:pPr>
        <w:rPr>
          <w:rFonts w:ascii="Times New Roman" w:hAnsi="Times New Roman" w:cs="Times New Roman"/>
          <w:sz w:val="24"/>
        </w:rPr>
      </w:pPr>
      <w:r w:rsidRPr="00E83BC2">
        <w:rPr>
          <w:rFonts w:ascii="Times New Roman" w:hAnsi="Times New Roman" w:cs="Times New Roman"/>
          <w:sz w:val="24"/>
        </w:rPr>
        <w:t>Ineos is worth £35bn company and generate sales of around £45bn. It has 181 factory locations that are spread across 22</w:t>
      </w:r>
      <w:r w:rsidR="001C6E99">
        <w:rPr>
          <w:rFonts w:ascii="Times New Roman" w:hAnsi="Times New Roman" w:cs="Times New Roman"/>
          <w:sz w:val="24"/>
        </w:rPr>
        <w:t xml:space="preserve"> countries and currently has over 18,500 employees</w:t>
      </w:r>
      <w:sdt>
        <w:sdtPr>
          <w:rPr>
            <w:rFonts w:ascii="Times New Roman" w:hAnsi="Times New Roman" w:cs="Times New Roman"/>
            <w:sz w:val="24"/>
          </w:rPr>
          <w:id w:val="-1816950026"/>
          <w:citation/>
        </w:sdtPr>
        <w:sdtEndPr/>
        <w:sdtContent>
          <w:r w:rsidR="00E83BC2">
            <w:rPr>
              <w:rFonts w:ascii="Times New Roman" w:hAnsi="Times New Roman" w:cs="Times New Roman"/>
              <w:sz w:val="24"/>
            </w:rPr>
            <w:fldChar w:fldCharType="begin"/>
          </w:r>
          <w:r w:rsidR="00E83BC2">
            <w:rPr>
              <w:rFonts w:ascii="Times New Roman" w:hAnsi="Times New Roman" w:cs="Times New Roman"/>
              <w:sz w:val="24"/>
              <w:lang w:val="en-US"/>
            </w:rPr>
            <w:instrText xml:space="preserve"> CITATION Ine18 \l 1033 </w:instrText>
          </w:r>
          <w:r w:rsidR="00E83BC2">
            <w:rPr>
              <w:rFonts w:ascii="Times New Roman" w:hAnsi="Times New Roman" w:cs="Times New Roman"/>
              <w:sz w:val="24"/>
            </w:rPr>
            <w:fldChar w:fldCharType="separate"/>
          </w:r>
          <w:r w:rsidR="00E83BC2">
            <w:rPr>
              <w:rFonts w:ascii="Times New Roman" w:hAnsi="Times New Roman" w:cs="Times New Roman"/>
              <w:noProof/>
              <w:sz w:val="24"/>
              <w:lang w:val="en-US"/>
            </w:rPr>
            <w:t xml:space="preserve"> </w:t>
          </w:r>
          <w:r w:rsidR="00E83BC2" w:rsidRPr="00E83BC2">
            <w:rPr>
              <w:rFonts w:ascii="Times New Roman" w:hAnsi="Times New Roman" w:cs="Times New Roman"/>
              <w:noProof/>
              <w:sz w:val="24"/>
              <w:lang w:val="en-US"/>
            </w:rPr>
            <w:t>(Ineos, 2018)</w:t>
          </w:r>
          <w:r w:rsidR="00E83BC2">
            <w:rPr>
              <w:rFonts w:ascii="Times New Roman" w:hAnsi="Times New Roman" w:cs="Times New Roman"/>
              <w:sz w:val="24"/>
            </w:rPr>
            <w:fldChar w:fldCharType="end"/>
          </w:r>
        </w:sdtContent>
      </w:sdt>
      <w:r w:rsidRPr="00E83BC2">
        <w:rPr>
          <w:rFonts w:ascii="Times New Roman" w:hAnsi="Times New Roman" w:cs="Times New Roman"/>
          <w:sz w:val="24"/>
        </w:rPr>
        <w:t xml:space="preserve">. It operates into many different industries from automotive to bio fuel, and clothing line to owning a football team. However, the company’s main business is chemical manufacturing. </w:t>
      </w:r>
    </w:p>
    <w:p w:rsidR="009F7D7A" w:rsidRPr="00E83BC2" w:rsidRDefault="001C6E99">
      <w:pPr>
        <w:rPr>
          <w:rFonts w:ascii="Times New Roman" w:hAnsi="Times New Roman" w:cs="Times New Roman"/>
          <w:sz w:val="24"/>
        </w:rPr>
      </w:pPr>
      <w:r>
        <w:rPr>
          <w:rFonts w:ascii="Times New Roman" w:hAnsi="Times New Roman" w:cs="Times New Roman"/>
          <w:sz w:val="24"/>
        </w:rPr>
        <w:t xml:space="preserve">Mr Jim Ratcliffe </w:t>
      </w:r>
      <w:r w:rsidR="00586D67" w:rsidRPr="00E83BC2">
        <w:rPr>
          <w:rFonts w:ascii="Times New Roman" w:hAnsi="Times New Roman" w:cs="Times New Roman"/>
          <w:sz w:val="24"/>
        </w:rPr>
        <w:t>is the Chairman and CEO of Ineos,</w:t>
      </w:r>
      <w:r w:rsidR="00C8798F" w:rsidRPr="00E83BC2">
        <w:rPr>
          <w:rFonts w:ascii="Times New Roman" w:hAnsi="Times New Roman" w:cs="Times New Roman"/>
          <w:sz w:val="24"/>
        </w:rPr>
        <w:t xml:space="preserve"> </w:t>
      </w:r>
      <w:r>
        <w:rPr>
          <w:rFonts w:ascii="Times New Roman" w:hAnsi="Times New Roman" w:cs="Times New Roman"/>
          <w:sz w:val="24"/>
        </w:rPr>
        <w:t xml:space="preserve">who </w:t>
      </w:r>
      <w:r w:rsidR="00C8798F" w:rsidRPr="00E83BC2">
        <w:rPr>
          <w:rFonts w:ascii="Times New Roman" w:hAnsi="Times New Roman" w:cs="Times New Roman"/>
          <w:sz w:val="24"/>
        </w:rPr>
        <w:t>owns 60% of the company</w:t>
      </w:r>
      <w:r>
        <w:rPr>
          <w:rFonts w:ascii="Times New Roman" w:hAnsi="Times New Roman" w:cs="Times New Roman"/>
          <w:sz w:val="24"/>
        </w:rPr>
        <w:t xml:space="preserve">. </w:t>
      </w:r>
      <w:r w:rsidR="00C8798F" w:rsidRPr="00E83BC2">
        <w:rPr>
          <w:rFonts w:ascii="Times New Roman" w:hAnsi="Times New Roman" w:cs="Times New Roman"/>
          <w:sz w:val="24"/>
        </w:rPr>
        <w:t>The most successful strategy the company has made so</w:t>
      </w:r>
      <w:r>
        <w:rPr>
          <w:rFonts w:ascii="Times New Roman" w:hAnsi="Times New Roman" w:cs="Times New Roman"/>
          <w:sz w:val="24"/>
        </w:rPr>
        <w:t xml:space="preserve"> far is the takeover of </w:t>
      </w:r>
      <w:r w:rsidR="00C8798F" w:rsidRPr="00E83BC2">
        <w:rPr>
          <w:rFonts w:ascii="Times New Roman" w:hAnsi="Times New Roman" w:cs="Times New Roman"/>
          <w:sz w:val="24"/>
        </w:rPr>
        <w:t xml:space="preserve">Innovene, which was British Petroleum’s petrochemical company. The company was worth £5bn at the time of acquisition, but overnight its sales quadrupled to more than £18bn. </w:t>
      </w:r>
      <w:r w:rsidR="0092696E" w:rsidRPr="00E83BC2">
        <w:rPr>
          <w:rFonts w:ascii="Times New Roman" w:hAnsi="Times New Roman" w:cs="Times New Roman"/>
          <w:sz w:val="24"/>
        </w:rPr>
        <w:t>This was a turnaround that made Ineos a success.</w:t>
      </w:r>
    </w:p>
    <w:p w:rsidR="00B275EB" w:rsidRPr="00E83BC2" w:rsidRDefault="00B275EB" w:rsidP="009C0B75">
      <w:pPr>
        <w:pStyle w:val="Heading1"/>
        <w:rPr>
          <w:rFonts w:ascii="Times New Roman" w:hAnsi="Times New Roman" w:cs="Times New Roman"/>
        </w:rPr>
      </w:pPr>
      <w:bookmarkStart w:id="2" w:name="_Toc523612408"/>
      <w:r w:rsidRPr="00E83BC2">
        <w:rPr>
          <w:rFonts w:ascii="Times New Roman" w:hAnsi="Times New Roman" w:cs="Times New Roman"/>
        </w:rPr>
        <w:t>Strategic Issues</w:t>
      </w:r>
      <w:bookmarkEnd w:id="2"/>
    </w:p>
    <w:p w:rsidR="005B5269" w:rsidRPr="00E83BC2" w:rsidRDefault="009C0B75">
      <w:pPr>
        <w:rPr>
          <w:rFonts w:ascii="Times New Roman" w:hAnsi="Times New Roman" w:cs="Times New Roman"/>
          <w:sz w:val="24"/>
        </w:rPr>
      </w:pPr>
      <w:r w:rsidRPr="00E83BC2">
        <w:rPr>
          <w:rFonts w:ascii="Times New Roman" w:hAnsi="Times New Roman" w:cs="Times New Roman"/>
          <w:sz w:val="24"/>
        </w:rPr>
        <w:t>Ineos applies a unique strategy called unrelated diversification or conglomerate diversification. This is the strategy where a company enters new industries by launching new products and services that have no relation to its current products or distribution channels. The idea of the company is to cater high growth</w:t>
      </w:r>
      <w:r w:rsidR="001C6E99">
        <w:rPr>
          <w:rFonts w:ascii="Times New Roman" w:hAnsi="Times New Roman" w:cs="Times New Roman"/>
          <w:sz w:val="24"/>
        </w:rPr>
        <w:t xml:space="preserve"> scope and to increase return on</w:t>
      </w:r>
      <w:r w:rsidRPr="00E83BC2">
        <w:rPr>
          <w:rFonts w:ascii="Times New Roman" w:hAnsi="Times New Roman" w:cs="Times New Roman"/>
          <w:sz w:val="24"/>
        </w:rPr>
        <w:t xml:space="preserve"> investment, but the strategy has not yield fruitful returns. In fact, the most prominent strategy that has worked for the company is its related diversification strategy where it acquired petrochemical company of BP and quadrupled its sales</w:t>
      </w:r>
      <w:sdt>
        <w:sdtPr>
          <w:rPr>
            <w:rFonts w:ascii="Times New Roman" w:hAnsi="Times New Roman" w:cs="Times New Roman"/>
            <w:sz w:val="24"/>
          </w:rPr>
          <w:id w:val="1483501815"/>
          <w:citation/>
        </w:sdtPr>
        <w:sdtEndPr/>
        <w:sdtContent>
          <w:r w:rsidR="00D25093">
            <w:rPr>
              <w:rFonts w:ascii="Times New Roman" w:hAnsi="Times New Roman" w:cs="Times New Roman"/>
              <w:sz w:val="24"/>
            </w:rPr>
            <w:fldChar w:fldCharType="begin"/>
          </w:r>
          <w:r w:rsidR="00D25093">
            <w:rPr>
              <w:rFonts w:ascii="Times New Roman" w:hAnsi="Times New Roman" w:cs="Times New Roman"/>
              <w:sz w:val="24"/>
              <w:lang w:val="en-US"/>
            </w:rPr>
            <w:instrText xml:space="preserve"> CITATION Ine17 \l 1033 </w:instrText>
          </w:r>
          <w:r w:rsidR="00D25093">
            <w:rPr>
              <w:rFonts w:ascii="Times New Roman" w:hAnsi="Times New Roman" w:cs="Times New Roman"/>
              <w:sz w:val="24"/>
            </w:rPr>
            <w:fldChar w:fldCharType="separate"/>
          </w:r>
          <w:r w:rsidR="00D25093">
            <w:rPr>
              <w:rFonts w:ascii="Times New Roman" w:hAnsi="Times New Roman" w:cs="Times New Roman"/>
              <w:noProof/>
              <w:sz w:val="24"/>
              <w:lang w:val="en-US"/>
            </w:rPr>
            <w:t xml:space="preserve"> </w:t>
          </w:r>
          <w:r w:rsidR="00D25093" w:rsidRPr="00D25093">
            <w:rPr>
              <w:rFonts w:ascii="Times New Roman" w:hAnsi="Times New Roman" w:cs="Times New Roman"/>
              <w:noProof/>
              <w:sz w:val="24"/>
              <w:lang w:val="en-US"/>
            </w:rPr>
            <w:t>(Ineos, 2017)</w:t>
          </w:r>
          <w:r w:rsidR="00D25093">
            <w:rPr>
              <w:rFonts w:ascii="Times New Roman" w:hAnsi="Times New Roman" w:cs="Times New Roman"/>
              <w:sz w:val="24"/>
            </w:rPr>
            <w:fldChar w:fldCharType="end"/>
          </w:r>
        </w:sdtContent>
      </w:sdt>
      <w:r w:rsidRPr="00E83BC2">
        <w:rPr>
          <w:rFonts w:ascii="Times New Roman" w:hAnsi="Times New Roman" w:cs="Times New Roman"/>
          <w:sz w:val="24"/>
        </w:rPr>
        <w:t xml:space="preserve">. </w:t>
      </w:r>
    </w:p>
    <w:p w:rsidR="005B5269" w:rsidRPr="00E83BC2" w:rsidRDefault="009C0B75">
      <w:pPr>
        <w:rPr>
          <w:rFonts w:ascii="Times New Roman" w:hAnsi="Times New Roman" w:cs="Times New Roman"/>
          <w:sz w:val="24"/>
        </w:rPr>
      </w:pPr>
      <w:r w:rsidRPr="00E83BC2">
        <w:rPr>
          <w:rFonts w:ascii="Times New Roman" w:hAnsi="Times New Roman" w:cs="Times New Roman"/>
          <w:sz w:val="24"/>
        </w:rPr>
        <w:t>Also, the company has pledged to invest £</w:t>
      </w:r>
      <w:r w:rsidR="005B5269" w:rsidRPr="00E83BC2">
        <w:rPr>
          <w:rFonts w:ascii="Times New Roman" w:hAnsi="Times New Roman" w:cs="Times New Roman"/>
          <w:sz w:val="24"/>
        </w:rPr>
        <w:t xml:space="preserve">650m in fracking, a potentially new concept of recovering oil and gas from the earth, but also quite controversial. UK authorities have identified the reserves of shale gas in the </w:t>
      </w:r>
      <w:r w:rsidR="001548E3" w:rsidRPr="00E83BC2">
        <w:rPr>
          <w:rFonts w:ascii="Times New Roman" w:hAnsi="Times New Roman" w:cs="Times New Roman"/>
          <w:sz w:val="24"/>
        </w:rPr>
        <w:t>country,</w:t>
      </w:r>
      <w:r w:rsidR="005B5269" w:rsidRPr="00E83BC2">
        <w:rPr>
          <w:rFonts w:ascii="Times New Roman" w:hAnsi="Times New Roman" w:cs="Times New Roman"/>
          <w:sz w:val="24"/>
        </w:rPr>
        <w:t xml:space="preserve"> but it hasn’t yet permitted any company, but it is only at an exploratory phase</w:t>
      </w:r>
      <w:sdt>
        <w:sdtPr>
          <w:rPr>
            <w:rFonts w:ascii="Times New Roman" w:hAnsi="Times New Roman" w:cs="Times New Roman"/>
            <w:sz w:val="24"/>
          </w:rPr>
          <w:id w:val="791874584"/>
          <w:citation/>
        </w:sdtPr>
        <w:sdtEndPr/>
        <w:sdtContent>
          <w:r w:rsidR="00D25093">
            <w:rPr>
              <w:rFonts w:ascii="Times New Roman" w:hAnsi="Times New Roman" w:cs="Times New Roman"/>
              <w:sz w:val="24"/>
            </w:rPr>
            <w:fldChar w:fldCharType="begin"/>
          </w:r>
          <w:r w:rsidR="00D25093">
            <w:rPr>
              <w:rFonts w:ascii="Times New Roman" w:hAnsi="Times New Roman" w:cs="Times New Roman"/>
              <w:sz w:val="24"/>
              <w:lang w:val="en-US"/>
            </w:rPr>
            <w:instrText xml:space="preserve"> CITATION Ine17 \l 1033 </w:instrText>
          </w:r>
          <w:r w:rsidR="00D25093">
            <w:rPr>
              <w:rFonts w:ascii="Times New Roman" w:hAnsi="Times New Roman" w:cs="Times New Roman"/>
              <w:sz w:val="24"/>
            </w:rPr>
            <w:fldChar w:fldCharType="separate"/>
          </w:r>
          <w:r w:rsidR="00D25093">
            <w:rPr>
              <w:rFonts w:ascii="Times New Roman" w:hAnsi="Times New Roman" w:cs="Times New Roman"/>
              <w:noProof/>
              <w:sz w:val="24"/>
              <w:lang w:val="en-US"/>
            </w:rPr>
            <w:t xml:space="preserve"> </w:t>
          </w:r>
          <w:r w:rsidR="00D25093" w:rsidRPr="00D25093">
            <w:rPr>
              <w:rFonts w:ascii="Times New Roman" w:hAnsi="Times New Roman" w:cs="Times New Roman"/>
              <w:noProof/>
              <w:sz w:val="24"/>
              <w:lang w:val="en-US"/>
            </w:rPr>
            <w:t>(Ineos, 2017)</w:t>
          </w:r>
          <w:r w:rsidR="00D25093">
            <w:rPr>
              <w:rFonts w:ascii="Times New Roman" w:hAnsi="Times New Roman" w:cs="Times New Roman"/>
              <w:sz w:val="24"/>
            </w:rPr>
            <w:fldChar w:fldCharType="end"/>
          </w:r>
        </w:sdtContent>
      </w:sdt>
      <w:r w:rsidR="005B5269" w:rsidRPr="00E83BC2">
        <w:rPr>
          <w:rFonts w:ascii="Times New Roman" w:hAnsi="Times New Roman" w:cs="Times New Roman"/>
          <w:sz w:val="24"/>
        </w:rPr>
        <w:t xml:space="preserve">. Ineos is currently in a legal battle against Scottish government over the ban of fracking. The company would need to find new ways to gain exponential growth, but it should be feasible enough to pursue as its long-term goal. </w:t>
      </w:r>
    </w:p>
    <w:p w:rsidR="00B275EB" w:rsidRPr="00E83BC2" w:rsidRDefault="00B275EB" w:rsidP="00E83BC2">
      <w:pPr>
        <w:pStyle w:val="Heading1"/>
        <w:rPr>
          <w:rFonts w:ascii="Times New Roman" w:hAnsi="Times New Roman" w:cs="Times New Roman"/>
        </w:rPr>
      </w:pPr>
      <w:bookmarkStart w:id="3" w:name="_Toc523612409"/>
      <w:r w:rsidRPr="00E83BC2">
        <w:rPr>
          <w:rFonts w:ascii="Times New Roman" w:hAnsi="Times New Roman" w:cs="Times New Roman"/>
        </w:rPr>
        <w:lastRenderedPageBreak/>
        <w:t>Analysis and Evaluation</w:t>
      </w:r>
      <w:bookmarkEnd w:id="3"/>
    </w:p>
    <w:p w:rsidR="00B275EB" w:rsidRPr="00E83BC2" w:rsidRDefault="00B275EB" w:rsidP="00E83BC2">
      <w:pPr>
        <w:pStyle w:val="Heading2"/>
        <w:rPr>
          <w:rFonts w:ascii="Times New Roman" w:hAnsi="Times New Roman" w:cs="Times New Roman"/>
        </w:rPr>
      </w:pPr>
      <w:bookmarkStart w:id="4" w:name="_Toc523612410"/>
      <w:r w:rsidRPr="00E83BC2">
        <w:rPr>
          <w:rFonts w:ascii="Times New Roman" w:hAnsi="Times New Roman" w:cs="Times New Roman"/>
        </w:rPr>
        <w:t>Internal Analysis</w:t>
      </w:r>
      <w:bookmarkEnd w:id="4"/>
    </w:p>
    <w:p w:rsidR="00B275EB" w:rsidRPr="00E83BC2" w:rsidRDefault="00B275EB" w:rsidP="00E83BC2">
      <w:pPr>
        <w:pStyle w:val="Heading3"/>
        <w:rPr>
          <w:rFonts w:ascii="Times New Roman" w:hAnsi="Times New Roman" w:cs="Times New Roman"/>
        </w:rPr>
      </w:pPr>
      <w:bookmarkStart w:id="5" w:name="_Toc523612411"/>
      <w:r w:rsidRPr="00E83BC2">
        <w:rPr>
          <w:rFonts w:ascii="Times New Roman" w:hAnsi="Times New Roman" w:cs="Times New Roman"/>
        </w:rPr>
        <w:t>SWOT Analysis</w:t>
      </w:r>
      <w:bookmarkEnd w:id="5"/>
    </w:p>
    <w:p w:rsidR="00B275EB" w:rsidRPr="00E83BC2" w:rsidRDefault="00B275EB" w:rsidP="00E83BC2">
      <w:pPr>
        <w:pStyle w:val="Heading4"/>
        <w:rPr>
          <w:rFonts w:ascii="Times New Roman" w:hAnsi="Times New Roman" w:cs="Times New Roman"/>
        </w:rPr>
      </w:pPr>
      <w:r w:rsidRPr="00E83BC2">
        <w:rPr>
          <w:rFonts w:ascii="Times New Roman" w:hAnsi="Times New Roman" w:cs="Times New Roman"/>
        </w:rPr>
        <w:t xml:space="preserve">Strengths </w:t>
      </w:r>
    </w:p>
    <w:p w:rsidR="008253D1" w:rsidRPr="00E83BC2" w:rsidRDefault="00506023" w:rsidP="00506023">
      <w:pPr>
        <w:pStyle w:val="ListParagraph"/>
        <w:numPr>
          <w:ilvl w:val="0"/>
          <w:numId w:val="1"/>
        </w:numPr>
        <w:rPr>
          <w:rFonts w:ascii="Times New Roman" w:hAnsi="Times New Roman" w:cs="Times New Roman"/>
          <w:sz w:val="24"/>
        </w:rPr>
      </w:pPr>
      <w:r w:rsidRPr="00E83BC2">
        <w:rPr>
          <w:rFonts w:ascii="Times New Roman" w:hAnsi="Times New Roman" w:cs="Times New Roman"/>
          <w:sz w:val="24"/>
        </w:rPr>
        <w:t xml:space="preserve">Ineos is currently worth at £35bn with the strategies that were purely based on buying unfashionable facilities owned by large corporations having poor fixed cost. </w:t>
      </w:r>
    </w:p>
    <w:p w:rsidR="00506023" w:rsidRPr="00E83BC2" w:rsidRDefault="00506023" w:rsidP="00506023">
      <w:pPr>
        <w:pStyle w:val="ListParagraph"/>
        <w:numPr>
          <w:ilvl w:val="0"/>
          <w:numId w:val="1"/>
        </w:numPr>
        <w:rPr>
          <w:rFonts w:ascii="Times New Roman" w:hAnsi="Times New Roman" w:cs="Times New Roman"/>
          <w:sz w:val="24"/>
        </w:rPr>
      </w:pPr>
      <w:r w:rsidRPr="00E83BC2">
        <w:rPr>
          <w:rFonts w:ascii="Times New Roman" w:hAnsi="Times New Roman" w:cs="Times New Roman"/>
          <w:sz w:val="24"/>
        </w:rPr>
        <w:t xml:space="preserve">Ineos has diversified its business activities for a faster growth, and it has helped the company in selling more products to its existing customers and new markets. </w:t>
      </w:r>
    </w:p>
    <w:p w:rsidR="00506023" w:rsidRPr="00E83BC2" w:rsidRDefault="00506023" w:rsidP="00506023">
      <w:pPr>
        <w:pStyle w:val="ListParagraph"/>
        <w:numPr>
          <w:ilvl w:val="0"/>
          <w:numId w:val="1"/>
        </w:numPr>
        <w:rPr>
          <w:rFonts w:ascii="Times New Roman" w:hAnsi="Times New Roman" w:cs="Times New Roman"/>
          <w:sz w:val="24"/>
        </w:rPr>
      </w:pPr>
      <w:r w:rsidRPr="00E83BC2">
        <w:rPr>
          <w:rFonts w:ascii="Times New Roman" w:hAnsi="Times New Roman" w:cs="Times New Roman"/>
          <w:sz w:val="24"/>
        </w:rPr>
        <w:t xml:space="preserve">The company also has presence in 22 countries with 181 </w:t>
      </w:r>
      <w:r w:rsidR="001548E3" w:rsidRPr="00E83BC2">
        <w:rPr>
          <w:rFonts w:ascii="Times New Roman" w:hAnsi="Times New Roman" w:cs="Times New Roman"/>
          <w:sz w:val="24"/>
        </w:rPr>
        <w:t>sites and</w:t>
      </w:r>
      <w:r w:rsidRPr="00E83BC2">
        <w:rPr>
          <w:rFonts w:ascii="Times New Roman" w:hAnsi="Times New Roman" w:cs="Times New Roman"/>
          <w:sz w:val="24"/>
        </w:rPr>
        <w:t xml:space="preserve"> is generating sales at around £45bn.</w:t>
      </w:r>
    </w:p>
    <w:p w:rsidR="00506023" w:rsidRPr="00E83BC2" w:rsidRDefault="0059239C" w:rsidP="00506023">
      <w:pPr>
        <w:pStyle w:val="ListParagraph"/>
        <w:numPr>
          <w:ilvl w:val="0"/>
          <w:numId w:val="1"/>
        </w:numPr>
        <w:rPr>
          <w:rFonts w:ascii="Times New Roman" w:hAnsi="Times New Roman" w:cs="Times New Roman"/>
          <w:sz w:val="24"/>
        </w:rPr>
      </w:pPr>
      <w:r w:rsidRPr="00E83BC2">
        <w:rPr>
          <w:rFonts w:ascii="Times New Roman" w:hAnsi="Times New Roman" w:cs="Times New Roman"/>
          <w:sz w:val="24"/>
        </w:rPr>
        <w:t xml:space="preserve">Mr Ratcliff </w:t>
      </w:r>
      <w:r w:rsidR="00A12D9F">
        <w:rPr>
          <w:rFonts w:ascii="Times New Roman" w:hAnsi="Times New Roman" w:cs="Times New Roman"/>
          <w:sz w:val="24"/>
        </w:rPr>
        <w:t xml:space="preserve">happens to see the potential in every cast-off business as it saw in Innovene. </w:t>
      </w:r>
    </w:p>
    <w:p w:rsidR="0059239C" w:rsidRPr="00E83BC2" w:rsidRDefault="0059239C" w:rsidP="00506023">
      <w:pPr>
        <w:pStyle w:val="ListParagraph"/>
        <w:numPr>
          <w:ilvl w:val="0"/>
          <w:numId w:val="1"/>
        </w:numPr>
        <w:rPr>
          <w:rFonts w:ascii="Times New Roman" w:hAnsi="Times New Roman" w:cs="Times New Roman"/>
          <w:sz w:val="24"/>
        </w:rPr>
      </w:pPr>
      <w:r w:rsidRPr="00E83BC2">
        <w:rPr>
          <w:rFonts w:ascii="Times New Roman" w:hAnsi="Times New Roman" w:cs="Times New Roman"/>
          <w:sz w:val="24"/>
        </w:rPr>
        <w:t xml:space="preserve">Its acquisition strategy has proven fruitful and in the first 10 years of the company, Ineos has managed to buy 20 operations. </w:t>
      </w:r>
    </w:p>
    <w:p w:rsidR="00B275EB" w:rsidRPr="00E83BC2" w:rsidRDefault="00B275EB" w:rsidP="00E83BC2">
      <w:pPr>
        <w:pStyle w:val="Heading4"/>
        <w:rPr>
          <w:rFonts w:ascii="Times New Roman" w:hAnsi="Times New Roman" w:cs="Times New Roman"/>
        </w:rPr>
      </w:pPr>
      <w:r w:rsidRPr="00E83BC2">
        <w:rPr>
          <w:rFonts w:ascii="Times New Roman" w:hAnsi="Times New Roman" w:cs="Times New Roman"/>
        </w:rPr>
        <w:t>Weaknesses</w:t>
      </w:r>
    </w:p>
    <w:p w:rsidR="00863EF2" w:rsidRPr="00E83BC2" w:rsidRDefault="00863EF2" w:rsidP="00863EF2">
      <w:pPr>
        <w:pStyle w:val="ListParagraph"/>
        <w:numPr>
          <w:ilvl w:val="0"/>
          <w:numId w:val="4"/>
        </w:numPr>
        <w:rPr>
          <w:rFonts w:ascii="Times New Roman" w:hAnsi="Times New Roman" w:cs="Times New Roman"/>
          <w:sz w:val="24"/>
        </w:rPr>
      </w:pPr>
      <w:r w:rsidRPr="00E83BC2">
        <w:rPr>
          <w:rFonts w:ascii="Times New Roman" w:hAnsi="Times New Roman" w:cs="Times New Roman"/>
          <w:sz w:val="24"/>
        </w:rPr>
        <w:t xml:space="preserve">The unrelated diversification strategy implemented by the company requires extreme focus and it sometimes </w:t>
      </w:r>
      <w:r w:rsidR="00A12D9F">
        <w:rPr>
          <w:rFonts w:ascii="Times New Roman" w:hAnsi="Times New Roman" w:cs="Times New Roman"/>
          <w:sz w:val="24"/>
        </w:rPr>
        <w:t xml:space="preserve">impose </w:t>
      </w:r>
      <w:r w:rsidRPr="00E83BC2">
        <w:rPr>
          <w:rFonts w:ascii="Times New Roman" w:hAnsi="Times New Roman" w:cs="Times New Roman"/>
          <w:sz w:val="24"/>
        </w:rPr>
        <w:t xml:space="preserve">risk of harming the main business of the company. </w:t>
      </w:r>
    </w:p>
    <w:p w:rsidR="00B16344" w:rsidRPr="00E83BC2" w:rsidRDefault="00B16344" w:rsidP="00863EF2">
      <w:pPr>
        <w:pStyle w:val="ListParagraph"/>
        <w:numPr>
          <w:ilvl w:val="0"/>
          <w:numId w:val="4"/>
        </w:numPr>
        <w:rPr>
          <w:rFonts w:ascii="Times New Roman" w:hAnsi="Times New Roman" w:cs="Times New Roman"/>
          <w:sz w:val="24"/>
        </w:rPr>
      </w:pPr>
      <w:r w:rsidRPr="00E83BC2">
        <w:rPr>
          <w:rFonts w:ascii="Times New Roman" w:hAnsi="Times New Roman" w:cs="Times New Roman"/>
          <w:sz w:val="24"/>
        </w:rPr>
        <w:t>Ineos has been fighting legal battles against the Scottish government over banning</w:t>
      </w:r>
      <w:r w:rsidR="00A12D9F">
        <w:rPr>
          <w:rFonts w:ascii="Times New Roman" w:hAnsi="Times New Roman" w:cs="Times New Roman"/>
          <w:sz w:val="24"/>
        </w:rPr>
        <w:t xml:space="preserve"> of fracking. The concept</w:t>
      </w:r>
      <w:r w:rsidRPr="00E83BC2">
        <w:rPr>
          <w:rFonts w:ascii="Times New Roman" w:hAnsi="Times New Roman" w:cs="Times New Roman"/>
          <w:sz w:val="24"/>
        </w:rPr>
        <w:t xml:space="preserve"> is potentially bad for the environment. </w:t>
      </w:r>
    </w:p>
    <w:p w:rsidR="00B16344" w:rsidRPr="00E83BC2" w:rsidRDefault="00B16344" w:rsidP="00863EF2">
      <w:pPr>
        <w:pStyle w:val="ListParagraph"/>
        <w:numPr>
          <w:ilvl w:val="0"/>
          <w:numId w:val="4"/>
        </w:numPr>
        <w:rPr>
          <w:rFonts w:ascii="Times New Roman" w:hAnsi="Times New Roman" w:cs="Times New Roman"/>
          <w:sz w:val="24"/>
        </w:rPr>
      </w:pPr>
      <w:r w:rsidRPr="00E83BC2">
        <w:rPr>
          <w:rFonts w:ascii="Times New Roman" w:hAnsi="Times New Roman" w:cs="Times New Roman"/>
          <w:sz w:val="24"/>
        </w:rPr>
        <w:t xml:space="preserve">The unrelated diversification led Mr Ratcliff to invest £600m in developing a vehicle which was later discontinued. </w:t>
      </w:r>
    </w:p>
    <w:p w:rsidR="002B0572" w:rsidRPr="00E83BC2" w:rsidRDefault="002B0572" w:rsidP="00863EF2">
      <w:pPr>
        <w:pStyle w:val="ListParagraph"/>
        <w:numPr>
          <w:ilvl w:val="0"/>
          <w:numId w:val="4"/>
        </w:numPr>
        <w:rPr>
          <w:rFonts w:ascii="Times New Roman" w:hAnsi="Times New Roman" w:cs="Times New Roman"/>
          <w:sz w:val="24"/>
        </w:rPr>
      </w:pPr>
      <w:r w:rsidRPr="00E83BC2">
        <w:rPr>
          <w:rFonts w:ascii="Times New Roman" w:hAnsi="Times New Roman" w:cs="Times New Roman"/>
          <w:sz w:val="24"/>
        </w:rPr>
        <w:t xml:space="preserve">The company has no ‘Green Strategy’ because it is rigorously promoting polluting products such as plastic and producing hazardous chemicals.  </w:t>
      </w:r>
    </w:p>
    <w:p w:rsidR="00B275EB" w:rsidRPr="00E83BC2" w:rsidRDefault="00B275EB" w:rsidP="00E83BC2">
      <w:pPr>
        <w:pStyle w:val="Heading4"/>
        <w:rPr>
          <w:rFonts w:ascii="Times New Roman" w:hAnsi="Times New Roman" w:cs="Times New Roman"/>
        </w:rPr>
      </w:pPr>
      <w:r w:rsidRPr="00E83BC2">
        <w:rPr>
          <w:rFonts w:ascii="Times New Roman" w:hAnsi="Times New Roman" w:cs="Times New Roman"/>
        </w:rPr>
        <w:t>Opportunities</w:t>
      </w:r>
    </w:p>
    <w:p w:rsidR="008253D1" w:rsidRPr="00E83BC2" w:rsidRDefault="00506023" w:rsidP="00506023">
      <w:pPr>
        <w:pStyle w:val="ListParagraph"/>
        <w:numPr>
          <w:ilvl w:val="0"/>
          <w:numId w:val="2"/>
        </w:numPr>
        <w:rPr>
          <w:rFonts w:ascii="Times New Roman" w:hAnsi="Times New Roman" w:cs="Times New Roman"/>
          <w:sz w:val="24"/>
        </w:rPr>
      </w:pPr>
      <w:r w:rsidRPr="00E83BC2">
        <w:rPr>
          <w:rFonts w:ascii="Times New Roman" w:hAnsi="Times New Roman" w:cs="Times New Roman"/>
          <w:sz w:val="24"/>
        </w:rPr>
        <w:t xml:space="preserve">Ineos has never been floated on the Stock Exchange. The company can earn money selling its shares in the stock market and can further become financially strong. </w:t>
      </w:r>
    </w:p>
    <w:p w:rsidR="002B0572" w:rsidRPr="00E83BC2" w:rsidRDefault="002B0572" w:rsidP="002B0572">
      <w:pPr>
        <w:pStyle w:val="ListParagraph"/>
        <w:numPr>
          <w:ilvl w:val="0"/>
          <w:numId w:val="2"/>
        </w:numPr>
        <w:rPr>
          <w:rFonts w:ascii="Times New Roman" w:hAnsi="Times New Roman" w:cs="Times New Roman"/>
          <w:sz w:val="24"/>
        </w:rPr>
      </w:pPr>
      <w:r w:rsidRPr="00E83BC2">
        <w:rPr>
          <w:rFonts w:ascii="Times New Roman" w:hAnsi="Times New Roman" w:cs="Times New Roman"/>
          <w:sz w:val="24"/>
        </w:rPr>
        <w:t xml:space="preserve">Floating on the Stock Exchange would let the company make sensible decisions regarding investing in domains that are similar to its chemical-related businesses. </w:t>
      </w:r>
    </w:p>
    <w:p w:rsidR="002B0572" w:rsidRPr="00E83BC2" w:rsidRDefault="002B0572" w:rsidP="002B0572">
      <w:pPr>
        <w:pStyle w:val="ListParagraph"/>
        <w:numPr>
          <w:ilvl w:val="0"/>
          <w:numId w:val="2"/>
        </w:numPr>
        <w:rPr>
          <w:rFonts w:ascii="Times New Roman" w:hAnsi="Times New Roman" w:cs="Times New Roman"/>
          <w:sz w:val="24"/>
        </w:rPr>
      </w:pPr>
      <w:r w:rsidRPr="00E83BC2">
        <w:rPr>
          <w:rFonts w:ascii="Times New Roman" w:hAnsi="Times New Roman" w:cs="Times New Roman"/>
          <w:sz w:val="24"/>
        </w:rPr>
        <w:t xml:space="preserve">The company could do with a better ‘Green Strategy’ and a clear CSR policy to communicate a message of healthier environment. </w:t>
      </w:r>
    </w:p>
    <w:p w:rsidR="00B275EB" w:rsidRPr="00E83BC2" w:rsidRDefault="00B275EB" w:rsidP="00E83BC2">
      <w:pPr>
        <w:pStyle w:val="Heading4"/>
        <w:rPr>
          <w:rFonts w:ascii="Times New Roman" w:hAnsi="Times New Roman" w:cs="Times New Roman"/>
        </w:rPr>
      </w:pPr>
      <w:r w:rsidRPr="00E83BC2">
        <w:rPr>
          <w:rFonts w:ascii="Times New Roman" w:hAnsi="Times New Roman" w:cs="Times New Roman"/>
        </w:rPr>
        <w:t>Threats</w:t>
      </w:r>
    </w:p>
    <w:p w:rsidR="00B275EB" w:rsidRPr="00E83BC2" w:rsidRDefault="0059239C" w:rsidP="0059239C">
      <w:pPr>
        <w:pStyle w:val="ListParagraph"/>
        <w:numPr>
          <w:ilvl w:val="0"/>
          <w:numId w:val="3"/>
        </w:numPr>
        <w:rPr>
          <w:rFonts w:ascii="Times New Roman" w:hAnsi="Times New Roman" w:cs="Times New Roman"/>
          <w:sz w:val="24"/>
        </w:rPr>
      </w:pPr>
      <w:r w:rsidRPr="00E83BC2">
        <w:rPr>
          <w:rFonts w:ascii="Times New Roman" w:hAnsi="Times New Roman" w:cs="Times New Roman"/>
          <w:sz w:val="24"/>
        </w:rPr>
        <w:t>Ineo</w:t>
      </w:r>
      <w:r w:rsidR="00A12D9F">
        <w:rPr>
          <w:rFonts w:ascii="Times New Roman" w:hAnsi="Times New Roman" w:cs="Times New Roman"/>
          <w:sz w:val="24"/>
        </w:rPr>
        <w:t>s</w:t>
      </w:r>
      <w:r w:rsidRPr="00E83BC2">
        <w:rPr>
          <w:rFonts w:ascii="Times New Roman" w:hAnsi="Times New Roman" w:cs="Times New Roman"/>
          <w:sz w:val="24"/>
        </w:rPr>
        <w:t xml:space="preserve"> buying plants and companies that have higher fixed cost can incur losses to the company and damage its reputation</w:t>
      </w:r>
    </w:p>
    <w:p w:rsidR="0059239C" w:rsidRPr="00E83BC2" w:rsidRDefault="0059239C" w:rsidP="0059239C">
      <w:pPr>
        <w:pStyle w:val="ListParagraph"/>
        <w:numPr>
          <w:ilvl w:val="0"/>
          <w:numId w:val="3"/>
        </w:numPr>
        <w:rPr>
          <w:rFonts w:ascii="Times New Roman" w:hAnsi="Times New Roman" w:cs="Times New Roman"/>
          <w:sz w:val="24"/>
        </w:rPr>
      </w:pPr>
      <w:r w:rsidRPr="00E83BC2">
        <w:rPr>
          <w:rFonts w:ascii="Times New Roman" w:hAnsi="Times New Roman" w:cs="Times New Roman"/>
          <w:sz w:val="24"/>
        </w:rPr>
        <w:t xml:space="preserve">The Grangemouth petrochemical plant and refinery in Scotland that came along with successful acquisition of Innovene had trade union problems over pay and pensions. </w:t>
      </w:r>
      <w:r w:rsidR="00863EF2" w:rsidRPr="00E83BC2">
        <w:rPr>
          <w:rFonts w:ascii="Times New Roman" w:hAnsi="Times New Roman" w:cs="Times New Roman"/>
          <w:sz w:val="24"/>
        </w:rPr>
        <w:t xml:space="preserve">Hence, company further had to invest £300m to keep the plant open. </w:t>
      </w:r>
    </w:p>
    <w:p w:rsidR="0059239C" w:rsidRPr="00E83BC2" w:rsidRDefault="0059239C" w:rsidP="0059239C">
      <w:pPr>
        <w:pStyle w:val="ListParagraph"/>
        <w:numPr>
          <w:ilvl w:val="0"/>
          <w:numId w:val="3"/>
        </w:numPr>
        <w:rPr>
          <w:rFonts w:ascii="Times New Roman" w:hAnsi="Times New Roman" w:cs="Times New Roman"/>
          <w:sz w:val="24"/>
        </w:rPr>
      </w:pPr>
      <w:r w:rsidRPr="00E83BC2">
        <w:rPr>
          <w:rFonts w:ascii="Times New Roman" w:hAnsi="Times New Roman" w:cs="Times New Roman"/>
          <w:sz w:val="24"/>
        </w:rPr>
        <w:t xml:space="preserve">Acquisition strategy followed by Ratcliff can easily drain the money out from Ineos’ pocket and can make the company financially unstable. </w:t>
      </w:r>
    </w:p>
    <w:p w:rsidR="00B16344" w:rsidRPr="00E83BC2" w:rsidRDefault="00B16344" w:rsidP="0059239C">
      <w:pPr>
        <w:pStyle w:val="ListParagraph"/>
        <w:numPr>
          <w:ilvl w:val="0"/>
          <w:numId w:val="3"/>
        </w:numPr>
        <w:rPr>
          <w:rFonts w:ascii="Times New Roman" w:hAnsi="Times New Roman" w:cs="Times New Roman"/>
          <w:sz w:val="24"/>
        </w:rPr>
      </w:pPr>
      <w:r w:rsidRPr="00E83BC2">
        <w:rPr>
          <w:rFonts w:ascii="Times New Roman" w:hAnsi="Times New Roman" w:cs="Times New Roman"/>
          <w:sz w:val="24"/>
        </w:rPr>
        <w:t xml:space="preserve">The company has entered into the fracking business which </w:t>
      </w:r>
      <w:r w:rsidR="00A12D9F">
        <w:rPr>
          <w:rFonts w:ascii="Times New Roman" w:hAnsi="Times New Roman" w:cs="Times New Roman"/>
          <w:sz w:val="24"/>
        </w:rPr>
        <w:t xml:space="preserve">is </w:t>
      </w:r>
      <w:r w:rsidRPr="00E83BC2">
        <w:rPr>
          <w:rFonts w:ascii="Times New Roman" w:hAnsi="Times New Roman" w:cs="Times New Roman"/>
          <w:sz w:val="24"/>
        </w:rPr>
        <w:t xml:space="preserve">both harmful for the environment and increases risk of oil spills. It could tarnish the reputation of Ineos. </w:t>
      </w:r>
    </w:p>
    <w:p w:rsidR="0059239C" w:rsidRPr="00E83BC2" w:rsidRDefault="00FE1607" w:rsidP="00E83BC2">
      <w:pPr>
        <w:pStyle w:val="Heading3"/>
        <w:rPr>
          <w:rFonts w:ascii="Times New Roman" w:hAnsi="Times New Roman" w:cs="Times New Roman"/>
        </w:rPr>
      </w:pPr>
      <w:bookmarkStart w:id="6" w:name="_Toc523612412"/>
      <w:r w:rsidRPr="00E83BC2">
        <w:rPr>
          <w:rFonts w:ascii="Times New Roman" w:hAnsi="Times New Roman" w:cs="Times New Roman"/>
        </w:rPr>
        <w:t>Financial Analysis</w:t>
      </w:r>
      <w:bookmarkEnd w:id="6"/>
    </w:p>
    <w:p w:rsidR="00FE1607" w:rsidRPr="00E83BC2" w:rsidRDefault="00FE1607">
      <w:pPr>
        <w:rPr>
          <w:rFonts w:ascii="Times New Roman" w:hAnsi="Times New Roman" w:cs="Times New Roman"/>
          <w:sz w:val="24"/>
        </w:rPr>
      </w:pPr>
      <w:r w:rsidRPr="00E83BC2">
        <w:rPr>
          <w:rFonts w:ascii="Times New Roman" w:hAnsi="Times New Roman" w:cs="Times New Roman"/>
          <w:sz w:val="24"/>
        </w:rPr>
        <w:t xml:space="preserve">Below you will find five key financial ratios along with their analysis. </w:t>
      </w:r>
    </w:p>
    <w:p w:rsidR="00FE1607" w:rsidRPr="00E83BC2" w:rsidRDefault="00FE1607" w:rsidP="00E83BC2">
      <w:pPr>
        <w:pStyle w:val="Heading4"/>
        <w:rPr>
          <w:rFonts w:ascii="Times New Roman" w:hAnsi="Times New Roman" w:cs="Times New Roman"/>
          <w:sz w:val="24"/>
          <w:lang w:val="en-US"/>
        </w:rPr>
      </w:pPr>
      <w:r w:rsidRPr="00E83BC2">
        <w:rPr>
          <w:rFonts w:ascii="Times New Roman" w:hAnsi="Times New Roman" w:cs="Times New Roman"/>
          <w:sz w:val="24"/>
          <w:lang w:val="en-US"/>
        </w:rPr>
        <w:lastRenderedPageBreak/>
        <w:t>Profitability Ratios</w:t>
      </w:r>
    </w:p>
    <w:tbl>
      <w:tblPr>
        <w:tblW w:w="5000" w:type="pct"/>
        <w:tblInd w:w="10" w:type="dxa"/>
        <w:tblCellMar>
          <w:left w:w="10" w:type="dxa"/>
          <w:right w:w="10" w:type="dxa"/>
        </w:tblCellMar>
        <w:tblLook w:val="04A0" w:firstRow="1" w:lastRow="0" w:firstColumn="1" w:lastColumn="0" w:noHBand="0" w:noVBand="1"/>
      </w:tblPr>
      <w:tblGrid>
        <w:gridCol w:w="4370"/>
        <w:gridCol w:w="729"/>
        <w:gridCol w:w="814"/>
        <w:gridCol w:w="919"/>
        <w:gridCol w:w="717"/>
        <w:gridCol w:w="737"/>
        <w:gridCol w:w="720"/>
      </w:tblGrid>
      <w:tr w:rsidR="00FE1607" w:rsidRPr="00E83BC2" w:rsidTr="00497035">
        <w:trPr>
          <w:trHeight w:val="390"/>
        </w:trPr>
        <w:tc>
          <w:tcPr>
            <w:tcW w:w="24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RATIO ANALYSIS</w:t>
            </w:r>
          </w:p>
        </w:tc>
        <w:tc>
          <w:tcPr>
            <w:tcW w:w="405"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2017</w:t>
            </w:r>
          </w:p>
        </w:tc>
        <w:tc>
          <w:tcPr>
            <w:tcW w:w="452"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2016</w:t>
            </w:r>
          </w:p>
        </w:tc>
        <w:tc>
          <w:tcPr>
            <w:tcW w:w="510"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2015</w:t>
            </w:r>
          </w:p>
        </w:tc>
        <w:tc>
          <w:tcPr>
            <w:tcW w:w="398"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2014</w:t>
            </w:r>
          </w:p>
        </w:tc>
        <w:tc>
          <w:tcPr>
            <w:tcW w:w="409"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2013</w:t>
            </w:r>
          </w:p>
        </w:tc>
        <w:tc>
          <w:tcPr>
            <w:tcW w:w="400" w:type="pct"/>
            <w:tcBorders>
              <w:top w:val="single" w:sz="8" w:space="0" w:color="auto"/>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2012</w:t>
            </w:r>
          </w:p>
        </w:tc>
      </w:tr>
      <w:tr w:rsidR="00FE1607" w:rsidRPr="00E83BC2" w:rsidTr="00497035">
        <w:trPr>
          <w:trHeight w:val="390"/>
        </w:trPr>
        <w:tc>
          <w:tcPr>
            <w:tcW w:w="5000" w:type="pct"/>
            <w:gridSpan w:val="7"/>
            <w:tcBorders>
              <w:top w:val="single" w:sz="8" w:space="0" w:color="auto"/>
              <w:left w:val="single" w:sz="8" w:space="0" w:color="auto"/>
              <w:bottom w:val="single" w:sz="8" w:space="0" w:color="auto"/>
              <w:right w:val="single" w:sz="8" w:space="0" w:color="000000"/>
            </w:tcBorders>
            <w:shd w:val="clear" w:color="000000" w:fill="9BC2E6"/>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Profitability Ratios</w:t>
            </w:r>
          </w:p>
        </w:tc>
      </w:tr>
      <w:tr w:rsidR="00FE1607" w:rsidRPr="00E83BC2" w:rsidTr="00497035">
        <w:trPr>
          <w:trHeight w:val="30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Return on capital employed (ROCE)</w:t>
            </w:r>
          </w:p>
        </w:tc>
      </w:tr>
      <w:tr w:rsidR="00FE1607" w:rsidRPr="00E83BC2" w:rsidTr="00497035">
        <w:trPr>
          <w:trHeight w:val="315"/>
        </w:trPr>
        <w:tc>
          <w:tcPr>
            <w:tcW w:w="2426"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ROCE = EBIT/Total assets x 100</w:t>
            </w:r>
          </w:p>
        </w:tc>
        <w:tc>
          <w:tcPr>
            <w:tcW w:w="405"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19.98</w:t>
            </w:r>
          </w:p>
        </w:tc>
        <w:tc>
          <w:tcPr>
            <w:tcW w:w="452"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16.72</w:t>
            </w:r>
          </w:p>
        </w:tc>
        <w:tc>
          <w:tcPr>
            <w:tcW w:w="510"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18.37</w:t>
            </w:r>
          </w:p>
        </w:tc>
        <w:tc>
          <w:tcPr>
            <w:tcW w:w="398"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9.67</w:t>
            </w:r>
          </w:p>
        </w:tc>
        <w:tc>
          <w:tcPr>
            <w:tcW w:w="409"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8.49</w:t>
            </w:r>
          </w:p>
        </w:tc>
        <w:tc>
          <w:tcPr>
            <w:tcW w:w="400"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4.96</w:t>
            </w:r>
          </w:p>
        </w:tc>
      </w:tr>
      <w:tr w:rsidR="00FE1607" w:rsidRPr="00E83BC2" w:rsidTr="00497035">
        <w:trPr>
          <w:trHeight w:val="30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Return on equity</w:t>
            </w:r>
          </w:p>
        </w:tc>
      </w:tr>
      <w:tr w:rsidR="00FE1607" w:rsidRPr="00E83BC2" w:rsidTr="00497035">
        <w:trPr>
          <w:trHeight w:val="128"/>
        </w:trPr>
        <w:tc>
          <w:tcPr>
            <w:tcW w:w="2426"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Return on equity = Net profit/equity x 100</w:t>
            </w:r>
          </w:p>
        </w:tc>
        <w:tc>
          <w:tcPr>
            <w:tcW w:w="405"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117.77</w:t>
            </w:r>
          </w:p>
        </w:tc>
        <w:tc>
          <w:tcPr>
            <w:tcW w:w="452"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286.77</w:t>
            </w:r>
          </w:p>
        </w:tc>
        <w:tc>
          <w:tcPr>
            <w:tcW w:w="510"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20"/>
              </w:rPr>
            </w:pPr>
            <w:r w:rsidRPr="00E83BC2">
              <w:rPr>
                <w:rFonts w:ascii="Times New Roman" w:eastAsia="Times New Roman" w:hAnsi="Times New Roman" w:cs="Times New Roman"/>
                <w:color w:val="FF0000"/>
                <w:sz w:val="20"/>
              </w:rPr>
              <w:t>(161.38)</w:t>
            </w:r>
          </w:p>
        </w:tc>
        <w:tc>
          <w:tcPr>
            <w:tcW w:w="398"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2.91</w:t>
            </w:r>
          </w:p>
        </w:tc>
        <w:tc>
          <w:tcPr>
            <w:tcW w:w="409"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13.93</w:t>
            </w:r>
          </w:p>
        </w:tc>
        <w:tc>
          <w:tcPr>
            <w:tcW w:w="400"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37.80</w:t>
            </w:r>
          </w:p>
        </w:tc>
      </w:tr>
      <w:tr w:rsidR="00FE1607" w:rsidRPr="00E83BC2" w:rsidTr="00497035">
        <w:trPr>
          <w:trHeight w:val="6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Gross profit margin</w:t>
            </w:r>
          </w:p>
        </w:tc>
      </w:tr>
      <w:tr w:rsidR="00FE1607" w:rsidRPr="00E83BC2" w:rsidTr="00497035">
        <w:trPr>
          <w:trHeight w:val="102"/>
        </w:trPr>
        <w:tc>
          <w:tcPr>
            <w:tcW w:w="2426"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Gross profit margin = Gross profit/Sales x 100</w:t>
            </w:r>
          </w:p>
        </w:tc>
        <w:tc>
          <w:tcPr>
            <w:tcW w:w="405"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17.66</w:t>
            </w:r>
          </w:p>
        </w:tc>
        <w:tc>
          <w:tcPr>
            <w:tcW w:w="452"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19.58</w:t>
            </w:r>
          </w:p>
        </w:tc>
        <w:tc>
          <w:tcPr>
            <w:tcW w:w="510"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17.56</w:t>
            </w:r>
          </w:p>
        </w:tc>
        <w:tc>
          <w:tcPr>
            <w:tcW w:w="398"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11.88</w:t>
            </w:r>
          </w:p>
        </w:tc>
        <w:tc>
          <w:tcPr>
            <w:tcW w:w="409"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9.60</w:t>
            </w:r>
          </w:p>
        </w:tc>
        <w:tc>
          <w:tcPr>
            <w:tcW w:w="400"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5.25</w:t>
            </w:r>
          </w:p>
        </w:tc>
      </w:tr>
      <w:tr w:rsidR="00FE1607" w:rsidRPr="00E83BC2" w:rsidTr="00497035">
        <w:trPr>
          <w:trHeight w:val="61"/>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Net profit margin</w:t>
            </w:r>
          </w:p>
        </w:tc>
      </w:tr>
      <w:tr w:rsidR="00FE1607" w:rsidRPr="00E83BC2" w:rsidTr="00497035">
        <w:trPr>
          <w:trHeight w:val="70"/>
        </w:trPr>
        <w:tc>
          <w:tcPr>
            <w:tcW w:w="2426"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Net profit margin = Net profit/Sales x 100</w:t>
            </w:r>
          </w:p>
        </w:tc>
        <w:tc>
          <w:tcPr>
            <w:tcW w:w="405"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13.14</w:t>
            </w:r>
          </w:p>
        </w:tc>
        <w:tc>
          <w:tcPr>
            <w:tcW w:w="452"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9.78</w:t>
            </w:r>
          </w:p>
        </w:tc>
        <w:tc>
          <w:tcPr>
            <w:tcW w:w="510"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000000"/>
                <w:sz w:val="20"/>
              </w:rPr>
              <w:t>6.63</w:t>
            </w:r>
          </w:p>
        </w:tc>
        <w:tc>
          <w:tcPr>
            <w:tcW w:w="398"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FF0000"/>
                <w:sz w:val="20"/>
              </w:rPr>
              <w:t>(0.21)</w:t>
            </w:r>
          </w:p>
        </w:tc>
        <w:tc>
          <w:tcPr>
            <w:tcW w:w="409"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FF0000"/>
                <w:sz w:val="20"/>
              </w:rPr>
              <w:t>(0.81)</w:t>
            </w:r>
          </w:p>
        </w:tc>
        <w:tc>
          <w:tcPr>
            <w:tcW w:w="400"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20"/>
              </w:rPr>
            </w:pPr>
            <w:r w:rsidRPr="00E83BC2">
              <w:rPr>
                <w:rFonts w:ascii="Times New Roman" w:eastAsia="Times New Roman" w:hAnsi="Times New Roman" w:cs="Times New Roman"/>
                <w:color w:val="FF0000"/>
                <w:sz w:val="20"/>
              </w:rPr>
              <w:t>(1.58)</w:t>
            </w:r>
          </w:p>
        </w:tc>
      </w:tr>
    </w:tbl>
    <w:p w:rsidR="00FE1607" w:rsidRPr="00E83BC2" w:rsidRDefault="00FE1607" w:rsidP="00FE1607">
      <w:pPr>
        <w:rPr>
          <w:rFonts w:ascii="Times New Roman" w:hAnsi="Times New Roman" w:cs="Times New Roman"/>
          <w:sz w:val="36"/>
          <w:lang w:val="en-US"/>
        </w:rPr>
      </w:pPr>
    </w:p>
    <w:p w:rsidR="00FE1607" w:rsidRPr="00E83BC2" w:rsidRDefault="00FE1607" w:rsidP="00FE1607">
      <w:pPr>
        <w:numPr>
          <w:ilvl w:val="0"/>
          <w:numId w:val="5"/>
        </w:numPr>
        <w:rPr>
          <w:rFonts w:ascii="Times New Roman" w:hAnsi="Times New Roman" w:cs="Times New Roman"/>
          <w:b/>
          <w:lang w:val="en-US"/>
        </w:rPr>
      </w:pPr>
      <w:r w:rsidRPr="00E83BC2">
        <w:rPr>
          <w:rFonts w:ascii="Times New Roman" w:hAnsi="Times New Roman" w:cs="Times New Roman"/>
          <w:b/>
          <w:lang w:val="en-US"/>
        </w:rPr>
        <w:t>Return on capital employed (ROCE)</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Return on capital employed or capital invested is the measure of company’s profitability over the efficiency of its capital employed. It is calculated as Earnings Before Interest and Taxes (i.e. EBIT) and divide it by the capital invested / employed (i.e. its total invested amount on Assets). ROCE is a useful metric for comparing profitability across companies based on the amount of capital they use.</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our case, company’s Return of Capital Employed has increased significantly from 8.49% in 2013 to 19.98% in 2017 which indicates that the company has improved a lot in recent years and has employed its investment efficiently to improve its profitability.</w:t>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52430DD2" wp14:editId="056489FE">
            <wp:extent cx="4898572" cy="2857500"/>
            <wp:effectExtent l="0" t="0" r="16510" b="0"/>
            <wp:docPr id="1" name="Chart 1">
              <a:extLst xmlns:a="http://schemas.openxmlformats.org/drawingml/2006/main">
                <a:ext uri="{FF2B5EF4-FFF2-40B4-BE49-F238E27FC236}">
                  <a16:creationId xmlns:a16="http://schemas.microsoft.com/office/drawing/2014/main" id="{25C7B9D1-48BF-4AF7-934B-BD37FD97DA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ind w:left="720"/>
        <w:rPr>
          <w:rFonts w:ascii="Times New Roman" w:hAnsi="Times New Roman" w:cs="Times New Roman"/>
          <w:lang w:val="en-US"/>
        </w:rPr>
      </w:pP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5"/>
        </w:numPr>
        <w:rPr>
          <w:rFonts w:ascii="Times New Roman" w:hAnsi="Times New Roman" w:cs="Times New Roman"/>
          <w:b/>
          <w:lang w:val="en-US"/>
        </w:rPr>
      </w:pPr>
      <w:r w:rsidRPr="00E83BC2">
        <w:rPr>
          <w:rFonts w:ascii="Times New Roman" w:hAnsi="Times New Roman" w:cs="Times New Roman"/>
          <w:b/>
          <w:lang w:val="en-US"/>
        </w:rPr>
        <w:t>Return on equity (ROE)</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lastRenderedPageBreak/>
        <w:t>ROE is valuable in contrasting the productivity of an organization with that of different firms in a similar industry. It delineates how powerful the organization is at transforming the money put into the business into more prominent increases and development for the organization and financial specialists. The higher the arrival on value, the more productive the organization's tasks are making utilization of those assets.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this case, the company has a negative hit on its ROE in the year 2015 when its ROE was significantly negative as compared to the years from 2012 to 2014 mainly due to the negative impact on the revenues but the company has improved a lot in the following years as its ROE in 2017 is 117.77%.</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58F1BE85" wp14:editId="4873FBCC">
            <wp:extent cx="4898572" cy="2857500"/>
            <wp:effectExtent l="0" t="0" r="16510" b="0"/>
            <wp:docPr id="4" name="Chart 4">
              <a:extLst xmlns:a="http://schemas.openxmlformats.org/drawingml/2006/main">
                <a:ext uri="{FF2B5EF4-FFF2-40B4-BE49-F238E27FC236}">
                  <a16:creationId xmlns:a16="http://schemas.microsoft.com/office/drawing/2014/main" id="{29599B1E-63CB-4158-B1BA-6576BA4CD6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5"/>
        </w:numPr>
        <w:rPr>
          <w:rFonts w:ascii="Times New Roman" w:hAnsi="Times New Roman" w:cs="Times New Roman"/>
          <w:b/>
          <w:lang w:val="en-US"/>
        </w:rPr>
      </w:pPr>
      <w:r w:rsidRPr="00E83BC2">
        <w:rPr>
          <w:rFonts w:ascii="Times New Roman" w:hAnsi="Times New Roman" w:cs="Times New Roman"/>
          <w:b/>
          <w:lang w:val="en-US"/>
        </w:rPr>
        <w:t>Gross Profit Margin</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Gross profit margin is a monetary metric used to survey an organization's budgetary wellbeing and plan of action by uncovering the extent of cash left finished from incomes in the wake of representing the cost of merchandise sold. One can figure gross profit margin, otherwise called gross margin, by separating gross profit by incomes. Calculated by dividing gross profit by Total Revenues.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our case, in the year 2013, the GP margin has grown 24% from 9.60% to 11.88% in 2014 then it increased up to 48% in 2015. The high revenues as compared to the lower cost trend continued in 2016 but in 2017 it took a negative impact as the GP margin decreased by 10% and showed that the cost of goods sold has increased in that year.</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noProof/>
          <w:lang w:eastAsia="en-GB"/>
        </w:rPr>
        <w:lastRenderedPageBreak/>
        <w:drawing>
          <wp:inline distT="0" distB="0" distL="0" distR="0" wp14:anchorId="67F00179" wp14:editId="787B6C51">
            <wp:extent cx="4264479" cy="2495550"/>
            <wp:effectExtent l="0" t="0" r="3175" b="0"/>
            <wp:docPr id="5" name="Chart 5">
              <a:extLst xmlns:a="http://schemas.openxmlformats.org/drawingml/2006/main">
                <a:ext uri="{FF2B5EF4-FFF2-40B4-BE49-F238E27FC236}">
                  <a16:creationId xmlns:a16="http://schemas.microsoft.com/office/drawing/2014/main" id="{B6E312C2-81EA-4913-814D-F3D62DA1E3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5"/>
        </w:numPr>
        <w:rPr>
          <w:rFonts w:ascii="Times New Roman" w:hAnsi="Times New Roman" w:cs="Times New Roman"/>
          <w:b/>
          <w:lang w:val="en-US"/>
        </w:rPr>
      </w:pPr>
      <w:r w:rsidRPr="00E83BC2">
        <w:rPr>
          <w:rFonts w:ascii="Times New Roman" w:hAnsi="Times New Roman" w:cs="Times New Roman"/>
          <w:b/>
          <w:lang w:val="en-US"/>
        </w:rPr>
        <w:t>Net Profit Margin</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Net Profit margin is the margin is the percentage of revenue remaining after all operating expenses, interest, taxes and preferred stock dividends (but not common stock dividends) have been deducted from a company's total revenue.</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our case, since the company was in huge losses from 2012 to 2014 but then due to the efficient investment in fixed assets and improved utilization of equity resources the company started to generate profits in the following years as the company slowly and gradually improved to cover up its losses.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1C9F7BF8" wp14:editId="0D8EE36A">
            <wp:extent cx="4267200" cy="2495550"/>
            <wp:effectExtent l="0" t="0" r="0" b="0"/>
            <wp:docPr id="6" name="Chart 6">
              <a:extLst xmlns:a="http://schemas.openxmlformats.org/drawingml/2006/main">
                <a:ext uri="{FF2B5EF4-FFF2-40B4-BE49-F238E27FC236}">
                  <a16:creationId xmlns:a16="http://schemas.microsoft.com/office/drawing/2014/main" id="{A4720276-F51C-4F13-A1E2-8C1BC743C3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E1607" w:rsidRPr="00E83BC2" w:rsidRDefault="00FE1607" w:rsidP="00FE1607">
      <w:pPr>
        <w:rPr>
          <w:rFonts w:ascii="Times New Roman" w:hAnsi="Times New Roman" w:cs="Times New Roman"/>
          <w:sz w:val="36"/>
          <w:lang w:val="en-US"/>
        </w:rPr>
      </w:pPr>
    </w:p>
    <w:p w:rsidR="00FE1607" w:rsidRPr="00E83BC2" w:rsidRDefault="00FE1607" w:rsidP="00FE1607">
      <w:pPr>
        <w:rPr>
          <w:rFonts w:ascii="Times New Roman" w:hAnsi="Times New Roman" w:cs="Times New Roman"/>
          <w:sz w:val="36"/>
          <w:lang w:val="en-US"/>
        </w:rPr>
      </w:pPr>
    </w:p>
    <w:p w:rsidR="00FE1607" w:rsidRPr="00E83BC2" w:rsidRDefault="00FE1607" w:rsidP="00E83BC2">
      <w:pPr>
        <w:pStyle w:val="Heading4"/>
        <w:rPr>
          <w:rFonts w:ascii="Times New Roman" w:hAnsi="Times New Roman" w:cs="Times New Roman"/>
          <w:sz w:val="24"/>
          <w:lang w:val="en-US"/>
        </w:rPr>
      </w:pPr>
      <w:r w:rsidRPr="00E83BC2">
        <w:rPr>
          <w:rFonts w:ascii="Times New Roman" w:hAnsi="Times New Roman" w:cs="Times New Roman"/>
          <w:sz w:val="24"/>
          <w:lang w:val="en-US"/>
        </w:rPr>
        <w:t>Activity Ratios</w:t>
      </w:r>
    </w:p>
    <w:tbl>
      <w:tblPr>
        <w:tblW w:w="0" w:type="auto"/>
        <w:tblInd w:w="10" w:type="dxa"/>
        <w:tblLayout w:type="fixed"/>
        <w:tblCellMar>
          <w:left w:w="10" w:type="dxa"/>
          <w:right w:w="10" w:type="dxa"/>
        </w:tblCellMar>
        <w:tblLook w:val="04A0" w:firstRow="1" w:lastRow="0" w:firstColumn="1" w:lastColumn="0" w:noHBand="0" w:noVBand="1"/>
      </w:tblPr>
      <w:tblGrid>
        <w:gridCol w:w="5268"/>
        <w:gridCol w:w="632"/>
        <w:gridCol w:w="628"/>
        <w:gridCol w:w="623"/>
        <w:gridCol w:w="599"/>
        <w:gridCol w:w="630"/>
        <w:gridCol w:w="626"/>
      </w:tblGrid>
      <w:tr w:rsidR="00FE1607" w:rsidRPr="00E83BC2" w:rsidTr="00497035">
        <w:trPr>
          <w:trHeight w:val="390"/>
        </w:trPr>
        <w:tc>
          <w:tcPr>
            <w:tcW w:w="526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RATIO ANALYSIS</w:t>
            </w:r>
          </w:p>
        </w:tc>
        <w:tc>
          <w:tcPr>
            <w:tcW w:w="632"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2017</w:t>
            </w:r>
          </w:p>
        </w:tc>
        <w:tc>
          <w:tcPr>
            <w:tcW w:w="628"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2016</w:t>
            </w:r>
          </w:p>
        </w:tc>
        <w:tc>
          <w:tcPr>
            <w:tcW w:w="623"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2015</w:t>
            </w:r>
          </w:p>
        </w:tc>
        <w:tc>
          <w:tcPr>
            <w:tcW w:w="599"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2014</w:t>
            </w:r>
          </w:p>
        </w:tc>
        <w:tc>
          <w:tcPr>
            <w:tcW w:w="630"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2013</w:t>
            </w:r>
          </w:p>
        </w:tc>
        <w:tc>
          <w:tcPr>
            <w:tcW w:w="626"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20"/>
              </w:rPr>
            </w:pPr>
            <w:r w:rsidRPr="00E83BC2">
              <w:rPr>
                <w:rFonts w:ascii="Times New Roman" w:eastAsia="Times New Roman" w:hAnsi="Times New Roman" w:cs="Times New Roman"/>
                <w:b/>
                <w:bCs/>
                <w:color w:val="000000"/>
                <w:sz w:val="20"/>
              </w:rPr>
              <w:t>2012</w:t>
            </w:r>
          </w:p>
        </w:tc>
      </w:tr>
      <w:tr w:rsidR="00FE1607" w:rsidRPr="00E83BC2" w:rsidTr="00497035">
        <w:trPr>
          <w:trHeight w:val="390"/>
        </w:trPr>
        <w:tc>
          <w:tcPr>
            <w:tcW w:w="9006" w:type="dxa"/>
            <w:gridSpan w:val="7"/>
            <w:tcBorders>
              <w:top w:val="single" w:sz="8" w:space="0" w:color="auto"/>
              <w:left w:val="single" w:sz="8" w:space="0" w:color="auto"/>
              <w:bottom w:val="single" w:sz="8" w:space="0" w:color="auto"/>
              <w:right w:val="single" w:sz="8" w:space="0" w:color="000000"/>
            </w:tcBorders>
            <w:shd w:val="clear" w:color="000000" w:fill="9BC2E6"/>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Activity ratios</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lastRenderedPageBreak/>
              <w:t>Net asset turnover</w:t>
            </w:r>
          </w:p>
        </w:tc>
      </w:tr>
      <w:tr w:rsidR="00FE1607" w:rsidRPr="00E83BC2" w:rsidTr="00497035">
        <w:trPr>
          <w:trHeight w:val="201"/>
        </w:trPr>
        <w:tc>
          <w:tcPr>
            <w:tcW w:w="526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Net asset turnover = Sales/</w:t>
            </w:r>
            <w:r w:rsidRPr="00E83BC2">
              <w:rPr>
                <w:rFonts w:ascii="Times New Roman" w:eastAsia="Times New Roman" w:hAnsi="Times New Roman" w:cs="Times New Roman"/>
                <w:color w:val="000000"/>
                <w:lang w:val="en-US"/>
              </w:rPr>
              <w:t xml:space="preserve"> </w:t>
            </w:r>
            <w:r w:rsidRPr="00E83BC2">
              <w:rPr>
                <w:rFonts w:ascii="Times New Roman" w:eastAsia="Times New Roman" w:hAnsi="Times New Roman" w:cs="Times New Roman"/>
                <w:color w:val="000000"/>
              </w:rPr>
              <w:t>(Total assets less Current liabilities)</w:t>
            </w:r>
          </w:p>
        </w:tc>
        <w:tc>
          <w:tcPr>
            <w:tcW w:w="632"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1.72</w:t>
            </w:r>
          </w:p>
        </w:tc>
        <w:tc>
          <w:tcPr>
            <w:tcW w:w="62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1.32</w:t>
            </w:r>
          </w:p>
        </w:tc>
        <w:tc>
          <w:tcPr>
            <w:tcW w:w="62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1.62</w:t>
            </w:r>
          </w:p>
        </w:tc>
        <w:tc>
          <w:tcPr>
            <w:tcW w:w="59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2.34</w:t>
            </w:r>
          </w:p>
        </w:tc>
        <w:tc>
          <w:tcPr>
            <w:tcW w:w="630"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2.32</w:t>
            </w:r>
          </w:p>
        </w:tc>
        <w:tc>
          <w:tcPr>
            <w:tcW w:w="626"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2.42</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Stockholding period</w:t>
            </w:r>
          </w:p>
        </w:tc>
      </w:tr>
      <w:tr w:rsidR="00FE1607" w:rsidRPr="00E83BC2" w:rsidTr="00497035">
        <w:trPr>
          <w:trHeight w:val="315"/>
        </w:trPr>
        <w:tc>
          <w:tcPr>
            <w:tcW w:w="526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Stockholding period = Stock/Cost of Sales x 365</w:t>
            </w:r>
          </w:p>
        </w:tc>
        <w:tc>
          <w:tcPr>
            <w:tcW w:w="632"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36.33</w:t>
            </w:r>
          </w:p>
        </w:tc>
        <w:tc>
          <w:tcPr>
            <w:tcW w:w="62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38.4</w:t>
            </w:r>
          </w:p>
        </w:tc>
        <w:tc>
          <w:tcPr>
            <w:tcW w:w="62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30.</w:t>
            </w:r>
            <w:r w:rsidRPr="00E83BC2">
              <w:rPr>
                <w:rFonts w:ascii="Times New Roman" w:eastAsia="Times New Roman" w:hAnsi="Times New Roman" w:cs="Times New Roman"/>
                <w:color w:val="000000"/>
                <w:sz w:val="18"/>
                <w:lang w:val="en-US"/>
              </w:rPr>
              <w:t>9</w:t>
            </w:r>
          </w:p>
        </w:tc>
        <w:tc>
          <w:tcPr>
            <w:tcW w:w="59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24.</w:t>
            </w:r>
            <w:r w:rsidRPr="00E83BC2">
              <w:rPr>
                <w:rFonts w:ascii="Times New Roman" w:eastAsia="Times New Roman" w:hAnsi="Times New Roman" w:cs="Times New Roman"/>
                <w:color w:val="000000"/>
                <w:sz w:val="18"/>
                <w:lang w:val="en-US"/>
              </w:rPr>
              <w:t>3</w:t>
            </w:r>
          </w:p>
        </w:tc>
        <w:tc>
          <w:tcPr>
            <w:tcW w:w="630"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32.</w:t>
            </w:r>
            <w:r w:rsidRPr="00E83BC2">
              <w:rPr>
                <w:rFonts w:ascii="Times New Roman" w:eastAsia="Times New Roman" w:hAnsi="Times New Roman" w:cs="Times New Roman"/>
                <w:color w:val="000000"/>
                <w:sz w:val="18"/>
                <w:lang w:val="en-US"/>
              </w:rPr>
              <w:t>1</w:t>
            </w:r>
          </w:p>
        </w:tc>
        <w:tc>
          <w:tcPr>
            <w:tcW w:w="626"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29.</w:t>
            </w:r>
            <w:r w:rsidRPr="00E83BC2">
              <w:rPr>
                <w:rFonts w:ascii="Times New Roman" w:eastAsia="Times New Roman" w:hAnsi="Times New Roman" w:cs="Times New Roman"/>
                <w:color w:val="000000"/>
                <w:sz w:val="18"/>
                <w:lang w:val="en-US"/>
              </w:rPr>
              <w:t>5</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Debtor collection period</w:t>
            </w:r>
          </w:p>
        </w:tc>
      </w:tr>
      <w:tr w:rsidR="00FE1607" w:rsidRPr="00E83BC2" w:rsidTr="00497035">
        <w:trPr>
          <w:trHeight w:val="70"/>
        </w:trPr>
        <w:tc>
          <w:tcPr>
            <w:tcW w:w="526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Debtor collection period = Debtors/Sales x 365</w:t>
            </w:r>
          </w:p>
        </w:tc>
        <w:tc>
          <w:tcPr>
            <w:tcW w:w="632"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41.1</w:t>
            </w:r>
          </w:p>
        </w:tc>
        <w:tc>
          <w:tcPr>
            <w:tcW w:w="62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43.</w:t>
            </w:r>
            <w:r w:rsidRPr="00E83BC2">
              <w:rPr>
                <w:rFonts w:ascii="Times New Roman" w:eastAsia="Times New Roman" w:hAnsi="Times New Roman" w:cs="Times New Roman"/>
                <w:color w:val="000000"/>
                <w:sz w:val="18"/>
                <w:lang w:val="en-US"/>
              </w:rPr>
              <w:t>5</w:t>
            </w:r>
          </w:p>
        </w:tc>
        <w:tc>
          <w:tcPr>
            <w:tcW w:w="62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47.1</w:t>
            </w:r>
          </w:p>
        </w:tc>
        <w:tc>
          <w:tcPr>
            <w:tcW w:w="59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38.6</w:t>
            </w:r>
          </w:p>
        </w:tc>
        <w:tc>
          <w:tcPr>
            <w:tcW w:w="630"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42.0</w:t>
            </w:r>
          </w:p>
        </w:tc>
        <w:tc>
          <w:tcPr>
            <w:tcW w:w="626"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38.3</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Creditor payment period</w:t>
            </w:r>
          </w:p>
        </w:tc>
      </w:tr>
      <w:tr w:rsidR="00FE1607" w:rsidRPr="00E83BC2" w:rsidTr="00497035">
        <w:trPr>
          <w:trHeight w:val="93"/>
        </w:trPr>
        <w:tc>
          <w:tcPr>
            <w:tcW w:w="526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Creditor payment period = Creditors/Sales x 365</w:t>
            </w:r>
          </w:p>
        </w:tc>
        <w:tc>
          <w:tcPr>
            <w:tcW w:w="632"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lang w:val="en-US"/>
              </w:rPr>
            </w:pPr>
            <w:r w:rsidRPr="00E83BC2">
              <w:rPr>
                <w:rFonts w:ascii="Times New Roman" w:eastAsia="Times New Roman" w:hAnsi="Times New Roman" w:cs="Times New Roman"/>
                <w:color w:val="000000"/>
                <w:sz w:val="18"/>
              </w:rPr>
              <w:t>45.</w:t>
            </w:r>
            <w:r w:rsidRPr="00E83BC2">
              <w:rPr>
                <w:rFonts w:ascii="Times New Roman" w:eastAsia="Times New Roman" w:hAnsi="Times New Roman" w:cs="Times New Roman"/>
                <w:color w:val="000000"/>
                <w:sz w:val="18"/>
                <w:lang w:val="en-US"/>
              </w:rPr>
              <w:t>1</w:t>
            </w:r>
          </w:p>
        </w:tc>
        <w:tc>
          <w:tcPr>
            <w:tcW w:w="62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45.</w:t>
            </w:r>
            <w:r w:rsidRPr="00E83BC2">
              <w:rPr>
                <w:rFonts w:ascii="Times New Roman" w:eastAsia="Times New Roman" w:hAnsi="Times New Roman" w:cs="Times New Roman"/>
                <w:color w:val="000000"/>
                <w:sz w:val="18"/>
                <w:lang w:val="en-US"/>
              </w:rPr>
              <w:t>3</w:t>
            </w:r>
          </w:p>
        </w:tc>
        <w:tc>
          <w:tcPr>
            <w:tcW w:w="62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38.4</w:t>
            </w:r>
          </w:p>
        </w:tc>
        <w:tc>
          <w:tcPr>
            <w:tcW w:w="59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35.1</w:t>
            </w:r>
          </w:p>
        </w:tc>
        <w:tc>
          <w:tcPr>
            <w:tcW w:w="630"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39.</w:t>
            </w:r>
            <w:r w:rsidRPr="00E83BC2">
              <w:rPr>
                <w:rFonts w:ascii="Times New Roman" w:eastAsia="Times New Roman" w:hAnsi="Times New Roman" w:cs="Times New Roman"/>
                <w:color w:val="000000"/>
                <w:sz w:val="18"/>
                <w:lang w:val="en-US"/>
              </w:rPr>
              <w:t>5</w:t>
            </w:r>
          </w:p>
        </w:tc>
        <w:tc>
          <w:tcPr>
            <w:tcW w:w="626"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38.3</w:t>
            </w:r>
          </w:p>
        </w:tc>
      </w:tr>
    </w:tbl>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6"/>
        </w:numPr>
        <w:rPr>
          <w:rFonts w:ascii="Times New Roman" w:hAnsi="Times New Roman" w:cs="Times New Roman"/>
          <w:b/>
          <w:lang w:val="en-US"/>
        </w:rPr>
      </w:pPr>
      <w:r w:rsidRPr="00E83BC2">
        <w:rPr>
          <w:rFonts w:ascii="Times New Roman" w:hAnsi="Times New Roman" w:cs="Times New Roman"/>
          <w:b/>
          <w:lang w:val="en-US"/>
        </w:rPr>
        <w:t>Net Asset Turnover</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Asset turnover ratio measures the estimation of an organization's deals or incomes produced with respect to the estimation of its assets. The Asset Turnover ratio can regularly be utilized as a pointer of the proficiency with which an organization is utilizing its assets in producing income.</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this case, the company has improved its net asset turnover in recent years as compared to the previous 2 years but still behind from the ratio of 2014 when it has the highest net asset ratio in recent years.</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62506977" wp14:editId="58EF19F2">
            <wp:extent cx="4264479" cy="2495550"/>
            <wp:effectExtent l="0" t="0" r="3175" b="0"/>
            <wp:docPr id="7" name="Chart 7">
              <a:extLst xmlns:a="http://schemas.openxmlformats.org/drawingml/2006/main">
                <a:ext uri="{FF2B5EF4-FFF2-40B4-BE49-F238E27FC236}">
                  <a16:creationId xmlns:a16="http://schemas.microsoft.com/office/drawing/2014/main" id="{04C0E70F-7E30-421D-BEC3-D2148EC755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6"/>
        </w:numPr>
        <w:rPr>
          <w:rFonts w:ascii="Times New Roman" w:hAnsi="Times New Roman" w:cs="Times New Roman"/>
          <w:b/>
          <w:lang w:val="en-US"/>
        </w:rPr>
      </w:pPr>
      <w:r w:rsidRPr="00E83BC2">
        <w:rPr>
          <w:rFonts w:ascii="Times New Roman" w:hAnsi="Times New Roman" w:cs="Times New Roman"/>
          <w:b/>
          <w:lang w:val="en-US"/>
        </w:rPr>
        <w:t>Stockholding Period</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A stockholding period is the measure of time the company hold its investment in its stock or the period between the buying and selling of stock. Lower the time of stockholding period better for any company.</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our case, the company has mixed results as the lowest stockholding period was in 2014 and since then it has started to rise up which isn’t a good sign for the company and it also has an adverse effect on operating costs of the company.</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lastRenderedPageBreak/>
        <w:drawing>
          <wp:inline distT="0" distB="0" distL="0" distR="0" wp14:anchorId="692144D9" wp14:editId="32B292BB">
            <wp:extent cx="4267200" cy="2495550"/>
            <wp:effectExtent l="0" t="0" r="0" b="0"/>
            <wp:docPr id="8" name="Chart 8">
              <a:extLst xmlns:a="http://schemas.openxmlformats.org/drawingml/2006/main">
                <a:ext uri="{FF2B5EF4-FFF2-40B4-BE49-F238E27FC236}">
                  <a16:creationId xmlns:a16="http://schemas.microsoft.com/office/drawing/2014/main" id="{B4AFDCBC-536E-4ECC-A8FD-EC04B3C09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6"/>
        </w:numPr>
        <w:rPr>
          <w:rFonts w:ascii="Times New Roman" w:hAnsi="Times New Roman" w:cs="Times New Roman"/>
          <w:b/>
          <w:lang w:val="en-US"/>
        </w:rPr>
      </w:pPr>
      <w:r w:rsidRPr="00E83BC2">
        <w:rPr>
          <w:rFonts w:ascii="Times New Roman" w:hAnsi="Times New Roman" w:cs="Times New Roman"/>
          <w:b/>
          <w:lang w:val="en-US"/>
        </w:rPr>
        <w:t>Debtor Collection Period</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accounting, the term Debtor Collection Period shows the normal time taken to gather exchange obligations. At the end of the day, a decreasing period of time is a pointer of expanding productivity. It empowers the undertaking to contrast the genuine collection period and the allowed/hypothetical credit period.</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In our case, it takes around 41 days to collect the cash from the receivables in current year which is higher than the collection period in the year 2012 which was 38.31 days.</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0E07953A" wp14:editId="63932B1A">
            <wp:extent cx="4264478" cy="2495550"/>
            <wp:effectExtent l="0" t="0" r="3175" b="0"/>
            <wp:docPr id="21" name="Chart 21">
              <a:extLst xmlns:a="http://schemas.openxmlformats.org/drawingml/2006/main">
                <a:ext uri="{FF2B5EF4-FFF2-40B4-BE49-F238E27FC236}">
                  <a16:creationId xmlns:a16="http://schemas.microsoft.com/office/drawing/2014/main" id="{31391893-7676-4DBD-9F57-C2AEAB2ED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6"/>
        </w:numPr>
        <w:rPr>
          <w:rFonts w:ascii="Times New Roman" w:hAnsi="Times New Roman" w:cs="Times New Roman"/>
          <w:b/>
          <w:lang w:val="en-US"/>
        </w:rPr>
      </w:pPr>
      <w:r w:rsidRPr="00E83BC2">
        <w:rPr>
          <w:rFonts w:ascii="Times New Roman" w:hAnsi="Times New Roman" w:cs="Times New Roman"/>
          <w:b/>
          <w:lang w:val="en-US"/>
        </w:rPr>
        <w:t>Creditor Payment Period</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Credit payment period implies the normal time frame taken by the organization in making payments to its creditors. It is registered by isolating the quantity of working days in a year by creditors turnover proportion. Higher the credit payment period better the overall cash liquidity situation.</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lastRenderedPageBreak/>
        <w:t>In this case, the creditor payment period has increased in 2017 as compared to the previous years which shows good signs on the cash liquidity issues and has a positive impact on working capital management.</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681E4D3C" wp14:editId="785014D8">
            <wp:extent cx="4264478" cy="2495550"/>
            <wp:effectExtent l="0" t="0" r="3175" b="0"/>
            <wp:docPr id="22" name="Chart 22">
              <a:extLst xmlns:a="http://schemas.openxmlformats.org/drawingml/2006/main">
                <a:ext uri="{FF2B5EF4-FFF2-40B4-BE49-F238E27FC236}">
                  <a16:creationId xmlns:a16="http://schemas.microsoft.com/office/drawing/2014/main" id="{3D89DAED-8207-49B7-A777-78E8C187DE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E83BC2">
      <w:pPr>
        <w:pStyle w:val="Heading4"/>
        <w:rPr>
          <w:rFonts w:ascii="Times New Roman" w:hAnsi="Times New Roman" w:cs="Times New Roman"/>
          <w:sz w:val="24"/>
          <w:lang w:val="en-US"/>
        </w:rPr>
      </w:pPr>
      <w:r w:rsidRPr="00E83BC2">
        <w:rPr>
          <w:rFonts w:ascii="Times New Roman" w:hAnsi="Times New Roman" w:cs="Times New Roman"/>
          <w:sz w:val="24"/>
          <w:lang w:val="en-US"/>
        </w:rPr>
        <w:t>Liquidity Ratios</w:t>
      </w:r>
    </w:p>
    <w:tbl>
      <w:tblPr>
        <w:tblW w:w="0" w:type="auto"/>
        <w:tblInd w:w="10" w:type="dxa"/>
        <w:tblLayout w:type="fixed"/>
        <w:tblCellMar>
          <w:left w:w="10" w:type="dxa"/>
          <w:right w:w="10" w:type="dxa"/>
        </w:tblCellMar>
        <w:tblLook w:val="04A0" w:firstRow="1" w:lastRow="0" w:firstColumn="1" w:lastColumn="0" w:noHBand="0" w:noVBand="1"/>
      </w:tblPr>
      <w:tblGrid>
        <w:gridCol w:w="5588"/>
        <w:gridCol w:w="565"/>
        <w:gridCol w:w="577"/>
        <w:gridCol w:w="566"/>
        <w:gridCol w:w="578"/>
        <w:gridCol w:w="565"/>
        <w:gridCol w:w="567"/>
      </w:tblGrid>
      <w:tr w:rsidR="00FE1607" w:rsidRPr="00E83BC2" w:rsidTr="00497035">
        <w:trPr>
          <w:trHeight w:val="390"/>
        </w:trPr>
        <w:tc>
          <w:tcPr>
            <w:tcW w:w="558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RATIO ANALYSIS</w:t>
            </w:r>
          </w:p>
        </w:tc>
        <w:tc>
          <w:tcPr>
            <w:tcW w:w="565"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2017</w:t>
            </w:r>
          </w:p>
        </w:tc>
        <w:tc>
          <w:tcPr>
            <w:tcW w:w="577"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2016</w:t>
            </w:r>
          </w:p>
        </w:tc>
        <w:tc>
          <w:tcPr>
            <w:tcW w:w="566"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2015</w:t>
            </w:r>
          </w:p>
        </w:tc>
        <w:tc>
          <w:tcPr>
            <w:tcW w:w="578"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2014</w:t>
            </w:r>
          </w:p>
        </w:tc>
        <w:tc>
          <w:tcPr>
            <w:tcW w:w="565"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2013</w:t>
            </w:r>
          </w:p>
        </w:tc>
        <w:tc>
          <w:tcPr>
            <w:tcW w:w="567"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9"/>
                <w:szCs w:val="19"/>
              </w:rPr>
            </w:pPr>
            <w:r w:rsidRPr="00E83BC2">
              <w:rPr>
                <w:rFonts w:ascii="Times New Roman" w:eastAsia="Times New Roman" w:hAnsi="Times New Roman" w:cs="Times New Roman"/>
                <w:b/>
                <w:bCs/>
                <w:color w:val="000000"/>
                <w:sz w:val="19"/>
                <w:szCs w:val="19"/>
              </w:rPr>
              <w:t>2012</w:t>
            </w:r>
          </w:p>
        </w:tc>
      </w:tr>
      <w:tr w:rsidR="00FE1607" w:rsidRPr="00E83BC2" w:rsidTr="00497035">
        <w:trPr>
          <w:trHeight w:val="390"/>
        </w:trPr>
        <w:tc>
          <w:tcPr>
            <w:tcW w:w="9006" w:type="dxa"/>
            <w:gridSpan w:val="7"/>
            <w:tcBorders>
              <w:top w:val="single" w:sz="8" w:space="0" w:color="auto"/>
              <w:left w:val="single" w:sz="8" w:space="0" w:color="auto"/>
              <w:bottom w:val="single" w:sz="8" w:space="0" w:color="auto"/>
              <w:right w:val="single" w:sz="8" w:space="0" w:color="000000"/>
            </w:tcBorders>
            <w:shd w:val="clear" w:color="000000" w:fill="9BC2E6"/>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Liquidity ratios</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Current ratio</w:t>
            </w:r>
          </w:p>
        </w:tc>
      </w:tr>
      <w:tr w:rsidR="00FE1607" w:rsidRPr="00E83BC2" w:rsidTr="00497035">
        <w:trPr>
          <w:trHeight w:val="315"/>
        </w:trPr>
        <w:tc>
          <w:tcPr>
            <w:tcW w:w="558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Current ratio = Current assets/Current liabilities</w:t>
            </w:r>
          </w:p>
        </w:tc>
        <w:tc>
          <w:tcPr>
            <w:tcW w:w="565"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1.96</w:t>
            </w:r>
          </w:p>
        </w:tc>
        <w:tc>
          <w:tcPr>
            <w:tcW w:w="577"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2.69</w:t>
            </w:r>
          </w:p>
        </w:tc>
        <w:tc>
          <w:tcPr>
            <w:tcW w:w="566"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2.40</w:t>
            </w:r>
          </w:p>
        </w:tc>
        <w:tc>
          <w:tcPr>
            <w:tcW w:w="57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2.47</w:t>
            </w:r>
          </w:p>
        </w:tc>
        <w:tc>
          <w:tcPr>
            <w:tcW w:w="565"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2.21</w:t>
            </w:r>
          </w:p>
        </w:tc>
        <w:tc>
          <w:tcPr>
            <w:tcW w:w="567"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2.16</w:t>
            </w:r>
          </w:p>
        </w:tc>
      </w:tr>
      <w:tr w:rsidR="00FE1607" w:rsidRPr="00E83BC2" w:rsidTr="00497035">
        <w:trPr>
          <w:trHeight w:val="300"/>
        </w:trPr>
        <w:tc>
          <w:tcPr>
            <w:tcW w:w="9006" w:type="dxa"/>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rPr>
            </w:pPr>
            <w:r w:rsidRPr="00E83BC2">
              <w:rPr>
                <w:rFonts w:ascii="Times New Roman" w:eastAsia="Times New Roman" w:hAnsi="Times New Roman" w:cs="Times New Roman"/>
                <w:b/>
                <w:bCs/>
                <w:color w:val="000000"/>
              </w:rPr>
              <w:t>Quick asset ratio</w:t>
            </w:r>
          </w:p>
        </w:tc>
      </w:tr>
      <w:tr w:rsidR="00FE1607" w:rsidRPr="00E83BC2" w:rsidTr="00497035">
        <w:trPr>
          <w:trHeight w:val="315"/>
        </w:trPr>
        <w:tc>
          <w:tcPr>
            <w:tcW w:w="558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rPr>
            </w:pPr>
            <w:r w:rsidRPr="00E83BC2">
              <w:rPr>
                <w:rFonts w:ascii="Times New Roman" w:eastAsia="Times New Roman" w:hAnsi="Times New Roman" w:cs="Times New Roman"/>
                <w:color w:val="000000"/>
              </w:rPr>
              <w:t>Quick asset ratio = (Current assets - stocks)/Current liabilities</w:t>
            </w:r>
          </w:p>
        </w:tc>
        <w:tc>
          <w:tcPr>
            <w:tcW w:w="565"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1.40</w:t>
            </w:r>
          </w:p>
        </w:tc>
        <w:tc>
          <w:tcPr>
            <w:tcW w:w="577"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2.09</w:t>
            </w:r>
          </w:p>
        </w:tc>
        <w:tc>
          <w:tcPr>
            <w:tcW w:w="566"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1.88</w:t>
            </w:r>
          </w:p>
        </w:tc>
        <w:tc>
          <w:tcPr>
            <w:tcW w:w="578"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1.88</w:t>
            </w:r>
          </w:p>
        </w:tc>
        <w:tc>
          <w:tcPr>
            <w:tcW w:w="565"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1.54</w:t>
            </w:r>
          </w:p>
        </w:tc>
        <w:tc>
          <w:tcPr>
            <w:tcW w:w="567" w:type="dxa"/>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rPr>
            </w:pPr>
            <w:r w:rsidRPr="00E83BC2">
              <w:rPr>
                <w:rFonts w:ascii="Times New Roman" w:eastAsia="Times New Roman" w:hAnsi="Times New Roman" w:cs="Times New Roman"/>
                <w:color w:val="000000"/>
                <w:sz w:val="18"/>
              </w:rPr>
              <w:t>1.50</w:t>
            </w:r>
          </w:p>
        </w:tc>
      </w:tr>
    </w:tbl>
    <w:p w:rsidR="00FE1607" w:rsidRPr="00E83BC2" w:rsidRDefault="00FE1607" w:rsidP="00FE1607">
      <w:pPr>
        <w:rPr>
          <w:rFonts w:ascii="Times New Roman" w:hAnsi="Times New Roman" w:cs="Times New Roman"/>
          <w:lang w:val="en-US"/>
        </w:rPr>
      </w:pPr>
    </w:p>
    <w:p w:rsidR="00FE1607" w:rsidRPr="00E83BC2" w:rsidRDefault="00FE1607" w:rsidP="00FE1607">
      <w:pPr>
        <w:numPr>
          <w:ilvl w:val="0"/>
          <w:numId w:val="7"/>
        </w:numPr>
        <w:rPr>
          <w:rFonts w:ascii="Times New Roman" w:hAnsi="Times New Roman" w:cs="Times New Roman"/>
          <w:b/>
          <w:lang w:val="en-US"/>
        </w:rPr>
      </w:pPr>
      <w:r w:rsidRPr="00E83BC2">
        <w:rPr>
          <w:rFonts w:ascii="Times New Roman" w:hAnsi="Times New Roman" w:cs="Times New Roman"/>
          <w:b/>
          <w:lang w:val="en-US"/>
        </w:rPr>
        <w:t>Current Ratio</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Current ratio is the ability to have enough current assets readily available to the payout 1 euro of current liability when it matures. The current ratio is the great measure of liquidity. It demonstrates whether the business can pay obligations due inside one year out of the current assets. For instance, a ratio of 1.5:1 would imply that a business has £1.50 of current assets for each £1 of current liabilities.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 xml:space="preserve">In our case, the company should not be more concerned over the current liabilities which matures in the current year. Although, the company has enough current assets available to pay out its current </w:t>
      </w:r>
      <w:r w:rsidR="001548E3" w:rsidRPr="00E83BC2">
        <w:rPr>
          <w:rFonts w:ascii="Times New Roman" w:hAnsi="Times New Roman" w:cs="Times New Roman"/>
          <w:lang w:val="en-US"/>
        </w:rPr>
        <w:t>liabilities,</w:t>
      </w:r>
      <w:r w:rsidRPr="00E83BC2">
        <w:rPr>
          <w:rFonts w:ascii="Times New Roman" w:hAnsi="Times New Roman" w:cs="Times New Roman"/>
          <w:lang w:val="en-US"/>
        </w:rPr>
        <w:t xml:space="preserve"> but the current ratio has significantly decreased by 27% in the year 2017.</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noProof/>
          <w:lang w:eastAsia="en-GB"/>
        </w:rPr>
        <w:lastRenderedPageBreak/>
        <w:drawing>
          <wp:inline distT="0" distB="0" distL="0" distR="0" wp14:anchorId="443CB0E2" wp14:editId="675AAAA3">
            <wp:extent cx="4752975" cy="2512060"/>
            <wp:effectExtent l="0" t="0" r="952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2975" cy="2512060"/>
                    </a:xfrm>
                    <a:prstGeom prst="rect">
                      <a:avLst/>
                    </a:prstGeom>
                    <a:noFill/>
                  </pic:spPr>
                </pic:pic>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7"/>
        </w:numPr>
        <w:rPr>
          <w:rFonts w:ascii="Times New Roman" w:hAnsi="Times New Roman" w:cs="Times New Roman"/>
          <w:b/>
          <w:lang w:val="en-US"/>
        </w:rPr>
      </w:pPr>
      <w:r w:rsidRPr="00E83BC2">
        <w:rPr>
          <w:rFonts w:ascii="Times New Roman" w:hAnsi="Times New Roman" w:cs="Times New Roman"/>
          <w:b/>
          <w:lang w:val="en-US"/>
        </w:rPr>
        <w:t>Quick Asset Ratio</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The quick ratio is a pointer of an organization's short-term liquidity and measures an organization's capacity to meet its running commitments with its most fluid or liquid assets. Since we're just worried about the most fluid assets, the ratio prohibits inventories from current assets.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 xml:space="preserve">In our case, the company should not be more concerned over the current liabilities which matures in the current year. Although, the company has enough liquid assets available to pay out its current </w:t>
      </w:r>
      <w:r w:rsidR="001548E3" w:rsidRPr="00E83BC2">
        <w:rPr>
          <w:rFonts w:ascii="Times New Roman" w:hAnsi="Times New Roman" w:cs="Times New Roman"/>
          <w:lang w:val="en-US"/>
        </w:rPr>
        <w:t>liabilities,</w:t>
      </w:r>
      <w:r w:rsidRPr="00E83BC2">
        <w:rPr>
          <w:rFonts w:ascii="Times New Roman" w:hAnsi="Times New Roman" w:cs="Times New Roman"/>
          <w:lang w:val="en-US"/>
        </w:rPr>
        <w:t xml:space="preserve"> but the quick asset ratio has significantly decreased by 33% in the year 2017.</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1C511592" wp14:editId="64F1CF19">
            <wp:extent cx="4264479" cy="2495550"/>
            <wp:effectExtent l="0" t="0" r="3175" b="0"/>
            <wp:docPr id="23" name="Chart 23">
              <a:extLst xmlns:a="http://schemas.openxmlformats.org/drawingml/2006/main">
                <a:ext uri="{FF2B5EF4-FFF2-40B4-BE49-F238E27FC236}">
                  <a16:creationId xmlns:a16="http://schemas.microsoft.com/office/drawing/2014/main" id="{1F020214-C514-41E6-9712-6D1DE707F5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rPr>
          <w:rFonts w:ascii="Times New Roman" w:hAnsi="Times New Roman" w:cs="Times New Roman"/>
          <w:sz w:val="36"/>
          <w:lang w:val="en-US"/>
        </w:rPr>
      </w:pPr>
    </w:p>
    <w:p w:rsidR="00FE1607" w:rsidRPr="00E83BC2" w:rsidRDefault="00FE1607" w:rsidP="00E83BC2">
      <w:pPr>
        <w:pStyle w:val="Heading4"/>
        <w:rPr>
          <w:rFonts w:ascii="Times New Roman" w:hAnsi="Times New Roman" w:cs="Times New Roman"/>
          <w:sz w:val="24"/>
          <w:lang w:val="en-US"/>
        </w:rPr>
      </w:pPr>
      <w:r w:rsidRPr="00E83BC2">
        <w:rPr>
          <w:rFonts w:ascii="Times New Roman" w:hAnsi="Times New Roman" w:cs="Times New Roman"/>
          <w:sz w:val="24"/>
          <w:lang w:val="en-US"/>
        </w:rPr>
        <w:t>Capital Gearing Ratios</w:t>
      </w:r>
    </w:p>
    <w:tbl>
      <w:tblPr>
        <w:tblW w:w="4874" w:type="pct"/>
        <w:tblInd w:w="10" w:type="dxa"/>
        <w:tblLayout w:type="fixed"/>
        <w:tblCellMar>
          <w:left w:w="10" w:type="dxa"/>
          <w:right w:w="10" w:type="dxa"/>
        </w:tblCellMar>
        <w:tblLook w:val="04A0" w:firstRow="1" w:lastRow="0" w:firstColumn="1" w:lastColumn="0" w:noHBand="0" w:noVBand="1"/>
      </w:tblPr>
      <w:tblGrid>
        <w:gridCol w:w="4526"/>
        <w:gridCol w:w="709"/>
        <w:gridCol w:w="709"/>
        <w:gridCol w:w="709"/>
        <w:gridCol w:w="708"/>
        <w:gridCol w:w="709"/>
        <w:gridCol w:w="709"/>
      </w:tblGrid>
      <w:tr w:rsidR="00FE1607" w:rsidRPr="00E83BC2" w:rsidTr="00497035">
        <w:trPr>
          <w:trHeight w:val="390"/>
        </w:trPr>
        <w:tc>
          <w:tcPr>
            <w:tcW w:w="25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RATIO ANALYSIS</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2017</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2016</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2015</w:t>
            </w:r>
          </w:p>
        </w:tc>
        <w:tc>
          <w:tcPr>
            <w:tcW w:w="403"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2014</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2013</w:t>
            </w:r>
          </w:p>
        </w:tc>
        <w:tc>
          <w:tcPr>
            <w:tcW w:w="403" w:type="pct"/>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2012</w:t>
            </w:r>
          </w:p>
        </w:tc>
      </w:tr>
      <w:tr w:rsidR="00FE1607" w:rsidRPr="00E83BC2" w:rsidTr="00497035">
        <w:trPr>
          <w:trHeight w:val="390"/>
        </w:trPr>
        <w:tc>
          <w:tcPr>
            <w:tcW w:w="5000" w:type="pct"/>
            <w:gridSpan w:val="7"/>
            <w:tcBorders>
              <w:top w:val="single" w:sz="8" w:space="0" w:color="auto"/>
              <w:left w:val="single" w:sz="8" w:space="0" w:color="auto"/>
              <w:bottom w:val="single" w:sz="8" w:space="0" w:color="auto"/>
              <w:right w:val="single" w:sz="8" w:space="0" w:color="000000"/>
            </w:tcBorders>
            <w:shd w:val="clear" w:color="000000" w:fill="9BC2E6"/>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Capital gearing ratios</w:t>
            </w:r>
          </w:p>
        </w:tc>
      </w:tr>
      <w:tr w:rsidR="00FE1607" w:rsidRPr="00E83BC2" w:rsidTr="00497035">
        <w:trPr>
          <w:trHeight w:val="30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lastRenderedPageBreak/>
              <w:t>Gearing ratio</w:t>
            </w:r>
          </w:p>
        </w:tc>
      </w:tr>
      <w:tr w:rsidR="00FE1607" w:rsidRPr="00E83BC2" w:rsidTr="00497035">
        <w:trPr>
          <w:trHeight w:val="315"/>
        </w:trPr>
        <w:tc>
          <w:tcPr>
            <w:tcW w:w="2577"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Gearing ratio = Long and short-term borrowings/Capital employed</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0.70</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0.84</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0.98</w:t>
            </w:r>
          </w:p>
        </w:tc>
        <w:tc>
          <w:tcPr>
            <w:tcW w:w="403"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1.05</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1.01</w:t>
            </w:r>
          </w:p>
        </w:tc>
        <w:tc>
          <w:tcPr>
            <w:tcW w:w="403"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0.97</w:t>
            </w:r>
          </w:p>
        </w:tc>
      </w:tr>
      <w:tr w:rsidR="00FE1607" w:rsidRPr="00E83BC2" w:rsidTr="00497035">
        <w:trPr>
          <w:trHeight w:val="60"/>
        </w:trPr>
        <w:tc>
          <w:tcPr>
            <w:tcW w:w="2577" w:type="pct"/>
            <w:tcBorders>
              <w:top w:val="nil"/>
              <w:left w:val="single" w:sz="8" w:space="0" w:color="auto"/>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Capital employed comprises Shareholders’ funds + total borrowings</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dashed" w:sz="4"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r>
      <w:tr w:rsidR="00FE1607" w:rsidRPr="00E83BC2" w:rsidTr="00497035">
        <w:trPr>
          <w:trHeight w:val="70"/>
        </w:trPr>
        <w:tc>
          <w:tcPr>
            <w:tcW w:w="2577" w:type="pct"/>
            <w:tcBorders>
              <w:top w:val="nil"/>
              <w:left w:val="single" w:sz="8" w:space="0" w:color="auto"/>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Capital employed comprises Total Assets less Current Liabilities</w:t>
            </w:r>
          </w:p>
        </w:tc>
        <w:tc>
          <w:tcPr>
            <w:tcW w:w="404" w:type="pct"/>
            <w:tcBorders>
              <w:top w:val="nil"/>
              <w:left w:val="nil"/>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nil"/>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nil"/>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r>
      <w:tr w:rsidR="00FE1607" w:rsidRPr="00E83BC2" w:rsidTr="00497035">
        <w:trPr>
          <w:trHeight w:val="30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Debt to equity</w:t>
            </w:r>
          </w:p>
        </w:tc>
      </w:tr>
      <w:tr w:rsidR="00FE1607" w:rsidRPr="00E83BC2" w:rsidTr="00497035">
        <w:trPr>
          <w:trHeight w:val="315"/>
        </w:trPr>
        <w:tc>
          <w:tcPr>
            <w:tcW w:w="2577"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Debt to equity ratio = Long and short-term borrowings/ Shareholders’ funds</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3.63</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18.65</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(14.71)</w:t>
            </w:r>
          </w:p>
        </w:tc>
        <w:tc>
          <w:tcPr>
            <w:tcW w:w="403"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(6.10)</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(7.52)</w:t>
            </w:r>
          </w:p>
        </w:tc>
        <w:tc>
          <w:tcPr>
            <w:tcW w:w="403"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(9.62)</w:t>
            </w:r>
          </w:p>
        </w:tc>
      </w:tr>
      <w:tr w:rsidR="00FE1607" w:rsidRPr="00E83BC2" w:rsidTr="00497035">
        <w:trPr>
          <w:trHeight w:val="60"/>
        </w:trPr>
        <w:tc>
          <w:tcPr>
            <w:tcW w:w="2577" w:type="pct"/>
            <w:tcBorders>
              <w:top w:val="nil"/>
              <w:left w:val="single" w:sz="8" w:space="0" w:color="auto"/>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Shareholders’ funds = equity + reserves</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4" w:type="pct"/>
            <w:tcBorders>
              <w:top w:val="nil"/>
              <w:left w:val="nil"/>
              <w:bottom w:val="dashed" w:sz="4"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c>
          <w:tcPr>
            <w:tcW w:w="403" w:type="pct"/>
            <w:tcBorders>
              <w:top w:val="nil"/>
              <w:left w:val="nil"/>
              <w:bottom w:val="dashed" w:sz="4"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4"/>
                <w:szCs w:val="14"/>
              </w:rPr>
            </w:pPr>
            <w:r w:rsidRPr="00E83BC2">
              <w:rPr>
                <w:rFonts w:ascii="Times New Roman" w:eastAsia="Times New Roman" w:hAnsi="Times New Roman" w:cs="Times New Roman"/>
                <w:color w:val="000000"/>
                <w:sz w:val="14"/>
                <w:szCs w:val="14"/>
              </w:rPr>
              <w:t> </w:t>
            </w:r>
          </w:p>
        </w:tc>
      </w:tr>
      <w:tr w:rsidR="00FE1607" w:rsidRPr="00E83BC2" w:rsidTr="00497035">
        <w:trPr>
          <w:trHeight w:val="300"/>
        </w:trPr>
        <w:tc>
          <w:tcPr>
            <w:tcW w:w="5000" w:type="pct"/>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Interest cover</w:t>
            </w:r>
          </w:p>
        </w:tc>
      </w:tr>
      <w:tr w:rsidR="00FE1607" w:rsidRPr="00E83BC2" w:rsidTr="00497035">
        <w:trPr>
          <w:trHeight w:val="315"/>
        </w:trPr>
        <w:tc>
          <w:tcPr>
            <w:tcW w:w="2577" w:type="pct"/>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Interest cover = EBIT/Interest charges</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5.53</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3.61</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2.09</w:t>
            </w:r>
          </w:p>
        </w:tc>
        <w:tc>
          <w:tcPr>
            <w:tcW w:w="403"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1.48</w:t>
            </w:r>
          </w:p>
        </w:tc>
        <w:tc>
          <w:tcPr>
            <w:tcW w:w="404" w:type="pct"/>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1.30</w:t>
            </w:r>
          </w:p>
        </w:tc>
        <w:tc>
          <w:tcPr>
            <w:tcW w:w="403" w:type="pct"/>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0.80</w:t>
            </w:r>
          </w:p>
        </w:tc>
      </w:tr>
    </w:tbl>
    <w:p w:rsidR="00FE1607" w:rsidRPr="00E83BC2" w:rsidRDefault="00FE1607" w:rsidP="00FE1607">
      <w:pPr>
        <w:spacing w:after="0" w:line="240" w:lineRule="auto"/>
        <w:rPr>
          <w:rFonts w:ascii="Times New Roman" w:hAnsi="Times New Roman" w:cs="Times New Roman"/>
          <w:lang w:val="en-US"/>
        </w:rPr>
      </w:pPr>
    </w:p>
    <w:p w:rsidR="00FE1607" w:rsidRPr="00E83BC2" w:rsidRDefault="00FE1607" w:rsidP="00FE1607">
      <w:pPr>
        <w:numPr>
          <w:ilvl w:val="0"/>
          <w:numId w:val="8"/>
        </w:numPr>
        <w:rPr>
          <w:rFonts w:ascii="Times New Roman" w:hAnsi="Times New Roman" w:cs="Times New Roman"/>
          <w:b/>
          <w:lang w:val="en-US"/>
        </w:rPr>
      </w:pPr>
      <w:r w:rsidRPr="00E83BC2">
        <w:rPr>
          <w:rFonts w:ascii="Times New Roman" w:hAnsi="Times New Roman" w:cs="Times New Roman"/>
          <w:b/>
          <w:lang w:val="en-US"/>
        </w:rPr>
        <w:t>Gearing Ratio</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Gearing ratio alludes to the principal examination ratio of an organization's level of long-term debt contrasted with its equity capital/capital employed. A business with a gearing ratio of over half is customarily said to be "high</w:t>
      </w:r>
      <w:r w:rsidR="00A12D9F">
        <w:rPr>
          <w:rFonts w:ascii="Times New Roman" w:hAnsi="Times New Roman" w:cs="Times New Roman"/>
          <w:lang w:val="en-US"/>
        </w:rPr>
        <w:t>ly geared". Something between 0.25% - 0.50</w:t>
      </w:r>
      <w:r w:rsidRPr="00E83BC2">
        <w:rPr>
          <w:rFonts w:ascii="Times New Roman" w:hAnsi="Times New Roman" w:cs="Times New Roman"/>
          <w:lang w:val="en-US"/>
        </w:rPr>
        <w:t>% would be viewed as typical for an entrenched business which is happy to back its exercises utilizing debt.</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 xml:space="preserve">So, the company under observation </w:t>
      </w:r>
      <w:r w:rsidR="00A12D9F">
        <w:rPr>
          <w:rFonts w:ascii="Times New Roman" w:hAnsi="Times New Roman" w:cs="Times New Roman"/>
          <w:lang w:val="en-US"/>
        </w:rPr>
        <w:t>is highly geared since it has 0.7</w:t>
      </w:r>
      <w:r w:rsidRPr="00E83BC2">
        <w:rPr>
          <w:rFonts w:ascii="Times New Roman" w:hAnsi="Times New Roman" w:cs="Times New Roman"/>
          <w:lang w:val="en-US"/>
        </w:rPr>
        <w:t>% more debts as compared to its overall assets les current liabilities.</w:t>
      </w:r>
      <w:r w:rsidR="00A12D9F">
        <w:rPr>
          <w:rFonts w:ascii="Times New Roman" w:hAnsi="Times New Roman" w:cs="Times New Roman"/>
          <w:lang w:val="en-US"/>
        </w:rPr>
        <w:t xml:space="preserve"> The company’s financial statement has been provided in Exhibit 1. The data was primarily collected from company’s annual report. </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5C85129B" wp14:editId="575152D0">
            <wp:extent cx="4264478" cy="2495550"/>
            <wp:effectExtent l="0" t="0" r="3175" b="0"/>
            <wp:docPr id="24" name="Chart 24">
              <a:extLst xmlns:a="http://schemas.openxmlformats.org/drawingml/2006/main">
                <a:ext uri="{FF2B5EF4-FFF2-40B4-BE49-F238E27FC236}">
                  <a16:creationId xmlns:a16="http://schemas.microsoft.com/office/drawing/2014/main" id="{7395AF1C-6BFA-491E-9681-2EC0276E34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8"/>
        </w:numPr>
        <w:rPr>
          <w:rFonts w:ascii="Times New Roman" w:hAnsi="Times New Roman" w:cs="Times New Roman"/>
          <w:b/>
          <w:lang w:val="en-US"/>
        </w:rPr>
      </w:pPr>
      <w:r w:rsidRPr="00E83BC2">
        <w:rPr>
          <w:rFonts w:ascii="Times New Roman" w:hAnsi="Times New Roman" w:cs="Times New Roman"/>
          <w:b/>
          <w:lang w:val="en-US"/>
        </w:rPr>
        <w:t>Debt to Equity</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The debt-to-equity ratio is a budgetary ratio showing the relative extent of shareholders' equity and debt used to fund an organization's benefits. Firmly identified with utilizing, the ratio is otherwise known as leverage, risk or gearing.</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For the four consecutive years the company has negative debt to equity ratio mainly due the losses occurred in the previous years. But from 2016 onwards, since the company enjoys greater net profits, it also strengthens the debt to equity ratio due to the positivity in the retained earnings of the company.</w:t>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lastRenderedPageBreak/>
        <w:drawing>
          <wp:inline distT="0" distB="0" distL="0" distR="0" wp14:anchorId="24CDD3C0" wp14:editId="23781CCB">
            <wp:extent cx="4264479" cy="2495550"/>
            <wp:effectExtent l="0" t="0" r="3175" b="0"/>
            <wp:docPr id="25" name="Chart 25">
              <a:extLst xmlns:a="http://schemas.openxmlformats.org/drawingml/2006/main">
                <a:ext uri="{FF2B5EF4-FFF2-40B4-BE49-F238E27FC236}">
                  <a16:creationId xmlns:a16="http://schemas.microsoft.com/office/drawing/2014/main" id="{75158281-9B39-4B13-888A-6FB80484C3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E1607" w:rsidRPr="00E83BC2" w:rsidRDefault="00FE1607" w:rsidP="00FE1607">
      <w:pPr>
        <w:numPr>
          <w:ilvl w:val="0"/>
          <w:numId w:val="8"/>
        </w:numPr>
        <w:rPr>
          <w:rFonts w:ascii="Times New Roman" w:hAnsi="Times New Roman" w:cs="Times New Roman"/>
          <w:b/>
          <w:lang w:val="en-US"/>
        </w:rPr>
      </w:pPr>
      <w:r w:rsidRPr="00E83BC2">
        <w:rPr>
          <w:rFonts w:ascii="Times New Roman" w:hAnsi="Times New Roman" w:cs="Times New Roman"/>
          <w:b/>
          <w:lang w:val="en-US"/>
        </w:rPr>
        <w:t>Interest Cover</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The interest coverage ratio (ICR) is a measure of an organization's capacity to meet its interest installments. Interest coverage ratio is equivalent to earnings before interest and taxes (EBIT) for a year, isolated by interest expenses for a similar time period. The Higher the interest covering ratio the better the company’s performance to cover its interest obligations.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Here the company has significantly improved its interest payable capabilities in the recent years mainly due to the good profitability.</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6DED6425" wp14:editId="316FC864">
            <wp:extent cx="4264479" cy="2495550"/>
            <wp:effectExtent l="0" t="0" r="3175" b="0"/>
            <wp:docPr id="26" name="Chart 26">
              <a:extLst xmlns:a="http://schemas.openxmlformats.org/drawingml/2006/main">
                <a:ext uri="{FF2B5EF4-FFF2-40B4-BE49-F238E27FC236}">
                  <a16:creationId xmlns:a16="http://schemas.microsoft.com/office/drawing/2014/main" id="{E1ADD06D-2906-46F7-82FE-1ADEC3555E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ind w:left="720"/>
        <w:rPr>
          <w:rFonts w:ascii="Times New Roman" w:hAnsi="Times New Roman" w:cs="Times New Roman"/>
          <w:lang w:val="en-US"/>
        </w:rPr>
      </w:pPr>
    </w:p>
    <w:p w:rsidR="00FE1607" w:rsidRPr="00E83BC2" w:rsidRDefault="00FE1607" w:rsidP="00FE1607">
      <w:pPr>
        <w:rPr>
          <w:rFonts w:ascii="Times New Roman" w:hAnsi="Times New Roman" w:cs="Times New Roman"/>
          <w:sz w:val="36"/>
          <w:lang w:val="en-US"/>
        </w:rPr>
      </w:pPr>
    </w:p>
    <w:p w:rsidR="00FE1607" w:rsidRPr="00E83BC2" w:rsidRDefault="00FE1607" w:rsidP="00E83BC2">
      <w:pPr>
        <w:pStyle w:val="Heading4"/>
        <w:rPr>
          <w:rFonts w:ascii="Times New Roman" w:hAnsi="Times New Roman" w:cs="Times New Roman"/>
          <w:sz w:val="24"/>
          <w:lang w:val="en-US"/>
        </w:rPr>
      </w:pPr>
      <w:r w:rsidRPr="00E83BC2">
        <w:rPr>
          <w:rFonts w:ascii="Times New Roman" w:hAnsi="Times New Roman" w:cs="Times New Roman"/>
          <w:sz w:val="24"/>
          <w:lang w:val="en-US"/>
        </w:rPr>
        <w:t>Capital Gearing Ratios</w:t>
      </w:r>
    </w:p>
    <w:tbl>
      <w:tblPr>
        <w:tblW w:w="0" w:type="auto"/>
        <w:tblInd w:w="10" w:type="dxa"/>
        <w:tblCellMar>
          <w:left w:w="10" w:type="dxa"/>
          <w:right w:w="10" w:type="dxa"/>
        </w:tblCellMar>
        <w:tblLook w:val="04A0" w:firstRow="1" w:lastRow="0" w:firstColumn="1" w:lastColumn="0" w:noHBand="0" w:noVBand="1"/>
      </w:tblPr>
      <w:tblGrid>
        <w:gridCol w:w="3778"/>
        <w:gridCol w:w="1001"/>
        <w:gridCol w:w="869"/>
        <w:gridCol w:w="861"/>
        <w:gridCol w:w="863"/>
        <w:gridCol w:w="635"/>
        <w:gridCol w:w="635"/>
      </w:tblGrid>
      <w:tr w:rsidR="00FE1607" w:rsidRPr="00E83BC2" w:rsidTr="00497035">
        <w:trPr>
          <w:trHeight w:val="390"/>
        </w:trPr>
        <w:tc>
          <w:tcPr>
            <w:tcW w:w="37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RATIO ANALYSIS</w:t>
            </w:r>
          </w:p>
        </w:tc>
        <w:tc>
          <w:tcPr>
            <w:tcW w:w="1001"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2017</w:t>
            </w:r>
          </w:p>
        </w:tc>
        <w:tc>
          <w:tcPr>
            <w:tcW w:w="869"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2016</w:t>
            </w:r>
          </w:p>
        </w:tc>
        <w:tc>
          <w:tcPr>
            <w:tcW w:w="861"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2015</w:t>
            </w:r>
          </w:p>
        </w:tc>
        <w:tc>
          <w:tcPr>
            <w:tcW w:w="863" w:type="dxa"/>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2013</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FE1607" w:rsidRPr="00E83BC2" w:rsidRDefault="00FE1607" w:rsidP="00497035">
            <w:pPr>
              <w:spacing w:after="0" w:line="240" w:lineRule="auto"/>
              <w:jc w:val="center"/>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2012</w:t>
            </w:r>
          </w:p>
        </w:tc>
      </w:tr>
      <w:tr w:rsidR="00FE1607" w:rsidRPr="00E83BC2" w:rsidTr="00497035">
        <w:trPr>
          <w:trHeight w:val="81"/>
        </w:trPr>
        <w:tc>
          <w:tcPr>
            <w:tcW w:w="0" w:type="auto"/>
            <w:gridSpan w:val="7"/>
            <w:tcBorders>
              <w:top w:val="dashed" w:sz="4" w:space="0" w:color="auto"/>
              <w:left w:val="single" w:sz="8" w:space="0" w:color="auto"/>
              <w:bottom w:val="dashed" w:sz="4" w:space="0" w:color="auto"/>
              <w:right w:val="single" w:sz="8" w:space="0" w:color="000000"/>
            </w:tcBorders>
            <w:shd w:val="clear" w:color="000000" w:fill="9BC2E6"/>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Investor ratios</w:t>
            </w:r>
          </w:p>
        </w:tc>
      </w:tr>
      <w:tr w:rsidR="00FE1607" w:rsidRPr="00E83BC2" w:rsidTr="00497035">
        <w:trPr>
          <w:trHeight w:val="300"/>
        </w:trPr>
        <w:tc>
          <w:tcPr>
            <w:tcW w:w="0" w:type="auto"/>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t>Earnings per share (EPS)</w:t>
            </w:r>
          </w:p>
        </w:tc>
      </w:tr>
      <w:tr w:rsidR="00FE1607" w:rsidRPr="00E83BC2" w:rsidTr="00497035">
        <w:trPr>
          <w:trHeight w:val="315"/>
        </w:trPr>
        <w:tc>
          <w:tcPr>
            <w:tcW w:w="377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EPS= Profit after interest and tax/Number of ordinary shares</w:t>
            </w:r>
          </w:p>
        </w:tc>
        <w:tc>
          <w:tcPr>
            <w:tcW w:w="1001"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2,160.78</w:t>
            </w:r>
          </w:p>
        </w:tc>
        <w:tc>
          <w:tcPr>
            <w:tcW w:w="86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1,333.69</w:t>
            </w:r>
          </w:p>
        </w:tc>
        <w:tc>
          <w:tcPr>
            <w:tcW w:w="861"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984.53</w:t>
            </w:r>
          </w:p>
        </w:tc>
        <w:tc>
          <w:tcPr>
            <w:tcW w:w="86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(39.68)</w:t>
            </w:r>
          </w:p>
        </w:tc>
        <w:tc>
          <w:tcPr>
            <w:tcW w:w="0" w:type="auto"/>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(145.11)</w:t>
            </w:r>
          </w:p>
        </w:tc>
        <w:tc>
          <w:tcPr>
            <w:tcW w:w="0" w:type="auto"/>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FF0000"/>
                <w:sz w:val="18"/>
                <w:szCs w:val="18"/>
              </w:rPr>
              <w:t>(309.80)</w:t>
            </w:r>
          </w:p>
        </w:tc>
      </w:tr>
      <w:tr w:rsidR="00FE1607" w:rsidRPr="00E83BC2" w:rsidTr="00497035">
        <w:trPr>
          <w:trHeight w:val="300"/>
        </w:trPr>
        <w:tc>
          <w:tcPr>
            <w:tcW w:w="0" w:type="auto"/>
            <w:gridSpan w:val="7"/>
            <w:tcBorders>
              <w:top w:val="single" w:sz="8" w:space="0" w:color="auto"/>
              <w:left w:val="single" w:sz="8" w:space="0" w:color="auto"/>
              <w:bottom w:val="dashed" w:sz="4" w:space="0" w:color="auto"/>
              <w:right w:val="single" w:sz="8" w:space="0" w:color="000000"/>
            </w:tcBorders>
            <w:shd w:val="clear" w:color="auto" w:fill="FFD966" w:themeFill="accent4" w:themeFillTint="99"/>
            <w:noWrap/>
            <w:vAlign w:val="bottom"/>
            <w:hideMark/>
          </w:tcPr>
          <w:p w:rsidR="00FE1607" w:rsidRPr="00E83BC2" w:rsidRDefault="00FE1607" w:rsidP="00497035">
            <w:pPr>
              <w:spacing w:after="0" w:line="240" w:lineRule="auto"/>
              <w:rPr>
                <w:rFonts w:ascii="Times New Roman" w:eastAsia="Times New Roman" w:hAnsi="Times New Roman" w:cs="Times New Roman"/>
                <w:b/>
                <w:bCs/>
                <w:color w:val="000000"/>
                <w:sz w:val="18"/>
                <w:szCs w:val="18"/>
              </w:rPr>
            </w:pPr>
            <w:r w:rsidRPr="00E83BC2">
              <w:rPr>
                <w:rFonts w:ascii="Times New Roman" w:eastAsia="Times New Roman" w:hAnsi="Times New Roman" w:cs="Times New Roman"/>
                <w:b/>
                <w:bCs/>
                <w:color w:val="000000"/>
                <w:sz w:val="18"/>
                <w:szCs w:val="18"/>
              </w:rPr>
              <w:lastRenderedPageBreak/>
              <w:t>Dividend yield</w:t>
            </w:r>
          </w:p>
        </w:tc>
      </w:tr>
      <w:tr w:rsidR="00FE1607" w:rsidRPr="00E83BC2" w:rsidTr="00497035">
        <w:trPr>
          <w:trHeight w:val="315"/>
        </w:trPr>
        <w:tc>
          <w:tcPr>
            <w:tcW w:w="3778" w:type="dxa"/>
            <w:tcBorders>
              <w:top w:val="nil"/>
              <w:left w:val="single" w:sz="8" w:space="0" w:color="auto"/>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Dividend cover = EBIT/Total dividend</w:t>
            </w:r>
          </w:p>
        </w:tc>
        <w:tc>
          <w:tcPr>
            <w:tcW w:w="1001"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8.46</w:t>
            </w:r>
          </w:p>
        </w:tc>
        <w:tc>
          <w:tcPr>
            <w:tcW w:w="869"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7.87</w:t>
            </w:r>
          </w:p>
        </w:tc>
        <w:tc>
          <w:tcPr>
            <w:tcW w:w="861"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25.73</w:t>
            </w:r>
          </w:p>
        </w:tc>
        <w:tc>
          <w:tcPr>
            <w:tcW w:w="863" w:type="dxa"/>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13.40</w:t>
            </w:r>
          </w:p>
        </w:tc>
        <w:tc>
          <w:tcPr>
            <w:tcW w:w="0" w:type="auto"/>
            <w:tcBorders>
              <w:top w:val="nil"/>
              <w:left w:val="nil"/>
              <w:bottom w:val="single" w:sz="8" w:space="0" w:color="auto"/>
              <w:right w:val="dashed" w:sz="4"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22.81</w:t>
            </w:r>
          </w:p>
        </w:tc>
        <w:tc>
          <w:tcPr>
            <w:tcW w:w="0" w:type="auto"/>
            <w:tcBorders>
              <w:top w:val="nil"/>
              <w:left w:val="nil"/>
              <w:bottom w:val="single" w:sz="8" w:space="0" w:color="auto"/>
              <w:right w:val="single" w:sz="8" w:space="0" w:color="auto"/>
            </w:tcBorders>
            <w:shd w:val="clear" w:color="auto" w:fill="auto"/>
            <w:noWrap/>
            <w:vAlign w:val="bottom"/>
            <w:hideMark/>
          </w:tcPr>
          <w:p w:rsidR="00FE1607" w:rsidRPr="00E83BC2" w:rsidRDefault="00FE1607" w:rsidP="00497035">
            <w:pPr>
              <w:spacing w:after="0" w:line="240" w:lineRule="auto"/>
              <w:jc w:val="right"/>
              <w:rPr>
                <w:rFonts w:ascii="Times New Roman" w:eastAsia="Times New Roman" w:hAnsi="Times New Roman" w:cs="Times New Roman"/>
                <w:color w:val="000000"/>
                <w:sz w:val="18"/>
                <w:szCs w:val="18"/>
              </w:rPr>
            </w:pPr>
            <w:r w:rsidRPr="00E83BC2">
              <w:rPr>
                <w:rFonts w:ascii="Times New Roman" w:eastAsia="Times New Roman" w:hAnsi="Times New Roman" w:cs="Times New Roman"/>
                <w:color w:val="000000"/>
                <w:sz w:val="18"/>
                <w:szCs w:val="18"/>
              </w:rPr>
              <w:t>19.10</w:t>
            </w:r>
          </w:p>
        </w:tc>
      </w:tr>
    </w:tbl>
    <w:p w:rsidR="00FE1607" w:rsidRPr="00E83BC2" w:rsidRDefault="00FE1607" w:rsidP="00FE1607">
      <w:pPr>
        <w:rPr>
          <w:rFonts w:ascii="Times New Roman" w:hAnsi="Times New Roman" w:cs="Times New Roman"/>
          <w:lang w:val="en-US"/>
        </w:rPr>
      </w:pPr>
    </w:p>
    <w:p w:rsidR="00FE1607" w:rsidRPr="00E83BC2" w:rsidRDefault="00FE1607" w:rsidP="00FE1607">
      <w:pPr>
        <w:numPr>
          <w:ilvl w:val="0"/>
          <w:numId w:val="9"/>
        </w:numPr>
        <w:rPr>
          <w:rFonts w:ascii="Times New Roman" w:hAnsi="Times New Roman" w:cs="Times New Roman"/>
          <w:b/>
          <w:lang w:val="en-US"/>
        </w:rPr>
      </w:pPr>
      <w:r w:rsidRPr="00E83BC2">
        <w:rPr>
          <w:rFonts w:ascii="Times New Roman" w:hAnsi="Times New Roman" w:cs="Times New Roman"/>
          <w:b/>
          <w:lang w:val="en-US"/>
        </w:rPr>
        <w:t>Earnings Per Share (EPS)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Earnings per share (EPS) is the bit of an organization's benefit assigned to each outstanding share of common stock. Earnings per share fill in as a marker of an organization's gainfulness.</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As the company has covered up its losses from 2015 so the EPS has also increased significantly subject to the constant number of its common shares traded in the market as the company hasn’t offered any more common shares to its shareholders.</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drawing>
          <wp:inline distT="0" distB="0" distL="0" distR="0" wp14:anchorId="5FB5CEF2" wp14:editId="16CAEE6A">
            <wp:extent cx="4264478" cy="2495550"/>
            <wp:effectExtent l="0" t="0" r="3175" b="0"/>
            <wp:docPr id="27" name="Chart 27">
              <a:extLst xmlns:a="http://schemas.openxmlformats.org/drawingml/2006/main">
                <a:ext uri="{FF2B5EF4-FFF2-40B4-BE49-F238E27FC236}">
                  <a16:creationId xmlns:a16="http://schemas.microsoft.com/office/drawing/2014/main" id="{076734EF-1682-4F2A-9252-61719C3290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rsidP="00FE1607">
      <w:pPr>
        <w:numPr>
          <w:ilvl w:val="0"/>
          <w:numId w:val="9"/>
        </w:numPr>
        <w:rPr>
          <w:rFonts w:ascii="Times New Roman" w:hAnsi="Times New Roman" w:cs="Times New Roman"/>
          <w:b/>
          <w:lang w:val="en-US"/>
        </w:rPr>
      </w:pPr>
      <w:r w:rsidRPr="00E83BC2">
        <w:rPr>
          <w:rFonts w:ascii="Times New Roman" w:hAnsi="Times New Roman" w:cs="Times New Roman"/>
          <w:b/>
          <w:lang w:val="en-US"/>
        </w:rPr>
        <w:t>Dividend Yield / Payout Ratio</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Dividend yield is the proportion of the organization's net profit over the dividend paid to investors, computed as profit per share partitioned by the dividend per share. It demonstrates how supportable a dividend is. Dividend Cover of under 1.5 may demonstrate a risk of a dividend cut while more than 2 is seen as sound.</w:t>
      </w:r>
    </w:p>
    <w:p w:rsidR="00FE1607" w:rsidRPr="00E83BC2" w:rsidRDefault="00FE1607" w:rsidP="00FE1607">
      <w:pPr>
        <w:ind w:left="720"/>
        <w:rPr>
          <w:rFonts w:ascii="Times New Roman" w:hAnsi="Times New Roman" w:cs="Times New Roman"/>
          <w:lang w:val="en-US"/>
        </w:rPr>
      </w:pPr>
      <w:r w:rsidRPr="00E83BC2">
        <w:rPr>
          <w:rFonts w:ascii="Times New Roman" w:hAnsi="Times New Roman" w:cs="Times New Roman"/>
          <w:lang w:val="en-US"/>
        </w:rPr>
        <w:t>The company has given more dividends out of its retained earnings even in the years of losses it has sustained mainly because to hold its shareholders. The decision to pay dividend is the subjective one because it is the power of the board of directors to announce whether to pay dividend or not.</w:t>
      </w:r>
    </w:p>
    <w:p w:rsidR="00FE1607" w:rsidRPr="00E83BC2" w:rsidRDefault="00FE1607" w:rsidP="00FE1607">
      <w:pPr>
        <w:ind w:left="720"/>
        <w:jc w:val="center"/>
        <w:rPr>
          <w:rFonts w:ascii="Times New Roman" w:hAnsi="Times New Roman" w:cs="Times New Roman"/>
          <w:lang w:val="en-US"/>
        </w:rPr>
      </w:pPr>
      <w:r w:rsidRPr="00E83BC2">
        <w:rPr>
          <w:rFonts w:ascii="Times New Roman" w:hAnsi="Times New Roman" w:cs="Times New Roman"/>
          <w:noProof/>
          <w:lang w:eastAsia="en-GB"/>
        </w:rPr>
        <w:lastRenderedPageBreak/>
        <w:drawing>
          <wp:inline distT="0" distB="0" distL="0" distR="0" wp14:anchorId="595A4B4F" wp14:editId="627D7E50">
            <wp:extent cx="4264479" cy="2495550"/>
            <wp:effectExtent l="0" t="0" r="3175" b="0"/>
            <wp:docPr id="28" name="Chart 28">
              <a:extLst xmlns:a="http://schemas.openxmlformats.org/drawingml/2006/main">
                <a:ext uri="{FF2B5EF4-FFF2-40B4-BE49-F238E27FC236}">
                  <a16:creationId xmlns:a16="http://schemas.microsoft.com/office/drawing/2014/main" id="{18816A25-AB5D-4EAE-81F4-FF5FC13B0B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E1607" w:rsidRPr="00E83BC2" w:rsidRDefault="00FE1607" w:rsidP="00FE1607">
      <w:pPr>
        <w:ind w:left="720"/>
        <w:rPr>
          <w:rFonts w:ascii="Times New Roman" w:hAnsi="Times New Roman" w:cs="Times New Roman"/>
          <w:lang w:val="en-US"/>
        </w:rPr>
      </w:pPr>
    </w:p>
    <w:p w:rsidR="00FE1607" w:rsidRPr="00E83BC2" w:rsidRDefault="00FE1607">
      <w:pPr>
        <w:rPr>
          <w:rFonts w:ascii="Times New Roman" w:hAnsi="Times New Roman" w:cs="Times New Roman"/>
          <w:sz w:val="24"/>
        </w:rPr>
      </w:pPr>
    </w:p>
    <w:p w:rsidR="00B275EB" w:rsidRPr="00E83BC2" w:rsidRDefault="00B275EB" w:rsidP="000E45A9">
      <w:pPr>
        <w:pStyle w:val="Heading1"/>
        <w:rPr>
          <w:rFonts w:ascii="Times New Roman" w:hAnsi="Times New Roman" w:cs="Times New Roman"/>
        </w:rPr>
      </w:pPr>
      <w:bookmarkStart w:id="7" w:name="_Toc523612413"/>
      <w:r w:rsidRPr="00E83BC2">
        <w:rPr>
          <w:rFonts w:ascii="Times New Roman" w:hAnsi="Times New Roman" w:cs="Times New Roman"/>
        </w:rPr>
        <w:t>External Analysis</w:t>
      </w:r>
      <w:bookmarkEnd w:id="7"/>
    </w:p>
    <w:p w:rsidR="00B275EB" w:rsidRPr="00E83BC2" w:rsidRDefault="00B275EB" w:rsidP="000E45A9">
      <w:pPr>
        <w:pStyle w:val="Heading2"/>
        <w:rPr>
          <w:rFonts w:ascii="Times New Roman" w:hAnsi="Times New Roman" w:cs="Times New Roman"/>
        </w:rPr>
      </w:pPr>
      <w:bookmarkStart w:id="8" w:name="_Toc523612414"/>
      <w:r w:rsidRPr="00E83BC2">
        <w:rPr>
          <w:rFonts w:ascii="Times New Roman" w:hAnsi="Times New Roman" w:cs="Times New Roman"/>
        </w:rPr>
        <w:t>Porter’s 5 Forces</w:t>
      </w:r>
      <w:bookmarkEnd w:id="8"/>
      <w:r w:rsidRPr="00E83BC2">
        <w:rPr>
          <w:rFonts w:ascii="Times New Roman" w:hAnsi="Times New Roman" w:cs="Times New Roman"/>
        </w:rPr>
        <w:t xml:space="preserve"> </w:t>
      </w:r>
    </w:p>
    <w:p w:rsidR="00BD328C" w:rsidRPr="00E83BC2" w:rsidRDefault="00BD328C" w:rsidP="000E45A9">
      <w:pPr>
        <w:pStyle w:val="Heading3"/>
        <w:rPr>
          <w:rFonts w:ascii="Times New Roman" w:hAnsi="Times New Roman" w:cs="Times New Roman"/>
        </w:rPr>
      </w:pPr>
      <w:bookmarkStart w:id="9" w:name="_Toc523612415"/>
      <w:r w:rsidRPr="00E83BC2">
        <w:rPr>
          <w:rFonts w:ascii="Times New Roman" w:hAnsi="Times New Roman" w:cs="Times New Roman"/>
        </w:rPr>
        <w:t>Competitive Rivalry - High</w:t>
      </w:r>
      <w:bookmarkEnd w:id="9"/>
    </w:p>
    <w:p w:rsidR="00BD328C" w:rsidRPr="00E83BC2" w:rsidRDefault="00BD328C" w:rsidP="00BD328C">
      <w:pPr>
        <w:rPr>
          <w:rFonts w:ascii="Times New Roman" w:hAnsi="Times New Roman" w:cs="Times New Roman"/>
          <w:sz w:val="24"/>
        </w:rPr>
      </w:pPr>
      <w:r w:rsidRPr="00E83BC2">
        <w:rPr>
          <w:rFonts w:ascii="Times New Roman" w:hAnsi="Times New Roman" w:cs="Times New Roman"/>
          <w:sz w:val="24"/>
        </w:rPr>
        <w:t xml:space="preserve">Competitive rivalry remains high where competitors such as BASF, ExxonMobil, Ineos, Dow Chemical, and others exist. These companies have availability in many segments of chemical production and that is what makes it competitive. The only way they can differentiate their company from the market, is to come up with innovative products. </w:t>
      </w:r>
    </w:p>
    <w:p w:rsidR="00BD328C" w:rsidRPr="00E83BC2" w:rsidRDefault="00BD328C">
      <w:pPr>
        <w:rPr>
          <w:rFonts w:ascii="Times New Roman" w:hAnsi="Times New Roman" w:cs="Times New Roman"/>
          <w:sz w:val="24"/>
        </w:rPr>
      </w:pPr>
    </w:p>
    <w:p w:rsidR="008253D1" w:rsidRPr="00E83BC2" w:rsidRDefault="008253D1" w:rsidP="000E45A9">
      <w:pPr>
        <w:pStyle w:val="Heading3"/>
        <w:rPr>
          <w:rFonts w:ascii="Times New Roman" w:hAnsi="Times New Roman" w:cs="Times New Roman"/>
        </w:rPr>
      </w:pPr>
      <w:bookmarkStart w:id="10" w:name="_Toc523612416"/>
      <w:r w:rsidRPr="00E83BC2">
        <w:rPr>
          <w:rFonts w:ascii="Times New Roman" w:hAnsi="Times New Roman" w:cs="Times New Roman"/>
        </w:rPr>
        <w:t>Threat of a New Entrant</w:t>
      </w:r>
      <w:r w:rsidR="000F5595" w:rsidRPr="00E83BC2">
        <w:rPr>
          <w:rFonts w:ascii="Times New Roman" w:hAnsi="Times New Roman" w:cs="Times New Roman"/>
        </w:rPr>
        <w:t xml:space="preserve"> - Low</w:t>
      </w:r>
      <w:bookmarkEnd w:id="10"/>
    </w:p>
    <w:p w:rsidR="00BA5FC6" w:rsidRPr="00E83BC2" w:rsidRDefault="0018466D">
      <w:pPr>
        <w:rPr>
          <w:rFonts w:ascii="Times New Roman" w:hAnsi="Times New Roman" w:cs="Times New Roman"/>
          <w:sz w:val="24"/>
        </w:rPr>
      </w:pPr>
      <w:r w:rsidRPr="00E83BC2">
        <w:rPr>
          <w:rFonts w:ascii="Times New Roman" w:hAnsi="Times New Roman" w:cs="Times New Roman"/>
          <w:sz w:val="24"/>
        </w:rPr>
        <w:t xml:space="preserve">Players in the chemical industry are dominated by countries such as Europe, US, and Japan. As these companies invests millions in research and exploring new methods and techniques of production, it is always difficult for companies enter into this market. </w:t>
      </w:r>
      <w:r w:rsidR="00A57215" w:rsidRPr="00E83BC2">
        <w:rPr>
          <w:rFonts w:ascii="Times New Roman" w:hAnsi="Times New Roman" w:cs="Times New Roman"/>
          <w:sz w:val="24"/>
        </w:rPr>
        <w:t xml:space="preserve">For example, companies identifying a new method of recovering shale gas from underneath parts of the UK by the process known as fracking could require investment of million pounds. It is impossible for a new company to make investment such large. </w:t>
      </w:r>
    </w:p>
    <w:p w:rsidR="008253D1" w:rsidRPr="00E83BC2" w:rsidRDefault="008253D1" w:rsidP="000E45A9">
      <w:pPr>
        <w:pStyle w:val="Heading3"/>
        <w:rPr>
          <w:rFonts w:ascii="Times New Roman" w:hAnsi="Times New Roman" w:cs="Times New Roman"/>
        </w:rPr>
      </w:pPr>
      <w:bookmarkStart w:id="11" w:name="_Toc523612417"/>
      <w:r w:rsidRPr="00E83BC2">
        <w:rPr>
          <w:rFonts w:ascii="Times New Roman" w:hAnsi="Times New Roman" w:cs="Times New Roman"/>
        </w:rPr>
        <w:t>Threat of a Substitute</w:t>
      </w:r>
      <w:r w:rsidR="00260D5B" w:rsidRPr="00E83BC2">
        <w:rPr>
          <w:rFonts w:ascii="Times New Roman" w:hAnsi="Times New Roman" w:cs="Times New Roman"/>
        </w:rPr>
        <w:t xml:space="preserve"> – Medium</w:t>
      </w:r>
      <w:bookmarkEnd w:id="11"/>
      <w:r w:rsidR="00260D5B" w:rsidRPr="00E83BC2">
        <w:rPr>
          <w:rFonts w:ascii="Times New Roman" w:hAnsi="Times New Roman" w:cs="Times New Roman"/>
        </w:rPr>
        <w:t xml:space="preserve"> </w:t>
      </w:r>
    </w:p>
    <w:p w:rsidR="00BA5FC6" w:rsidRPr="00E83BC2" w:rsidRDefault="000F5595">
      <w:pPr>
        <w:rPr>
          <w:rFonts w:ascii="Times New Roman" w:hAnsi="Times New Roman" w:cs="Times New Roman"/>
          <w:sz w:val="24"/>
        </w:rPr>
      </w:pPr>
      <w:r w:rsidRPr="00E83BC2">
        <w:rPr>
          <w:rFonts w:ascii="Times New Roman" w:hAnsi="Times New Roman" w:cs="Times New Roman"/>
          <w:sz w:val="24"/>
        </w:rPr>
        <w:t xml:space="preserve">It is possible for chemical companies to develop substitute products, but it is never easy. </w:t>
      </w:r>
      <w:r w:rsidR="00260D5B" w:rsidRPr="00E83BC2">
        <w:rPr>
          <w:rFonts w:ascii="Times New Roman" w:hAnsi="Times New Roman" w:cs="Times New Roman"/>
          <w:sz w:val="24"/>
        </w:rPr>
        <w:t xml:space="preserve">More than it requires a strong Research and Development, it needs higher degree of knowledge alongside experts a company could depend. </w:t>
      </w:r>
    </w:p>
    <w:p w:rsidR="008253D1" w:rsidRPr="00E83BC2" w:rsidRDefault="008253D1" w:rsidP="000E45A9">
      <w:pPr>
        <w:pStyle w:val="Heading3"/>
        <w:rPr>
          <w:rFonts w:ascii="Times New Roman" w:hAnsi="Times New Roman" w:cs="Times New Roman"/>
        </w:rPr>
      </w:pPr>
      <w:bookmarkStart w:id="12" w:name="_Toc523612418"/>
      <w:r w:rsidRPr="00E83BC2">
        <w:rPr>
          <w:rFonts w:ascii="Times New Roman" w:hAnsi="Times New Roman" w:cs="Times New Roman"/>
        </w:rPr>
        <w:t>Bargaining Power of Suppliers</w:t>
      </w:r>
      <w:r w:rsidR="00260D5B" w:rsidRPr="00E83BC2">
        <w:rPr>
          <w:rFonts w:ascii="Times New Roman" w:hAnsi="Times New Roman" w:cs="Times New Roman"/>
        </w:rPr>
        <w:t xml:space="preserve"> – Low</w:t>
      </w:r>
      <w:bookmarkEnd w:id="12"/>
    </w:p>
    <w:p w:rsidR="00BA5FC6" w:rsidRPr="00E83BC2" w:rsidRDefault="00260D5B">
      <w:pPr>
        <w:rPr>
          <w:rFonts w:ascii="Times New Roman" w:hAnsi="Times New Roman" w:cs="Times New Roman"/>
          <w:sz w:val="24"/>
        </w:rPr>
      </w:pPr>
      <w:r w:rsidRPr="00E83BC2">
        <w:rPr>
          <w:rFonts w:ascii="Times New Roman" w:hAnsi="Times New Roman" w:cs="Times New Roman"/>
          <w:sz w:val="24"/>
        </w:rPr>
        <w:t xml:space="preserve">Chemical companies have to face a lower supplier power because they can ultimately receive raw materials for their product from a number of suppliers located across the world. With a company located in Europe, it is possible for them to export raw materials at significantly lower quotation. </w:t>
      </w:r>
    </w:p>
    <w:p w:rsidR="008253D1" w:rsidRPr="00E83BC2" w:rsidRDefault="008253D1" w:rsidP="000E45A9">
      <w:pPr>
        <w:pStyle w:val="Heading3"/>
        <w:rPr>
          <w:rFonts w:ascii="Times New Roman" w:hAnsi="Times New Roman" w:cs="Times New Roman"/>
        </w:rPr>
      </w:pPr>
      <w:bookmarkStart w:id="13" w:name="_Toc523612419"/>
      <w:r w:rsidRPr="00E83BC2">
        <w:rPr>
          <w:rFonts w:ascii="Times New Roman" w:hAnsi="Times New Roman" w:cs="Times New Roman"/>
        </w:rPr>
        <w:lastRenderedPageBreak/>
        <w:t>Bargaining Power of Buyers</w:t>
      </w:r>
      <w:r w:rsidR="00010309" w:rsidRPr="00E83BC2">
        <w:rPr>
          <w:rFonts w:ascii="Times New Roman" w:hAnsi="Times New Roman" w:cs="Times New Roman"/>
        </w:rPr>
        <w:t xml:space="preserve"> - High</w:t>
      </w:r>
      <w:bookmarkEnd w:id="13"/>
    </w:p>
    <w:p w:rsidR="00B275EB" w:rsidRPr="00E83BC2" w:rsidRDefault="00010309">
      <w:pPr>
        <w:rPr>
          <w:rFonts w:ascii="Times New Roman" w:hAnsi="Times New Roman" w:cs="Times New Roman"/>
          <w:sz w:val="24"/>
        </w:rPr>
      </w:pPr>
      <w:r w:rsidRPr="00E83BC2">
        <w:rPr>
          <w:rFonts w:ascii="Times New Roman" w:hAnsi="Times New Roman" w:cs="Times New Roman"/>
          <w:sz w:val="24"/>
        </w:rPr>
        <w:t xml:space="preserve">Bargaining power of a buyer will be low because as said earlier, there are numerous chemical companies that are available in the market. However, some companies may offer superior products than others, but in general buyers have many products to choose from and it could always push companies to innovate their products to provide value to these customers. </w:t>
      </w:r>
    </w:p>
    <w:p w:rsidR="00F20A63" w:rsidRPr="00E83BC2" w:rsidRDefault="00B275EB" w:rsidP="00F20A63">
      <w:pPr>
        <w:pStyle w:val="Heading1"/>
        <w:rPr>
          <w:rFonts w:ascii="Times New Roman" w:hAnsi="Times New Roman" w:cs="Times New Roman"/>
        </w:rPr>
      </w:pPr>
      <w:bookmarkStart w:id="14" w:name="_Toc523612420"/>
      <w:r w:rsidRPr="00E83BC2">
        <w:rPr>
          <w:rFonts w:ascii="Times New Roman" w:hAnsi="Times New Roman" w:cs="Times New Roman"/>
        </w:rPr>
        <w:t>Alternative Approaches</w:t>
      </w:r>
      <w:bookmarkEnd w:id="14"/>
      <w:r w:rsidRPr="00E83BC2">
        <w:rPr>
          <w:rFonts w:ascii="Times New Roman" w:hAnsi="Times New Roman" w:cs="Times New Roman"/>
        </w:rPr>
        <w:t xml:space="preserve"> </w:t>
      </w:r>
    </w:p>
    <w:p w:rsidR="00B275EB" w:rsidRPr="00E83BC2" w:rsidRDefault="00B275EB" w:rsidP="00F20A63">
      <w:pPr>
        <w:pStyle w:val="Heading2"/>
        <w:rPr>
          <w:rFonts w:ascii="Times New Roman" w:hAnsi="Times New Roman" w:cs="Times New Roman"/>
        </w:rPr>
      </w:pPr>
      <w:bookmarkStart w:id="15" w:name="_Toc523612421"/>
      <w:r w:rsidRPr="00E83BC2">
        <w:rPr>
          <w:rFonts w:ascii="Times New Roman" w:hAnsi="Times New Roman" w:cs="Times New Roman"/>
        </w:rPr>
        <w:t>Alternative 1</w:t>
      </w:r>
      <w:r w:rsidR="000E45A9" w:rsidRPr="00E83BC2">
        <w:rPr>
          <w:rFonts w:ascii="Times New Roman" w:hAnsi="Times New Roman" w:cs="Times New Roman"/>
        </w:rPr>
        <w:t>: Do Nothing</w:t>
      </w:r>
      <w:bookmarkEnd w:id="15"/>
    </w:p>
    <w:p w:rsidR="00C84127" w:rsidRPr="00E83BC2" w:rsidRDefault="008D05FE">
      <w:pPr>
        <w:rPr>
          <w:rFonts w:ascii="Times New Roman" w:hAnsi="Times New Roman" w:cs="Times New Roman"/>
          <w:sz w:val="24"/>
        </w:rPr>
      </w:pPr>
      <w:r w:rsidRPr="00E83BC2">
        <w:rPr>
          <w:rFonts w:ascii="Times New Roman" w:hAnsi="Times New Roman" w:cs="Times New Roman"/>
          <w:sz w:val="24"/>
        </w:rPr>
        <w:t>Ineos has done well so far using a strategy that has led to its success. This strategy is entirely based on buying cast-offs parts of big businesses, and now Jim Ratcliffe, the Chairman and CEO of Ineos has made £2</w:t>
      </w:r>
      <w:r w:rsidR="00C84127" w:rsidRPr="00E83BC2">
        <w:rPr>
          <w:rFonts w:ascii="Times New Roman" w:hAnsi="Times New Roman" w:cs="Times New Roman"/>
          <w:sz w:val="24"/>
        </w:rPr>
        <w:t xml:space="preserve">1bn of fortune. Considering this strategy, the company is least bothered about different industries it has invested. Making cast-offs parts as cash cows, the company adopted an unrelated diversification strategy. As a result, it entered into industries in which it did not had prior </w:t>
      </w:r>
      <w:r w:rsidR="001548E3" w:rsidRPr="00E83BC2">
        <w:rPr>
          <w:rFonts w:ascii="Times New Roman" w:hAnsi="Times New Roman" w:cs="Times New Roman"/>
          <w:sz w:val="24"/>
        </w:rPr>
        <w:t>experience or</w:t>
      </w:r>
      <w:r w:rsidR="00C84127" w:rsidRPr="00E83BC2">
        <w:rPr>
          <w:rFonts w:ascii="Times New Roman" w:hAnsi="Times New Roman" w:cs="Times New Roman"/>
          <w:sz w:val="24"/>
        </w:rPr>
        <w:t xml:space="preserve"> had limited knowledge. </w:t>
      </w:r>
    </w:p>
    <w:p w:rsidR="00B275EB" w:rsidRPr="00E83BC2" w:rsidRDefault="00D07860" w:rsidP="00F20A63">
      <w:pPr>
        <w:pStyle w:val="Heading3"/>
        <w:rPr>
          <w:rFonts w:ascii="Times New Roman" w:hAnsi="Times New Roman" w:cs="Times New Roman"/>
        </w:rPr>
      </w:pPr>
      <w:bookmarkStart w:id="16" w:name="_Toc523612422"/>
      <w:r w:rsidRPr="00E83BC2">
        <w:rPr>
          <w:rFonts w:ascii="Times New Roman" w:hAnsi="Times New Roman" w:cs="Times New Roman"/>
        </w:rPr>
        <w:t>Pros</w:t>
      </w:r>
      <w:bookmarkEnd w:id="16"/>
      <w:r w:rsidRPr="00E83BC2">
        <w:rPr>
          <w:rFonts w:ascii="Times New Roman" w:hAnsi="Times New Roman" w:cs="Times New Roman"/>
        </w:rPr>
        <w:t xml:space="preserve"> </w:t>
      </w:r>
    </w:p>
    <w:p w:rsidR="00D07860" w:rsidRPr="00E83BC2" w:rsidRDefault="00D07860">
      <w:pPr>
        <w:rPr>
          <w:rFonts w:ascii="Times New Roman" w:hAnsi="Times New Roman" w:cs="Times New Roman"/>
          <w:sz w:val="24"/>
        </w:rPr>
      </w:pPr>
      <w:r w:rsidRPr="00E83BC2">
        <w:rPr>
          <w:rFonts w:ascii="Times New Roman" w:hAnsi="Times New Roman" w:cs="Times New Roman"/>
          <w:sz w:val="24"/>
        </w:rPr>
        <w:t>This strategy has deemed useful previously and will continue yield r</w:t>
      </w:r>
      <w:r w:rsidR="00F27DE7" w:rsidRPr="00E83BC2">
        <w:rPr>
          <w:rFonts w:ascii="Times New Roman" w:hAnsi="Times New Roman" w:cs="Times New Roman"/>
          <w:sz w:val="24"/>
        </w:rPr>
        <w:t xml:space="preserve">evenues for the company. Jim Ratcliffe has the ability to see potential in every business and most of the times it works for the company. If Ineos continues to do the same, then it is possible that the company might do wonders when it comes to </w:t>
      </w:r>
      <w:r w:rsidR="005D0727" w:rsidRPr="00E83BC2">
        <w:rPr>
          <w:rFonts w:ascii="Times New Roman" w:hAnsi="Times New Roman" w:cs="Times New Roman"/>
          <w:sz w:val="24"/>
        </w:rPr>
        <w:t xml:space="preserve">improving the financial health of cast-off businesses. </w:t>
      </w:r>
    </w:p>
    <w:p w:rsidR="005D0727" w:rsidRPr="00E83BC2" w:rsidRDefault="00F20A63">
      <w:pPr>
        <w:rPr>
          <w:rFonts w:ascii="Times New Roman" w:hAnsi="Times New Roman" w:cs="Times New Roman"/>
          <w:sz w:val="24"/>
        </w:rPr>
      </w:pPr>
      <w:r w:rsidRPr="00E83BC2">
        <w:rPr>
          <w:rFonts w:ascii="Times New Roman" w:hAnsi="Times New Roman" w:cs="Times New Roman"/>
          <w:sz w:val="24"/>
        </w:rPr>
        <w:t>The company is currently competing in many different markets i.e. adhesives, agriculture, automotive, bio fuels, chemicals, coatings, construction, cosmetics, food, medical and pharma, and so much more</w:t>
      </w:r>
      <w:sdt>
        <w:sdtPr>
          <w:rPr>
            <w:rFonts w:ascii="Times New Roman" w:hAnsi="Times New Roman" w:cs="Times New Roman"/>
            <w:sz w:val="24"/>
          </w:rPr>
          <w:id w:val="-701403976"/>
          <w:citation/>
        </w:sdtPr>
        <w:sdtEndPr/>
        <w:sdtContent>
          <w:r w:rsidR="00D25093">
            <w:rPr>
              <w:rFonts w:ascii="Times New Roman" w:hAnsi="Times New Roman" w:cs="Times New Roman"/>
              <w:sz w:val="24"/>
            </w:rPr>
            <w:fldChar w:fldCharType="begin"/>
          </w:r>
          <w:r w:rsidR="00D25093">
            <w:rPr>
              <w:rFonts w:ascii="Times New Roman" w:hAnsi="Times New Roman" w:cs="Times New Roman"/>
              <w:sz w:val="24"/>
              <w:lang w:val="en-US"/>
            </w:rPr>
            <w:instrText xml:space="preserve"> CITATION Ine181 \l 1033 </w:instrText>
          </w:r>
          <w:r w:rsidR="00D25093">
            <w:rPr>
              <w:rFonts w:ascii="Times New Roman" w:hAnsi="Times New Roman" w:cs="Times New Roman"/>
              <w:sz w:val="24"/>
            </w:rPr>
            <w:fldChar w:fldCharType="separate"/>
          </w:r>
          <w:r w:rsidR="00D25093">
            <w:rPr>
              <w:rFonts w:ascii="Times New Roman" w:hAnsi="Times New Roman" w:cs="Times New Roman"/>
              <w:noProof/>
              <w:sz w:val="24"/>
              <w:lang w:val="en-US"/>
            </w:rPr>
            <w:t xml:space="preserve"> </w:t>
          </w:r>
          <w:r w:rsidR="00D25093" w:rsidRPr="00D25093">
            <w:rPr>
              <w:rFonts w:ascii="Times New Roman" w:hAnsi="Times New Roman" w:cs="Times New Roman"/>
              <w:noProof/>
              <w:sz w:val="24"/>
              <w:lang w:val="en-US"/>
            </w:rPr>
            <w:t>(Ineos, 2018)</w:t>
          </w:r>
          <w:r w:rsidR="00D25093">
            <w:rPr>
              <w:rFonts w:ascii="Times New Roman" w:hAnsi="Times New Roman" w:cs="Times New Roman"/>
              <w:sz w:val="24"/>
            </w:rPr>
            <w:fldChar w:fldCharType="end"/>
          </w:r>
        </w:sdtContent>
      </w:sdt>
      <w:r w:rsidRPr="00E83BC2">
        <w:rPr>
          <w:rFonts w:ascii="Times New Roman" w:hAnsi="Times New Roman" w:cs="Times New Roman"/>
          <w:sz w:val="24"/>
        </w:rPr>
        <w:t xml:space="preserve">. It is the result of unrelated diversification and turning cast-offs into cash-cows strategy, the company has been able to take calculated risks, and because of this strategy and the leadership of Jim Ratcliffe, Ineos is where it is today. </w:t>
      </w:r>
    </w:p>
    <w:p w:rsidR="00D07860" w:rsidRPr="00E83BC2" w:rsidRDefault="00D07860" w:rsidP="00F20A63">
      <w:pPr>
        <w:pStyle w:val="Heading3"/>
        <w:rPr>
          <w:rFonts w:ascii="Times New Roman" w:hAnsi="Times New Roman" w:cs="Times New Roman"/>
        </w:rPr>
      </w:pPr>
      <w:bookmarkStart w:id="17" w:name="_Toc523612423"/>
      <w:r w:rsidRPr="00E83BC2">
        <w:rPr>
          <w:rFonts w:ascii="Times New Roman" w:hAnsi="Times New Roman" w:cs="Times New Roman"/>
        </w:rPr>
        <w:t>Cons</w:t>
      </w:r>
      <w:bookmarkEnd w:id="17"/>
    </w:p>
    <w:p w:rsidR="00D07860" w:rsidRPr="00E83BC2" w:rsidRDefault="00F81517">
      <w:pPr>
        <w:rPr>
          <w:rFonts w:ascii="Times New Roman" w:hAnsi="Times New Roman" w:cs="Times New Roman"/>
          <w:sz w:val="24"/>
        </w:rPr>
      </w:pPr>
      <w:r w:rsidRPr="00E83BC2">
        <w:rPr>
          <w:rFonts w:ascii="Times New Roman" w:hAnsi="Times New Roman" w:cs="Times New Roman"/>
          <w:sz w:val="24"/>
        </w:rPr>
        <w:t xml:space="preserve">This strategy is mostly depended upon Jim Ratcliffe, who currently runs Ineos and most often referred to as Dr No because of his tough negotiation stance. Because the company has not yet made a decision to float the company and 60% of Ineos is owned by Mr Ratcliffe, it is difficult to deny his authority. However, the company must look towards the future. It is not always that the cast-off strategy has backfired. Ineos had invested £600m in developing a new vehicle based on Land Rover Defender, which was then discontinued in the year 2016. Also, </w:t>
      </w:r>
      <w:r w:rsidR="00004DE3" w:rsidRPr="00E83BC2">
        <w:rPr>
          <w:rFonts w:ascii="Times New Roman" w:hAnsi="Times New Roman" w:cs="Times New Roman"/>
          <w:sz w:val="24"/>
        </w:rPr>
        <w:t xml:space="preserve">purchasing a football team and buying a luxurious motorcycle wear also had little impact on the revenues of Ineos, which was at the time received permission to continue operations. </w:t>
      </w:r>
    </w:p>
    <w:p w:rsidR="00004DE3" w:rsidRPr="00E83BC2" w:rsidRDefault="00004DE3">
      <w:pPr>
        <w:rPr>
          <w:rFonts w:ascii="Times New Roman" w:hAnsi="Times New Roman" w:cs="Times New Roman"/>
          <w:sz w:val="24"/>
        </w:rPr>
      </w:pPr>
      <w:r w:rsidRPr="00E83BC2">
        <w:rPr>
          <w:rFonts w:ascii="Times New Roman" w:hAnsi="Times New Roman" w:cs="Times New Roman"/>
          <w:sz w:val="24"/>
        </w:rPr>
        <w:t xml:space="preserve">If Ineos takeover of Innovene has resulted in quadrupled sales, it has also affected company in other ways as well. The dispute involved in Grangemouth petrochemical plant and refinery based in Scotland tarnished the image of </w:t>
      </w:r>
      <w:r w:rsidR="001548E3" w:rsidRPr="00E83BC2">
        <w:rPr>
          <w:rFonts w:ascii="Times New Roman" w:hAnsi="Times New Roman" w:cs="Times New Roman"/>
          <w:sz w:val="24"/>
        </w:rPr>
        <w:t>James Ratcliffe and</w:t>
      </w:r>
      <w:r w:rsidRPr="00E83BC2">
        <w:rPr>
          <w:rFonts w:ascii="Times New Roman" w:hAnsi="Times New Roman" w:cs="Times New Roman"/>
          <w:sz w:val="24"/>
        </w:rPr>
        <w:t xml:space="preserve"> was later nicknamed as ‘Dr No’ who was a Bond villain and rarely listened to someone for opinion. </w:t>
      </w:r>
      <w:r w:rsidR="00666DBB" w:rsidRPr="00E83BC2">
        <w:rPr>
          <w:rFonts w:ascii="Times New Roman" w:hAnsi="Times New Roman" w:cs="Times New Roman"/>
          <w:sz w:val="24"/>
        </w:rPr>
        <w:t xml:space="preserve">He </w:t>
      </w:r>
      <w:r w:rsidR="009C3C0B" w:rsidRPr="00E83BC2">
        <w:rPr>
          <w:rFonts w:ascii="Times New Roman" w:hAnsi="Times New Roman" w:cs="Times New Roman"/>
          <w:sz w:val="24"/>
        </w:rPr>
        <w:t xml:space="preserve">eventually </w:t>
      </w:r>
      <w:r w:rsidR="00666DBB" w:rsidRPr="00E83BC2">
        <w:rPr>
          <w:rFonts w:ascii="Times New Roman" w:hAnsi="Times New Roman" w:cs="Times New Roman"/>
          <w:sz w:val="24"/>
        </w:rPr>
        <w:t xml:space="preserve">had to invest £300m to keep the plant remain open. </w:t>
      </w:r>
    </w:p>
    <w:p w:rsidR="00666DBB" w:rsidRPr="00E83BC2" w:rsidRDefault="005E0E1C">
      <w:pPr>
        <w:rPr>
          <w:rFonts w:ascii="Times New Roman" w:hAnsi="Times New Roman" w:cs="Times New Roman"/>
          <w:sz w:val="24"/>
        </w:rPr>
      </w:pPr>
      <w:r w:rsidRPr="00E83BC2">
        <w:rPr>
          <w:rFonts w:ascii="Times New Roman" w:hAnsi="Times New Roman" w:cs="Times New Roman"/>
          <w:sz w:val="24"/>
        </w:rPr>
        <w:t xml:space="preserve">Currently, Ineos has invested £650m in fracking project which is a controversial process in the entire UK. It is now locked with a legal battle with the Scottish government. </w:t>
      </w:r>
    </w:p>
    <w:p w:rsidR="00B275EB" w:rsidRPr="00E83BC2" w:rsidRDefault="000E45A9" w:rsidP="009C3C0B">
      <w:pPr>
        <w:pStyle w:val="Heading2"/>
        <w:rPr>
          <w:rFonts w:ascii="Times New Roman" w:hAnsi="Times New Roman" w:cs="Times New Roman"/>
        </w:rPr>
      </w:pPr>
      <w:bookmarkStart w:id="18" w:name="_Toc523612424"/>
      <w:r w:rsidRPr="00E83BC2">
        <w:rPr>
          <w:rFonts w:ascii="Times New Roman" w:hAnsi="Times New Roman" w:cs="Times New Roman"/>
        </w:rPr>
        <w:lastRenderedPageBreak/>
        <w:t>Alternative 2: Float the Stock Market</w:t>
      </w:r>
      <w:bookmarkEnd w:id="18"/>
    </w:p>
    <w:p w:rsidR="009C3C0B" w:rsidRPr="00E83BC2" w:rsidRDefault="009C3C0B">
      <w:pPr>
        <w:rPr>
          <w:rFonts w:ascii="Times New Roman" w:hAnsi="Times New Roman" w:cs="Times New Roman"/>
          <w:sz w:val="24"/>
        </w:rPr>
      </w:pPr>
      <w:r w:rsidRPr="00E83BC2">
        <w:rPr>
          <w:rFonts w:ascii="Times New Roman" w:hAnsi="Times New Roman" w:cs="Times New Roman"/>
          <w:sz w:val="24"/>
        </w:rPr>
        <w:t>This alternative requires Ineos to float its shares to the stock market so that it could acquire some more money and grow exponentially. The concept of float refers to the number of shares a company has issued to the public. Floating a company’s share is an important aspect because it indicates how much of a share can be bought or sold by the public.</w:t>
      </w:r>
    </w:p>
    <w:p w:rsidR="009C3C0B" w:rsidRPr="00E83BC2" w:rsidRDefault="00E570C9">
      <w:pPr>
        <w:rPr>
          <w:rFonts w:ascii="Times New Roman" w:hAnsi="Times New Roman" w:cs="Times New Roman"/>
          <w:sz w:val="24"/>
        </w:rPr>
      </w:pPr>
      <w:r w:rsidRPr="00E83BC2">
        <w:rPr>
          <w:rFonts w:ascii="Times New Roman" w:hAnsi="Times New Roman" w:cs="Times New Roman"/>
          <w:sz w:val="24"/>
        </w:rPr>
        <w:t xml:space="preserve">Ineos is financially strong as discussed in the financial analysis of the company. Having to own 60% of the company, James Ratcliffe has the power to make decisions with no questions asked. However, if a company is going to float its shares in the market, this means </w:t>
      </w:r>
      <w:r w:rsidR="0086358A" w:rsidRPr="00E83BC2">
        <w:rPr>
          <w:rFonts w:ascii="Times New Roman" w:hAnsi="Times New Roman" w:cs="Times New Roman"/>
          <w:sz w:val="24"/>
        </w:rPr>
        <w:t xml:space="preserve">Mr Ratcliff will remain answerable to the public as to why he entered a particular market when there </w:t>
      </w:r>
      <w:proofErr w:type="gramStart"/>
      <w:r w:rsidR="0086358A" w:rsidRPr="00E83BC2">
        <w:rPr>
          <w:rFonts w:ascii="Times New Roman" w:hAnsi="Times New Roman" w:cs="Times New Roman"/>
          <w:sz w:val="24"/>
        </w:rPr>
        <w:t>was</w:t>
      </w:r>
      <w:proofErr w:type="gramEnd"/>
      <w:r w:rsidR="0086358A" w:rsidRPr="00E83BC2">
        <w:rPr>
          <w:rFonts w:ascii="Times New Roman" w:hAnsi="Times New Roman" w:cs="Times New Roman"/>
          <w:sz w:val="24"/>
        </w:rPr>
        <w:t xml:space="preserve"> clearly no profits to be gained or no future for the company. </w:t>
      </w:r>
    </w:p>
    <w:p w:rsidR="00B275EB" w:rsidRPr="00E83BC2" w:rsidRDefault="00B275EB" w:rsidP="007222E6">
      <w:pPr>
        <w:pStyle w:val="Heading3"/>
        <w:rPr>
          <w:rFonts w:ascii="Times New Roman" w:hAnsi="Times New Roman" w:cs="Times New Roman"/>
        </w:rPr>
      </w:pPr>
      <w:bookmarkStart w:id="19" w:name="_Toc523612425"/>
      <w:r w:rsidRPr="00E83BC2">
        <w:rPr>
          <w:rFonts w:ascii="Times New Roman" w:hAnsi="Times New Roman" w:cs="Times New Roman"/>
        </w:rPr>
        <w:t>Pros</w:t>
      </w:r>
      <w:bookmarkEnd w:id="19"/>
      <w:r w:rsidRPr="00E83BC2">
        <w:rPr>
          <w:rFonts w:ascii="Times New Roman" w:hAnsi="Times New Roman" w:cs="Times New Roman"/>
        </w:rPr>
        <w:t xml:space="preserve"> </w:t>
      </w:r>
    </w:p>
    <w:p w:rsidR="009C3C0B" w:rsidRPr="00E83BC2" w:rsidRDefault="007222E6">
      <w:pPr>
        <w:rPr>
          <w:rFonts w:ascii="Times New Roman" w:hAnsi="Times New Roman" w:cs="Times New Roman"/>
          <w:sz w:val="24"/>
        </w:rPr>
      </w:pPr>
      <w:r w:rsidRPr="00E83BC2">
        <w:rPr>
          <w:rFonts w:ascii="Times New Roman" w:hAnsi="Times New Roman" w:cs="Times New Roman"/>
          <w:sz w:val="24"/>
        </w:rPr>
        <w:t>It would certainly give access of new capital to Ineos f</w:t>
      </w:r>
      <w:r w:rsidR="00B06D5E" w:rsidRPr="00E83BC2">
        <w:rPr>
          <w:rFonts w:ascii="Times New Roman" w:hAnsi="Times New Roman" w:cs="Times New Roman"/>
          <w:sz w:val="24"/>
        </w:rPr>
        <w:t xml:space="preserve">or the development of business. </w:t>
      </w:r>
      <w:r w:rsidR="00C2342E" w:rsidRPr="00E83BC2">
        <w:rPr>
          <w:rFonts w:ascii="Times New Roman" w:hAnsi="Times New Roman" w:cs="Times New Roman"/>
          <w:sz w:val="24"/>
        </w:rPr>
        <w:t xml:space="preserve">With that much money, the company can expand its business to different parts of the world rather than entering into various industries. It could enter the Asian markets or the Middle East with its setting up of chemical industries. Floating into the stock market makes a company realize about other investors including venture capitalists. A company realizes their investment and takes decisions that are in their best interest. </w:t>
      </w:r>
    </w:p>
    <w:p w:rsidR="00C2342E" w:rsidRPr="00E83BC2" w:rsidRDefault="008001F8">
      <w:pPr>
        <w:rPr>
          <w:rFonts w:ascii="Times New Roman" w:hAnsi="Times New Roman" w:cs="Times New Roman"/>
          <w:sz w:val="24"/>
        </w:rPr>
      </w:pPr>
      <w:r w:rsidRPr="00E83BC2">
        <w:rPr>
          <w:rFonts w:ascii="Times New Roman" w:hAnsi="Times New Roman" w:cs="Times New Roman"/>
          <w:sz w:val="24"/>
        </w:rPr>
        <w:t xml:space="preserve">It further helps in retaining a large portion of employees by offering them incentives such as granting them share options. </w:t>
      </w:r>
      <w:r w:rsidR="00DC6C9C" w:rsidRPr="00E83BC2">
        <w:rPr>
          <w:rFonts w:ascii="Times New Roman" w:hAnsi="Times New Roman" w:cs="Times New Roman"/>
          <w:sz w:val="24"/>
        </w:rPr>
        <w:t xml:space="preserve">This strategy happens to motivate employees and continue working for their long-term goals because eventually they understand it is the company they have invested in. </w:t>
      </w:r>
    </w:p>
    <w:p w:rsidR="00DC6C9C" w:rsidRPr="00E83BC2" w:rsidRDefault="00DC6C9C">
      <w:pPr>
        <w:rPr>
          <w:rFonts w:ascii="Times New Roman" w:hAnsi="Times New Roman" w:cs="Times New Roman"/>
          <w:sz w:val="24"/>
        </w:rPr>
      </w:pPr>
      <w:r w:rsidRPr="00E83BC2">
        <w:rPr>
          <w:rFonts w:ascii="Times New Roman" w:hAnsi="Times New Roman" w:cs="Times New Roman"/>
          <w:sz w:val="24"/>
        </w:rPr>
        <w:t>It enhances a public profile by providing assurance to customers and as well as suppliers. It could further help convince UK government to consider fracking, a new concept of extracting oil and gas. With the support of the public, Ineos can achieve long-term goals over the shor</w:t>
      </w:r>
      <w:r w:rsidR="00A116E9" w:rsidRPr="00E83BC2">
        <w:rPr>
          <w:rFonts w:ascii="Times New Roman" w:hAnsi="Times New Roman" w:cs="Times New Roman"/>
          <w:sz w:val="24"/>
        </w:rPr>
        <w:t>t period of time. Lastly</w:t>
      </w:r>
      <w:r w:rsidRPr="00E83BC2">
        <w:rPr>
          <w:rFonts w:ascii="Times New Roman" w:hAnsi="Times New Roman" w:cs="Times New Roman"/>
          <w:sz w:val="24"/>
        </w:rPr>
        <w:t xml:space="preserve">, it helps in acquisition </w:t>
      </w:r>
      <w:r w:rsidR="00A116E9" w:rsidRPr="00E83BC2">
        <w:rPr>
          <w:rFonts w:ascii="Times New Roman" w:hAnsi="Times New Roman" w:cs="Times New Roman"/>
          <w:sz w:val="24"/>
        </w:rPr>
        <w:t xml:space="preserve">of firms that have similar businesses. It can help by using quoted shares as currency and acquisition can become a success. </w:t>
      </w:r>
    </w:p>
    <w:p w:rsidR="009C3C0B" w:rsidRPr="00E83BC2" w:rsidRDefault="009C3C0B" w:rsidP="004E2502">
      <w:pPr>
        <w:pStyle w:val="Heading3"/>
        <w:rPr>
          <w:rFonts w:ascii="Times New Roman" w:hAnsi="Times New Roman" w:cs="Times New Roman"/>
        </w:rPr>
      </w:pPr>
      <w:bookmarkStart w:id="20" w:name="_Toc523612426"/>
      <w:r w:rsidRPr="00E83BC2">
        <w:rPr>
          <w:rFonts w:ascii="Times New Roman" w:hAnsi="Times New Roman" w:cs="Times New Roman"/>
        </w:rPr>
        <w:t>Cons</w:t>
      </w:r>
      <w:bookmarkEnd w:id="20"/>
    </w:p>
    <w:p w:rsidR="009C3C0B" w:rsidRPr="00E83BC2" w:rsidRDefault="00FF542D">
      <w:pPr>
        <w:rPr>
          <w:rFonts w:ascii="Times New Roman" w:hAnsi="Times New Roman" w:cs="Times New Roman"/>
          <w:sz w:val="24"/>
        </w:rPr>
      </w:pPr>
      <w:r w:rsidRPr="00E83BC2">
        <w:rPr>
          <w:rFonts w:ascii="Times New Roman" w:hAnsi="Times New Roman" w:cs="Times New Roman"/>
          <w:sz w:val="24"/>
        </w:rPr>
        <w:t xml:space="preserve">Floating stocks in the market can also make Ineos’ business vulnerable to market fluctuations. If the economic condition worsens, or there is instability in political system then it will have a negative impact on its shares that are floating in the market. It can </w:t>
      </w:r>
      <w:r w:rsidR="00671C4E" w:rsidRPr="00E83BC2">
        <w:rPr>
          <w:rFonts w:ascii="Times New Roman" w:hAnsi="Times New Roman" w:cs="Times New Roman"/>
          <w:sz w:val="24"/>
        </w:rPr>
        <w:t xml:space="preserve">reduce the overall worth of the company. Also, market fluctuations are beyond anyone’s control, so potentially the company can do nothing about it. </w:t>
      </w:r>
    </w:p>
    <w:p w:rsidR="00671C4E" w:rsidRPr="00E83BC2" w:rsidRDefault="002878B3">
      <w:pPr>
        <w:rPr>
          <w:rFonts w:ascii="Times New Roman" w:hAnsi="Times New Roman" w:cs="Times New Roman"/>
          <w:sz w:val="24"/>
        </w:rPr>
      </w:pPr>
      <w:r w:rsidRPr="00E83BC2">
        <w:rPr>
          <w:rFonts w:ascii="Times New Roman" w:hAnsi="Times New Roman" w:cs="Times New Roman"/>
          <w:sz w:val="24"/>
        </w:rPr>
        <w:t xml:space="preserve">Another downside to the floatation of stocks that Ineos can face is its ongoing cost of being a public company. The professional fees will go higher, and not to forget the cost of floatation is also substantial. James Ratcliffe would then need to understand that he may be the CEO of Ineos, but he would have to consider shareholders’ interest when running a company. The company would not be able to make decisions based on gut feeling or prior experience. However, it would have to present </w:t>
      </w:r>
      <w:r w:rsidR="001548E3" w:rsidRPr="00E83BC2">
        <w:rPr>
          <w:rFonts w:ascii="Times New Roman" w:hAnsi="Times New Roman" w:cs="Times New Roman"/>
          <w:sz w:val="24"/>
        </w:rPr>
        <w:t>a complete financial proposition</w:t>
      </w:r>
      <w:r w:rsidR="006F15C0" w:rsidRPr="00E83BC2">
        <w:rPr>
          <w:rFonts w:ascii="Times New Roman" w:hAnsi="Times New Roman" w:cs="Times New Roman"/>
          <w:sz w:val="24"/>
        </w:rPr>
        <w:t xml:space="preserve"> either when a company acquires another company or when it enters in to a new market.</w:t>
      </w:r>
    </w:p>
    <w:p w:rsidR="004E2502" w:rsidRPr="00E83BC2" w:rsidRDefault="0075343D">
      <w:pPr>
        <w:rPr>
          <w:rFonts w:ascii="Times New Roman" w:hAnsi="Times New Roman" w:cs="Times New Roman"/>
          <w:sz w:val="24"/>
        </w:rPr>
      </w:pPr>
      <w:r w:rsidRPr="00E83BC2">
        <w:rPr>
          <w:rFonts w:ascii="Times New Roman" w:hAnsi="Times New Roman" w:cs="Times New Roman"/>
          <w:sz w:val="24"/>
        </w:rPr>
        <w:t xml:space="preserve">Transparency would be another factor that Ineos will have to follow. It would have to meet accepted standards of corporate governance, and that particularly includes transparency. Ineos will have to make announcements about its new developments, projects, and the timeline when the project will be up and running. </w:t>
      </w:r>
    </w:p>
    <w:p w:rsidR="00296194" w:rsidRPr="00E83BC2" w:rsidRDefault="00296194">
      <w:pPr>
        <w:rPr>
          <w:rFonts w:ascii="Times New Roman" w:hAnsi="Times New Roman" w:cs="Times New Roman"/>
          <w:sz w:val="24"/>
        </w:rPr>
      </w:pPr>
      <w:r w:rsidRPr="00E83BC2">
        <w:rPr>
          <w:rFonts w:ascii="Times New Roman" w:hAnsi="Times New Roman" w:cs="Times New Roman"/>
          <w:sz w:val="24"/>
        </w:rPr>
        <w:lastRenderedPageBreak/>
        <w:t xml:space="preserve">When the entire process of floatation is being carried out, it could distract managers from the smooth sailing of its business process. They would have to deal with investors after the floatation process is completed, so its going to be distractions, but these distractions would only limit for a certain time period. </w:t>
      </w:r>
      <w:r w:rsidR="004C32B3" w:rsidRPr="00E83BC2">
        <w:rPr>
          <w:rFonts w:ascii="Times New Roman" w:hAnsi="Times New Roman" w:cs="Times New Roman"/>
          <w:sz w:val="24"/>
        </w:rPr>
        <w:t xml:space="preserve">Lastly, it would need to keep investors informed about everything company plans to do in the near future. Avoiding to </w:t>
      </w:r>
      <w:r w:rsidR="004E2502" w:rsidRPr="00E83BC2">
        <w:rPr>
          <w:rFonts w:ascii="Times New Roman" w:hAnsi="Times New Roman" w:cs="Times New Roman"/>
          <w:sz w:val="24"/>
        </w:rPr>
        <w:t xml:space="preserve">rules would result in legal actions. </w:t>
      </w:r>
    </w:p>
    <w:p w:rsidR="000E45A9" w:rsidRPr="00E83BC2" w:rsidRDefault="000E45A9" w:rsidP="004E2502">
      <w:pPr>
        <w:pStyle w:val="Heading2"/>
        <w:rPr>
          <w:rFonts w:ascii="Times New Roman" w:hAnsi="Times New Roman" w:cs="Times New Roman"/>
        </w:rPr>
      </w:pPr>
      <w:bookmarkStart w:id="21" w:name="_Toc523612427"/>
      <w:r w:rsidRPr="00E83BC2">
        <w:rPr>
          <w:rFonts w:ascii="Times New Roman" w:hAnsi="Times New Roman" w:cs="Times New Roman"/>
        </w:rPr>
        <w:t>Alternative 3: Related Diversification</w:t>
      </w:r>
      <w:r w:rsidR="00725381" w:rsidRPr="00E83BC2">
        <w:rPr>
          <w:rFonts w:ascii="Times New Roman" w:hAnsi="Times New Roman" w:cs="Times New Roman"/>
        </w:rPr>
        <w:t xml:space="preserve"> in Different Markets</w:t>
      </w:r>
      <w:bookmarkEnd w:id="21"/>
    </w:p>
    <w:p w:rsidR="004E2502" w:rsidRPr="00E83BC2" w:rsidRDefault="00725381">
      <w:pPr>
        <w:rPr>
          <w:rFonts w:ascii="Times New Roman" w:hAnsi="Times New Roman" w:cs="Times New Roman"/>
          <w:sz w:val="24"/>
        </w:rPr>
      </w:pPr>
      <w:r w:rsidRPr="00E83BC2">
        <w:rPr>
          <w:rFonts w:ascii="Times New Roman" w:hAnsi="Times New Roman" w:cs="Times New Roman"/>
          <w:sz w:val="24"/>
        </w:rPr>
        <w:t xml:space="preserve">This third alternative is to suggest that Ineos must reconsider its ongoing strategy and adopt a new strategy called related diversification. Keeping that strategy in mind, Ineos must find new prospects such as </w:t>
      </w:r>
      <w:r w:rsidR="00B32665" w:rsidRPr="00E83BC2">
        <w:rPr>
          <w:rFonts w:ascii="Times New Roman" w:hAnsi="Times New Roman" w:cs="Times New Roman"/>
          <w:sz w:val="24"/>
        </w:rPr>
        <w:t xml:space="preserve">entering in other markets that are open to be tapped. </w:t>
      </w:r>
      <w:r w:rsidR="00B35E7B" w:rsidRPr="00E83BC2">
        <w:rPr>
          <w:rFonts w:ascii="Times New Roman" w:hAnsi="Times New Roman" w:cs="Times New Roman"/>
          <w:sz w:val="24"/>
        </w:rPr>
        <w:t xml:space="preserve">Ineos has a presence in Indian and Chinese market, but it does not have tapped other Asian countries. Also, Middle East has not been of a major interest to Ineos and it hasn’t done anything to enter in those countries. Therefore, new opportunities are available for Ineos, but it would have to make sure that it </w:t>
      </w:r>
      <w:r w:rsidR="001548E3" w:rsidRPr="00E83BC2">
        <w:rPr>
          <w:rFonts w:ascii="Times New Roman" w:hAnsi="Times New Roman" w:cs="Times New Roman"/>
          <w:sz w:val="24"/>
        </w:rPr>
        <w:t>establishes</w:t>
      </w:r>
      <w:r w:rsidR="00B35E7B" w:rsidRPr="00E83BC2">
        <w:rPr>
          <w:rFonts w:ascii="Times New Roman" w:hAnsi="Times New Roman" w:cs="Times New Roman"/>
          <w:sz w:val="24"/>
        </w:rPr>
        <w:t xml:space="preserve"> a chemical industry or enter in to these market with the concept of related diversification. </w:t>
      </w:r>
    </w:p>
    <w:p w:rsidR="000E45A9" w:rsidRPr="00E83BC2" w:rsidRDefault="000E45A9" w:rsidP="008F7C6B">
      <w:pPr>
        <w:pStyle w:val="Heading3"/>
        <w:rPr>
          <w:rFonts w:ascii="Times New Roman" w:hAnsi="Times New Roman" w:cs="Times New Roman"/>
        </w:rPr>
      </w:pPr>
      <w:bookmarkStart w:id="22" w:name="_Toc523612428"/>
      <w:r w:rsidRPr="00E83BC2">
        <w:rPr>
          <w:rFonts w:ascii="Times New Roman" w:hAnsi="Times New Roman" w:cs="Times New Roman"/>
        </w:rPr>
        <w:t>Pros</w:t>
      </w:r>
      <w:bookmarkEnd w:id="22"/>
      <w:r w:rsidRPr="00E83BC2">
        <w:rPr>
          <w:rFonts w:ascii="Times New Roman" w:hAnsi="Times New Roman" w:cs="Times New Roman"/>
        </w:rPr>
        <w:t xml:space="preserve"> </w:t>
      </w:r>
    </w:p>
    <w:p w:rsidR="000E45A9" w:rsidRPr="00E83BC2" w:rsidRDefault="007B645A">
      <w:pPr>
        <w:rPr>
          <w:rFonts w:ascii="Times New Roman" w:hAnsi="Times New Roman" w:cs="Times New Roman"/>
          <w:sz w:val="24"/>
        </w:rPr>
      </w:pPr>
      <w:r w:rsidRPr="00E83BC2">
        <w:rPr>
          <w:rFonts w:ascii="Times New Roman" w:hAnsi="Times New Roman" w:cs="Times New Roman"/>
          <w:sz w:val="24"/>
        </w:rPr>
        <w:t xml:space="preserve">This strategy will help Ineos in expanding its business overseas. Ineos has presence in many different countries including Canada, US, Italy, Germany, France, Mexico, Thailand, and other countries. However, it has limited presence in Asia and Middle East. Therefore, these are the markets that are open for Ineos and have the great potential to generate revenues. </w:t>
      </w:r>
    </w:p>
    <w:p w:rsidR="007B645A" w:rsidRPr="00E83BC2" w:rsidRDefault="007B645A">
      <w:pPr>
        <w:rPr>
          <w:rFonts w:ascii="Times New Roman" w:hAnsi="Times New Roman" w:cs="Times New Roman"/>
          <w:sz w:val="24"/>
        </w:rPr>
      </w:pPr>
      <w:r w:rsidRPr="00E83BC2">
        <w:rPr>
          <w:rFonts w:ascii="Times New Roman" w:hAnsi="Times New Roman" w:cs="Times New Roman"/>
          <w:sz w:val="24"/>
        </w:rPr>
        <w:t xml:space="preserve">Any losses that a company might face in its home country, can now be covered with exponential revenues attained from international market. Some of the businesses that are potentially viable but aren’t permitted in the home country can also be implemented in other countries. For example, the process of fracking is a controversial concept in the </w:t>
      </w:r>
      <w:proofErr w:type="gramStart"/>
      <w:r w:rsidRPr="00E83BC2">
        <w:rPr>
          <w:rFonts w:ascii="Times New Roman" w:hAnsi="Times New Roman" w:cs="Times New Roman"/>
          <w:sz w:val="24"/>
        </w:rPr>
        <w:t>UK</w:t>
      </w:r>
      <w:r w:rsidR="001904F3" w:rsidRPr="00E83BC2">
        <w:rPr>
          <w:rFonts w:ascii="Times New Roman" w:hAnsi="Times New Roman" w:cs="Times New Roman"/>
          <w:sz w:val="24"/>
        </w:rPr>
        <w:t>, but</w:t>
      </w:r>
      <w:proofErr w:type="gramEnd"/>
      <w:r w:rsidR="001904F3" w:rsidRPr="00E83BC2">
        <w:rPr>
          <w:rFonts w:ascii="Times New Roman" w:hAnsi="Times New Roman" w:cs="Times New Roman"/>
          <w:sz w:val="24"/>
        </w:rPr>
        <w:t xml:space="preserve"> is frequently been followed in the UAE and other parts of Middle East</w:t>
      </w:r>
      <w:sdt>
        <w:sdtPr>
          <w:rPr>
            <w:rFonts w:ascii="Times New Roman" w:hAnsi="Times New Roman" w:cs="Times New Roman"/>
            <w:sz w:val="24"/>
          </w:rPr>
          <w:id w:val="-778407803"/>
          <w:citation/>
        </w:sdtPr>
        <w:sdtEndPr/>
        <w:sdtContent>
          <w:r w:rsidR="00B7501C">
            <w:rPr>
              <w:rFonts w:ascii="Times New Roman" w:hAnsi="Times New Roman" w:cs="Times New Roman"/>
              <w:sz w:val="24"/>
            </w:rPr>
            <w:fldChar w:fldCharType="begin"/>
          </w:r>
          <w:r w:rsidR="00B7501C">
            <w:rPr>
              <w:rFonts w:ascii="Times New Roman" w:hAnsi="Times New Roman" w:cs="Times New Roman"/>
              <w:sz w:val="24"/>
              <w:lang w:val="en-US"/>
            </w:rPr>
            <w:instrText xml:space="preserve"> CITATION BBC18 \l 1033 </w:instrText>
          </w:r>
          <w:r w:rsidR="00B7501C">
            <w:rPr>
              <w:rFonts w:ascii="Times New Roman" w:hAnsi="Times New Roman" w:cs="Times New Roman"/>
              <w:sz w:val="24"/>
            </w:rPr>
            <w:fldChar w:fldCharType="separate"/>
          </w:r>
          <w:r w:rsidR="00B7501C">
            <w:rPr>
              <w:rFonts w:ascii="Times New Roman" w:hAnsi="Times New Roman" w:cs="Times New Roman"/>
              <w:noProof/>
              <w:sz w:val="24"/>
              <w:lang w:val="en-US"/>
            </w:rPr>
            <w:t xml:space="preserve"> </w:t>
          </w:r>
          <w:r w:rsidR="00B7501C" w:rsidRPr="00B7501C">
            <w:rPr>
              <w:rFonts w:ascii="Times New Roman" w:hAnsi="Times New Roman" w:cs="Times New Roman"/>
              <w:noProof/>
              <w:sz w:val="24"/>
              <w:lang w:val="en-US"/>
            </w:rPr>
            <w:t>(BBC, 2018)</w:t>
          </w:r>
          <w:r w:rsidR="00B7501C">
            <w:rPr>
              <w:rFonts w:ascii="Times New Roman" w:hAnsi="Times New Roman" w:cs="Times New Roman"/>
              <w:sz w:val="24"/>
            </w:rPr>
            <w:fldChar w:fldCharType="end"/>
          </w:r>
        </w:sdtContent>
      </w:sdt>
      <w:r w:rsidR="001904F3" w:rsidRPr="00E83BC2">
        <w:rPr>
          <w:rFonts w:ascii="Times New Roman" w:hAnsi="Times New Roman" w:cs="Times New Roman"/>
          <w:sz w:val="24"/>
        </w:rPr>
        <w:t xml:space="preserve">. Hence, the company can enter into Middle East market by proposing the fracking </w:t>
      </w:r>
      <w:proofErr w:type="gramStart"/>
      <w:r w:rsidR="001904F3" w:rsidRPr="00E83BC2">
        <w:rPr>
          <w:rFonts w:ascii="Times New Roman" w:hAnsi="Times New Roman" w:cs="Times New Roman"/>
          <w:sz w:val="24"/>
        </w:rPr>
        <w:t>concept, and</w:t>
      </w:r>
      <w:proofErr w:type="gramEnd"/>
      <w:r w:rsidR="001904F3" w:rsidRPr="00E83BC2">
        <w:rPr>
          <w:rFonts w:ascii="Times New Roman" w:hAnsi="Times New Roman" w:cs="Times New Roman"/>
          <w:sz w:val="24"/>
        </w:rPr>
        <w:t xml:space="preserve"> prove its success. This could serve as the evidence for Ineos to implement fracking concept in Scotland.</w:t>
      </w:r>
    </w:p>
    <w:p w:rsidR="001904F3" w:rsidRPr="00E83BC2" w:rsidRDefault="000C3535">
      <w:pPr>
        <w:rPr>
          <w:rFonts w:ascii="Times New Roman" w:hAnsi="Times New Roman" w:cs="Times New Roman"/>
          <w:sz w:val="24"/>
        </w:rPr>
      </w:pPr>
      <w:r w:rsidRPr="00E83BC2">
        <w:rPr>
          <w:rFonts w:ascii="Times New Roman" w:hAnsi="Times New Roman" w:cs="Times New Roman"/>
          <w:sz w:val="24"/>
        </w:rPr>
        <w:t xml:space="preserve">It could lower the cost when it enters in global market when it comes to related diversification. The company will be well equipped with the entire process of manufacturing that could potentially lead to lower cost. Also, it would have the experience and manpower to carry out the job efficiently. Ineos would be well prepared if it enters global market with more or less in the same market. </w:t>
      </w:r>
    </w:p>
    <w:p w:rsidR="000E45A9" w:rsidRPr="00E83BC2" w:rsidRDefault="000E45A9" w:rsidP="008F7C6B">
      <w:pPr>
        <w:pStyle w:val="Heading3"/>
        <w:rPr>
          <w:rFonts w:ascii="Times New Roman" w:hAnsi="Times New Roman" w:cs="Times New Roman"/>
        </w:rPr>
      </w:pPr>
      <w:bookmarkStart w:id="23" w:name="_Toc523612429"/>
      <w:r w:rsidRPr="00E83BC2">
        <w:rPr>
          <w:rFonts w:ascii="Times New Roman" w:hAnsi="Times New Roman" w:cs="Times New Roman"/>
        </w:rPr>
        <w:t>Cons</w:t>
      </w:r>
      <w:bookmarkEnd w:id="23"/>
    </w:p>
    <w:p w:rsidR="000E45A9" w:rsidRPr="00E83BC2" w:rsidRDefault="000C3535">
      <w:pPr>
        <w:rPr>
          <w:rFonts w:ascii="Times New Roman" w:hAnsi="Times New Roman" w:cs="Times New Roman"/>
          <w:sz w:val="24"/>
        </w:rPr>
      </w:pPr>
      <w:r w:rsidRPr="00E83BC2">
        <w:rPr>
          <w:rFonts w:ascii="Times New Roman" w:hAnsi="Times New Roman" w:cs="Times New Roman"/>
          <w:sz w:val="24"/>
        </w:rPr>
        <w:t xml:space="preserve">The major drawback of this strategy is the financial and political risk. The company know that it will face a new surrounding and a new environment to compete. However, it would be unaware of the political challenges that it would face once it enters. Ineos does not know if the government can potentially harm the business by interfering in its matters. </w:t>
      </w:r>
      <w:r w:rsidR="00D45D26" w:rsidRPr="00E83BC2">
        <w:rPr>
          <w:rFonts w:ascii="Times New Roman" w:hAnsi="Times New Roman" w:cs="Times New Roman"/>
          <w:sz w:val="24"/>
        </w:rPr>
        <w:t xml:space="preserve">Political change in the Arab spring was the major change the companies had to felt and it affected their business. Similar </w:t>
      </w:r>
      <w:r w:rsidR="002261A0" w:rsidRPr="00E83BC2">
        <w:rPr>
          <w:rFonts w:ascii="Times New Roman" w:hAnsi="Times New Roman" w:cs="Times New Roman"/>
          <w:sz w:val="24"/>
        </w:rPr>
        <w:t xml:space="preserve">changes could damage company’s operations. </w:t>
      </w:r>
    </w:p>
    <w:p w:rsidR="002261A0" w:rsidRPr="00E83BC2" w:rsidRDefault="007430CF">
      <w:pPr>
        <w:rPr>
          <w:rFonts w:ascii="Times New Roman" w:hAnsi="Times New Roman" w:cs="Times New Roman"/>
          <w:sz w:val="24"/>
        </w:rPr>
      </w:pPr>
      <w:r w:rsidRPr="00E83BC2">
        <w:rPr>
          <w:rFonts w:ascii="Times New Roman" w:hAnsi="Times New Roman" w:cs="Times New Roman"/>
          <w:sz w:val="24"/>
        </w:rPr>
        <w:t xml:space="preserve">Financial risk is another greater risk that a company has to face when setting up a global business. Ineos is a huge company and it would require millions of pounds to reach start its manufacturing in other country. Hence, it would need a strong strategy to capture the market </w:t>
      </w:r>
      <w:r w:rsidRPr="00E83BC2">
        <w:rPr>
          <w:rFonts w:ascii="Times New Roman" w:hAnsi="Times New Roman" w:cs="Times New Roman"/>
          <w:sz w:val="24"/>
        </w:rPr>
        <w:lastRenderedPageBreak/>
        <w:t xml:space="preserve">share in that particular region, or otherwise it would have to wrap up its business in the face of financial losses. </w:t>
      </w:r>
      <w:r w:rsidR="004C05B0" w:rsidRPr="00E83BC2">
        <w:rPr>
          <w:rFonts w:ascii="Times New Roman" w:hAnsi="Times New Roman" w:cs="Times New Roman"/>
          <w:sz w:val="24"/>
        </w:rPr>
        <w:t xml:space="preserve">Not only does it </w:t>
      </w:r>
      <w:r w:rsidR="001548E3" w:rsidRPr="00E83BC2">
        <w:rPr>
          <w:rFonts w:ascii="Times New Roman" w:hAnsi="Times New Roman" w:cs="Times New Roman"/>
          <w:sz w:val="24"/>
        </w:rPr>
        <w:t>require</w:t>
      </w:r>
      <w:r w:rsidR="004C05B0" w:rsidRPr="00E83BC2">
        <w:rPr>
          <w:rFonts w:ascii="Times New Roman" w:hAnsi="Times New Roman" w:cs="Times New Roman"/>
          <w:sz w:val="24"/>
        </w:rPr>
        <w:t xml:space="preserve"> funds to enter in the global market, but there is a significant amount of effort that is invested in the project alongside a research conducted on the local market. </w:t>
      </w:r>
    </w:p>
    <w:p w:rsidR="004C05B0" w:rsidRPr="00E83BC2" w:rsidRDefault="008F178E">
      <w:pPr>
        <w:rPr>
          <w:rFonts w:ascii="Times New Roman" w:hAnsi="Times New Roman" w:cs="Times New Roman"/>
          <w:sz w:val="24"/>
        </w:rPr>
      </w:pPr>
      <w:r w:rsidRPr="00E83BC2">
        <w:rPr>
          <w:rFonts w:ascii="Times New Roman" w:hAnsi="Times New Roman" w:cs="Times New Roman"/>
          <w:sz w:val="24"/>
        </w:rPr>
        <w:t xml:space="preserve">Foreign culture is another disadvantage to the cause of global expansion that Ineos will have to face. The cultural differences might hamper the growth of the company. Marketing efforts that are being employed by Ineos in their home country may not be considered valid in foreign country. Language barrier may also create issues with the current management. However, there is likely that Ineos would hire locals to do their </w:t>
      </w:r>
      <w:r w:rsidR="001548E3" w:rsidRPr="00E83BC2">
        <w:rPr>
          <w:rFonts w:ascii="Times New Roman" w:hAnsi="Times New Roman" w:cs="Times New Roman"/>
          <w:sz w:val="24"/>
        </w:rPr>
        <w:t>bidding but</w:t>
      </w:r>
      <w:r w:rsidRPr="00E83BC2">
        <w:rPr>
          <w:rFonts w:ascii="Times New Roman" w:hAnsi="Times New Roman" w:cs="Times New Roman"/>
          <w:sz w:val="24"/>
        </w:rPr>
        <w:t xml:space="preserve"> having the same amount of experience as existing Ineos managers will definitely play a vital role. </w:t>
      </w:r>
    </w:p>
    <w:p w:rsidR="00B275EB" w:rsidRPr="00E83BC2" w:rsidRDefault="00B275EB" w:rsidP="00E83BC2">
      <w:pPr>
        <w:pStyle w:val="Heading1"/>
        <w:rPr>
          <w:rFonts w:ascii="Times New Roman" w:hAnsi="Times New Roman" w:cs="Times New Roman"/>
        </w:rPr>
      </w:pPr>
      <w:bookmarkStart w:id="24" w:name="_Toc523612430"/>
      <w:r w:rsidRPr="00E83BC2">
        <w:rPr>
          <w:rFonts w:ascii="Times New Roman" w:hAnsi="Times New Roman" w:cs="Times New Roman"/>
        </w:rPr>
        <w:t>Recommendation</w:t>
      </w:r>
      <w:bookmarkEnd w:id="24"/>
    </w:p>
    <w:p w:rsidR="00086C0E" w:rsidRPr="00E83BC2" w:rsidRDefault="007760FE">
      <w:pPr>
        <w:rPr>
          <w:rFonts w:ascii="Times New Roman" w:hAnsi="Times New Roman" w:cs="Times New Roman"/>
          <w:sz w:val="24"/>
        </w:rPr>
      </w:pPr>
      <w:r w:rsidRPr="00E83BC2">
        <w:rPr>
          <w:rFonts w:ascii="Times New Roman" w:hAnsi="Times New Roman" w:cs="Times New Roman"/>
          <w:sz w:val="24"/>
        </w:rPr>
        <w:t xml:space="preserve">I would recommend Ineos with the second alternative, which is to float its shares into the stock market. The main purpose of this strategy is </w:t>
      </w:r>
      <w:r w:rsidR="00833A45" w:rsidRPr="00E83BC2">
        <w:rPr>
          <w:rFonts w:ascii="Times New Roman" w:hAnsi="Times New Roman" w:cs="Times New Roman"/>
          <w:sz w:val="24"/>
        </w:rPr>
        <w:t xml:space="preserve">to grow exponentially by raising enough capital to enter foreign markets that have not yet been explored by Ineos. </w:t>
      </w:r>
      <w:r w:rsidR="00C060D1" w:rsidRPr="00E83BC2">
        <w:rPr>
          <w:rFonts w:ascii="Times New Roman" w:hAnsi="Times New Roman" w:cs="Times New Roman"/>
          <w:sz w:val="24"/>
        </w:rPr>
        <w:t>The company should sell a percentage of its business in the form of shares. There are two largest stock markets in the UK i.e. London Stock Exchange and PLUS Market Group</w:t>
      </w:r>
      <w:sdt>
        <w:sdtPr>
          <w:rPr>
            <w:rFonts w:ascii="Times New Roman" w:hAnsi="Times New Roman" w:cs="Times New Roman"/>
            <w:sz w:val="24"/>
          </w:rPr>
          <w:id w:val="-632786737"/>
          <w:citation/>
        </w:sdtPr>
        <w:sdtEndPr/>
        <w:sdtContent>
          <w:r w:rsidR="00B7501C">
            <w:rPr>
              <w:rFonts w:ascii="Times New Roman" w:hAnsi="Times New Roman" w:cs="Times New Roman"/>
              <w:sz w:val="24"/>
            </w:rPr>
            <w:fldChar w:fldCharType="begin"/>
          </w:r>
          <w:r w:rsidR="00B7501C">
            <w:rPr>
              <w:rFonts w:ascii="Times New Roman" w:hAnsi="Times New Roman" w:cs="Times New Roman"/>
              <w:sz w:val="24"/>
              <w:lang w:val="en-US"/>
            </w:rPr>
            <w:instrText xml:space="preserve"> CITATION Cli18 \l 1033 </w:instrText>
          </w:r>
          <w:r w:rsidR="00B7501C">
            <w:rPr>
              <w:rFonts w:ascii="Times New Roman" w:hAnsi="Times New Roman" w:cs="Times New Roman"/>
              <w:sz w:val="24"/>
            </w:rPr>
            <w:fldChar w:fldCharType="separate"/>
          </w:r>
          <w:r w:rsidR="00B7501C">
            <w:rPr>
              <w:rFonts w:ascii="Times New Roman" w:hAnsi="Times New Roman" w:cs="Times New Roman"/>
              <w:noProof/>
              <w:sz w:val="24"/>
              <w:lang w:val="en-US"/>
            </w:rPr>
            <w:t xml:space="preserve"> </w:t>
          </w:r>
          <w:r w:rsidR="00B7501C" w:rsidRPr="00B7501C">
            <w:rPr>
              <w:rFonts w:ascii="Times New Roman" w:hAnsi="Times New Roman" w:cs="Times New Roman"/>
              <w:noProof/>
              <w:sz w:val="24"/>
              <w:lang w:val="en-US"/>
            </w:rPr>
            <w:t>(Clifford Chance, 2018)</w:t>
          </w:r>
          <w:r w:rsidR="00B7501C">
            <w:rPr>
              <w:rFonts w:ascii="Times New Roman" w:hAnsi="Times New Roman" w:cs="Times New Roman"/>
              <w:sz w:val="24"/>
            </w:rPr>
            <w:fldChar w:fldCharType="end"/>
          </w:r>
        </w:sdtContent>
      </w:sdt>
      <w:r w:rsidR="00C060D1" w:rsidRPr="00E83BC2">
        <w:rPr>
          <w:rFonts w:ascii="Times New Roman" w:hAnsi="Times New Roman" w:cs="Times New Roman"/>
          <w:sz w:val="24"/>
        </w:rPr>
        <w:t xml:space="preserve">. </w:t>
      </w:r>
    </w:p>
    <w:p w:rsidR="00C060D1" w:rsidRPr="00E83BC2" w:rsidRDefault="00C060D1">
      <w:pPr>
        <w:rPr>
          <w:rFonts w:ascii="Times New Roman" w:hAnsi="Times New Roman" w:cs="Times New Roman"/>
          <w:sz w:val="24"/>
        </w:rPr>
      </w:pPr>
      <w:r w:rsidRPr="00E83BC2">
        <w:rPr>
          <w:rFonts w:ascii="Times New Roman" w:hAnsi="Times New Roman" w:cs="Times New Roman"/>
          <w:sz w:val="24"/>
        </w:rPr>
        <w:t xml:space="preserve">The particular strategy will turn Ineos in to a public company, therefore James Ratcliffe will not remain the sole owner of the company. It may be possible that he still remains the CEO, but his hold over the company would significantly decline. The company would make decisions in the interest of shareholders and that is why it would enter into industries that makes more sense. </w:t>
      </w:r>
    </w:p>
    <w:p w:rsidR="00497035" w:rsidRPr="00E83BC2" w:rsidRDefault="00497035">
      <w:pPr>
        <w:rPr>
          <w:rFonts w:ascii="Times New Roman" w:hAnsi="Times New Roman" w:cs="Times New Roman"/>
          <w:sz w:val="24"/>
        </w:rPr>
      </w:pPr>
      <w:r w:rsidRPr="00E83BC2">
        <w:rPr>
          <w:rFonts w:ascii="Times New Roman" w:hAnsi="Times New Roman" w:cs="Times New Roman"/>
          <w:sz w:val="24"/>
        </w:rPr>
        <w:t xml:space="preserve">The reason why the company needs to adopt the second alternative i.e. float its shares in to the stock market is to gain access to new capital. Now what I have learnt from performing financial analysis is that the company’s Return on Equity and Gross Profit Margin has decreased in the last year. Hence, company needs to find better ways to earn </w:t>
      </w:r>
      <w:r w:rsidR="00825125" w:rsidRPr="00E83BC2">
        <w:rPr>
          <w:rFonts w:ascii="Times New Roman" w:hAnsi="Times New Roman" w:cs="Times New Roman"/>
          <w:sz w:val="24"/>
        </w:rPr>
        <w:t xml:space="preserve">revenues by entering in markets that are related to its chemical industry. </w:t>
      </w:r>
    </w:p>
    <w:p w:rsidR="00825125" w:rsidRPr="00E83BC2" w:rsidRDefault="00825125">
      <w:pPr>
        <w:rPr>
          <w:rFonts w:ascii="Times New Roman" w:hAnsi="Times New Roman" w:cs="Times New Roman"/>
          <w:sz w:val="24"/>
        </w:rPr>
      </w:pPr>
      <w:r w:rsidRPr="00E83BC2">
        <w:rPr>
          <w:rFonts w:ascii="Times New Roman" w:hAnsi="Times New Roman" w:cs="Times New Roman"/>
          <w:sz w:val="24"/>
        </w:rPr>
        <w:t xml:space="preserve">Once Ineos becomes has floated its shares, the company must decide which country it needs to enter that it has never tapped before. Also, it must then decide which industry its should enter that has the full potential to offer higher ROE and gross profit margin. </w:t>
      </w:r>
    </w:p>
    <w:p w:rsidR="00825125" w:rsidRPr="00E83BC2" w:rsidRDefault="00825125">
      <w:pPr>
        <w:rPr>
          <w:rFonts w:ascii="Times New Roman" w:hAnsi="Times New Roman" w:cs="Times New Roman"/>
          <w:sz w:val="24"/>
        </w:rPr>
      </w:pPr>
      <w:r w:rsidRPr="00E83BC2">
        <w:rPr>
          <w:rFonts w:ascii="Times New Roman" w:hAnsi="Times New Roman" w:cs="Times New Roman"/>
          <w:sz w:val="24"/>
        </w:rPr>
        <w:t xml:space="preserve">Now, why I chose Ineos to take this path is because new shares issues by the company, it will help financial organic growth and it would finally enable it to grow faster. In the analysis, I discussed, the company has failed to grow exponentially after it had acquired BP’s cast-off business. </w:t>
      </w:r>
      <w:r w:rsidR="00332DA8" w:rsidRPr="00E83BC2">
        <w:rPr>
          <w:rFonts w:ascii="Times New Roman" w:hAnsi="Times New Roman" w:cs="Times New Roman"/>
          <w:sz w:val="24"/>
        </w:rPr>
        <w:t xml:space="preserve">Once a company is quoted, it places a market value on its shares, as </w:t>
      </w:r>
      <w:r w:rsidR="001548E3" w:rsidRPr="00E83BC2">
        <w:rPr>
          <w:rFonts w:ascii="Times New Roman" w:hAnsi="Times New Roman" w:cs="Times New Roman"/>
          <w:sz w:val="24"/>
        </w:rPr>
        <w:t>a result</w:t>
      </w:r>
      <w:r w:rsidR="00332DA8" w:rsidRPr="00E83BC2">
        <w:rPr>
          <w:rFonts w:ascii="Times New Roman" w:hAnsi="Times New Roman" w:cs="Times New Roman"/>
          <w:sz w:val="24"/>
        </w:rPr>
        <w:t xml:space="preserve"> if a company wants to grow by acquisition, it can issue new shares instead of taking loans or cash. This strategy would also ‘tie in’ the company which has been acquired should you ever consider that they are important to your success</w:t>
      </w:r>
      <w:sdt>
        <w:sdtPr>
          <w:rPr>
            <w:rFonts w:ascii="Times New Roman" w:hAnsi="Times New Roman" w:cs="Times New Roman"/>
            <w:sz w:val="24"/>
          </w:rPr>
          <w:id w:val="1381983633"/>
          <w:citation/>
        </w:sdtPr>
        <w:sdtEndPr/>
        <w:sdtContent>
          <w:r w:rsidR="00B7501C">
            <w:rPr>
              <w:rFonts w:ascii="Times New Roman" w:hAnsi="Times New Roman" w:cs="Times New Roman"/>
              <w:sz w:val="24"/>
            </w:rPr>
            <w:fldChar w:fldCharType="begin"/>
          </w:r>
          <w:r w:rsidR="00B7501C">
            <w:rPr>
              <w:rFonts w:ascii="Times New Roman" w:hAnsi="Times New Roman" w:cs="Times New Roman"/>
              <w:sz w:val="24"/>
              <w:lang w:val="en-US"/>
            </w:rPr>
            <w:instrText xml:space="preserve">CITATION Exe12 \l 1033 </w:instrText>
          </w:r>
          <w:r w:rsidR="00B7501C">
            <w:rPr>
              <w:rFonts w:ascii="Times New Roman" w:hAnsi="Times New Roman" w:cs="Times New Roman"/>
              <w:sz w:val="24"/>
            </w:rPr>
            <w:fldChar w:fldCharType="separate"/>
          </w:r>
          <w:r w:rsidR="00B7501C">
            <w:rPr>
              <w:rFonts w:ascii="Times New Roman" w:hAnsi="Times New Roman" w:cs="Times New Roman"/>
              <w:noProof/>
              <w:sz w:val="24"/>
              <w:lang w:val="en-US"/>
            </w:rPr>
            <w:t xml:space="preserve"> </w:t>
          </w:r>
          <w:r w:rsidR="00B7501C" w:rsidRPr="00B7501C">
            <w:rPr>
              <w:rFonts w:ascii="Times New Roman" w:hAnsi="Times New Roman" w:cs="Times New Roman"/>
              <w:noProof/>
              <w:sz w:val="24"/>
              <w:lang w:val="en-US"/>
            </w:rPr>
            <w:t>(PWC, 2012)</w:t>
          </w:r>
          <w:r w:rsidR="00B7501C">
            <w:rPr>
              <w:rFonts w:ascii="Times New Roman" w:hAnsi="Times New Roman" w:cs="Times New Roman"/>
              <w:sz w:val="24"/>
            </w:rPr>
            <w:fldChar w:fldCharType="end"/>
          </w:r>
        </w:sdtContent>
      </w:sdt>
      <w:r w:rsidR="00332DA8" w:rsidRPr="00E83BC2">
        <w:rPr>
          <w:rFonts w:ascii="Times New Roman" w:hAnsi="Times New Roman" w:cs="Times New Roman"/>
          <w:sz w:val="24"/>
        </w:rPr>
        <w:t xml:space="preserve">. </w:t>
      </w:r>
    </w:p>
    <w:p w:rsidR="00332DA8" w:rsidRPr="00E83BC2" w:rsidRDefault="00567A9C">
      <w:pPr>
        <w:rPr>
          <w:rFonts w:ascii="Times New Roman" w:hAnsi="Times New Roman" w:cs="Times New Roman"/>
          <w:sz w:val="24"/>
        </w:rPr>
      </w:pPr>
      <w:r w:rsidRPr="00E83BC2">
        <w:rPr>
          <w:rFonts w:ascii="Times New Roman" w:hAnsi="Times New Roman" w:cs="Times New Roman"/>
          <w:sz w:val="24"/>
        </w:rPr>
        <w:t xml:space="preserve">The reason why many people haven’t heard of the company’s name before is because it hasn’t floated its shares. Floatation recognizes and enhances the status of the company in the eyes of customers, suppliers, media, and financial community. It would give Ineos products and services a high profile so as it would potentially improve its credit rating. More </w:t>
      </w:r>
      <w:r w:rsidRPr="00E83BC2">
        <w:rPr>
          <w:rFonts w:ascii="Times New Roman" w:hAnsi="Times New Roman" w:cs="Times New Roman"/>
          <w:sz w:val="24"/>
        </w:rPr>
        <w:lastRenderedPageBreak/>
        <w:t xml:space="preserve">importantly, many customers prefer buying from a public company, which is the overlooked intangible benefit Ineos will receive. </w:t>
      </w:r>
    </w:p>
    <w:p w:rsidR="00567A9C" w:rsidRPr="00E83BC2" w:rsidRDefault="003974FB">
      <w:pPr>
        <w:rPr>
          <w:rFonts w:ascii="Times New Roman" w:hAnsi="Times New Roman" w:cs="Times New Roman"/>
          <w:sz w:val="24"/>
        </w:rPr>
      </w:pPr>
      <w:r w:rsidRPr="00E83BC2">
        <w:rPr>
          <w:rFonts w:ascii="Times New Roman" w:hAnsi="Times New Roman" w:cs="Times New Roman"/>
          <w:sz w:val="24"/>
        </w:rPr>
        <w:t xml:space="preserve">An attractive share participation scheme could be introduced amongst employees that will help Ineos motivate them. As to what happened in Grangemouth petrochemical plant and refinery in Scotland, the company do not want to repeat any of those incidents. It wants employees to stay </w:t>
      </w:r>
      <w:r w:rsidR="001548E3" w:rsidRPr="00E83BC2">
        <w:rPr>
          <w:rFonts w:ascii="Times New Roman" w:hAnsi="Times New Roman" w:cs="Times New Roman"/>
          <w:sz w:val="24"/>
        </w:rPr>
        <w:t>motivated,</w:t>
      </w:r>
      <w:r w:rsidRPr="00E83BC2">
        <w:rPr>
          <w:rFonts w:ascii="Times New Roman" w:hAnsi="Times New Roman" w:cs="Times New Roman"/>
          <w:sz w:val="24"/>
        </w:rPr>
        <w:t xml:space="preserve"> so the company can grow towards a better future. The entire management of Ineos will be able to sell the market price for their shares on the daily basis. If they would want to sell their shares, they would do so easily than compared to a company if it was private. </w:t>
      </w:r>
    </w:p>
    <w:p w:rsidR="003974FB" w:rsidRPr="00E83BC2" w:rsidRDefault="003974FB">
      <w:pPr>
        <w:rPr>
          <w:rFonts w:ascii="Times New Roman" w:hAnsi="Times New Roman" w:cs="Times New Roman"/>
          <w:sz w:val="24"/>
        </w:rPr>
      </w:pPr>
      <w:r w:rsidRPr="00E83BC2">
        <w:rPr>
          <w:rFonts w:ascii="Times New Roman" w:hAnsi="Times New Roman" w:cs="Times New Roman"/>
          <w:sz w:val="24"/>
        </w:rPr>
        <w:t xml:space="preserve">Alongside the many benefits of floatation, it also imposes some drawbacks that a company must keep in mind before adopting this strategy. </w:t>
      </w:r>
      <w:r w:rsidR="008557B2" w:rsidRPr="00E83BC2">
        <w:rPr>
          <w:rFonts w:ascii="Times New Roman" w:hAnsi="Times New Roman" w:cs="Times New Roman"/>
          <w:sz w:val="24"/>
        </w:rPr>
        <w:t xml:space="preserve">Jim Ratcliffe has to keep in mind that the company will be subject to public scrutiny and there will be a need for accountability to outside stakeholders. </w:t>
      </w:r>
      <w:r w:rsidR="00AA2679" w:rsidRPr="00E83BC2">
        <w:rPr>
          <w:rFonts w:ascii="Times New Roman" w:hAnsi="Times New Roman" w:cs="Times New Roman"/>
          <w:sz w:val="24"/>
        </w:rPr>
        <w:t>The company</w:t>
      </w:r>
      <w:r w:rsidR="00084EEB" w:rsidRPr="00E83BC2">
        <w:rPr>
          <w:rFonts w:ascii="Times New Roman" w:hAnsi="Times New Roman" w:cs="Times New Roman"/>
          <w:sz w:val="24"/>
        </w:rPr>
        <w:t xml:space="preserve"> would now provide financial feasibility of projects where it would invest. For example, Ineos would not have been able to invest £650m in fracking if it had floated the money in stock market. There would have been a debate as to why the company needs to enter in fracking business if the Scottish government does not allow it.</w:t>
      </w:r>
    </w:p>
    <w:p w:rsidR="00084EEB" w:rsidRPr="00E83BC2" w:rsidRDefault="00084EEB">
      <w:pPr>
        <w:rPr>
          <w:rFonts w:ascii="Times New Roman" w:hAnsi="Times New Roman" w:cs="Times New Roman"/>
          <w:sz w:val="24"/>
        </w:rPr>
      </w:pPr>
      <w:r w:rsidRPr="00E83BC2">
        <w:rPr>
          <w:rFonts w:ascii="Times New Roman" w:hAnsi="Times New Roman" w:cs="Times New Roman"/>
          <w:sz w:val="24"/>
        </w:rPr>
        <w:t xml:space="preserve">Jim Ratcliffe would also need to accept criticism when the company goes public. The criticism should be accepted even if </w:t>
      </w:r>
      <w:r w:rsidR="006F3CEE" w:rsidRPr="00E83BC2">
        <w:rPr>
          <w:rFonts w:ascii="Times New Roman" w:hAnsi="Times New Roman" w:cs="Times New Roman"/>
          <w:sz w:val="24"/>
        </w:rPr>
        <w:t xml:space="preserve">the company had a bad year. It also need to accept the fact that if anyone buys 51% of issued shares, then it would take control over the company. Management of the company will need to invest time towards flotation that could have otherwise be spent running the business. This is said to be the hidden cost, but it will only last for 2 to 3 months. But the company can form two management teams where the smaller team would manage the entire process of flotation, while the other team can manage the operations of business. </w:t>
      </w:r>
    </w:p>
    <w:p w:rsidR="003974FB" w:rsidRPr="00E83BC2" w:rsidRDefault="00AE3E5F">
      <w:pPr>
        <w:rPr>
          <w:rFonts w:ascii="Times New Roman" w:hAnsi="Times New Roman" w:cs="Times New Roman"/>
          <w:sz w:val="24"/>
        </w:rPr>
      </w:pPr>
      <w:r w:rsidRPr="00E83BC2">
        <w:rPr>
          <w:rFonts w:ascii="Times New Roman" w:hAnsi="Times New Roman" w:cs="Times New Roman"/>
          <w:sz w:val="24"/>
        </w:rPr>
        <w:t>Hence, it is predicted to increase company’s cost where Ineos would need to strengthen its reporting system and also because to appoint non-executive directors. At every step of the way i.e. every 6-months, Ineos would inform the market if their strategies would affect the share price</w:t>
      </w:r>
      <w:sdt>
        <w:sdtPr>
          <w:rPr>
            <w:rFonts w:ascii="Times New Roman" w:hAnsi="Times New Roman" w:cs="Times New Roman"/>
            <w:sz w:val="24"/>
          </w:rPr>
          <w:id w:val="1512948814"/>
          <w:citation/>
        </w:sdtPr>
        <w:sdtEndPr/>
        <w:sdtContent>
          <w:r w:rsidR="00B7501C">
            <w:rPr>
              <w:rFonts w:ascii="Times New Roman" w:hAnsi="Times New Roman" w:cs="Times New Roman"/>
              <w:sz w:val="24"/>
            </w:rPr>
            <w:fldChar w:fldCharType="begin"/>
          </w:r>
          <w:r w:rsidR="00B7501C">
            <w:rPr>
              <w:rFonts w:ascii="Times New Roman" w:hAnsi="Times New Roman" w:cs="Times New Roman"/>
              <w:sz w:val="24"/>
              <w:lang w:val="en-US"/>
            </w:rPr>
            <w:instrText xml:space="preserve"> CITATION Lon18 \l 1033 </w:instrText>
          </w:r>
          <w:r w:rsidR="00B7501C">
            <w:rPr>
              <w:rFonts w:ascii="Times New Roman" w:hAnsi="Times New Roman" w:cs="Times New Roman"/>
              <w:sz w:val="24"/>
            </w:rPr>
            <w:fldChar w:fldCharType="separate"/>
          </w:r>
          <w:r w:rsidR="00B7501C">
            <w:rPr>
              <w:rFonts w:ascii="Times New Roman" w:hAnsi="Times New Roman" w:cs="Times New Roman"/>
              <w:noProof/>
              <w:sz w:val="24"/>
              <w:lang w:val="en-US"/>
            </w:rPr>
            <w:t xml:space="preserve"> </w:t>
          </w:r>
          <w:r w:rsidR="00B7501C" w:rsidRPr="00B7501C">
            <w:rPr>
              <w:rFonts w:ascii="Times New Roman" w:hAnsi="Times New Roman" w:cs="Times New Roman"/>
              <w:noProof/>
              <w:sz w:val="24"/>
              <w:lang w:val="en-US"/>
            </w:rPr>
            <w:t>(London Stock Exchange, 2018)</w:t>
          </w:r>
          <w:r w:rsidR="00B7501C">
            <w:rPr>
              <w:rFonts w:ascii="Times New Roman" w:hAnsi="Times New Roman" w:cs="Times New Roman"/>
              <w:sz w:val="24"/>
            </w:rPr>
            <w:fldChar w:fldCharType="end"/>
          </w:r>
        </w:sdtContent>
      </w:sdt>
      <w:r w:rsidRPr="00E83BC2">
        <w:rPr>
          <w:rFonts w:ascii="Times New Roman" w:hAnsi="Times New Roman" w:cs="Times New Roman"/>
          <w:sz w:val="24"/>
        </w:rPr>
        <w:t xml:space="preserve">. The directors will be under immense pressure regarding profit levels and dividends expected by investors. Any unwelcome news could also have a negative impact on the share price that would need to be dealt with immediately. These are some of the factors that will impact the company if it decided to float its shares. </w:t>
      </w:r>
    </w:p>
    <w:p w:rsidR="00C61D3C" w:rsidRPr="00E83BC2" w:rsidRDefault="00B275EB" w:rsidP="00C61D3C">
      <w:pPr>
        <w:pStyle w:val="Heading1"/>
        <w:rPr>
          <w:rFonts w:ascii="Times New Roman" w:hAnsi="Times New Roman" w:cs="Times New Roman"/>
        </w:rPr>
      </w:pPr>
      <w:bookmarkStart w:id="25" w:name="_Toc523612431"/>
      <w:r w:rsidRPr="00E83BC2">
        <w:rPr>
          <w:rFonts w:ascii="Times New Roman" w:hAnsi="Times New Roman" w:cs="Times New Roman"/>
        </w:rPr>
        <w:t>Action Plan</w:t>
      </w:r>
      <w:bookmarkEnd w:id="25"/>
    </w:p>
    <w:p w:rsidR="006D6BA4" w:rsidRPr="00E83BC2" w:rsidRDefault="006D6BA4">
      <w:pPr>
        <w:rPr>
          <w:rFonts w:ascii="Times New Roman" w:hAnsi="Times New Roman" w:cs="Times New Roman"/>
        </w:rPr>
      </w:pPr>
      <w:r w:rsidRPr="00E83BC2">
        <w:rPr>
          <w:rFonts w:ascii="Times New Roman" w:hAnsi="Times New Roman" w:cs="Times New Roman"/>
        </w:rPr>
        <w:t>Stock Exchange’s Main Market is for larger companies that wants to go public, while AIM is for smaller and growing companies. Ineos will need to follow the guidelines for Stick Exchange Main Market since it is a large company. These steps are highlighted below:</w:t>
      </w:r>
    </w:p>
    <w:p w:rsidR="00293985" w:rsidRPr="00E83BC2" w:rsidRDefault="00293985" w:rsidP="0004048A">
      <w:pPr>
        <w:pStyle w:val="Heading2"/>
        <w:rPr>
          <w:rFonts w:ascii="Times New Roman" w:hAnsi="Times New Roman" w:cs="Times New Roman"/>
        </w:rPr>
      </w:pPr>
      <w:bookmarkStart w:id="26" w:name="_Toc523612432"/>
      <w:r w:rsidRPr="00E83BC2">
        <w:rPr>
          <w:rFonts w:ascii="Times New Roman" w:hAnsi="Times New Roman" w:cs="Times New Roman"/>
        </w:rPr>
        <w:t>Appoint Advisers</w:t>
      </w:r>
      <w:bookmarkEnd w:id="26"/>
    </w:p>
    <w:p w:rsidR="009A1872" w:rsidRPr="00E83BC2" w:rsidRDefault="00293985">
      <w:pPr>
        <w:rPr>
          <w:rFonts w:ascii="Times New Roman" w:hAnsi="Times New Roman" w:cs="Times New Roman"/>
        </w:rPr>
      </w:pPr>
      <w:r w:rsidRPr="00E83BC2">
        <w:rPr>
          <w:rFonts w:ascii="Times New Roman" w:hAnsi="Times New Roman" w:cs="Times New Roman"/>
        </w:rPr>
        <w:t xml:space="preserve">The step towards floating stocks in the market is to appoint high quality team of professional advisers, which is an important aspect of successful listing. </w:t>
      </w:r>
      <w:r w:rsidR="009A1872" w:rsidRPr="00E83BC2">
        <w:rPr>
          <w:rFonts w:ascii="Times New Roman" w:hAnsi="Times New Roman" w:cs="Times New Roman"/>
        </w:rPr>
        <w:t>This team of advisers will guide Ineos to a successful listing and move barriers along the way.</w:t>
      </w:r>
    </w:p>
    <w:p w:rsidR="009A1872" w:rsidRPr="00E83BC2" w:rsidRDefault="009A1872">
      <w:pPr>
        <w:rPr>
          <w:rFonts w:ascii="Times New Roman" w:hAnsi="Times New Roman" w:cs="Times New Roman"/>
        </w:rPr>
      </w:pPr>
      <w:r w:rsidRPr="00E83BC2">
        <w:rPr>
          <w:rFonts w:ascii="Times New Roman" w:hAnsi="Times New Roman" w:cs="Times New Roman"/>
        </w:rPr>
        <w:t xml:space="preserve">The further role of advisers would be to advise company with the compliance and requirement of an IPO. The team will be responsible for corporate reorganisation, legal review, due diligence, and verification process. The company would also need a sponsor. A sponsor is an investment bank that as presence in the UK. Ineos has a choice if it wants to appoint more than one sponsor, but there should </w:t>
      </w:r>
      <w:r w:rsidRPr="00E83BC2">
        <w:rPr>
          <w:rFonts w:ascii="Times New Roman" w:hAnsi="Times New Roman" w:cs="Times New Roman"/>
        </w:rPr>
        <w:lastRenderedPageBreak/>
        <w:t>be only one sponsor that must have primary responsibility. Sponsor role is to assist the company in preparing for listing and compliance of the listing rules.</w:t>
      </w:r>
    </w:p>
    <w:p w:rsidR="00032EFB" w:rsidRPr="00E83BC2" w:rsidRDefault="009A1872">
      <w:pPr>
        <w:rPr>
          <w:rFonts w:ascii="Times New Roman" w:hAnsi="Times New Roman" w:cs="Times New Roman"/>
        </w:rPr>
      </w:pPr>
      <w:r w:rsidRPr="00E83BC2">
        <w:rPr>
          <w:rFonts w:ascii="Times New Roman" w:hAnsi="Times New Roman" w:cs="Times New Roman"/>
        </w:rPr>
        <w:t xml:space="preserve">A team of Reporting Accountants will be formed that will provide long form report. It is a private report that is only made available for the viewing of transaction team. It contains company’s history, its business, management, and others to form a prospectus. It also includes detailed financial information </w:t>
      </w:r>
      <w:r w:rsidR="00032EFB" w:rsidRPr="00E83BC2">
        <w:rPr>
          <w:rFonts w:ascii="Times New Roman" w:hAnsi="Times New Roman" w:cs="Times New Roman"/>
        </w:rPr>
        <w:t xml:space="preserve">about the company for the last 3 years. </w:t>
      </w:r>
    </w:p>
    <w:p w:rsidR="00032EFB" w:rsidRPr="00E83BC2" w:rsidRDefault="00032EFB" w:rsidP="0004048A">
      <w:pPr>
        <w:pStyle w:val="Heading2"/>
        <w:rPr>
          <w:rFonts w:ascii="Times New Roman" w:hAnsi="Times New Roman" w:cs="Times New Roman"/>
        </w:rPr>
      </w:pPr>
      <w:bookmarkStart w:id="27" w:name="_Toc523612433"/>
      <w:r w:rsidRPr="00E83BC2">
        <w:rPr>
          <w:rFonts w:ascii="Times New Roman" w:hAnsi="Times New Roman" w:cs="Times New Roman"/>
        </w:rPr>
        <w:t>Preliminary Steps</w:t>
      </w:r>
      <w:bookmarkEnd w:id="27"/>
    </w:p>
    <w:p w:rsidR="00C61D3C" w:rsidRPr="00E83BC2" w:rsidRDefault="00032EFB">
      <w:pPr>
        <w:rPr>
          <w:rFonts w:ascii="Times New Roman" w:hAnsi="Times New Roman" w:cs="Times New Roman"/>
        </w:rPr>
      </w:pPr>
      <w:r w:rsidRPr="00E83BC2">
        <w:rPr>
          <w:rFonts w:ascii="Times New Roman" w:hAnsi="Times New Roman" w:cs="Times New Roman"/>
        </w:rPr>
        <w:t xml:space="preserve">Before the company is admitted to official list, legal review process must be completed. It will be only completed if professional advisers are satisfied with company’s situation while making sure that Prospectus contains all the necessary information. Since Ineos is incorporated in UK and is headquartered in London, it will need to re-register itself as public limited company prior to floating its stocks. </w:t>
      </w:r>
    </w:p>
    <w:p w:rsidR="002639AA" w:rsidRPr="00E83BC2" w:rsidRDefault="002639AA" w:rsidP="0004048A">
      <w:pPr>
        <w:pStyle w:val="Heading2"/>
        <w:rPr>
          <w:rFonts w:ascii="Times New Roman" w:hAnsi="Times New Roman" w:cs="Times New Roman"/>
        </w:rPr>
      </w:pPr>
      <w:bookmarkStart w:id="28" w:name="_Toc523612434"/>
      <w:r w:rsidRPr="00E83BC2">
        <w:rPr>
          <w:rFonts w:ascii="Times New Roman" w:hAnsi="Times New Roman" w:cs="Times New Roman"/>
        </w:rPr>
        <w:t>Preparation for Flotation of Stocks</w:t>
      </w:r>
      <w:bookmarkEnd w:id="28"/>
    </w:p>
    <w:p w:rsidR="002639AA" w:rsidRPr="00E83BC2" w:rsidRDefault="002639AA">
      <w:pPr>
        <w:rPr>
          <w:rFonts w:ascii="Times New Roman" w:hAnsi="Times New Roman" w:cs="Times New Roman"/>
        </w:rPr>
      </w:pPr>
      <w:r w:rsidRPr="00E83BC2">
        <w:rPr>
          <w:rFonts w:ascii="Times New Roman" w:hAnsi="Times New Roman" w:cs="Times New Roman"/>
        </w:rPr>
        <w:t xml:space="preserve">It is obvious for the company to meet the requirements of Listing Rules before their admission of the Official List. If the Financial Conduct Authority (FCA) is satisfied with company’s provided details and the draft Prospectus, only then it will give its approval for the listing. The most </w:t>
      </w:r>
      <w:r w:rsidR="001548E3" w:rsidRPr="00E83BC2">
        <w:rPr>
          <w:rFonts w:ascii="Times New Roman" w:hAnsi="Times New Roman" w:cs="Times New Roman"/>
        </w:rPr>
        <w:t>time-consuming</w:t>
      </w:r>
      <w:r w:rsidRPr="00E83BC2">
        <w:rPr>
          <w:rFonts w:ascii="Times New Roman" w:hAnsi="Times New Roman" w:cs="Times New Roman"/>
        </w:rPr>
        <w:t xml:space="preserve"> part is the preparation and verification of Prospectus</w:t>
      </w:r>
      <w:sdt>
        <w:sdtPr>
          <w:rPr>
            <w:rFonts w:ascii="Times New Roman" w:hAnsi="Times New Roman" w:cs="Times New Roman"/>
          </w:rPr>
          <w:id w:val="-1370522447"/>
          <w:citation/>
        </w:sdtPr>
        <w:sdtEndPr/>
        <w:sdtContent>
          <w:r w:rsidR="00D25093">
            <w:rPr>
              <w:rFonts w:ascii="Times New Roman" w:hAnsi="Times New Roman" w:cs="Times New Roman"/>
            </w:rPr>
            <w:fldChar w:fldCharType="begin"/>
          </w:r>
          <w:r w:rsidR="00D25093">
            <w:rPr>
              <w:rFonts w:ascii="Times New Roman" w:hAnsi="Times New Roman" w:cs="Times New Roman"/>
              <w:lang w:val="en-US"/>
            </w:rPr>
            <w:instrText xml:space="preserve"> CITATION Gou12 \l 1033 </w:instrText>
          </w:r>
          <w:r w:rsidR="00D25093">
            <w:rPr>
              <w:rFonts w:ascii="Times New Roman" w:hAnsi="Times New Roman" w:cs="Times New Roman"/>
            </w:rPr>
            <w:fldChar w:fldCharType="separate"/>
          </w:r>
          <w:r w:rsidR="00D25093">
            <w:rPr>
              <w:rFonts w:ascii="Times New Roman" w:hAnsi="Times New Roman" w:cs="Times New Roman"/>
              <w:noProof/>
              <w:lang w:val="en-US"/>
            </w:rPr>
            <w:t xml:space="preserve"> </w:t>
          </w:r>
          <w:r w:rsidR="00D25093" w:rsidRPr="00D25093">
            <w:rPr>
              <w:rFonts w:ascii="Times New Roman" w:hAnsi="Times New Roman" w:cs="Times New Roman"/>
              <w:noProof/>
              <w:lang w:val="en-US"/>
            </w:rPr>
            <w:t>(Gough, 2012)</w:t>
          </w:r>
          <w:r w:rsidR="00D25093">
            <w:rPr>
              <w:rFonts w:ascii="Times New Roman" w:hAnsi="Times New Roman" w:cs="Times New Roman"/>
            </w:rPr>
            <w:fldChar w:fldCharType="end"/>
          </w:r>
        </w:sdtContent>
      </w:sdt>
      <w:r w:rsidRPr="00E83BC2">
        <w:rPr>
          <w:rFonts w:ascii="Times New Roman" w:hAnsi="Times New Roman" w:cs="Times New Roman"/>
        </w:rPr>
        <w:t xml:space="preserve">. </w:t>
      </w:r>
    </w:p>
    <w:p w:rsidR="002639AA" w:rsidRPr="00E83BC2" w:rsidRDefault="002639AA" w:rsidP="0004048A">
      <w:pPr>
        <w:pStyle w:val="Heading2"/>
        <w:rPr>
          <w:rFonts w:ascii="Times New Roman" w:hAnsi="Times New Roman" w:cs="Times New Roman"/>
        </w:rPr>
      </w:pPr>
      <w:bookmarkStart w:id="29" w:name="_Toc523612435"/>
      <w:r w:rsidRPr="00E83BC2">
        <w:rPr>
          <w:rFonts w:ascii="Times New Roman" w:hAnsi="Times New Roman" w:cs="Times New Roman"/>
        </w:rPr>
        <w:t>Legal Review, Due Diligence, and Verification</w:t>
      </w:r>
      <w:bookmarkEnd w:id="29"/>
    </w:p>
    <w:p w:rsidR="002639AA" w:rsidRPr="00E83BC2" w:rsidRDefault="00D87A90" w:rsidP="00D87A90">
      <w:pPr>
        <w:rPr>
          <w:rFonts w:ascii="Times New Roman" w:hAnsi="Times New Roman" w:cs="Times New Roman"/>
        </w:rPr>
      </w:pPr>
      <w:r w:rsidRPr="00E83BC2">
        <w:rPr>
          <w:rFonts w:ascii="Times New Roman" w:hAnsi="Times New Roman" w:cs="Times New Roman"/>
        </w:rPr>
        <w:t>The legal review and due diligence is performed regarding legal issues of the company that includes its business, industry, directors, and management who are going to be reflected in the Prospectus. Disclosures of such issues will increase their credibility and provides a relief for the company with criminal liability</w:t>
      </w:r>
      <w:sdt>
        <w:sdtPr>
          <w:rPr>
            <w:rFonts w:ascii="Times New Roman" w:hAnsi="Times New Roman" w:cs="Times New Roman"/>
          </w:rPr>
          <w:id w:val="-501824980"/>
          <w:citation/>
        </w:sdtPr>
        <w:sdtEndPr/>
        <w:sdtContent>
          <w:r w:rsidR="00D25093">
            <w:rPr>
              <w:rFonts w:ascii="Times New Roman" w:hAnsi="Times New Roman" w:cs="Times New Roman"/>
            </w:rPr>
            <w:fldChar w:fldCharType="begin"/>
          </w:r>
          <w:r w:rsidR="00D25093">
            <w:rPr>
              <w:rFonts w:ascii="Times New Roman" w:hAnsi="Times New Roman" w:cs="Times New Roman"/>
              <w:lang w:val="en-US"/>
            </w:rPr>
            <w:instrText xml:space="preserve"> CITATION Reu07 \l 1033 </w:instrText>
          </w:r>
          <w:r w:rsidR="00D25093">
            <w:rPr>
              <w:rFonts w:ascii="Times New Roman" w:hAnsi="Times New Roman" w:cs="Times New Roman"/>
            </w:rPr>
            <w:fldChar w:fldCharType="separate"/>
          </w:r>
          <w:r w:rsidR="00D25093">
            <w:rPr>
              <w:rFonts w:ascii="Times New Roman" w:hAnsi="Times New Roman" w:cs="Times New Roman"/>
              <w:noProof/>
              <w:lang w:val="en-US"/>
            </w:rPr>
            <w:t xml:space="preserve"> </w:t>
          </w:r>
          <w:r w:rsidR="00D25093" w:rsidRPr="00D25093">
            <w:rPr>
              <w:rFonts w:ascii="Times New Roman" w:hAnsi="Times New Roman" w:cs="Times New Roman"/>
              <w:noProof/>
              <w:lang w:val="en-US"/>
            </w:rPr>
            <w:t>(Reuvid, 2007)</w:t>
          </w:r>
          <w:r w:rsidR="00D25093">
            <w:rPr>
              <w:rFonts w:ascii="Times New Roman" w:hAnsi="Times New Roman" w:cs="Times New Roman"/>
            </w:rPr>
            <w:fldChar w:fldCharType="end"/>
          </w:r>
        </w:sdtContent>
      </w:sdt>
      <w:r w:rsidRPr="00E83BC2">
        <w:rPr>
          <w:rFonts w:ascii="Times New Roman" w:hAnsi="Times New Roman" w:cs="Times New Roman"/>
        </w:rPr>
        <w:t xml:space="preserve">. </w:t>
      </w:r>
    </w:p>
    <w:p w:rsidR="00D87A90" w:rsidRPr="00E83BC2" w:rsidRDefault="00DA671D" w:rsidP="00D87A90">
      <w:pPr>
        <w:rPr>
          <w:rFonts w:ascii="Times New Roman" w:hAnsi="Times New Roman" w:cs="Times New Roman"/>
        </w:rPr>
      </w:pPr>
      <w:r w:rsidRPr="00E83BC2">
        <w:rPr>
          <w:rFonts w:ascii="Times New Roman" w:hAnsi="Times New Roman" w:cs="Times New Roman"/>
        </w:rPr>
        <w:t xml:space="preserve">The review will further ensure that the information available on Prospectus is accurate and complete. The verification process will also involve legal advisers to check the accuracy of Prospectus along with the financial information. These three </w:t>
      </w:r>
      <w:r w:rsidR="001548E3" w:rsidRPr="00E83BC2">
        <w:rPr>
          <w:rFonts w:ascii="Times New Roman" w:hAnsi="Times New Roman" w:cs="Times New Roman"/>
        </w:rPr>
        <w:t>processes</w:t>
      </w:r>
      <w:r w:rsidRPr="00E83BC2">
        <w:rPr>
          <w:rFonts w:ascii="Times New Roman" w:hAnsi="Times New Roman" w:cs="Times New Roman"/>
        </w:rPr>
        <w:t xml:space="preserve"> are also formed to provide evidence of the information available along with the records. The record will be used in the defence of company’s claims. </w:t>
      </w:r>
    </w:p>
    <w:p w:rsidR="00DA671D" w:rsidRPr="00E83BC2" w:rsidRDefault="00DA671D" w:rsidP="0004048A">
      <w:pPr>
        <w:pStyle w:val="Heading2"/>
        <w:rPr>
          <w:rFonts w:ascii="Times New Roman" w:hAnsi="Times New Roman" w:cs="Times New Roman"/>
        </w:rPr>
      </w:pPr>
      <w:bookmarkStart w:id="30" w:name="_Toc523612436"/>
      <w:r w:rsidRPr="00E83BC2">
        <w:rPr>
          <w:rFonts w:ascii="Times New Roman" w:hAnsi="Times New Roman" w:cs="Times New Roman"/>
        </w:rPr>
        <w:t>Timetable</w:t>
      </w:r>
      <w:bookmarkEnd w:id="30"/>
    </w:p>
    <w:p w:rsidR="00DA671D" w:rsidRPr="00E83BC2" w:rsidRDefault="00DA671D" w:rsidP="00D87A90">
      <w:pPr>
        <w:rPr>
          <w:rFonts w:ascii="Times New Roman" w:hAnsi="Times New Roman" w:cs="Times New Roman"/>
        </w:rPr>
      </w:pPr>
      <w:r w:rsidRPr="00E83BC2">
        <w:rPr>
          <w:rFonts w:ascii="Times New Roman" w:hAnsi="Times New Roman" w:cs="Times New Roman"/>
        </w:rPr>
        <w:t xml:space="preserve">A timetable will be formed by Sponsors in the beginning of the floating process so that everything is performed in a timely manner and remains under constant review. </w:t>
      </w:r>
      <w:r w:rsidR="00B86544" w:rsidRPr="00E83BC2">
        <w:rPr>
          <w:rFonts w:ascii="Times New Roman" w:hAnsi="Times New Roman" w:cs="Times New Roman"/>
        </w:rPr>
        <w:t xml:space="preserve">It has been mentioned in the Main Market guidelines that the draft prospectus must be submitted 20 business days prior to planned approval date of Prospectus. Once the draft Prospectus is reached to FCA and they are satisfied with the draft, then it is made public as soon as possible within 6 business days. </w:t>
      </w:r>
    </w:p>
    <w:p w:rsidR="00B86544" w:rsidRPr="00E83BC2" w:rsidRDefault="00B86544" w:rsidP="00D87A90">
      <w:pPr>
        <w:rPr>
          <w:rFonts w:ascii="Times New Roman" w:hAnsi="Times New Roman" w:cs="Times New Roman"/>
        </w:rPr>
      </w:pPr>
      <w:r w:rsidRPr="00E83BC2">
        <w:rPr>
          <w:rFonts w:ascii="Times New Roman" w:hAnsi="Times New Roman" w:cs="Times New Roman"/>
        </w:rPr>
        <w:t>Ineos can make the Prospectus available to public in a number of ways, some of them are listed below:</w:t>
      </w:r>
    </w:p>
    <w:p w:rsidR="00B86544" w:rsidRPr="00E83BC2" w:rsidRDefault="00B86544" w:rsidP="00B86544">
      <w:pPr>
        <w:pStyle w:val="ListParagraph"/>
        <w:numPr>
          <w:ilvl w:val="0"/>
          <w:numId w:val="10"/>
        </w:numPr>
        <w:rPr>
          <w:rFonts w:ascii="Times New Roman" w:hAnsi="Times New Roman" w:cs="Times New Roman"/>
        </w:rPr>
      </w:pPr>
      <w:r w:rsidRPr="00E83BC2">
        <w:rPr>
          <w:rFonts w:ascii="Times New Roman" w:hAnsi="Times New Roman" w:cs="Times New Roman"/>
        </w:rPr>
        <w:t>Newspaper</w:t>
      </w:r>
    </w:p>
    <w:p w:rsidR="00B86544" w:rsidRPr="00E83BC2" w:rsidRDefault="00B86544" w:rsidP="00B86544">
      <w:pPr>
        <w:pStyle w:val="ListParagraph"/>
        <w:numPr>
          <w:ilvl w:val="0"/>
          <w:numId w:val="10"/>
        </w:numPr>
        <w:rPr>
          <w:rFonts w:ascii="Times New Roman" w:hAnsi="Times New Roman" w:cs="Times New Roman"/>
        </w:rPr>
      </w:pPr>
      <w:r w:rsidRPr="00E83BC2">
        <w:rPr>
          <w:rFonts w:ascii="Times New Roman" w:hAnsi="Times New Roman" w:cs="Times New Roman"/>
        </w:rPr>
        <w:t>Distribution of hard copies of Prospectus to public</w:t>
      </w:r>
    </w:p>
    <w:p w:rsidR="00B86544" w:rsidRPr="00E83BC2" w:rsidRDefault="00B86544" w:rsidP="00B86544">
      <w:pPr>
        <w:pStyle w:val="ListParagraph"/>
        <w:numPr>
          <w:ilvl w:val="0"/>
          <w:numId w:val="10"/>
        </w:numPr>
        <w:rPr>
          <w:rFonts w:ascii="Times New Roman" w:hAnsi="Times New Roman" w:cs="Times New Roman"/>
        </w:rPr>
      </w:pPr>
      <w:r w:rsidRPr="00E83BC2">
        <w:rPr>
          <w:rFonts w:ascii="Times New Roman" w:hAnsi="Times New Roman" w:cs="Times New Roman"/>
        </w:rPr>
        <w:t>Available in the company’s website or at Sponsor’s website</w:t>
      </w:r>
    </w:p>
    <w:p w:rsidR="00B86544" w:rsidRPr="00E83BC2" w:rsidRDefault="00B86544" w:rsidP="00B86544">
      <w:pPr>
        <w:pStyle w:val="ListParagraph"/>
        <w:numPr>
          <w:ilvl w:val="0"/>
          <w:numId w:val="10"/>
        </w:numPr>
        <w:rPr>
          <w:rFonts w:ascii="Times New Roman" w:hAnsi="Times New Roman" w:cs="Times New Roman"/>
        </w:rPr>
      </w:pPr>
      <w:r w:rsidRPr="00E83BC2">
        <w:rPr>
          <w:rFonts w:ascii="Times New Roman" w:hAnsi="Times New Roman" w:cs="Times New Roman"/>
        </w:rPr>
        <w:t>Available on FCA’s website</w:t>
      </w:r>
    </w:p>
    <w:p w:rsidR="00B86544" w:rsidRPr="00E83BC2" w:rsidRDefault="003F5E0B" w:rsidP="00B86544">
      <w:pPr>
        <w:rPr>
          <w:rFonts w:ascii="Times New Roman" w:hAnsi="Times New Roman" w:cs="Times New Roman"/>
        </w:rPr>
      </w:pPr>
      <w:r w:rsidRPr="00E83BC2">
        <w:rPr>
          <w:rFonts w:ascii="Times New Roman" w:hAnsi="Times New Roman" w:cs="Times New Roman"/>
        </w:rPr>
        <w:t xml:space="preserve">After that, 48-hours will be provided by the FCA to prepare documents before the hearing of listing applications. Application will be considered by the FCA, and if its in order, trading of shares will be permitted. </w:t>
      </w:r>
    </w:p>
    <w:p w:rsidR="003F5E0B" w:rsidRPr="00E83BC2" w:rsidRDefault="003F5E0B" w:rsidP="0004048A">
      <w:pPr>
        <w:pStyle w:val="Heading2"/>
        <w:rPr>
          <w:rFonts w:ascii="Times New Roman" w:hAnsi="Times New Roman" w:cs="Times New Roman"/>
        </w:rPr>
      </w:pPr>
      <w:bookmarkStart w:id="31" w:name="_Toc523612437"/>
      <w:r w:rsidRPr="00E83BC2">
        <w:rPr>
          <w:rFonts w:ascii="Times New Roman" w:hAnsi="Times New Roman" w:cs="Times New Roman"/>
        </w:rPr>
        <w:lastRenderedPageBreak/>
        <w:t>Admission to Trading</w:t>
      </w:r>
      <w:bookmarkEnd w:id="31"/>
    </w:p>
    <w:p w:rsidR="003F5E0B" w:rsidRPr="00E83BC2" w:rsidRDefault="003F5E0B" w:rsidP="00B86544">
      <w:pPr>
        <w:rPr>
          <w:rFonts w:ascii="Times New Roman" w:hAnsi="Times New Roman" w:cs="Times New Roman"/>
        </w:rPr>
      </w:pPr>
      <w:r w:rsidRPr="00E83BC2">
        <w:rPr>
          <w:rFonts w:ascii="Times New Roman" w:hAnsi="Times New Roman" w:cs="Times New Roman"/>
        </w:rPr>
        <w:t xml:space="preserve">Admission to trading must be obtained to trade shares on the list. As a result, a meeting must be conducted with the Exchange where the two parties will discuss the timetable for admission. This process doesn’t take less than 10 business days to complete and for the Exchange to consider the application. </w:t>
      </w:r>
    </w:p>
    <w:p w:rsidR="003F5E0B" w:rsidRPr="00E83BC2" w:rsidRDefault="003F5E0B" w:rsidP="003F5E0B">
      <w:pPr>
        <w:pStyle w:val="Heading1"/>
        <w:rPr>
          <w:rFonts w:ascii="Times New Roman" w:hAnsi="Times New Roman" w:cs="Times New Roman"/>
        </w:rPr>
      </w:pPr>
      <w:bookmarkStart w:id="32" w:name="_Toc523612438"/>
      <w:r w:rsidRPr="00E83BC2">
        <w:rPr>
          <w:rFonts w:ascii="Times New Roman" w:hAnsi="Times New Roman" w:cs="Times New Roman"/>
        </w:rPr>
        <w:t>Conclusion</w:t>
      </w:r>
      <w:bookmarkEnd w:id="32"/>
    </w:p>
    <w:p w:rsidR="00E83BC2" w:rsidRDefault="00142338" w:rsidP="00B86544">
      <w:pPr>
        <w:rPr>
          <w:rFonts w:ascii="Times New Roman" w:hAnsi="Times New Roman" w:cs="Times New Roman"/>
          <w:sz w:val="24"/>
        </w:rPr>
      </w:pPr>
      <w:r w:rsidRPr="00E83BC2">
        <w:rPr>
          <w:rFonts w:ascii="Times New Roman" w:hAnsi="Times New Roman" w:cs="Times New Roman"/>
        </w:rPr>
        <w:t>Ineos, one of the largest chemical manufacturers and oil and products has o</w:t>
      </w:r>
      <w:r w:rsidR="0004048A" w:rsidRPr="00E83BC2">
        <w:rPr>
          <w:rFonts w:ascii="Times New Roman" w:hAnsi="Times New Roman" w:cs="Times New Roman"/>
        </w:rPr>
        <w:t>ver 18,5</w:t>
      </w:r>
      <w:r w:rsidRPr="00E83BC2">
        <w:rPr>
          <w:rFonts w:ascii="Times New Roman" w:hAnsi="Times New Roman" w:cs="Times New Roman"/>
        </w:rPr>
        <w:t xml:space="preserve">00 employees and is worth </w:t>
      </w:r>
      <w:r w:rsidRPr="00E83BC2">
        <w:rPr>
          <w:rFonts w:ascii="Times New Roman" w:hAnsi="Times New Roman" w:cs="Times New Roman"/>
          <w:sz w:val="24"/>
        </w:rPr>
        <w:t xml:space="preserve">£35bn. Ineos is currently run by Jim Ratcliffe, the Chairman and CEO. The major strategy of Ineos which has also made it a successful company is to buy cast-off businesses from the top companies and turn them in a profitable business. As a result, Ineos has been entering into various markets wherever it could find a business that has potential but is currently failing. This has led the company to adopt unrelated diversification strategy. Although this strategy was fruitful in the past and has quadrupled sales for Ineos, but it also has a negative impact. The company invested £650m in fracking without any positive results, bought a football team, and started many businesses that didn’t got success as </w:t>
      </w:r>
      <w:r w:rsidR="003D54DC" w:rsidRPr="00E83BC2">
        <w:rPr>
          <w:rFonts w:ascii="Times New Roman" w:hAnsi="Times New Roman" w:cs="Times New Roman"/>
          <w:sz w:val="24"/>
        </w:rPr>
        <w:t xml:space="preserve">it had been with buying BPs cast-off company Innovene. Hence, the company is running out of money with its continuous decline of gross profit margins. </w:t>
      </w:r>
      <w:r w:rsidR="008E2E20" w:rsidRPr="00E83BC2">
        <w:rPr>
          <w:rFonts w:ascii="Times New Roman" w:hAnsi="Times New Roman" w:cs="Times New Roman"/>
          <w:sz w:val="24"/>
        </w:rPr>
        <w:t xml:space="preserve">It is recommended that Ineos must </w:t>
      </w:r>
      <w:r w:rsidR="00A22F09" w:rsidRPr="00E83BC2">
        <w:rPr>
          <w:rFonts w:ascii="Times New Roman" w:hAnsi="Times New Roman" w:cs="Times New Roman"/>
          <w:sz w:val="24"/>
        </w:rPr>
        <w:t xml:space="preserve">float its shares to the public to gain new </w:t>
      </w:r>
      <w:bookmarkStart w:id="33" w:name="_GoBack"/>
      <w:bookmarkEnd w:id="33"/>
      <w:r w:rsidR="001548E3" w:rsidRPr="00E83BC2">
        <w:rPr>
          <w:rFonts w:ascii="Times New Roman" w:hAnsi="Times New Roman" w:cs="Times New Roman"/>
          <w:sz w:val="24"/>
        </w:rPr>
        <w:t>capital,</w:t>
      </w:r>
      <w:r w:rsidR="00A22F09" w:rsidRPr="00E83BC2">
        <w:rPr>
          <w:rFonts w:ascii="Times New Roman" w:hAnsi="Times New Roman" w:cs="Times New Roman"/>
          <w:sz w:val="24"/>
        </w:rPr>
        <w:t xml:space="preserve"> </w:t>
      </w:r>
      <w:r w:rsidR="0078339C" w:rsidRPr="00E83BC2">
        <w:rPr>
          <w:rFonts w:ascii="Times New Roman" w:hAnsi="Times New Roman" w:cs="Times New Roman"/>
          <w:sz w:val="24"/>
        </w:rPr>
        <w:t xml:space="preserve">so it can </w:t>
      </w:r>
      <w:r w:rsidR="0004048A" w:rsidRPr="00E83BC2">
        <w:rPr>
          <w:rFonts w:ascii="Times New Roman" w:hAnsi="Times New Roman" w:cs="Times New Roman"/>
          <w:sz w:val="24"/>
        </w:rPr>
        <w:t>be p</w:t>
      </w:r>
      <w:r w:rsidR="0078339C" w:rsidRPr="00E83BC2">
        <w:rPr>
          <w:rFonts w:ascii="Times New Roman" w:hAnsi="Times New Roman" w:cs="Times New Roman"/>
          <w:sz w:val="24"/>
        </w:rPr>
        <w:t xml:space="preserve">ut to great use. </w:t>
      </w:r>
    </w:p>
    <w:p w:rsidR="00E83BC2" w:rsidRDefault="00E83BC2">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color w:val="auto"/>
          <w:sz w:val="22"/>
          <w:szCs w:val="22"/>
        </w:rPr>
        <w:id w:val="-1431270518"/>
        <w:docPartObj>
          <w:docPartGallery w:val="Bibliographies"/>
          <w:docPartUnique/>
        </w:docPartObj>
      </w:sdtPr>
      <w:sdtEndPr>
        <w:rPr>
          <w:rFonts w:ascii="Times New Roman" w:hAnsi="Times New Roman" w:cs="Times New Roman"/>
          <w:sz w:val="24"/>
          <w:szCs w:val="24"/>
        </w:rPr>
      </w:sdtEndPr>
      <w:sdtContent>
        <w:p w:rsidR="00D25093" w:rsidRPr="00D25093" w:rsidRDefault="00D25093" w:rsidP="00D25093">
          <w:pPr>
            <w:pStyle w:val="Heading1"/>
            <w:jc w:val="center"/>
            <w:rPr>
              <w:rFonts w:ascii="Times New Roman" w:hAnsi="Times New Roman" w:cs="Times New Roman"/>
              <w:sz w:val="24"/>
              <w:szCs w:val="24"/>
            </w:rPr>
          </w:pPr>
          <w:r w:rsidRPr="00D25093">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sz w:val="24"/>
                  <w:szCs w:val="24"/>
                </w:rPr>
                <w:fldChar w:fldCharType="begin"/>
              </w:r>
              <w:r w:rsidRPr="00D25093">
                <w:rPr>
                  <w:rFonts w:ascii="Times New Roman" w:hAnsi="Times New Roman" w:cs="Times New Roman"/>
                  <w:sz w:val="24"/>
                  <w:szCs w:val="24"/>
                </w:rPr>
                <w:instrText xml:space="preserve"> BIBLIOGRAPHY </w:instrText>
              </w:r>
              <w:r w:rsidRPr="00D25093">
                <w:rPr>
                  <w:rFonts w:ascii="Times New Roman" w:hAnsi="Times New Roman" w:cs="Times New Roman"/>
                  <w:sz w:val="24"/>
                  <w:szCs w:val="24"/>
                </w:rPr>
                <w:fldChar w:fldCharType="separate"/>
              </w:r>
              <w:r w:rsidRPr="00D25093">
                <w:rPr>
                  <w:rFonts w:ascii="Times New Roman" w:hAnsi="Times New Roman" w:cs="Times New Roman"/>
                  <w:noProof/>
                  <w:sz w:val="24"/>
                  <w:szCs w:val="24"/>
                </w:rPr>
                <w:t xml:space="preserve">BBC, 2018. </w:t>
              </w:r>
              <w:r w:rsidRPr="00D25093">
                <w:rPr>
                  <w:rFonts w:ascii="Times New Roman" w:hAnsi="Times New Roman" w:cs="Times New Roman"/>
                  <w:i/>
                  <w:iCs/>
                  <w:noProof/>
                  <w:sz w:val="24"/>
                  <w:szCs w:val="24"/>
                </w:rPr>
                <w:t xml:space="preserve">What is fracking and why is it controversial?.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https://www.bbc.com/news/uk-14432401</w:t>
              </w:r>
              <w:r w:rsidRPr="00D25093">
                <w:rPr>
                  <w:rFonts w:ascii="Times New Roman" w:hAnsi="Times New Roman" w:cs="Times New Roman"/>
                  <w:noProof/>
                  <w:sz w:val="24"/>
                  <w:szCs w:val="24"/>
                </w:rPr>
                <w:br/>
                <w:t>[Accessed 27 August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Clifford Chance, 2018. </w:t>
              </w:r>
              <w:r w:rsidRPr="00D25093">
                <w:rPr>
                  <w:rFonts w:ascii="Times New Roman" w:hAnsi="Times New Roman" w:cs="Times New Roman"/>
                  <w:i/>
                  <w:iCs/>
                  <w:noProof/>
                  <w:sz w:val="24"/>
                  <w:szCs w:val="24"/>
                </w:rPr>
                <w:t xml:space="preserve">Initial Public Offers: A Guide to the UK Listing Regime.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https://financialmarketstoolkit.cliffordchance.com/content/micro-facm/en/financial-markets-resources/resources-by-type/guides/a-guide-to-the-uk-listing-regime/_jcr_content/parsys/download/file.res</w:t>
              </w:r>
              <w:r w:rsidRPr="00D25093">
                <w:rPr>
                  <w:rFonts w:ascii="Times New Roman" w:hAnsi="Times New Roman" w:cs="Times New Roman"/>
                  <w:noProof/>
                  <w:sz w:val="24"/>
                  <w:szCs w:val="24"/>
                </w:rPr>
                <w:br/>
                <w:t>[Accessed 27 08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Gough, L., 2012. </w:t>
              </w:r>
              <w:r w:rsidRPr="00D25093">
                <w:rPr>
                  <w:rFonts w:ascii="Times New Roman" w:hAnsi="Times New Roman" w:cs="Times New Roman"/>
                  <w:i/>
                  <w:iCs/>
                  <w:noProof/>
                  <w:sz w:val="24"/>
                  <w:szCs w:val="24"/>
                </w:rPr>
                <w:t xml:space="preserve">Financial Times Guide to How the Stock Market Really Works. </w:t>
              </w:r>
              <w:r w:rsidRPr="00D25093">
                <w:rPr>
                  <w:rFonts w:ascii="Times New Roman" w:hAnsi="Times New Roman" w:cs="Times New Roman"/>
                  <w:noProof/>
                  <w:sz w:val="24"/>
                  <w:szCs w:val="24"/>
                </w:rPr>
                <w:t>3rd ed. London: Pearson UK.</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Ineos, 2017. </w:t>
              </w:r>
              <w:r w:rsidRPr="00D25093">
                <w:rPr>
                  <w:rFonts w:ascii="Times New Roman" w:hAnsi="Times New Roman" w:cs="Times New Roman"/>
                  <w:i/>
                  <w:iCs/>
                  <w:noProof/>
                  <w:sz w:val="24"/>
                  <w:szCs w:val="24"/>
                </w:rPr>
                <w:t xml:space="preserve">Ineos Group Holdings Annual Report 2017.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https://www.ineos.com/globalassets/investor-relations/public/annual-reports/2017-igh-sa-annual-report_final.pdf</w:t>
              </w:r>
              <w:r w:rsidRPr="00D25093">
                <w:rPr>
                  <w:rFonts w:ascii="Times New Roman" w:hAnsi="Times New Roman" w:cs="Times New Roman"/>
                  <w:noProof/>
                  <w:sz w:val="24"/>
                  <w:szCs w:val="24"/>
                </w:rPr>
                <w:br/>
                <w:t>[Accessed 01 09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Ineos, 2018. </w:t>
              </w:r>
              <w:r w:rsidRPr="00D25093">
                <w:rPr>
                  <w:rFonts w:ascii="Times New Roman" w:hAnsi="Times New Roman" w:cs="Times New Roman"/>
                  <w:i/>
                  <w:iCs/>
                  <w:noProof/>
                  <w:sz w:val="24"/>
                  <w:szCs w:val="24"/>
                </w:rPr>
                <w:t xml:space="preserve">Markets.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https://www.ineos.com/markets/</w:t>
              </w:r>
              <w:r w:rsidRPr="00D25093">
                <w:rPr>
                  <w:rFonts w:ascii="Times New Roman" w:hAnsi="Times New Roman" w:cs="Times New Roman"/>
                  <w:noProof/>
                  <w:sz w:val="24"/>
                  <w:szCs w:val="24"/>
                </w:rPr>
                <w:br/>
                <w:t>[Accessed 29 08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Ineos, 2018. </w:t>
              </w:r>
              <w:r w:rsidRPr="00D25093">
                <w:rPr>
                  <w:rFonts w:ascii="Times New Roman" w:hAnsi="Times New Roman" w:cs="Times New Roman"/>
                  <w:i/>
                  <w:iCs/>
                  <w:noProof/>
                  <w:sz w:val="24"/>
                  <w:szCs w:val="24"/>
                </w:rPr>
                <w:t xml:space="preserve">Office, Manufacturing &amp; Energy Resource Locations.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https://www.ineos.com/locations/</w:t>
              </w:r>
              <w:r w:rsidRPr="00D25093">
                <w:rPr>
                  <w:rFonts w:ascii="Times New Roman" w:hAnsi="Times New Roman" w:cs="Times New Roman"/>
                  <w:noProof/>
                  <w:sz w:val="24"/>
                  <w:szCs w:val="24"/>
                </w:rPr>
                <w:br/>
                <w:t>[Accessed 31 August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London Stock Exchange, 2018. </w:t>
              </w:r>
              <w:r w:rsidRPr="00D25093">
                <w:rPr>
                  <w:rFonts w:ascii="Times New Roman" w:hAnsi="Times New Roman" w:cs="Times New Roman"/>
                  <w:i/>
                  <w:iCs/>
                  <w:noProof/>
                  <w:sz w:val="24"/>
                  <w:szCs w:val="24"/>
                </w:rPr>
                <w:t xml:space="preserve">Rules and Regulations.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https://www.londonstockexchange.com/traders-and-brokers/rules-regulations/rules-regulations.htm</w:t>
              </w:r>
              <w:r w:rsidRPr="00D25093">
                <w:rPr>
                  <w:rFonts w:ascii="Times New Roman" w:hAnsi="Times New Roman" w:cs="Times New Roman"/>
                  <w:noProof/>
                  <w:sz w:val="24"/>
                  <w:szCs w:val="24"/>
                </w:rPr>
                <w:br/>
                <w:t>[Accessed 29 08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PWC, 2012. </w:t>
              </w:r>
              <w:r w:rsidRPr="00D25093">
                <w:rPr>
                  <w:rFonts w:ascii="Times New Roman" w:hAnsi="Times New Roman" w:cs="Times New Roman"/>
                  <w:i/>
                  <w:iCs/>
                  <w:noProof/>
                  <w:sz w:val="24"/>
                  <w:szCs w:val="24"/>
                </w:rPr>
                <w:t xml:space="preserve">Executing a Successful Listing. </w:t>
              </w:r>
              <w:r w:rsidRPr="00D25093">
                <w:rPr>
                  <w:rFonts w:ascii="Times New Roman" w:hAnsi="Times New Roman" w:cs="Times New Roman"/>
                  <w:noProof/>
                  <w:sz w:val="24"/>
                  <w:szCs w:val="24"/>
                </w:rPr>
                <w:t xml:space="preserve">[Online] </w:t>
              </w:r>
              <w:r w:rsidRPr="00D25093">
                <w:rPr>
                  <w:rFonts w:ascii="Times New Roman" w:hAnsi="Times New Roman" w:cs="Times New Roman"/>
                  <w:noProof/>
                  <w:sz w:val="24"/>
                  <w:szCs w:val="24"/>
                </w:rPr>
                <w:br/>
                <w:t xml:space="preserve">Available at: </w:t>
              </w:r>
              <w:r w:rsidRPr="00D25093">
                <w:rPr>
                  <w:rFonts w:ascii="Times New Roman" w:hAnsi="Times New Roman" w:cs="Times New Roman"/>
                  <w:noProof/>
                  <w:sz w:val="24"/>
                  <w:szCs w:val="24"/>
                  <w:u w:val="single"/>
                </w:rPr>
                <w:t>https://www.pwc.com/gx/en/audit-services/ipo-centre/assets/pwc-executing-a_successful-listing-in-london.pdf</w:t>
              </w:r>
              <w:r w:rsidRPr="00D25093">
                <w:rPr>
                  <w:rFonts w:ascii="Times New Roman" w:hAnsi="Times New Roman" w:cs="Times New Roman"/>
                  <w:noProof/>
                  <w:sz w:val="24"/>
                  <w:szCs w:val="24"/>
                </w:rPr>
                <w:br/>
                <w:t>[Accessed 28 08 2018].</w:t>
              </w:r>
            </w:p>
            <w:p w:rsidR="00D25093" w:rsidRPr="00D25093" w:rsidRDefault="00D25093" w:rsidP="00D25093">
              <w:pPr>
                <w:pStyle w:val="Bibliography"/>
                <w:ind w:left="720" w:hanging="720"/>
                <w:rPr>
                  <w:rFonts w:ascii="Times New Roman" w:hAnsi="Times New Roman" w:cs="Times New Roman"/>
                  <w:noProof/>
                  <w:sz w:val="24"/>
                  <w:szCs w:val="24"/>
                </w:rPr>
              </w:pPr>
              <w:r w:rsidRPr="00D25093">
                <w:rPr>
                  <w:rFonts w:ascii="Times New Roman" w:hAnsi="Times New Roman" w:cs="Times New Roman"/>
                  <w:noProof/>
                  <w:sz w:val="24"/>
                  <w:szCs w:val="24"/>
                </w:rPr>
                <w:t xml:space="preserve">Reuvid, J., 2007. </w:t>
              </w:r>
              <w:r w:rsidRPr="00D25093">
                <w:rPr>
                  <w:rFonts w:ascii="Times New Roman" w:hAnsi="Times New Roman" w:cs="Times New Roman"/>
                  <w:i/>
                  <w:iCs/>
                  <w:noProof/>
                  <w:sz w:val="24"/>
                  <w:szCs w:val="24"/>
                </w:rPr>
                <w:t xml:space="preserve">Floating Your Company. </w:t>
              </w:r>
              <w:r w:rsidRPr="00D25093">
                <w:rPr>
                  <w:rFonts w:ascii="Times New Roman" w:hAnsi="Times New Roman" w:cs="Times New Roman"/>
                  <w:noProof/>
                  <w:sz w:val="24"/>
                  <w:szCs w:val="24"/>
                </w:rPr>
                <w:t>1st ed. London: Pearson.</w:t>
              </w:r>
            </w:p>
            <w:p w:rsidR="00D25093" w:rsidRPr="00D25093" w:rsidRDefault="00D25093" w:rsidP="00D25093">
              <w:pPr>
                <w:ind w:left="720" w:hanging="720"/>
                <w:rPr>
                  <w:rFonts w:ascii="Times New Roman" w:hAnsi="Times New Roman" w:cs="Times New Roman"/>
                  <w:sz w:val="24"/>
                  <w:szCs w:val="24"/>
                </w:rPr>
              </w:pPr>
              <w:r w:rsidRPr="00D25093">
                <w:rPr>
                  <w:rFonts w:ascii="Times New Roman" w:hAnsi="Times New Roman" w:cs="Times New Roman"/>
                  <w:b/>
                  <w:bCs/>
                  <w:noProof/>
                  <w:sz w:val="24"/>
                  <w:szCs w:val="24"/>
                </w:rPr>
                <w:fldChar w:fldCharType="end"/>
              </w:r>
            </w:p>
          </w:sdtContent>
        </w:sdt>
      </w:sdtContent>
    </w:sdt>
    <w:p w:rsidR="003F5E0B" w:rsidRPr="00E83BC2" w:rsidRDefault="003F5E0B" w:rsidP="00B86544">
      <w:pPr>
        <w:rPr>
          <w:rFonts w:ascii="Times New Roman" w:hAnsi="Times New Roman" w:cs="Times New Roman"/>
        </w:rPr>
      </w:pPr>
      <w:r w:rsidRPr="00E83BC2">
        <w:rPr>
          <w:rFonts w:ascii="Times New Roman" w:hAnsi="Times New Roman" w:cs="Times New Roman"/>
        </w:rPr>
        <w:br w:type="page"/>
      </w:r>
    </w:p>
    <w:p w:rsidR="00B275EB" w:rsidRPr="00E83BC2" w:rsidRDefault="00C61D3C" w:rsidP="00E83BC2">
      <w:pPr>
        <w:pStyle w:val="Heading2"/>
        <w:rPr>
          <w:rFonts w:ascii="Times New Roman" w:hAnsi="Times New Roman" w:cs="Times New Roman"/>
        </w:rPr>
      </w:pPr>
      <w:bookmarkStart w:id="34" w:name="_Toc523612439"/>
      <w:r w:rsidRPr="00E83BC2">
        <w:rPr>
          <w:rFonts w:ascii="Times New Roman" w:hAnsi="Times New Roman" w:cs="Times New Roman"/>
        </w:rPr>
        <w:lastRenderedPageBreak/>
        <w:t>Exhibit 1</w:t>
      </w:r>
      <w:bookmarkEnd w:id="34"/>
    </w:p>
    <w:tbl>
      <w:tblPr>
        <w:tblW w:w="11248" w:type="dxa"/>
        <w:tblInd w:w="-1122" w:type="dxa"/>
        <w:tblLook w:val="04A0" w:firstRow="1" w:lastRow="0" w:firstColumn="1" w:lastColumn="0" w:noHBand="0" w:noVBand="1"/>
      </w:tblPr>
      <w:tblGrid>
        <w:gridCol w:w="4360"/>
        <w:gridCol w:w="1150"/>
        <w:gridCol w:w="1150"/>
        <w:gridCol w:w="1150"/>
        <w:gridCol w:w="1150"/>
        <w:gridCol w:w="1150"/>
        <w:gridCol w:w="1150"/>
      </w:tblGrid>
      <w:tr w:rsidR="00C61D3C" w:rsidRPr="00E83BC2" w:rsidTr="00C61D3C">
        <w:trPr>
          <w:trHeight w:val="630"/>
        </w:trPr>
        <w:tc>
          <w:tcPr>
            <w:tcW w:w="4360" w:type="dxa"/>
            <w:tcBorders>
              <w:top w:val="single" w:sz="8" w:space="0" w:color="auto"/>
              <w:left w:val="single" w:sz="8" w:space="0" w:color="auto"/>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Income Statement:</w:t>
            </w:r>
          </w:p>
        </w:tc>
        <w:tc>
          <w:tcPr>
            <w:tcW w:w="1148" w:type="dxa"/>
            <w:tcBorders>
              <w:top w:val="single" w:sz="8" w:space="0" w:color="auto"/>
              <w:left w:val="nil"/>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2017 </w:t>
            </w:r>
            <w:r w:rsidRPr="00E83BC2">
              <w:rPr>
                <w:rFonts w:ascii="Times New Roman" w:eastAsia="Times New Roman" w:hAnsi="Times New Roman" w:cs="Times New Roman"/>
                <w:color w:val="000000"/>
                <w:sz w:val="24"/>
                <w:szCs w:val="24"/>
                <w:lang w:eastAsia="en-GB"/>
              </w:rPr>
              <w:t>(€ in millions)</w:t>
            </w:r>
          </w:p>
        </w:tc>
        <w:tc>
          <w:tcPr>
            <w:tcW w:w="1148" w:type="dxa"/>
            <w:tcBorders>
              <w:top w:val="single" w:sz="8" w:space="0" w:color="auto"/>
              <w:left w:val="nil"/>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2016 </w:t>
            </w:r>
            <w:r w:rsidRPr="00E83BC2">
              <w:rPr>
                <w:rFonts w:ascii="Times New Roman" w:eastAsia="Times New Roman" w:hAnsi="Times New Roman" w:cs="Times New Roman"/>
                <w:color w:val="000000"/>
                <w:sz w:val="24"/>
                <w:szCs w:val="24"/>
                <w:lang w:eastAsia="en-GB"/>
              </w:rPr>
              <w:t>(€ in millions)</w:t>
            </w:r>
          </w:p>
        </w:tc>
        <w:tc>
          <w:tcPr>
            <w:tcW w:w="1148" w:type="dxa"/>
            <w:tcBorders>
              <w:top w:val="single" w:sz="8" w:space="0" w:color="auto"/>
              <w:left w:val="nil"/>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2015 </w:t>
            </w:r>
            <w:r w:rsidRPr="00E83BC2">
              <w:rPr>
                <w:rFonts w:ascii="Times New Roman" w:eastAsia="Times New Roman" w:hAnsi="Times New Roman" w:cs="Times New Roman"/>
                <w:color w:val="000000"/>
                <w:sz w:val="24"/>
                <w:szCs w:val="24"/>
                <w:lang w:eastAsia="en-GB"/>
              </w:rPr>
              <w:t>(€ in millions)</w:t>
            </w:r>
          </w:p>
        </w:tc>
        <w:tc>
          <w:tcPr>
            <w:tcW w:w="1148" w:type="dxa"/>
            <w:tcBorders>
              <w:top w:val="single" w:sz="8" w:space="0" w:color="auto"/>
              <w:left w:val="nil"/>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2014 </w:t>
            </w:r>
            <w:r w:rsidRPr="00E83BC2">
              <w:rPr>
                <w:rFonts w:ascii="Times New Roman" w:eastAsia="Times New Roman" w:hAnsi="Times New Roman" w:cs="Times New Roman"/>
                <w:color w:val="000000"/>
                <w:sz w:val="24"/>
                <w:szCs w:val="24"/>
                <w:lang w:eastAsia="en-GB"/>
              </w:rPr>
              <w:t>(€ in millions)</w:t>
            </w:r>
          </w:p>
        </w:tc>
        <w:tc>
          <w:tcPr>
            <w:tcW w:w="1148" w:type="dxa"/>
            <w:tcBorders>
              <w:top w:val="single" w:sz="8" w:space="0" w:color="auto"/>
              <w:left w:val="nil"/>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2013 </w:t>
            </w:r>
            <w:r w:rsidRPr="00E83BC2">
              <w:rPr>
                <w:rFonts w:ascii="Times New Roman" w:eastAsia="Times New Roman" w:hAnsi="Times New Roman" w:cs="Times New Roman"/>
                <w:color w:val="000000"/>
                <w:sz w:val="24"/>
                <w:szCs w:val="24"/>
                <w:lang w:eastAsia="en-GB"/>
              </w:rPr>
              <w:t>(€ in millions)</w:t>
            </w:r>
          </w:p>
        </w:tc>
        <w:tc>
          <w:tcPr>
            <w:tcW w:w="1148" w:type="dxa"/>
            <w:tcBorders>
              <w:top w:val="single" w:sz="8" w:space="0" w:color="auto"/>
              <w:left w:val="nil"/>
              <w:bottom w:val="dotted" w:sz="4" w:space="0" w:color="auto"/>
              <w:right w:val="single" w:sz="8"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4"/>
                <w:szCs w:val="24"/>
                <w:lang w:eastAsia="en-GB"/>
              </w:rPr>
            </w:pPr>
            <w:r w:rsidRPr="00E83BC2">
              <w:rPr>
                <w:rFonts w:ascii="Times New Roman" w:eastAsia="Times New Roman" w:hAnsi="Times New Roman" w:cs="Times New Roman"/>
                <w:b/>
                <w:bCs/>
                <w:color w:val="000000"/>
                <w:sz w:val="24"/>
                <w:szCs w:val="24"/>
                <w:lang w:eastAsia="en-GB"/>
              </w:rPr>
              <w:t xml:space="preserve">2012 </w:t>
            </w:r>
            <w:r w:rsidRPr="00E83BC2">
              <w:rPr>
                <w:rFonts w:ascii="Times New Roman" w:eastAsia="Times New Roman" w:hAnsi="Times New Roman" w:cs="Times New Roman"/>
                <w:color w:val="000000"/>
                <w:sz w:val="24"/>
                <w:szCs w:val="24"/>
                <w:lang w:eastAsia="en-GB"/>
              </w:rPr>
              <w:t>(€ in millions)</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Revenue</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15,210.40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12,609.90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13,729.40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17,220.50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16,622.70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18,188.20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Cost of sales</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(12,524.20)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(10,141.10)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(11,318.40)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(15,173.90)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(15,027.30)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(17,233.10)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Gross profit</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2,686.20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2,468.80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2,411.00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2,046.60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1,595.40</w:t>
            </w:r>
          </w:p>
        </w:tc>
        <w:tc>
          <w:tcPr>
            <w:tcW w:w="1148" w:type="dxa"/>
            <w:tcBorders>
              <w:top w:val="single" w:sz="4" w:space="0" w:color="auto"/>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955.10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Distribution costs</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(206.50)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(195.30)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(212.10)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(203.80)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(222.20)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(228.40)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Administrative expenses</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(418.60)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(406.90)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(388.30)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(396.20)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(300.00)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(234.40)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Operating profit</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2,061.10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1,866.60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1,810.60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1,446.60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1,073.20</w:t>
            </w:r>
          </w:p>
        </w:tc>
        <w:tc>
          <w:tcPr>
            <w:tcW w:w="1148" w:type="dxa"/>
            <w:tcBorders>
              <w:top w:val="single" w:sz="4" w:space="0" w:color="auto"/>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492.30</w:t>
            </w:r>
          </w:p>
        </w:tc>
      </w:tr>
      <w:tr w:rsidR="00C61D3C" w:rsidRPr="00E83BC2" w:rsidTr="00C61D3C">
        <w:trPr>
          <w:trHeight w:val="765"/>
        </w:trPr>
        <w:tc>
          <w:tcPr>
            <w:tcW w:w="4360" w:type="dxa"/>
            <w:tcBorders>
              <w:top w:val="nil"/>
              <w:left w:val="single" w:sz="8" w:space="0" w:color="auto"/>
              <w:bottom w:val="dotted" w:sz="4" w:space="0" w:color="auto"/>
              <w:right w:val="dotted" w:sz="4" w:space="0" w:color="auto"/>
            </w:tcBorders>
            <w:shd w:val="clear" w:color="auto" w:fill="auto"/>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Total share of profit of associates and jointly controlled entities using the equity accounting method</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143.50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29.30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74.40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(216.90)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(49.80)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(14.70)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Profit on disposal of fixed assets</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2.60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3.70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3.80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0.10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Loss on disposal of businesses</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(349.00)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(248.10)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Profit before net finance costs (EBIT)</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2,207.20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1,899.60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1,888.80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879.30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775.40</w:t>
            </w:r>
          </w:p>
        </w:tc>
        <w:tc>
          <w:tcPr>
            <w:tcW w:w="1148" w:type="dxa"/>
            <w:tcBorders>
              <w:top w:val="single" w:sz="4" w:space="0" w:color="auto"/>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477.60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Net finance income/(costs)</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92.60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(326.00)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(740.60)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(593.10)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(596.70)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(594.60)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Profit / loss before tax from continuing operations</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2,299.80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1,573.60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1,148.20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286.20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178.70</w:t>
            </w:r>
          </w:p>
        </w:tc>
        <w:tc>
          <w:tcPr>
            <w:tcW w:w="1148" w:type="dxa"/>
            <w:tcBorders>
              <w:top w:val="single" w:sz="4" w:space="0" w:color="auto"/>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(117.00)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Tax charge</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(301.50)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(340.20)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(237.70)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(322.90)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(312.90)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(158.50)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Profit for the year from continuing operations</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1,998.30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1,233.40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910.50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(36.70)</w:t>
            </w:r>
          </w:p>
        </w:tc>
        <w:tc>
          <w:tcPr>
            <w:tcW w:w="1148" w:type="dxa"/>
            <w:tcBorders>
              <w:top w:val="single" w:sz="4" w:space="0" w:color="auto"/>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(134.20)</w:t>
            </w:r>
          </w:p>
        </w:tc>
        <w:tc>
          <w:tcPr>
            <w:tcW w:w="1148" w:type="dxa"/>
            <w:tcBorders>
              <w:top w:val="single" w:sz="4" w:space="0" w:color="auto"/>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(275.50)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Loss from discontinued operations, net of tax</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0.00</w:t>
            </w:r>
          </w:p>
        </w:tc>
        <w:tc>
          <w:tcPr>
            <w:tcW w:w="1148" w:type="dxa"/>
            <w:tcBorders>
              <w:top w:val="nil"/>
              <w:left w:val="nil"/>
              <w:bottom w:val="nil"/>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(11.00)</w:t>
            </w:r>
          </w:p>
        </w:tc>
      </w:tr>
      <w:tr w:rsidR="00C61D3C" w:rsidRPr="00E83BC2" w:rsidTr="00C61D3C">
        <w:trPr>
          <w:trHeight w:val="315"/>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Profit / Loss for the year</w:t>
            </w:r>
          </w:p>
        </w:tc>
        <w:tc>
          <w:tcPr>
            <w:tcW w:w="1148" w:type="dxa"/>
            <w:tcBorders>
              <w:top w:val="single" w:sz="4" w:space="0" w:color="auto"/>
              <w:left w:val="nil"/>
              <w:bottom w:val="double" w:sz="6"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1,998.30</w:t>
            </w:r>
          </w:p>
        </w:tc>
        <w:tc>
          <w:tcPr>
            <w:tcW w:w="1148" w:type="dxa"/>
            <w:tcBorders>
              <w:top w:val="single" w:sz="4" w:space="0" w:color="auto"/>
              <w:left w:val="nil"/>
              <w:bottom w:val="double" w:sz="6"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1,233.40</w:t>
            </w:r>
          </w:p>
        </w:tc>
        <w:tc>
          <w:tcPr>
            <w:tcW w:w="1148" w:type="dxa"/>
            <w:tcBorders>
              <w:top w:val="single" w:sz="4" w:space="0" w:color="auto"/>
              <w:left w:val="nil"/>
              <w:bottom w:val="double" w:sz="6"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910.50</w:t>
            </w:r>
          </w:p>
        </w:tc>
        <w:tc>
          <w:tcPr>
            <w:tcW w:w="1148" w:type="dxa"/>
            <w:tcBorders>
              <w:top w:val="single" w:sz="4" w:space="0" w:color="auto"/>
              <w:left w:val="nil"/>
              <w:bottom w:val="double" w:sz="6"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(36.70)</w:t>
            </w:r>
          </w:p>
        </w:tc>
        <w:tc>
          <w:tcPr>
            <w:tcW w:w="1148" w:type="dxa"/>
            <w:tcBorders>
              <w:top w:val="single" w:sz="4" w:space="0" w:color="auto"/>
              <w:left w:val="nil"/>
              <w:bottom w:val="double" w:sz="6"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(134.20)</w:t>
            </w:r>
          </w:p>
        </w:tc>
        <w:tc>
          <w:tcPr>
            <w:tcW w:w="1148" w:type="dxa"/>
            <w:tcBorders>
              <w:top w:val="single" w:sz="4" w:space="0" w:color="auto"/>
              <w:left w:val="nil"/>
              <w:bottom w:val="double" w:sz="6"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(286.50)</w:t>
            </w:r>
          </w:p>
        </w:tc>
      </w:tr>
      <w:tr w:rsidR="00C61D3C" w:rsidRPr="00E83BC2" w:rsidTr="00C61D3C">
        <w:trPr>
          <w:trHeight w:val="315"/>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b/>
                <w:bCs/>
                <w:color w:val="000000"/>
                <w:sz w:val="20"/>
                <w:szCs w:val="20"/>
                <w:lang w:eastAsia="en-GB"/>
              </w:rPr>
            </w:pPr>
            <w:r w:rsidRPr="00E83BC2">
              <w:rPr>
                <w:rFonts w:ascii="Times New Roman" w:eastAsia="Times New Roman" w:hAnsi="Times New Roman" w:cs="Times New Roman"/>
                <w:b/>
                <w:bCs/>
                <w:color w:val="000000"/>
                <w:sz w:val="20"/>
                <w:szCs w:val="20"/>
                <w:lang w:eastAsia="en-GB"/>
              </w:rPr>
              <w:t>Other Financial Data:</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 </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Total Finance Cost</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(399.30)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(526.00)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(905.70)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(593.10)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(596.70)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(594.60)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EBITDA before exceptional</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2,529.40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2,330.80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2,210.00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1,903.50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1,511.50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1,516.80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Depreciation, amortization and impairment</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468.30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442.90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383.40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394.20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412.40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1,009.90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Capital expenditures</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914.60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691.90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454.00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411.40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540.60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461.10</w:t>
            </w:r>
          </w:p>
        </w:tc>
      </w:tr>
      <w:tr w:rsidR="00C61D3C" w:rsidRPr="00E83BC2" w:rsidTr="00C61D3C">
        <w:trPr>
          <w:trHeight w:val="300"/>
        </w:trPr>
        <w:tc>
          <w:tcPr>
            <w:tcW w:w="4360" w:type="dxa"/>
            <w:tcBorders>
              <w:top w:val="nil"/>
              <w:left w:val="single" w:sz="8" w:space="0" w:color="auto"/>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Total Indebtedness</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6,193.00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8,066.90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8,347.90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7,757.00</w:t>
            </w:r>
          </w:p>
        </w:tc>
        <w:tc>
          <w:tcPr>
            <w:tcW w:w="1148" w:type="dxa"/>
            <w:tcBorders>
              <w:top w:val="nil"/>
              <w:left w:val="nil"/>
              <w:bottom w:val="dotted" w:sz="4"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7,297.40</w:t>
            </w:r>
          </w:p>
        </w:tc>
        <w:tc>
          <w:tcPr>
            <w:tcW w:w="1148" w:type="dxa"/>
            <w:tcBorders>
              <w:top w:val="nil"/>
              <w:left w:val="nil"/>
              <w:bottom w:val="dotted" w:sz="4"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7,399.50</w:t>
            </w:r>
          </w:p>
        </w:tc>
      </w:tr>
      <w:tr w:rsidR="00C61D3C" w:rsidRPr="00E83BC2" w:rsidTr="00C61D3C">
        <w:trPr>
          <w:trHeight w:val="315"/>
        </w:trPr>
        <w:tc>
          <w:tcPr>
            <w:tcW w:w="4360" w:type="dxa"/>
            <w:tcBorders>
              <w:top w:val="nil"/>
              <w:left w:val="single" w:sz="8" w:space="0" w:color="auto"/>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Net debt</w:t>
            </w:r>
          </w:p>
        </w:tc>
        <w:tc>
          <w:tcPr>
            <w:tcW w:w="1148" w:type="dxa"/>
            <w:tcBorders>
              <w:top w:val="nil"/>
              <w:left w:val="nil"/>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4,826.70</w:t>
            </w:r>
          </w:p>
        </w:tc>
        <w:tc>
          <w:tcPr>
            <w:tcW w:w="1148" w:type="dxa"/>
            <w:tcBorders>
              <w:top w:val="nil"/>
              <w:left w:val="nil"/>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5,862.80</w:t>
            </w:r>
          </w:p>
        </w:tc>
        <w:tc>
          <w:tcPr>
            <w:tcW w:w="1148" w:type="dxa"/>
            <w:tcBorders>
              <w:top w:val="nil"/>
              <w:left w:val="nil"/>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6,699.90</w:t>
            </w:r>
          </w:p>
        </w:tc>
        <w:tc>
          <w:tcPr>
            <w:tcW w:w="1148" w:type="dxa"/>
            <w:tcBorders>
              <w:top w:val="nil"/>
              <w:left w:val="nil"/>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6,322.40</w:t>
            </w:r>
          </w:p>
        </w:tc>
        <w:tc>
          <w:tcPr>
            <w:tcW w:w="1148" w:type="dxa"/>
            <w:tcBorders>
              <w:top w:val="nil"/>
              <w:left w:val="nil"/>
              <w:bottom w:val="single" w:sz="8" w:space="0" w:color="auto"/>
              <w:right w:val="dotted" w:sz="4"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6,167.40</w:t>
            </w:r>
          </w:p>
        </w:tc>
        <w:tc>
          <w:tcPr>
            <w:tcW w:w="1148" w:type="dxa"/>
            <w:tcBorders>
              <w:top w:val="nil"/>
              <w:left w:val="nil"/>
              <w:bottom w:val="single" w:sz="8" w:space="0" w:color="auto"/>
              <w:right w:val="single" w:sz="8" w:space="0" w:color="auto"/>
            </w:tcBorders>
            <w:shd w:val="clear" w:color="auto" w:fill="auto"/>
            <w:noWrap/>
            <w:vAlign w:val="center"/>
            <w:hideMark/>
          </w:tcPr>
          <w:p w:rsidR="00C61D3C" w:rsidRPr="00E83BC2" w:rsidRDefault="00C61D3C" w:rsidP="00C61D3C">
            <w:pPr>
              <w:spacing w:after="0" w:line="240" w:lineRule="auto"/>
              <w:jc w:val="right"/>
              <w:rPr>
                <w:rFonts w:ascii="Times New Roman" w:eastAsia="Times New Roman" w:hAnsi="Times New Roman" w:cs="Times New Roman"/>
                <w:color w:val="000000"/>
                <w:sz w:val="20"/>
                <w:szCs w:val="20"/>
                <w:lang w:eastAsia="en-GB"/>
              </w:rPr>
            </w:pPr>
            <w:r w:rsidRPr="00E83BC2">
              <w:rPr>
                <w:rFonts w:ascii="Times New Roman" w:eastAsia="Times New Roman" w:hAnsi="Times New Roman" w:cs="Times New Roman"/>
                <w:color w:val="000000"/>
                <w:sz w:val="20"/>
                <w:szCs w:val="20"/>
                <w:lang w:eastAsia="en-GB"/>
              </w:rPr>
              <w:t>6,164.10</w:t>
            </w:r>
          </w:p>
        </w:tc>
      </w:tr>
    </w:tbl>
    <w:p w:rsidR="00C61D3C" w:rsidRPr="00E83BC2" w:rsidRDefault="00C61D3C" w:rsidP="00C61D3C">
      <w:pPr>
        <w:rPr>
          <w:rFonts w:ascii="Times New Roman" w:hAnsi="Times New Roman" w:cs="Times New Roman"/>
        </w:rPr>
      </w:pPr>
    </w:p>
    <w:p w:rsidR="00C61D3C" w:rsidRPr="00E83BC2" w:rsidRDefault="00C61D3C" w:rsidP="00C61D3C">
      <w:pPr>
        <w:rPr>
          <w:rFonts w:ascii="Times New Roman" w:hAnsi="Times New Roman" w:cs="Times New Roman"/>
        </w:rPr>
      </w:pPr>
      <w:r w:rsidRPr="00E83BC2">
        <w:rPr>
          <w:rFonts w:ascii="Times New Roman" w:hAnsi="Times New Roman" w:cs="Times New Roman"/>
        </w:rPr>
        <w:br w:type="page"/>
      </w:r>
    </w:p>
    <w:p w:rsidR="00C61D3C" w:rsidRPr="00E83BC2" w:rsidRDefault="00C61D3C" w:rsidP="00C61D3C">
      <w:pPr>
        <w:pStyle w:val="Heading2"/>
        <w:rPr>
          <w:rFonts w:ascii="Times New Roman" w:hAnsi="Times New Roman" w:cs="Times New Roman"/>
        </w:rPr>
      </w:pPr>
      <w:bookmarkStart w:id="35" w:name="_Toc523612440"/>
      <w:r w:rsidRPr="00E83BC2">
        <w:rPr>
          <w:rFonts w:ascii="Times New Roman" w:hAnsi="Times New Roman" w:cs="Times New Roman"/>
        </w:rPr>
        <w:lastRenderedPageBreak/>
        <w:t>Exhibit 2</w:t>
      </w:r>
      <w:bookmarkEnd w:id="35"/>
    </w:p>
    <w:tbl>
      <w:tblPr>
        <w:tblStyle w:val="TableGrid"/>
        <w:tblW w:w="0" w:type="auto"/>
        <w:tblLook w:val="04A0" w:firstRow="1" w:lastRow="0" w:firstColumn="1" w:lastColumn="0" w:noHBand="0" w:noVBand="1"/>
      </w:tblPr>
      <w:tblGrid>
        <w:gridCol w:w="3116"/>
        <w:gridCol w:w="984"/>
        <w:gridCol w:w="984"/>
        <w:gridCol w:w="983"/>
        <w:gridCol w:w="983"/>
        <w:gridCol w:w="983"/>
        <w:gridCol w:w="983"/>
      </w:tblGrid>
      <w:tr w:rsidR="00C61D3C" w:rsidRPr="00E83BC2" w:rsidTr="00C61D3C">
        <w:trPr>
          <w:trHeight w:val="63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Balance Sheet</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2017 </w:t>
            </w:r>
            <w:r w:rsidRPr="00E83BC2">
              <w:rPr>
                <w:rFonts w:ascii="Times New Roman" w:hAnsi="Times New Roman" w:cs="Times New Roman"/>
              </w:rPr>
              <w:t>(€ in millions)</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2016 </w:t>
            </w:r>
            <w:r w:rsidRPr="00E83BC2">
              <w:rPr>
                <w:rFonts w:ascii="Times New Roman" w:hAnsi="Times New Roman" w:cs="Times New Roman"/>
              </w:rPr>
              <w:t>(€ in millions)</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2015 </w:t>
            </w:r>
            <w:r w:rsidRPr="00E83BC2">
              <w:rPr>
                <w:rFonts w:ascii="Times New Roman" w:hAnsi="Times New Roman" w:cs="Times New Roman"/>
              </w:rPr>
              <w:t>(€ in millions)</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2014 </w:t>
            </w:r>
            <w:r w:rsidRPr="00E83BC2">
              <w:rPr>
                <w:rFonts w:ascii="Times New Roman" w:hAnsi="Times New Roman" w:cs="Times New Roman"/>
              </w:rPr>
              <w:t>(€ in millions)</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2013 </w:t>
            </w:r>
            <w:r w:rsidRPr="00E83BC2">
              <w:rPr>
                <w:rFonts w:ascii="Times New Roman" w:hAnsi="Times New Roman" w:cs="Times New Roman"/>
              </w:rPr>
              <w:t>(€ in millions)</w:t>
            </w:r>
          </w:p>
        </w:tc>
        <w:tc>
          <w:tcPr>
            <w:tcW w:w="10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2012 </w:t>
            </w:r>
            <w:r w:rsidRPr="00E83BC2">
              <w:rPr>
                <w:rFonts w:ascii="Times New Roman" w:hAnsi="Times New Roman" w:cs="Times New Roman"/>
              </w:rPr>
              <w:t>(€ in millions)</w:t>
            </w:r>
          </w:p>
        </w:tc>
      </w:tr>
      <w:tr w:rsidR="00C61D3C" w:rsidRPr="00E83BC2" w:rsidTr="00C61D3C">
        <w:trPr>
          <w:trHeight w:val="300"/>
        </w:trPr>
        <w:tc>
          <w:tcPr>
            <w:tcW w:w="10160" w:type="dxa"/>
            <w:gridSpan w:val="7"/>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Non-Current Assets</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Property, plant and equipment</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4,255.40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4,007.40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3,508.80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3,067.50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3,151.20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3,093.80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Intangible assets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731.60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763.90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706.40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648.20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623.60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673.20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Investments in equity-accounted investees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351.10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161.70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101.40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96.80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374.60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423.20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investments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238.50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262.20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243.20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210.20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181.40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175.90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financial assets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28.30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29.20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29.20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28.70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52.30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51.00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Trade and other receivables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957.40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1,146.80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1,114.00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546.50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101.90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164.80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Deferred tax assets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160.20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205.10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200.90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229.80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288.20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507.40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6,722.50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6,576.30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5,903.90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4,827.70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4,773.20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5,089.30</w:t>
            </w:r>
          </w:p>
        </w:tc>
      </w:tr>
      <w:tr w:rsidR="00C61D3C" w:rsidRPr="00E83BC2" w:rsidTr="00C61D3C">
        <w:trPr>
          <w:trHeight w:val="30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Current assets</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Inventories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1,246.50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1,068.10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956.60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1,008.80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1,319.80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1,392.20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Trade and other receivables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1,712.90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1,501.80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1,772.40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1,821.70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1,913.40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1,908.70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financial assets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8.20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0.50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Cash and cash equivalents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1,366.30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2,204.10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1,648.00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1,434.60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1,130.00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1,235.40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4,325.70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4,782.20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4,378.10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4,267.60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4,363.60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4,536.80</w:t>
            </w:r>
          </w:p>
        </w:tc>
      </w:tr>
      <w:tr w:rsidR="00C61D3C" w:rsidRPr="00E83BC2" w:rsidTr="00C61D3C">
        <w:trPr>
          <w:trHeight w:val="315"/>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Total assets</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11,048.20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11,358.50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10,282.00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9,095.30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9,136.80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9,626.10</w:t>
            </w:r>
          </w:p>
        </w:tc>
      </w:tr>
      <w:tr w:rsidR="00C61D3C" w:rsidRPr="00E83BC2" w:rsidTr="00C61D3C">
        <w:trPr>
          <w:trHeight w:val="315"/>
        </w:trPr>
        <w:tc>
          <w:tcPr>
            <w:tcW w:w="10160" w:type="dxa"/>
            <w:gridSpan w:val="7"/>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xml:space="preserve">Equity Attributable </w:t>
            </w:r>
            <w:proofErr w:type="gramStart"/>
            <w:r w:rsidRPr="00E83BC2">
              <w:rPr>
                <w:rFonts w:ascii="Times New Roman" w:hAnsi="Times New Roman" w:cs="Times New Roman"/>
                <w:b/>
                <w:bCs/>
              </w:rPr>
              <w:t>To</w:t>
            </w:r>
            <w:proofErr w:type="gramEnd"/>
            <w:r w:rsidRPr="00E83BC2">
              <w:rPr>
                <w:rFonts w:ascii="Times New Roman" w:hAnsi="Times New Roman" w:cs="Times New Roman"/>
                <w:b/>
                <w:bCs/>
              </w:rPr>
              <w:t xml:space="preserve"> Owners of the Parent</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Share capital</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Share premium</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779.40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reserves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(2,183.20)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(1,712.50)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(1,714.70)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(1,662.00)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(1,464.10)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(1,427.20)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Retained earnings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3,099.70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1,362.30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370.20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(381.60)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(279.30)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(111.10)</w:t>
            </w:r>
          </w:p>
        </w:tc>
      </w:tr>
      <w:tr w:rsidR="00C61D3C" w:rsidRPr="00E83BC2" w:rsidTr="00C61D3C">
        <w:trPr>
          <w:trHeight w:val="30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Total Equity</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1,696.80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430.10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(564.20)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(1,263.30)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(963.10)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(758.00)</w:t>
            </w:r>
          </w:p>
        </w:tc>
      </w:tr>
      <w:tr w:rsidR="00C61D3C" w:rsidRPr="00E83BC2" w:rsidTr="00C61D3C">
        <w:trPr>
          <w:trHeight w:val="30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Non-Current Liabilities</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Interest-bearing loans and borrowings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6,094.90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7,947.50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8,008.50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7,672.90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7,207.40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7,272.20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Trade and other payables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120.10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107.20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91.70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89.00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95.80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120.30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Employee benefits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701.00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789.50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689.10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661.20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635.00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702.50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Provisions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28.80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28.50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25.60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8.30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19.40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Deferred tax liabilities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202.30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275.60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198.10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196.80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162.90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170.80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financial liabilities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7,149.40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9,149.20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9,025.60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8,628.20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8,121.00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8,285.20</w:t>
            </w:r>
          </w:p>
        </w:tc>
      </w:tr>
      <w:tr w:rsidR="00C61D3C" w:rsidRPr="00E83BC2" w:rsidTr="00C61D3C">
        <w:trPr>
          <w:trHeight w:val="30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Current liabilities</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c>
          <w:tcPr>
            <w:tcW w:w="10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 </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lastRenderedPageBreak/>
              <w:t>Interest-bearing loans and borrowings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63.00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72.60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291.80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34.90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32.10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16.70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Trade and other payables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1,877.90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1,563.40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1,445.10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1,657.30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1,798.40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1,909.00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Tax payable</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248.40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124.00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75.80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32.00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137.20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157.40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Other financial liabilities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1.80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0.30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rPr>
            </w:pPr>
            <w:r w:rsidRPr="00E83BC2">
              <w:rPr>
                <w:rFonts w:ascii="Times New Roman" w:hAnsi="Times New Roman" w:cs="Times New Roman"/>
              </w:rPr>
              <w:t>Provisions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12.50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19.20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6.10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6.20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15.50</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 </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2,202.00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1,779.20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1,820.60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1,730.40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1,978.90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2,098.90</w:t>
            </w:r>
          </w:p>
        </w:tc>
      </w:tr>
      <w:tr w:rsidR="00C61D3C" w:rsidRPr="00E83BC2" w:rsidTr="00C61D3C">
        <w:trPr>
          <w:trHeight w:val="300"/>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Total liabilities</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9,351.40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10,928.40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10,846.20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10,358.60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10,099.90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10,384.10</w:t>
            </w:r>
          </w:p>
        </w:tc>
      </w:tr>
      <w:tr w:rsidR="00C61D3C" w:rsidRPr="00E83BC2" w:rsidTr="00C61D3C">
        <w:trPr>
          <w:trHeight w:val="315"/>
        </w:trPr>
        <w:tc>
          <w:tcPr>
            <w:tcW w:w="3680" w:type="dxa"/>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Total equity and liabilities</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11,048.20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11,358.50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10,282.00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9,095.30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9,136.80</w:t>
            </w:r>
          </w:p>
        </w:tc>
        <w:tc>
          <w:tcPr>
            <w:tcW w:w="1080" w:type="dxa"/>
            <w:noWrap/>
            <w:hideMark/>
          </w:tcPr>
          <w:p w:rsidR="00C61D3C" w:rsidRPr="00E83BC2" w:rsidRDefault="00C61D3C" w:rsidP="00C61D3C">
            <w:pPr>
              <w:rPr>
                <w:rFonts w:ascii="Times New Roman" w:hAnsi="Times New Roman" w:cs="Times New Roman"/>
                <w:b/>
                <w:bCs/>
              </w:rPr>
            </w:pPr>
            <w:r w:rsidRPr="00E83BC2">
              <w:rPr>
                <w:rFonts w:ascii="Times New Roman" w:hAnsi="Times New Roman" w:cs="Times New Roman"/>
                <w:b/>
                <w:bCs/>
              </w:rPr>
              <w:t>9,626.10</w:t>
            </w:r>
          </w:p>
        </w:tc>
      </w:tr>
      <w:tr w:rsidR="00C61D3C" w:rsidRPr="00E83BC2" w:rsidTr="00C61D3C">
        <w:trPr>
          <w:trHeight w:val="300"/>
        </w:trPr>
        <w:tc>
          <w:tcPr>
            <w:tcW w:w="3680" w:type="dxa"/>
            <w:noWrap/>
            <w:hideMark/>
          </w:tcPr>
          <w:p w:rsidR="00C61D3C" w:rsidRPr="00E83BC2" w:rsidRDefault="00C61D3C" w:rsidP="00C61D3C">
            <w:pPr>
              <w:rPr>
                <w:rFonts w:ascii="Times New Roman" w:hAnsi="Times New Roman" w:cs="Times New Roman"/>
                <w:b/>
                <w:bCs/>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Ordinary shares of €1 each</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924,803</w:t>
            </w:r>
          </w:p>
        </w:tc>
      </w:tr>
      <w:tr w:rsidR="00C61D3C" w:rsidRPr="00E83BC2" w:rsidTr="00C61D3C">
        <w:trPr>
          <w:trHeight w:val="300"/>
        </w:trPr>
        <w:tc>
          <w:tcPr>
            <w:tcW w:w="3680" w:type="dxa"/>
            <w:noWrap/>
            <w:hideMark/>
          </w:tcPr>
          <w:p w:rsidR="00C61D3C" w:rsidRPr="00E83BC2" w:rsidRDefault="00C61D3C" w:rsidP="00C61D3C">
            <w:pPr>
              <w:rPr>
                <w:rFonts w:ascii="Times New Roman" w:hAnsi="Times New Roman" w:cs="Times New Roman"/>
              </w:rPr>
            </w:pP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0.92</w:t>
            </w: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Dividend Paid (€ in millions)</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260.90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241.30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73.40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65.60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34.00</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25.00</w:t>
            </w:r>
          </w:p>
        </w:tc>
      </w:tr>
      <w:tr w:rsidR="00C61D3C" w:rsidRPr="00E83BC2" w:rsidTr="00C61D3C">
        <w:trPr>
          <w:trHeight w:val="300"/>
        </w:trPr>
        <w:tc>
          <w:tcPr>
            <w:tcW w:w="3680" w:type="dxa"/>
            <w:noWrap/>
            <w:hideMark/>
          </w:tcPr>
          <w:p w:rsidR="00C61D3C" w:rsidRPr="00E83BC2" w:rsidRDefault="00C61D3C" w:rsidP="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r>
      <w:tr w:rsidR="00C61D3C" w:rsidRPr="00E83BC2" w:rsidTr="00C61D3C">
        <w:trPr>
          <w:trHeight w:val="300"/>
        </w:trPr>
        <w:tc>
          <w:tcPr>
            <w:tcW w:w="3680" w:type="dxa"/>
            <w:noWrap/>
            <w:hideMark/>
          </w:tcPr>
          <w:p w:rsidR="00C61D3C" w:rsidRPr="00E83BC2" w:rsidRDefault="00C61D3C">
            <w:pPr>
              <w:rPr>
                <w:rFonts w:ascii="Times New Roman" w:hAnsi="Times New Roman" w:cs="Times New Roman"/>
                <w:b/>
                <w:bCs/>
              </w:rPr>
            </w:pPr>
            <w:r w:rsidRPr="00E83BC2">
              <w:rPr>
                <w:rFonts w:ascii="Times New Roman" w:hAnsi="Times New Roman" w:cs="Times New Roman"/>
                <w:b/>
                <w:bCs/>
              </w:rPr>
              <w:t>Share Price</w:t>
            </w:r>
          </w:p>
        </w:tc>
        <w:tc>
          <w:tcPr>
            <w:tcW w:w="1080" w:type="dxa"/>
            <w:noWrap/>
            <w:hideMark/>
          </w:tcPr>
          <w:p w:rsidR="00C61D3C" w:rsidRPr="00E83BC2" w:rsidRDefault="00C61D3C" w:rsidP="00C61D3C">
            <w:pPr>
              <w:rPr>
                <w:rFonts w:ascii="Times New Roman" w:hAnsi="Times New Roman" w:cs="Times New Roman"/>
              </w:rPr>
            </w:pPr>
            <w:r w:rsidRPr="00E83BC2">
              <w:rPr>
                <w:rFonts w:ascii="Times New Roman" w:hAnsi="Times New Roman" w:cs="Times New Roman"/>
              </w:rPr>
              <w:t>85.71</w:t>
            </w:r>
          </w:p>
        </w:tc>
        <w:tc>
          <w:tcPr>
            <w:tcW w:w="1080" w:type="dxa"/>
            <w:noWrap/>
            <w:hideMark/>
          </w:tcPr>
          <w:p w:rsidR="00C61D3C" w:rsidRPr="00E83BC2" w:rsidRDefault="00C61D3C" w:rsidP="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c>
          <w:tcPr>
            <w:tcW w:w="1080" w:type="dxa"/>
            <w:noWrap/>
            <w:hideMark/>
          </w:tcPr>
          <w:p w:rsidR="00C61D3C" w:rsidRPr="00E83BC2" w:rsidRDefault="00C61D3C">
            <w:pPr>
              <w:rPr>
                <w:rFonts w:ascii="Times New Roman" w:hAnsi="Times New Roman" w:cs="Times New Roman"/>
              </w:rPr>
            </w:pPr>
          </w:p>
        </w:tc>
      </w:tr>
    </w:tbl>
    <w:p w:rsidR="00C61D3C" w:rsidRPr="00E83BC2" w:rsidRDefault="00C61D3C" w:rsidP="00C61D3C">
      <w:pPr>
        <w:rPr>
          <w:rFonts w:ascii="Times New Roman" w:hAnsi="Times New Roman" w:cs="Times New Roman"/>
        </w:rPr>
      </w:pPr>
    </w:p>
    <w:p w:rsidR="00C61D3C" w:rsidRPr="00E83BC2" w:rsidRDefault="00C61D3C" w:rsidP="00C61D3C">
      <w:pPr>
        <w:rPr>
          <w:rFonts w:ascii="Times New Roman" w:hAnsi="Times New Roman" w:cs="Times New Roman"/>
        </w:rPr>
      </w:pPr>
    </w:p>
    <w:sectPr w:rsidR="00C61D3C" w:rsidRPr="00E83BC2">
      <w:head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7956" w:rsidRDefault="00347956" w:rsidP="00E83BC2">
      <w:pPr>
        <w:spacing w:after="0" w:line="240" w:lineRule="auto"/>
      </w:pPr>
      <w:r>
        <w:separator/>
      </w:r>
    </w:p>
  </w:endnote>
  <w:endnote w:type="continuationSeparator" w:id="0">
    <w:p w:rsidR="00347956" w:rsidRDefault="00347956" w:rsidP="00E83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7956" w:rsidRDefault="00347956" w:rsidP="00E83BC2">
      <w:pPr>
        <w:spacing w:after="0" w:line="240" w:lineRule="auto"/>
      </w:pPr>
      <w:r>
        <w:separator/>
      </w:r>
    </w:p>
  </w:footnote>
  <w:footnote w:type="continuationSeparator" w:id="0">
    <w:p w:rsidR="00347956" w:rsidRDefault="00347956" w:rsidP="00E83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E99" w:rsidRPr="00E83BC2" w:rsidRDefault="001C6E99">
    <w:pPr>
      <w:pStyle w:val="Header"/>
      <w:jc w:val="right"/>
      <w:rPr>
        <w:rFonts w:ascii="Times New Roman" w:hAnsi="Times New Roman" w:cs="Times New Roman"/>
        <w:sz w:val="24"/>
      </w:rPr>
    </w:pPr>
    <w:r w:rsidRPr="00E83BC2">
      <w:rPr>
        <w:rFonts w:ascii="Times New Roman" w:hAnsi="Times New Roman" w:cs="Times New Roman"/>
        <w:sz w:val="24"/>
      </w:rPr>
      <w:t xml:space="preserve">Ineos Chemicals </w:t>
    </w:r>
    <w:sdt>
      <w:sdtPr>
        <w:rPr>
          <w:rFonts w:ascii="Times New Roman" w:hAnsi="Times New Roman" w:cs="Times New Roman"/>
          <w:sz w:val="24"/>
        </w:rPr>
        <w:id w:val="787468403"/>
        <w:docPartObj>
          <w:docPartGallery w:val="Page Numbers (Top of Page)"/>
          <w:docPartUnique/>
        </w:docPartObj>
      </w:sdtPr>
      <w:sdtEndPr>
        <w:rPr>
          <w:noProof/>
        </w:rPr>
      </w:sdtEndPr>
      <w:sdtContent>
        <w:r w:rsidRPr="00E83BC2">
          <w:rPr>
            <w:rFonts w:ascii="Times New Roman" w:hAnsi="Times New Roman" w:cs="Times New Roman"/>
            <w:sz w:val="24"/>
          </w:rPr>
          <w:fldChar w:fldCharType="begin"/>
        </w:r>
        <w:r w:rsidRPr="00E83BC2">
          <w:rPr>
            <w:rFonts w:ascii="Times New Roman" w:hAnsi="Times New Roman" w:cs="Times New Roman"/>
            <w:sz w:val="24"/>
          </w:rPr>
          <w:instrText xml:space="preserve"> PAGE   \* MERGEFORMAT </w:instrText>
        </w:r>
        <w:r w:rsidRPr="00E83BC2">
          <w:rPr>
            <w:rFonts w:ascii="Times New Roman" w:hAnsi="Times New Roman" w:cs="Times New Roman"/>
            <w:sz w:val="24"/>
          </w:rPr>
          <w:fldChar w:fldCharType="separate"/>
        </w:r>
        <w:r w:rsidR="00EB3DFB">
          <w:rPr>
            <w:rFonts w:ascii="Times New Roman" w:hAnsi="Times New Roman" w:cs="Times New Roman"/>
            <w:noProof/>
            <w:sz w:val="24"/>
          </w:rPr>
          <w:t>1</w:t>
        </w:r>
        <w:r w:rsidRPr="00E83BC2">
          <w:rPr>
            <w:rFonts w:ascii="Times New Roman" w:hAnsi="Times New Roman" w:cs="Times New Roman"/>
            <w:noProof/>
            <w:sz w:val="24"/>
          </w:rPr>
          <w:fldChar w:fldCharType="end"/>
        </w:r>
      </w:sdtContent>
    </w:sdt>
  </w:p>
  <w:p w:rsidR="001C6E99" w:rsidRDefault="001C6E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E2EAE"/>
    <w:multiLevelType w:val="hybridMultilevel"/>
    <w:tmpl w:val="F78A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15E77"/>
    <w:multiLevelType w:val="hybridMultilevel"/>
    <w:tmpl w:val="6E7E6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44CA6"/>
    <w:multiLevelType w:val="hybridMultilevel"/>
    <w:tmpl w:val="69A2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B07774"/>
    <w:multiLevelType w:val="multilevel"/>
    <w:tmpl w:val="0128DC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6E30ADC"/>
    <w:multiLevelType w:val="hybridMultilevel"/>
    <w:tmpl w:val="BB1E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4D353E"/>
    <w:multiLevelType w:val="hybridMultilevel"/>
    <w:tmpl w:val="AE16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789"/>
    <w:rsid w:val="00004DE3"/>
    <w:rsid w:val="00010309"/>
    <w:rsid w:val="00032EFB"/>
    <w:rsid w:val="0004048A"/>
    <w:rsid w:val="00084EEB"/>
    <w:rsid w:val="00086C0E"/>
    <w:rsid w:val="000C3535"/>
    <w:rsid w:val="000E45A9"/>
    <w:rsid w:val="000F5595"/>
    <w:rsid w:val="00142338"/>
    <w:rsid w:val="001548E3"/>
    <w:rsid w:val="0018466D"/>
    <w:rsid w:val="001904F3"/>
    <w:rsid w:val="001C6E99"/>
    <w:rsid w:val="00202E3E"/>
    <w:rsid w:val="002261A0"/>
    <w:rsid w:val="00260D5B"/>
    <w:rsid w:val="002639AA"/>
    <w:rsid w:val="002878B3"/>
    <w:rsid w:val="00291DD4"/>
    <w:rsid w:val="00293985"/>
    <w:rsid w:val="00296194"/>
    <w:rsid w:val="002B0572"/>
    <w:rsid w:val="00332DA8"/>
    <w:rsid w:val="00347956"/>
    <w:rsid w:val="00371CB9"/>
    <w:rsid w:val="003974FB"/>
    <w:rsid w:val="003D54DC"/>
    <w:rsid w:val="003F5E0B"/>
    <w:rsid w:val="004844A9"/>
    <w:rsid w:val="00497035"/>
    <w:rsid w:val="004C05B0"/>
    <w:rsid w:val="004C32B3"/>
    <w:rsid w:val="004E2502"/>
    <w:rsid w:val="00506023"/>
    <w:rsid w:val="00567A9C"/>
    <w:rsid w:val="00586D67"/>
    <w:rsid w:val="0059239C"/>
    <w:rsid w:val="005B5269"/>
    <w:rsid w:val="005D0727"/>
    <w:rsid w:val="005E0E1C"/>
    <w:rsid w:val="00666DBB"/>
    <w:rsid w:val="00670C5A"/>
    <w:rsid w:val="00671C4E"/>
    <w:rsid w:val="006C1284"/>
    <w:rsid w:val="006C7230"/>
    <w:rsid w:val="006D6BA4"/>
    <w:rsid w:val="006F15C0"/>
    <w:rsid w:val="006F3CEE"/>
    <w:rsid w:val="007222E6"/>
    <w:rsid w:val="00725381"/>
    <w:rsid w:val="007430CF"/>
    <w:rsid w:val="0075343D"/>
    <w:rsid w:val="007760FE"/>
    <w:rsid w:val="0078339C"/>
    <w:rsid w:val="007B645A"/>
    <w:rsid w:val="007E30CE"/>
    <w:rsid w:val="008001F8"/>
    <w:rsid w:val="00825125"/>
    <w:rsid w:val="008253D1"/>
    <w:rsid w:val="008260DF"/>
    <w:rsid w:val="00833A45"/>
    <w:rsid w:val="008557B2"/>
    <w:rsid w:val="0086358A"/>
    <w:rsid w:val="00863EF2"/>
    <w:rsid w:val="008D05FE"/>
    <w:rsid w:val="008E2E20"/>
    <w:rsid w:val="008F178E"/>
    <w:rsid w:val="008F7C6B"/>
    <w:rsid w:val="00904F81"/>
    <w:rsid w:val="0092696E"/>
    <w:rsid w:val="009A1872"/>
    <w:rsid w:val="009C0B75"/>
    <w:rsid w:val="009C3C0B"/>
    <w:rsid w:val="009F7D7A"/>
    <w:rsid w:val="00A116E9"/>
    <w:rsid w:val="00A12D9F"/>
    <w:rsid w:val="00A22F09"/>
    <w:rsid w:val="00A57215"/>
    <w:rsid w:val="00AA2679"/>
    <w:rsid w:val="00AE3E5F"/>
    <w:rsid w:val="00B06D5E"/>
    <w:rsid w:val="00B16344"/>
    <w:rsid w:val="00B275EB"/>
    <w:rsid w:val="00B32665"/>
    <w:rsid w:val="00B35E7B"/>
    <w:rsid w:val="00B7501C"/>
    <w:rsid w:val="00B86544"/>
    <w:rsid w:val="00BA5FC6"/>
    <w:rsid w:val="00BD328C"/>
    <w:rsid w:val="00C060D1"/>
    <w:rsid w:val="00C2342E"/>
    <w:rsid w:val="00C34A1E"/>
    <w:rsid w:val="00C61C8C"/>
    <w:rsid w:val="00C61D3C"/>
    <w:rsid w:val="00C84127"/>
    <w:rsid w:val="00C8798F"/>
    <w:rsid w:val="00D07860"/>
    <w:rsid w:val="00D25093"/>
    <w:rsid w:val="00D45D26"/>
    <w:rsid w:val="00D87A90"/>
    <w:rsid w:val="00D90074"/>
    <w:rsid w:val="00DA671D"/>
    <w:rsid w:val="00DC6C9C"/>
    <w:rsid w:val="00E570C9"/>
    <w:rsid w:val="00E83BC2"/>
    <w:rsid w:val="00E85789"/>
    <w:rsid w:val="00EB3DFB"/>
    <w:rsid w:val="00F20A63"/>
    <w:rsid w:val="00F27DE7"/>
    <w:rsid w:val="00F81517"/>
    <w:rsid w:val="00FE1607"/>
    <w:rsid w:val="00FF5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CE9677-F596-4EA1-9731-95860FFC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F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45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E45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83B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023"/>
    <w:pPr>
      <w:ind w:left="720"/>
      <w:contextualSpacing/>
    </w:pPr>
  </w:style>
  <w:style w:type="character" w:customStyle="1" w:styleId="Heading1Char">
    <w:name w:val="Heading 1 Char"/>
    <w:basedOn w:val="DefaultParagraphFont"/>
    <w:link w:val="Heading1"/>
    <w:uiPriority w:val="9"/>
    <w:rsid w:val="00BA5F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E45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E45A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C61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3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BC2"/>
  </w:style>
  <w:style w:type="paragraph" w:styleId="Footer">
    <w:name w:val="footer"/>
    <w:basedOn w:val="Normal"/>
    <w:link w:val="FooterChar"/>
    <w:uiPriority w:val="99"/>
    <w:unhideWhenUsed/>
    <w:rsid w:val="00E83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BC2"/>
  </w:style>
  <w:style w:type="paragraph" w:styleId="TOCHeading">
    <w:name w:val="TOC Heading"/>
    <w:basedOn w:val="Heading1"/>
    <w:next w:val="Normal"/>
    <w:uiPriority w:val="39"/>
    <w:unhideWhenUsed/>
    <w:qFormat/>
    <w:rsid w:val="00E83BC2"/>
    <w:pPr>
      <w:outlineLvl w:val="9"/>
    </w:pPr>
    <w:rPr>
      <w:lang w:val="en-US"/>
    </w:rPr>
  </w:style>
  <w:style w:type="paragraph" w:styleId="TOC1">
    <w:name w:val="toc 1"/>
    <w:basedOn w:val="Normal"/>
    <w:next w:val="Normal"/>
    <w:autoRedefine/>
    <w:uiPriority w:val="39"/>
    <w:unhideWhenUsed/>
    <w:rsid w:val="00E83BC2"/>
    <w:pPr>
      <w:spacing w:after="100"/>
    </w:pPr>
  </w:style>
  <w:style w:type="paragraph" w:styleId="TOC2">
    <w:name w:val="toc 2"/>
    <w:basedOn w:val="Normal"/>
    <w:next w:val="Normal"/>
    <w:autoRedefine/>
    <w:uiPriority w:val="39"/>
    <w:unhideWhenUsed/>
    <w:rsid w:val="00E83BC2"/>
    <w:pPr>
      <w:spacing w:after="100"/>
      <w:ind w:left="220"/>
    </w:pPr>
  </w:style>
  <w:style w:type="paragraph" w:styleId="TOC3">
    <w:name w:val="toc 3"/>
    <w:basedOn w:val="Normal"/>
    <w:next w:val="Normal"/>
    <w:autoRedefine/>
    <w:uiPriority w:val="39"/>
    <w:unhideWhenUsed/>
    <w:rsid w:val="00E83BC2"/>
    <w:pPr>
      <w:spacing w:after="100"/>
      <w:ind w:left="440"/>
    </w:pPr>
  </w:style>
  <w:style w:type="character" w:styleId="Hyperlink">
    <w:name w:val="Hyperlink"/>
    <w:basedOn w:val="DefaultParagraphFont"/>
    <w:uiPriority w:val="99"/>
    <w:unhideWhenUsed/>
    <w:rsid w:val="00E83BC2"/>
    <w:rPr>
      <w:color w:val="0563C1" w:themeColor="hyperlink"/>
      <w:u w:val="single"/>
    </w:rPr>
  </w:style>
  <w:style w:type="character" w:customStyle="1" w:styleId="Heading4Char">
    <w:name w:val="Heading 4 Char"/>
    <w:basedOn w:val="DefaultParagraphFont"/>
    <w:link w:val="Heading4"/>
    <w:uiPriority w:val="9"/>
    <w:rsid w:val="00E83BC2"/>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D25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16186">
      <w:bodyDiv w:val="1"/>
      <w:marLeft w:val="0"/>
      <w:marRight w:val="0"/>
      <w:marTop w:val="0"/>
      <w:marBottom w:val="0"/>
      <w:divBdr>
        <w:top w:val="none" w:sz="0" w:space="0" w:color="auto"/>
        <w:left w:val="none" w:sz="0" w:space="0" w:color="auto"/>
        <w:bottom w:val="none" w:sz="0" w:space="0" w:color="auto"/>
        <w:right w:val="none" w:sz="0" w:space="0" w:color="auto"/>
      </w:divBdr>
    </w:div>
    <w:div w:id="171263629">
      <w:bodyDiv w:val="1"/>
      <w:marLeft w:val="0"/>
      <w:marRight w:val="0"/>
      <w:marTop w:val="0"/>
      <w:marBottom w:val="0"/>
      <w:divBdr>
        <w:top w:val="none" w:sz="0" w:space="0" w:color="auto"/>
        <w:left w:val="none" w:sz="0" w:space="0" w:color="auto"/>
        <w:bottom w:val="none" w:sz="0" w:space="0" w:color="auto"/>
        <w:right w:val="none" w:sz="0" w:space="0" w:color="auto"/>
      </w:divBdr>
    </w:div>
    <w:div w:id="176191782">
      <w:bodyDiv w:val="1"/>
      <w:marLeft w:val="0"/>
      <w:marRight w:val="0"/>
      <w:marTop w:val="0"/>
      <w:marBottom w:val="0"/>
      <w:divBdr>
        <w:top w:val="none" w:sz="0" w:space="0" w:color="auto"/>
        <w:left w:val="none" w:sz="0" w:space="0" w:color="auto"/>
        <w:bottom w:val="none" w:sz="0" w:space="0" w:color="auto"/>
        <w:right w:val="none" w:sz="0" w:space="0" w:color="auto"/>
      </w:divBdr>
    </w:div>
    <w:div w:id="384648304">
      <w:bodyDiv w:val="1"/>
      <w:marLeft w:val="0"/>
      <w:marRight w:val="0"/>
      <w:marTop w:val="0"/>
      <w:marBottom w:val="0"/>
      <w:divBdr>
        <w:top w:val="none" w:sz="0" w:space="0" w:color="auto"/>
        <w:left w:val="none" w:sz="0" w:space="0" w:color="auto"/>
        <w:bottom w:val="none" w:sz="0" w:space="0" w:color="auto"/>
        <w:right w:val="none" w:sz="0" w:space="0" w:color="auto"/>
      </w:divBdr>
    </w:div>
    <w:div w:id="489255916">
      <w:bodyDiv w:val="1"/>
      <w:marLeft w:val="0"/>
      <w:marRight w:val="0"/>
      <w:marTop w:val="0"/>
      <w:marBottom w:val="0"/>
      <w:divBdr>
        <w:top w:val="none" w:sz="0" w:space="0" w:color="auto"/>
        <w:left w:val="none" w:sz="0" w:space="0" w:color="auto"/>
        <w:bottom w:val="none" w:sz="0" w:space="0" w:color="auto"/>
        <w:right w:val="none" w:sz="0" w:space="0" w:color="auto"/>
      </w:divBdr>
    </w:div>
    <w:div w:id="655844249">
      <w:bodyDiv w:val="1"/>
      <w:marLeft w:val="0"/>
      <w:marRight w:val="0"/>
      <w:marTop w:val="0"/>
      <w:marBottom w:val="0"/>
      <w:divBdr>
        <w:top w:val="none" w:sz="0" w:space="0" w:color="auto"/>
        <w:left w:val="none" w:sz="0" w:space="0" w:color="auto"/>
        <w:bottom w:val="none" w:sz="0" w:space="0" w:color="auto"/>
        <w:right w:val="none" w:sz="0" w:space="0" w:color="auto"/>
      </w:divBdr>
    </w:div>
    <w:div w:id="774329341">
      <w:bodyDiv w:val="1"/>
      <w:marLeft w:val="0"/>
      <w:marRight w:val="0"/>
      <w:marTop w:val="0"/>
      <w:marBottom w:val="0"/>
      <w:divBdr>
        <w:top w:val="none" w:sz="0" w:space="0" w:color="auto"/>
        <w:left w:val="none" w:sz="0" w:space="0" w:color="auto"/>
        <w:bottom w:val="none" w:sz="0" w:space="0" w:color="auto"/>
        <w:right w:val="none" w:sz="0" w:space="0" w:color="auto"/>
      </w:divBdr>
    </w:div>
    <w:div w:id="979843205">
      <w:bodyDiv w:val="1"/>
      <w:marLeft w:val="0"/>
      <w:marRight w:val="0"/>
      <w:marTop w:val="0"/>
      <w:marBottom w:val="0"/>
      <w:divBdr>
        <w:top w:val="none" w:sz="0" w:space="0" w:color="auto"/>
        <w:left w:val="none" w:sz="0" w:space="0" w:color="auto"/>
        <w:bottom w:val="none" w:sz="0" w:space="0" w:color="auto"/>
        <w:right w:val="none" w:sz="0" w:space="0" w:color="auto"/>
      </w:divBdr>
    </w:div>
    <w:div w:id="1105543765">
      <w:bodyDiv w:val="1"/>
      <w:marLeft w:val="0"/>
      <w:marRight w:val="0"/>
      <w:marTop w:val="0"/>
      <w:marBottom w:val="0"/>
      <w:divBdr>
        <w:top w:val="none" w:sz="0" w:space="0" w:color="auto"/>
        <w:left w:val="none" w:sz="0" w:space="0" w:color="auto"/>
        <w:bottom w:val="none" w:sz="0" w:space="0" w:color="auto"/>
        <w:right w:val="none" w:sz="0" w:space="0" w:color="auto"/>
      </w:divBdr>
    </w:div>
    <w:div w:id="1208838568">
      <w:bodyDiv w:val="1"/>
      <w:marLeft w:val="0"/>
      <w:marRight w:val="0"/>
      <w:marTop w:val="0"/>
      <w:marBottom w:val="0"/>
      <w:divBdr>
        <w:top w:val="none" w:sz="0" w:space="0" w:color="auto"/>
        <w:left w:val="none" w:sz="0" w:space="0" w:color="auto"/>
        <w:bottom w:val="none" w:sz="0" w:space="0" w:color="auto"/>
        <w:right w:val="none" w:sz="0" w:space="0" w:color="auto"/>
      </w:divBdr>
    </w:div>
    <w:div w:id="1412119110">
      <w:bodyDiv w:val="1"/>
      <w:marLeft w:val="0"/>
      <w:marRight w:val="0"/>
      <w:marTop w:val="0"/>
      <w:marBottom w:val="0"/>
      <w:divBdr>
        <w:top w:val="none" w:sz="0" w:space="0" w:color="auto"/>
        <w:left w:val="none" w:sz="0" w:space="0" w:color="auto"/>
        <w:bottom w:val="none" w:sz="0" w:space="0" w:color="auto"/>
        <w:right w:val="none" w:sz="0" w:space="0" w:color="auto"/>
      </w:divBdr>
    </w:div>
    <w:div w:id="1565796661">
      <w:bodyDiv w:val="1"/>
      <w:marLeft w:val="0"/>
      <w:marRight w:val="0"/>
      <w:marTop w:val="0"/>
      <w:marBottom w:val="0"/>
      <w:divBdr>
        <w:top w:val="none" w:sz="0" w:space="0" w:color="auto"/>
        <w:left w:val="none" w:sz="0" w:space="0" w:color="auto"/>
        <w:bottom w:val="none" w:sz="0" w:space="0" w:color="auto"/>
        <w:right w:val="none" w:sz="0" w:space="0" w:color="auto"/>
      </w:divBdr>
    </w:div>
    <w:div w:id="1640836931">
      <w:bodyDiv w:val="1"/>
      <w:marLeft w:val="0"/>
      <w:marRight w:val="0"/>
      <w:marTop w:val="0"/>
      <w:marBottom w:val="0"/>
      <w:divBdr>
        <w:top w:val="none" w:sz="0" w:space="0" w:color="auto"/>
        <w:left w:val="none" w:sz="0" w:space="0" w:color="auto"/>
        <w:bottom w:val="none" w:sz="0" w:space="0" w:color="auto"/>
        <w:right w:val="none" w:sz="0" w:space="0" w:color="auto"/>
      </w:divBdr>
    </w:div>
    <w:div w:id="1763262858">
      <w:bodyDiv w:val="1"/>
      <w:marLeft w:val="0"/>
      <w:marRight w:val="0"/>
      <w:marTop w:val="0"/>
      <w:marBottom w:val="0"/>
      <w:divBdr>
        <w:top w:val="none" w:sz="0" w:space="0" w:color="auto"/>
        <w:left w:val="none" w:sz="0" w:space="0" w:color="auto"/>
        <w:bottom w:val="none" w:sz="0" w:space="0" w:color="auto"/>
        <w:right w:val="none" w:sz="0" w:space="0" w:color="auto"/>
      </w:divBdr>
    </w:div>
    <w:div w:id="2090998025">
      <w:bodyDiv w:val="1"/>
      <w:marLeft w:val="0"/>
      <w:marRight w:val="0"/>
      <w:marTop w:val="0"/>
      <w:marBottom w:val="0"/>
      <w:divBdr>
        <w:top w:val="none" w:sz="0" w:space="0" w:color="auto"/>
        <w:left w:val="none" w:sz="0" w:space="0" w:color="auto"/>
        <w:bottom w:val="none" w:sz="0" w:space="0" w:color="auto"/>
        <w:right w:val="none" w:sz="0" w:space="0" w:color="auto"/>
      </w:divBdr>
    </w:div>
    <w:div w:id="214538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hahmeer\Desktop\Mauwiyahs%20friend\INEOS%20Chemicals%20Ltd..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Analysis'!$B$5</c:f>
              <c:strCache>
                <c:ptCount val="1"/>
                <c:pt idx="0">
                  <c:v>Return on capital employed (ROCE)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Analysis'!$C$6:$H$6</c:f>
              <c:numCache>
                <c:formatCode>#,##0.00;[Red]\(#,##0.00\)</c:formatCode>
                <c:ptCount val="6"/>
                <c:pt idx="0">
                  <c:v>19.977914954472212</c:v>
                </c:pt>
                <c:pt idx="1">
                  <c:v>16.724039265748107</c:v>
                </c:pt>
                <c:pt idx="2">
                  <c:v>18.369966932503406</c:v>
                </c:pt>
                <c:pt idx="3">
                  <c:v>9.6676305344518632</c:v>
                </c:pt>
                <c:pt idx="4">
                  <c:v>8.4865598458979239</c:v>
                </c:pt>
                <c:pt idx="5">
                  <c:v>4.9615108922616873</c:v>
                </c:pt>
              </c:numCache>
            </c:numRef>
          </c:val>
          <c:extLst>
            <c:ext xmlns:c16="http://schemas.microsoft.com/office/drawing/2014/chart" uri="{C3380CC4-5D6E-409C-BE32-E72D297353CC}">
              <c16:uniqueId val="{00000000-9723-4045-AA0E-2631DCEE6DE5}"/>
            </c:ext>
          </c:extLst>
        </c:ser>
        <c:dLbls>
          <c:dLblPos val="inEnd"/>
          <c:showLegendKey val="0"/>
          <c:showVal val="1"/>
          <c:showCatName val="0"/>
          <c:showSerName val="0"/>
          <c:showPercent val="0"/>
          <c:showBubbleSize val="0"/>
        </c:dLbls>
        <c:gapWidth val="65"/>
        <c:axId val="364283344"/>
        <c:axId val="364284976"/>
        <c:extLst>
          <c:ext xmlns:c15="http://schemas.microsoft.com/office/drawing/2012/chart" uri="{02D57815-91ED-43cb-92C2-25804820EDAC}">
            <c15:filteredBarSeries>
              <c15: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numRef>
                    <c:extLst>
                      <c:ext uri="{02D57815-91ED-43cb-92C2-25804820EDAC}">
                        <c15:formulaRef>
                          <c15:sqref>'Ratio Analysis'!$C$2:$H$2</c15:sqref>
                        </c15:formulaRef>
                      </c:ext>
                    </c:extLst>
                    <c:numCache>
                      <c:formatCode>General</c:formatCode>
                      <c:ptCount val="6"/>
                      <c:pt idx="0">
                        <c:v>2017</c:v>
                      </c:pt>
                      <c:pt idx="1">
                        <c:v>2016</c:v>
                      </c:pt>
                      <c:pt idx="2">
                        <c:v>2015</c:v>
                      </c:pt>
                      <c:pt idx="3">
                        <c:v>2014</c:v>
                      </c:pt>
                      <c:pt idx="4">
                        <c:v>2013</c:v>
                      </c:pt>
                      <c:pt idx="5">
                        <c:v>2012</c:v>
                      </c:pt>
                    </c:numCache>
                  </c:numRef>
                </c:cat>
                <c:val>
                  <c:numRef>
                    <c:extLst>
                      <c:ext uri="{02D57815-91ED-43cb-92C2-25804820EDAC}">
                        <c15:formulaRef>
                          <c15:sqref>'Ratio Analysis'!$B$5</c15:sqref>
                        </c15:formulaRef>
                      </c:ext>
                    </c:extLst>
                    <c:numCache>
                      <c:formatCode>General</c:formatCode>
                      <c:ptCount val="1"/>
                      <c:pt idx="0">
                        <c:v>0</c:v>
                      </c:pt>
                    </c:numCache>
                  </c:numRef>
                </c:val>
                <c:extLst>
                  <c:ext xmlns:c16="http://schemas.microsoft.com/office/drawing/2014/chart" uri="{C3380CC4-5D6E-409C-BE32-E72D297353CC}">
                    <c16:uniqueId val="{00000001-9723-4045-AA0E-2631DCEE6DE5}"/>
                  </c:ext>
                </c:extLst>
              </c15:ser>
            </c15:filteredBarSeries>
            <c15:filteredBarSeries>
              <c15: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extLst xmlns:c15="http://schemas.microsoft.com/office/drawing/2012/chart">
                      <c:ext xmlns:c15="http://schemas.microsoft.com/office/drawing/2012/chart" uri="{02D57815-91ED-43cb-92C2-25804820EDAC}">
                        <c15:formulaRef>
                          <c15:sqref>'Ratio Analysis'!$C$2:$H$2</c15:sqref>
                        </c15:formulaRef>
                      </c:ext>
                    </c:extLst>
                    <c:numCache>
                      <c:formatCode>General</c:formatCode>
                      <c:ptCount val="6"/>
                      <c:pt idx="0">
                        <c:v>2017</c:v>
                      </c:pt>
                      <c:pt idx="1">
                        <c:v>2016</c:v>
                      </c:pt>
                      <c:pt idx="2">
                        <c:v>2015</c:v>
                      </c:pt>
                      <c:pt idx="3">
                        <c:v>2014</c:v>
                      </c:pt>
                      <c:pt idx="4">
                        <c:v>2013</c:v>
                      </c:pt>
                      <c:pt idx="5">
                        <c:v>2012</c:v>
                      </c:pt>
                    </c:numCache>
                  </c:numRef>
                </c:cat>
                <c:val>
                  <c:numRef>
                    <c:extLst xmlns:c15="http://schemas.microsoft.com/office/drawing/2012/chart">
                      <c:ext xmlns:c15="http://schemas.microsoft.com/office/drawing/2012/chart" uri="{02D57815-91ED-43cb-92C2-25804820EDAC}">
                        <c15:formulaRef>
                          <c15:sqref>'Ratio Analysis'!$C$6:$H$6</c15:sqref>
                        </c15:formulaRef>
                      </c:ext>
                    </c:extLst>
                    <c:numCache>
                      <c:formatCode>#,##0.00;[Red]\(#,##0.00\)</c:formatCode>
                      <c:ptCount val="6"/>
                      <c:pt idx="0">
                        <c:v>19.977914954472212</c:v>
                      </c:pt>
                      <c:pt idx="1">
                        <c:v>16.724039265748107</c:v>
                      </c:pt>
                      <c:pt idx="2">
                        <c:v>18.369966932503406</c:v>
                      </c:pt>
                      <c:pt idx="3">
                        <c:v>9.6676305344518632</c:v>
                      </c:pt>
                      <c:pt idx="4">
                        <c:v>8.4865598458979239</c:v>
                      </c:pt>
                      <c:pt idx="5">
                        <c:v>4.9615108922616873</c:v>
                      </c:pt>
                    </c:numCache>
                  </c:numRef>
                </c:val>
                <c:extLst xmlns:c15="http://schemas.microsoft.com/office/drawing/2012/chart">
                  <c:ext xmlns:c16="http://schemas.microsoft.com/office/drawing/2014/chart" uri="{C3380CC4-5D6E-409C-BE32-E72D297353CC}">
                    <c16:uniqueId val="{00000002-9723-4045-AA0E-2631DCEE6DE5}"/>
                  </c:ext>
                </c:extLst>
              </c15:ser>
            </c15:filteredBarSeries>
          </c:ext>
        </c:extLst>
      </c:barChart>
      <c:catAx>
        <c:axId val="3642833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64284976"/>
        <c:crosses val="autoZero"/>
        <c:auto val="1"/>
        <c:lblAlgn val="ctr"/>
        <c:lblOffset val="100"/>
        <c:noMultiLvlLbl val="0"/>
      </c:catAx>
      <c:valAx>
        <c:axId val="3642849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3642833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Analysis'!$B$8:$H$8</c:f>
              <c:strCache>
                <c:ptCount val="7"/>
                <c:pt idx="0">
                  <c:v>Return on equity</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Analysis'!$C$9:$H$9</c:f>
              <c:numCache>
                <c:formatCode>#,##0.00;[Red]\(#,##0.00\)</c:formatCode>
                <c:ptCount val="6"/>
                <c:pt idx="0">
                  <c:v>117.7687411598302</c:v>
                </c:pt>
                <c:pt idx="1">
                  <c:v>286.77051848407331</c:v>
                </c:pt>
                <c:pt idx="2">
                  <c:v>-161.37894363700818</c:v>
                </c:pt>
                <c:pt idx="3">
                  <c:v>2.9050898440591952</c:v>
                </c:pt>
                <c:pt idx="4">
                  <c:v>13.934170906447783</c:v>
                </c:pt>
                <c:pt idx="5">
                  <c:v>37.796833773086774</c:v>
                </c:pt>
              </c:numCache>
            </c:numRef>
          </c:val>
          <c:extLst>
            <c:ext xmlns:c16="http://schemas.microsoft.com/office/drawing/2014/chart" uri="{C3380CC4-5D6E-409C-BE32-E72D297353CC}">
              <c16:uniqueId val="{00000000-FF13-4403-AA71-5445E88A08BF}"/>
            </c:ext>
          </c:extLst>
        </c:ser>
        <c:dLbls>
          <c:dLblPos val="inEnd"/>
          <c:showLegendKey val="0"/>
          <c:showVal val="1"/>
          <c:showCatName val="0"/>
          <c:showSerName val="0"/>
          <c:showPercent val="0"/>
          <c:showBubbleSize val="0"/>
        </c:dLbls>
        <c:gapWidth val="100"/>
        <c:overlap val="-24"/>
        <c:axId val="364283888"/>
        <c:axId val="364278992"/>
      </c:barChart>
      <c:catAx>
        <c:axId val="36428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4278992"/>
        <c:crosses val="autoZero"/>
        <c:auto val="1"/>
        <c:lblAlgn val="ctr"/>
        <c:lblOffset val="100"/>
        <c:noMultiLvlLbl val="0"/>
      </c:catAx>
      <c:valAx>
        <c:axId val="364278992"/>
        <c:scaling>
          <c:orientation val="minMax"/>
        </c:scaling>
        <c:delete val="0"/>
        <c:axPos val="l"/>
        <c:majorGridlines>
          <c:spPr>
            <a:ln w="9525" cap="flat" cmpd="sng" algn="ctr">
              <a:solidFill>
                <a:schemeClr val="tx1">
                  <a:lumMod val="15000"/>
                  <a:lumOff val="85000"/>
                </a:schemeClr>
              </a:solidFill>
              <a:round/>
            </a:ln>
            <a:effectLst/>
          </c:spPr>
        </c:majorGridlines>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4283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Analysis'!$B$11:$H$11</c:f>
              <c:strCache>
                <c:ptCount val="7"/>
                <c:pt idx="0">
                  <c:v>Gross profit margin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Analysis'!$C$12:$H$12</c:f>
              <c:numCache>
                <c:formatCode>#,##0.00;[Red]\(#,##0.00\)</c:formatCode>
                <c:ptCount val="6"/>
                <c:pt idx="0">
                  <c:v>17.660285068111286</c:v>
                </c:pt>
                <c:pt idx="1">
                  <c:v>19.578267868896656</c:v>
                </c:pt>
                <c:pt idx="2">
                  <c:v>17.560854807930426</c:v>
                </c:pt>
                <c:pt idx="3">
                  <c:v>11.884672338201565</c:v>
                </c:pt>
                <c:pt idx="4">
                  <c:v>9.5977187821473127</c:v>
                </c:pt>
                <c:pt idx="5">
                  <c:v>5.2512068264039442</c:v>
                </c:pt>
              </c:numCache>
            </c:numRef>
          </c:val>
          <c:extLst>
            <c:ext xmlns:c16="http://schemas.microsoft.com/office/drawing/2014/chart" uri="{C3380CC4-5D6E-409C-BE32-E72D297353CC}">
              <c16:uniqueId val="{00000000-26AE-495E-B159-F4C224F044B9}"/>
            </c:ext>
          </c:extLst>
        </c:ser>
        <c:dLbls>
          <c:dLblPos val="inEnd"/>
          <c:showLegendKey val="0"/>
          <c:showVal val="1"/>
          <c:showCatName val="0"/>
          <c:showSerName val="0"/>
          <c:showPercent val="0"/>
          <c:showBubbleSize val="0"/>
        </c:dLbls>
        <c:gapWidth val="65"/>
        <c:axId val="364288240"/>
        <c:axId val="364279536"/>
      </c:barChart>
      <c:catAx>
        <c:axId val="3642882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64279536"/>
        <c:crosses val="autoZero"/>
        <c:auto val="1"/>
        <c:lblAlgn val="ctr"/>
        <c:lblOffset val="100"/>
        <c:noMultiLvlLbl val="0"/>
      </c:catAx>
      <c:valAx>
        <c:axId val="3642795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3642882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Analysis'!$B$14:$H$14</c:f>
              <c:strCache>
                <c:ptCount val="7"/>
                <c:pt idx="0">
                  <c:v>Net profit margin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3"/>
              <c:layout>
                <c:manualLayout>
                  <c:x val="-1.0961507651748155E-16"/>
                  <c:y val="-5.350483861273056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D01-4177-AD3F-AE91CCCD0332}"/>
                </c:ext>
              </c:extLst>
            </c:dLbl>
            <c:dLbl>
              <c:idx val="4"/>
              <c:layout>
                <c:manualLayout>
                  <c:x val="0"/>
                  <c:y val="-2.223718218428784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D01-4177-AD3F-AE91CCCD0332}"/>
                </c:ext>
              </c:extLst>
            </c:dLbl>
            <c:dLbl>
              <c:idx val="5"/>
              <c:layout>
                <c:manualLayout>
                  <c:x val="-1.0961507651748155E-16"/>
                  <c:y val="-5.161988339243760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D01-4177-AD3F-AE91CCCD03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Analysis'!$C$15:$H$15</c:f>
              <c:numCache>
                <c:formatCode>#,##0.00;[Red]\(#,##0.00\)</c:formatCode>
                <c:ptCount val="6"/>
                <c:pt idx="0">
                  <c:v>13.137721558933354</c:v>
                </c:pt>
                <c:pt idx="1">
                  <c:v>9.7812036574437453</c:v>
                </c:pt>
                <c:pt idx="2">
                  <c:v>6.6317537547161587</c:v>
                </c:pt>
                <c:pt idx="3">
                  <c:v>-0.21311808600214754</c:v>
                </c:pt>
                <c:pt idx="4">
                  <c:v>-0.8073297358431456</c:v>
                </c:pt>
                <c:pt idx="5">
                  <c:v>-1.5751971058158465</c:v>
                </c:pt>
              </c:numCache>
            </c:numRef>
          </c:val>
          <c:extLst>
            <c:ext xmlns:c16="http://schemas.microsoft.com/office/drawing/2014/chart" uri="{C3380CC4-5D6E-409C-BE32-E72D297353CC}">
              <c16:uniqueId val="{00000000-E5AF-48FC-B8E3-1D209B7CAFFA}"/>
            </c:ext>
          </c:extLst>
        </c:ser>
        <c:dLbls>
          <c:dLblPos val="inEnd"/>
          <c:showLegendKey val="0"/>
          <c:showVal val="1"/>
          <c:showCatName val="0"/>
          <c:showSerName val="0"/>
          <c:showPercent val="0"/>
          <c:showBubbleSize val="0"/>
        </c:dLbls>
        <c:gapWidth val="100"/>
        <c:overlap val="-24"/>
        <c:axId val="364287152"/>
        <c:axId val="364282800"/>
      </c:barChart>
      <c:catAx>
        <c:axId val="36428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4282800"/>
        <c:crosses val="autoZero"/>
        <c:auto val="1"/>
        <c:lblAlgn val="ctr"/>
        <c:lblOffset val="100"/>
        <c:noMultiLvlLbl val="0"/>
      </c:catAx>
      <c:valAx>
        <c:axId val="364282800"/>
        <c:scaling>
          <c:orientation val="minMax"/>
        </c:scaling>
        <c:delete val="0"/>
        <c:axPos val="l"/>
        <c:majorGridlines>
          <c:spPr>
            <a:ln w="9525" cap="flat" cmpd="sng" algn="ctr">
              <a:solidFill>
                <a:schemeClr val="tx1">
                  <a:lumMod val="15000"/>
                  <a:lumOff val="85000"/>
                </a:schemeClr>
              </a:solidFill>
              <a:round/>
            </a:ln>
            <a:effectLst/>
          </c:spPr>
        </c:majorGridlines>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4287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Analysis'!$B$19</c:f>
              <c:strCache>
                <c:ptCount val="1"/>
                <c:pt idx="0">
                  <c:v>Net asset turnover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Analysis'!$C$20:$H$20</c:f>
              <c:numCache>
                <c:formatCode>#,##0.00;[Red]\(#,##0.00\)</c:formatCode>
                <c:ptCount val="6"/>
                <c:pt idx="0">
                  <c:v>1.7194275508127781</c:v>
                </c:pt>
                <c:pt idx="1">
                  <c:v>1.3163696721054774</c:v>
                </c:pt>
                <c:pt idx="2">
                  <c:v>1.6225920060510082</c:v>
                </c:pt>
                <c:pt idx="3">
                  <c:v>2.3381851756303549</c:v>
                </c:pt>
                <c:pt idx="4">
                  <c:v>2.3222872630240716</c:v>
                </c:pt>
                <c:pt idx="5">
                  <c:v>2.4163301094696572</c:v>
                </c:pt>
              </c:numCache>
            </c:numRef>
          </c:val>
          <c:extLst>
            <c:ext xmlns:c16="http://schemas.microsoft.com/office/drawing/2014/chart" uri="{C3380CC4-5D6E-409C-BE32-E72D297353CC}">
              <c16:uniqueId val="{00000000-E817-4B8F-BD08-AF96B8EC33AB}"/>
            </c:ext>
          </c:extLst>
        </c:ser>
        <c:dLbls>
          <c:dLblPos val="inEnd"/>
          <c:showLegendKey val="0"/>
          <c:showVal val="1"/>
          <c:showCatName val="0"/>
          <c:showSerName val="0"/>
          <c:showPercent val="0"/>
          <c:showBubbleSize val="0"/>
        </c:dLbls>
        <c:gapWidth val="65"/>
        <c:axId val="364286064"/>
        <c:axId val="430276448"/>
      </c:barChart>
      <c:catAx>
        <c:axId val="3642860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76448"/>
        <c:crosses val="autoZero"/>
        <c:auto val="1"/>
        <c:lblAlgn val="ctr"/>
        <c:lblOffset val="100"/>
        <c:noMultiLvlLbl val="0"/>
      </c:catAx>
      <c:valAx>
        <c:axId val="4302764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3642860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Analysis'!$B$22</c:f>
              <c:strCache>
                <c:ptCount val="1"/>
                <c:pt idx="0">
                  <c:v>Stockholding period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Analysis'!$C$23:$H$23</c:f>
              <c:numCache>
                <c:formatCode>#,##0.00;[Red]\(#,##0.00\)</c:formatCode>
                <c:ptCount val="6"/>
                <c:pt idx="0">
                  <c:v>36.327470018045062</c:v>
                </c:pt>
                <c:pt idx="1">
                  <c:v>38.443216219147821</c:v>
                </c:pt>
                <c:pt idx="2">
                  <c:v>30.848794882668933</c:v>
                </c:pt>
                <c:pt idx="3">
                  <c:v>24.266141202986706</c:v>
                </c:pt>
                <c:pt idx="4">
                  <c:v>32.056789975577779</c:v>
                </c:pt>
                <c:pt idx="5">
                  <c:v>29.487033673570053</c:v>
                </c:pt>
              </c:numCache>
            </c:numRef>
          </c:val>
          <c:extLst>
            <c:ext xmlns:c16="http://schemas.microsoft.com/office/drawing/2014/chart" uri="{C3380CC4-5D6E-409C-BE32-E72D297353CC}">
              <c16:uniqueId val="{00000000-D26F-48FD-8D97-5CABD8607380}"/>
            </c:ext>
          </c:extLst>
        </c:ser>
        <c:dLbls>
          <c:dLblPos val="inEnd"/>
          <c:showLegendKey val="0"/>
          <c:showVal val="1"/>
          <c:showCatName val="0"/>
          <c:showSerName val="0"/>
          <c:showPercent val="0"/>
          <c:showBubbleSize val="0"/>
        </c:dLbls>
        <c:gapWidth val="65"/>
        <c:axId val="430278624"/>
        <c:axId val="430280800"/>
      </c:barChart>
      <c:catAx>
        <c:axId val="430278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80800"/>
        <c:crosses val="autoZero"/>
        <c:auto val="1"/>
        <c:lblAlgn val="ctr"/>
        <c:lblOffset val="100"/>
        <c:noMultiLvlLbl val="0"/>
      </c:catAx>
      <c:valAx>
        <c:axId val="430280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78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Analysis'!$B$25</c:f>
              <c:strCache>
                <c:ptCount val="1"/>
                <c:pt idx="0">
                  <c:v>Debtor collection period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Analysis'!$C$26:$H$26</c:f>
              <c:numCache>
                <c:formatCode>#,##0.00;[Red]\(#,##0.00\)</c:formatCode>
                <c:ptCount val="6"/>
                <c:pt idx="0">
                  <c:v>41.104014358596757</c:v>
                </c:pt>
                <c:pt idx="1">
                  <c:v>43.470368519972403</c:v>
                </c:pt>
                <c:pt idx="2">
                  <c:v>47.119757600477811</c:v>
                </c:pt>
                <c:pt idx="3">
                  <c:v>38.612148311605353</c:v>
                </c:pt>
                <c:pt idx="4">
                  <c:v>42.01429370679854</c:v>
                </c:pt>
                <c:pt idx="5">
                  <c:v>38.303707898527612</c:v>
                </c:pt>
              </c:numCache>
            </c:numRef>
          </c:val>
          <c:extLst>
            <c:ext xmlns:c16="http://schemas.microsoft.com/office/drawing/2014/chart" uri="{C3380CC4-5D6E-409C-BE32-E72D297353CC}">
              <c16:uniqueId val="{00000000-8A47-4E44-8E76-5FDB55BD04BC}"/>
            </c:ext>
          </c:extLst>
        </c:ser>
        <c:dLbls>
          <c:dLblPos val="inEnd"/>
          <c:showLegendKey val="0"/>
          <c:showVal val="1"/>
          <c:showCatName val="0"/>
          <c:showSerName val="0"/>
          <c:showPercent val="0"/>
          <c:showBubbleSize val="0"/>
        </c:dLbls>
        <c:gapWidth val="65"/>
        <c:axId val="430281888"/>
        <c:axId val="430282432"/>
      </c:barChart>
      <c:catAx>
        <c:axId val="430281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82432"/>
        <c:crosses val="autoZero"/>
        <c:auto val="1"/>
        <c:lblAlgn val="ctr"/>
        <c:lblOffset val="100"/>
        <c:noMultiLvlLbl val="0"/>
      </c:catAx>
      <c:valAx>
        <c:axId val="4302824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81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Analysis'!$B$28</c:f>
              <c:strCache>
                <c:ptCount val="1"/>
                <c:pt idx="0">
                  <c:v>Creditor payment period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Analysis'!$C$29:$H$29</c:f>
              <c:numCache>
                <c:formatCode>#,##0.00;[Red]\(#,##0.00\)</c:formatCode>
                <c:ptCount val="6"/>
                <c:pt idx="0">
                  <c:v>45.063476305685583</c:v>
                </c:pt>
                <c:pt idx="1">
                  <c:v>45.253412001681227</c:v>
                </c:pt>
                <c:pt idx="2">
                  <c:v>38.418394103165468</c:v>
                </c:pt>
                <c:pt idx="3">
                  <c:v>35.127580499985484</c:v>
                </c:pt>
                <c:pt idx="4">
                  <c:v>39.489132331089415</c:v>
                </c:pt>
                <c:pt idx="5">
                  <c:v>38.309728285371833</c:v>
                </c:pt>
              </c:numCache>
            </c:numRef>
          </c:val>
          <c:extLst>
            <c:ext xmlns:c16="http://schemas.microsoft.com/office/drawing/2014/chart" uri="{C3380CC4-5D6E-409C-BE32-E72D297353CC}">
              <c16:uniqueId val="{00000000-A648-47B1-BE02-B9FC09DE4A72}"/>
            </c:ext>
          </c:extLst>
        </c:ser>
        <c:dLbls>
          <c:dLblPos val="inEnd"/>
          <c:showLegendKey val="0"/>
          <c:showVal val="1"/>
          <c:showCatName val="0"/>
          <c:showSerName val="0"/>
          <c:showPercent val="0"/>
          <c:showBubbleSize val="0"/>
        </c:dLbls>
        <c:gapWidth val="65"/>
        <c:axId val="430270464"/>
        <c:axId val="430283520"/>
      </c:barChart>
      <c:catAx>
        <c:axId val="4302704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83520"/>
        <c:crosses val="autoZero"/>
        <c:auto val="1"/>
        <c:lblAlgn val="ctr"/>
        <c:lblOffset val="100"/>
        <c:noMultiLvlLbl val="0"/>
      </c:catAx>
      <c:valAx>
        <c:axId val="430283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704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Analysis'!$B$36</c:f>
              <c:strCache>
                <c:ptCount val="1"/>
                <c:pt idx="0">
                  <c:v>Quick asset ratio</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Analysis'!$C$37:$H$37</c:f>
              <c:numCache>
                <c:formatCode>#,##0.00;[Red]\(#,##0.00\)</c:formatCode>
                <c:ptCount val="6"/>
                <c:pt idx="0">
                  <c:v>1.3983651226158038</c:v>
                </c:pt>
                <c:pt idx="1">
                  <c:v>2.0875112410071934</c:v>
                </c:pt>
                <c:pt idx="2">
                  <c:v>1.8793254970888724</c:v>
                </c:pt>
                <c:pt idx="3">
                  <c:v>1.8832639852057327</c:v>
                </c:pt>
                <c:pt idx="4">
                  <c:v>1.5381272424073982</c:v>
                </c:pt>
                <c:pt idx="5">
                  <c:v>1.4982133498499215</c:v>
                </c:pt>
              </c:numCache>
            </c:numRef>
          </c:val>
          <c:extLst>
            <c:ext xmlns:c16="http://schemas.microsoft.com/office/drawing/2014/chart" uri="{C3380CC4-5D6E-409C-BE32-E72D297353CC}">
              <c16:uniqueId val="{00000000-8094-4264-B02C-C765511987F9}"/>
            </c:ext>
          </c:extLst>
        </c:ser>
        <c:dLbls>
          <c:dLblPos val="inEnd"/>
          <c:showLegendKey val="0"/>
          <c:showVal val="1"/>
          <c:showCatName val="0"/>
          <c:showSerName val="0"/>
          <c:showPercent val="0"/>
          <c:showBubbleSize val="0"/>
        </c:dLbls>
        <c:gapWidth val="65"/>
        <c:axId val="430284064"/>
        <c:axId val="430269376"/>
      </c:barChart>
      <c:catAx>
        <c:axId val="4302840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69376"/>
        <c:crosses val="autoZero"/>
        <c:auto val="1"/>
        <c:lblAlgn val="ctr"/>
        <c:lblOffset val="100"/>
        <c:noMultiLvlLbl val="0"/>
      </c:catAx>
      <c:valAx>
        <c:axId val="4302693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840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Analysis'!$B$41</c:f>
              <c:strCache>
                <c:ptCount val="1"/>
                <c:pt idx="0">
                  <c:v>Gearing ratio</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Analysis'!$C$42:$H$42</c:f>
              <c:numCache>
                <c:formatCode>#,##0.00;[Red]\(#,##0.00\)</c:formatCode>
                <c:ptCount val="6"/>
                <c:pt idx="0">
                  <c:v>0.69610680292102811</c:v>
                </c:pt>
                <c:pt idx="1">
                  <c:v>0.83723236562170522</c:v>
                </c:pt>
                <c:pt idx="2">
                  <c:v>0.98096059753705056</c:v>
                </c:pt>
                <c:pt idx="3">
                  <c:v>1.0465586769677795</c:v>
                </c:pt>
                <c:pt idx="4">
                  <c:v>1.0113999916176533</c:v>
                </c:pt>
                <c:pt idx="5">
                  <c:v>0.96834148156020838</c:v>
                </c:pt>
              </c:numCache>
            </c:numRef>
          </c:val>
          <c:extLst>
            <c:ext xmlns:c16="http://schemas.microsoft.com/office/drawing/2014/chart" uri="{C3380CC4-5D6E-409C-BE32-E72D297353CC}">
              <c16:uniqueId val="{00000000-45A6-4F85-AB38-EF94D386C9FA}"/>
            </c:ext>
          </c:extLst>
        </c:ser>
        <c:dLbls>
          <c:dLblPos val="inEnd"/>
          <c:showLegendKey val="0"/>
          <c:showVal val="1"/>
          <c:showCatName val="0"/>
          <c:showSerName val="0"/>
          <c:showPercent val="0"/>
          <c:showBubbleSize val="0"/>
        </c:dLbls>
        <c:gapWidth val="65"/>
        <c:axId val="430269920"/>
        <c:axId val="430271008"/>
      </c:barChart>
      <c:catAx>
        <c:axId val="4302699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71008"/>
        <c:crosses val="autoZero"/>
        <c:auto val="1"/>
        <c:lblAlgn val="ctr"/>
        <c:lblOffset val="100"/>
        <c:noMultiLvlLbl val="0"/>
      </c:catAx>
      <c:valAx>
        <c:axId val="4302710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699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Analysis'!$B$45</c:f>
              <c:strCache>
                <c:ptCount val="1"/>
                <c:pt idx="0">
                  <c:v>Debt to equity</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3"/>
              <c:layout>
                <c:manualLayout>
                  <c:x val="-2.978089468842501E-3"/>
                  <c:y val="2.55502794975055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DA-4288-96D1-68319A9BE112}"/>
                </c:ext>
              </c:extLst>
            </c:dLbl>
            <c:dLbl>
              <c:idx val="4"/>
              <c:layout>
                <c:manualLayout>
                  <c:x val="-2.9780894688426103E-3"/>
                  <c:y val="5.013323716214955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DA-4288-96D1-68319A9BE112}"/>
                </c:ext>
              </c:extLst>
            </c:dLbl>
            <c:dLbl>
              <c:idx val="5"/>
              <c:layout>
                <c:manualLayout>
                  <c:x val="-5.9561789376851113E-3"/>
                  <c:y val="2.028009857546441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DA-4288-96D1-68319A9BE1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Analysis'!$C$46:$H$46</c:f>
              <c:numCache>
                <c:formatCode>#,##0.00;[Red]\(#,##0.00\)</c:formatCode>
                <c:ptCount val="6"/>
                <c:pt idx="0">
                  <c:v>3.6291254125412542</c:v>
                </c:pt>
                <c:pt idx="1">
                  <c:v>18.647058823529417</c:v>
                </c:pt>
                <c:pt idx="2">
                  <c:v>-14.711627082594822</c:v>
                </c:pt>
                <c:pt idx="3">
                  <c:v>-6.1013219346156875</c:v>
                </c:pt>
                <c:pt idx="4">
                  <c:v>-7.5168725988993881</c:v>
                </c:pt>
                <c:pt idx="5">
                  <c:v>-9.6159630606860134</c:v>
                </c:pt>
              </c:numCache>
            </c:numRef>
          </c:val>
          <c:extLst>
            <c:ext xmlns:c16="http://schemas.microsoft.com/office/drawing/2014/chart" uri="{C3380CC4-5D6E-409C-BE32-E72D297353CC}">
              <c16:uniqueId val="{00000000-74B2-4629-9176-BC302D274DC8}"/>
            </c:ext>
          </c:extLst>
        </c:ser>
        <c:dLbls>
          <c:dLblPos val="inEnd"/>
          <c:showLegendKey val="0"/>
          <c:showVal val="1"/>
          <c:showCatName val="0"/>
          <c:showSerName val="0"/>
          <c:showPercent val="0"/>
          <c:showBubbleSize val="0"/>
        </c:dLbls>
        <c:gapWidth val="100"/>
        <c:overlap val="-24"/>
        <c:axId val="430273728"/>
        <c:axId val="430272096"/>
      </c:barChart>
      <c:catAx>
        <c:axId val="43027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0272096"/>
        <c:crosses val="autoZero"/>
        <c:auto val="1"/>
        <c:lblAlgn val="ctr"/>
        <c:lblOffset val="100"/>
        <c:noMultiLvlLbl val="0"/>
      </c:catAx>
      <c:valAx>
        <c:axId val="430272096"/>
        <c:scaling>
          <c:orientation val="minMax"/>
        </c:scaling>
        <c:delete val="0"/>
        <c:axPos val="l"/>
        <c:majorGridlines>
          <c:spPr>
            <a:ln w="9525" cap="flat" cmpd="sng" algn="ctr">
              <a:solidFill>
                <a:schemeClr val="tx1">
                  <a:lumMod val="15000"/>
                  <a:lumOff val="85000"/>
                </a:schemeClr>
              </a:solidFill>
              <a:round/>
            </a:ln>
            <a:effectLst/>
          </c:spPr>
        </c:majorGridlines>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0273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Analysis'!$B$49</c:f>
              <c:strCache>
                <c:ptCount val="1"/>
                <c:pt idx="0">
                  <c:v>Interest cover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Analysis'!$C$50:$H$50</c:f>
              <c:numCache>
                <c:formatCode>#,##0.00;[Red]\(#,##0.00\)</c:formatCode>
                <c:ptCount val="6"/>
                <c:pt idx="0">
                  <c:v>5.5276734284998721</c:v>
                </c:pt>
                <c:pt idx="1">
                  <c:v>3.6114068441064622</c:v>
                </c:pt>
                <c:pt idx="2">
                  <c:v>2.0854587611791984</c:v>
                </c:pt>
                <c:pt idx="3">
                  <c:v>1.4825493171471931</c:v>
                </c:pt>
                <c:pt idx="4">
                  <c:v>1.2994804759510665</c:v>
                </c:pt>
                <c:pt idx="5">
                  <c:v>0.80322906155398965</c:v>
                </c:pt>
              </c:numCache>
            </c:numRef>
          </c:val>
          <c:extLst>
            <c:ext xmlns:c16="http://schemas.microsoft.com/office/drawing/2014/chart" uri="{C3380CC4-5D6E-409C-BE32-E72D297353CC}">
              <c16:uniqueId val="{00000000-8268-49F4-B50B-624525EA78F2}"/>
            </c:ext>
          </c:extLst>
        </c:ser>
        <c:dLbls>
          <c:dLblPos val="inEnd"/>
          <c:showLegendKey val="0"/>
          <c:showVal val="1"/>
          <c:showCatName val="0"/>
          <c:showSerName val="0"/>
          <c:showPercent val="0"/>
          <c:showBubbleSize val="0"/>
        </c:dLbls>
        <c:gapWidth val="65"/>
        <c:axId val="430272640"/>
        <c:axId val="430277536"/>
      </c:barChart>
      <c:catAx>
        <c:axId val="4302726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0277536"/>
        <c:crosses val="autoZero"/>
        <c:auto val="1"/>
        <c:lblAlgn val="ctr"/>
        <c:lblOffset val="100"/>
        <c:noMultiLvlLbl val="0"/>
      </c:catAx>
      <c:valAx>
        <c:axId val="4302775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4302726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Analysis'!$B$54</c:f>
              <c:strCache>
                <c:ptCount val="1"/>
                <c:pt idx="0">
                  <c:v>Earnings per share (EPS)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3"/>
              <c:layout>
                <c:manualLayout>
                  <c:x val="-5.9561803343810109E-3"/>
                  <c:y val="-6.78848350063111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F8-4FAF-A18C-3FB750E54491}"/>
                </c:ext>
              </c:extLst>
            </c:dLbl>
            <c:dLbl>
              <c:idx val="4"/>
              <c:layout>
                <c:manualLayout>
                  <c:x val="2.9780901671904508E-3"/>
                  <c:y val="-4.54336719360460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2F8-4FAF-A18C-3FB750E54491}"/>
                </c:ext>
              </c:extLst>
            </c:dLbl>
            <c:dLbl>
              <c:idx val="5"/>
              <c:layout>
                <c:manualLayout>
                  <c:x val="5.9561803343809016E-3"/>
                  <c:y val="-1.036404800544960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2F8-4FAF-A18C-3FB750E544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Analysis'!$C$55:$H$55</c:f>
              <c:numCache>
                <c:formatCode>#,##0.00;[Red]\(#,##0.00\)</c:formatCode>
                <c:ptCount val="6"/>
                <c:pt idx="0">
                  <c:v>2160.7845130260162</c:v>
                </c:pt>
                <c:pt idx="1">
                  <c:v>1333.6894452115737</c:v>
                </c:pt>
                <c:pt idx="2">
                  <c:v>984.53400345803402</c:v>
                </c:pt>
                <c:pt idx="3">
                  <c:v>-39.684127322251143</c:v>
                </c:pt>
                <c:pt idx="4">
                  <c:v>-145.11198601215455</c:v>
                </c:pt>
                <c:pt idx="5">
                  <c:v>-309.79570784264087</c:v>
                </c:pt>
              </c:numCache>
            </c:numRef>
          </c:val>
          <c:extLst>
            <c:ext xmlns:c16="http://schemas.microsoft.com/office/drawing/2014/chart" uri="{C3380CC4-5D6E-409C-BE32-E72D297353CC}">
              <c16:uniqueId val="{00000000-958E-4526-90A1-FE2B4C3A9E55}"/>
            </c:ext>
          </c:extLst>
        </c:ser>
        <c:dLbls>
          <c:dLblPos val="inEnd"/>
          <c:showLegendKey val="0"/>
          <c:showVal val="1"/>
          <c:showCatName val="0"/>
          <c:showSerName val="0"/>
          <c:showPercent val="0"/>
          <c:showBubbleSize val="0"/>
        </c:dLbls>
        <c:gapWidth val="100"/>
        <c:overlap val="-24"/>
        <c:axId val="430274816"/>
        <c:axId val="430276992"/>
      </c:barChart>
      <c:catAx>
        <c:axId val="43027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0276992"/>
        <c:crosses val="autoZero"/>
        <c:auto val="1"/>
        <c:lblAlgn val="ctr"/>
        <c:lblOffset val="100"/>
        <c:noMultiLvlLbl val="0"/>
      </c:catAx>
      <c:valAx>
        <c:axId val="430276992"/>
        <c:scaling>
          <c:orientation val="minMax"/>
        </c:scaling>
        <c:delete val="0"/>
        <c:axPos val="l"/>
        <c:majorGridlines>
          <c:spPr>
            <a:ln w="9525" cap="flat" cmpd="sng" algn="ctr">
              <a:solidFill>
                <a:schemeClr val="tx1">
                  <a:lumMod val="15000"/>
                  <a:lumOff val="85000"/>
                </a:schemeClr>
              </a:solidFill>
              <a:round/>
            </a:ln>
            <a:effectLst/>
          </c:spPr>
        </c:majorGridlines>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027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Analysis'!$B$60</c:f>
              <c:strCache>
                <c:ptCount val="1"/>
                <c:pt idx="0">
                  <c:v>Dividend yield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'Ratio Analysis'!$C$2:$H$2</c:f>
              <c:numCache>
                <c:formatCode>General</c:formatCode>
                <c:ptCount val="6"/>
                <c:pt idx="0">
                  <c:v>2017</c:v>
                </c:pt>
                <c:pt idx="1">
                  <c:v>2016</c:v>
                </c:pt>
                <c:pt idx="2">
                  <c:v>2015</c:v>
                </c:pt>
                <c:pt idx="3">
                  <c:v>2014</c:v>
                </c:pt>
                <c:pt idx="4">
                  <c:v>2013</c:v>
                </c:pt>
                <c:pt idx="5">
                  <c:v>2012</c:v>
                </c:pt>
              </c:numCache>
            </c:numRef>
          </c:cat>
          <c:val>
            <c:numRef>
              <c:f>'Ratio Analysis'!$C$61:$H$61</c:f>
              <c:numCache>
                <c:formatCode>#,##0.00;[Red]\(#,##0.00\)</c:formatCode>
                <c:ptCount val="6"/>
                <c:pt idx="0">
                  <c:v>8.45994633959371</c:v>
                </c:pt>
                <c:pt idx="1">
                  <c:v>7.8723580605055901</c:v>
                </c:pt>
                <c:pt idx="2">
                  <c:v>25.732970027247958</c:v>
                </c:pt>
                <c:pt idx="3">
                  <c:v>13.40396341463415</c:v>
                </c:pt>
                <c:pt idx="4">
                  <c:v>22.805882352941218</c:v>
                </c:pt>
                <c:pt idx="5">
                  <c:v>19.104000000000088</c:v>
                </c:pt>
              </c:numCache>
            </c:numRef>
          </c:val>
          <c:extLst>
            <c:ext xmlns:c16="http://schemas.microsoft.com/office/drawing/2014/chart" uri="{C3380CC4-5D6E-409C-BE32-E72D297353CC}">
              <c16:uniqueId val="{00000000-9DE3-4FD1-9FB6-7D7E6052C06B}"/>
            </c:ext>
          </c:extLst>
        </c:ser>
        <c:dLbls>
          <c:dLblPos val="inEnd"/>
          <c:showLegendKey val="0"/>
          <c:showVal val="1"/>
          <c:showCatName val="0"/>
          <c:showSerName val="0"/>
          <c:showPercent val="0"/>
          <c:showBubbleSize val="0"/>
        </c:dLbls>
        <c:gapWidth val="65"/>
        <c:axId val="352790592"/>
        <c:axId val="352797664"/>
      </c:barChart>
      <c:catAx>
        <c:axId val="3527905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52797664"/>
        <c:crosses val="autoZero"/>
        <c:auto val="1"/>
        <c:lblAlgn val="ctr"/>
        <c:lblOffset val="100"/>
        <c:noMultiLvlLbl val="0"/>
      </c:catAx>
      <c:valAx>
        <c:axId val="3527976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Red]\(#,##0.00\)" sourceLinked="1"/>
        <c:majorTickMark val="none"/>
        <c:minorTickMark val="none"/>
        <c:tickLblPos val="nextTo"/>
        <c:crossAx val="3527905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Ine18</b:Tag>
    <b:SourceType>InternetSite</b:SourceType>
    <b:Guid>{0ECCE126-9F7F-44E3-A26E-078CF505BE5A}</b:Guid>
    <b:Title>Office, Manufacturing &amp; Energy Resource Locations</b:Title>
    <b:Year>2018</b:Year>
    <b:YearAccessed>2018</b:YearAccessed>
    <b:MonthAccessed>August</b:MonthAccessed>
    <b:DayAccessed>31</b:DayAccessed>
    <b:URL>https://www.ineos.com/locations/</b:URL>
    <b:Author>
      <b:Author>
        <b:Corporate>Ineos</b:Corporate>
      </b:Author>
    </b:Author>
    <b:RefOrder>1</b:RefOrder>
  </b:Source>
  <b:Source>
    <b:Tag>BBC18</b:Tag>
    <b:SourceType>InternetSite</b:SourceType>
    <b:Guid>{907528C2-B041-4910-8692-BFB95BD2890E}</b:Guid>
    <b:Author>
      <b:Author>
        <b:Corporate>BBC</b:Corporate>
      </b:Author>
    </b:Author>
    <b:Title>What is fracking and why is it controversial?</b:Title>
    <b:Year>2018</b:Year>
    <b:YearAccessed>2018</b:YearAccessed>
    <b:MonthAccessed>August</b:MonthAccessed>
    <b:DayAccessed>27</b:DayAccessed>
    <b:URL>https://www.bbc.com/news/uk-14432401</b:URL>
    <b:RefOrder>4</b:RefOrder>
  </b:Source>
  <b:Source>
    <b:Tag>Cli18</b:Tag>
    <b:SourceType>DocumentFromInternetSite</b:SourceType>
    <b:Guid>{37ADA9D7-57F7-4DC8-AAE0-7DA06835B255}</b:Guid>
    <b:Title>Initial Public Offers: A Guide to the UK Listing Regime </b:Title>
    <b:Year>2018</b:Year>
    <b:YearAccessed>2018</b:YearAccessed>
    <b:MonthAccessed>08</b:MonthAccessed>
    <b:DayAccessed>27</b:DayAccessed>
    <b:URL>https://financialmarketstoolkit.cliffordchance.com/content/micro-facm/en/financial-markets-resources/resources-by-type/guides/a-guide-to-the-uk-listing-regime/_jcr_content/parsys/download/file.res</b:URL>
    <b:Author>
      <b:Author>
        <b:Corporate>Clifford Chance</b:Corporate>
      </b:Author>
    </b:Author>
    <b:Month>2014</b:Month>
    <b:RefOrder>5</b:RefOrder>
  </b:Source>
  <b:Source>
    <b:Tag>Exe12</b:Tag>
    <b:SourceType>DocumentFromInternetSite</b:SourceType>
    <b:Guid>{1DB1E4A7-19E6-46E9-B5D6-560C9508AA24}</b:Guid>
    <b:Title>Executing a Successful Listing</b:Title>
    <b:Year>2012</b:Year>
    <b:Month>November</b:Month>
    <b:YearAccessed>2018</b:YearAccessed>
    <b:MonthAccessed>08</b:MonthAccessed>
    <b:DayAccessed>28</b:DayAccessed>
    <b:URL>https://www.pwc.com/gx/en/audit-services/ipo-centre/assets/pwc-executing-a_successful-listing-in-london.pdf</b:URL>
    <b:Author>
      <b:Author>
        <b:Corporate>PWC</b:Corporate>
      </b:Author>
    </b:Author>
    <b:RefOrder>6</b:RefOrder>
  </b:Source>
  <b:Source>
    <b:Tag>Lon18</b:Tag>
    <b:SourceType>InternetSite</b:SourceType>
    <b:Guid>{0DD7C48C-555A-44B6-82EF-ACE596184BAE}</b:Guid>
    <b:Title>Rules and Regulations</b:Title>
    <b:Year>2018</b:Year>
    <b:YearAccessed>2018</b:YearAccessed>
    <b:MonthAccessed>08</b:MonthAccessed>
    <b:DayAccessed>29</b:DayAccessed>
    <b:URL>https://www.londonstockexchange.com/traders-and-brokers/rules-regulations/rules-regulations.htm</b:URL>
    <b:Author>
      <b:Author>
        <b:Corporate>London Stock Exchange</b:Corporate>
      </b:Author>
    </b:Author>
    <b:RefOrder>7</b:RefOrder>
  </b:Source>
  <b:Source>
    <b:Tag>Gou12</b:Tag>
    <b:SourceType>Book</b:SourceType>
    <b:Guid>{AAEFDE09-7120-46C8-BC10-5E934BB27AAF}</b:Guid>
    <b:Title>Financial Times Guide to How the Stock Market Really Works</b:Title>
    <b:Year>2012</b:Year>
    <b:Author>
      <b:Author>
        <b:NameList>
          <b:Person>
            <b:Last>Gough</b:Last>
            <b:First>L</b:First>
          </b:Person>
        </b:NameList>
      </b:Author>
    </b:Author>
    <b:City>London</b:City>
    <b:Publisher>Pearson UK</b:Publisher>
    <b:Edition>3rd</b:Edition>
    <b:RefOrder>8</b:RefOrder>
  </b:Source>
  <b:Source>
    <b:Tag>Reu07</b:Tag>
    <b:SourceType>Book</b:SourceType>
    <b:Guid>{4110F7F0-E383-44C3-BBE4-CBA0B3CE48B0}</b:Guid>
    <b:Author>
      <b:Author>
        <b:NameList>
          <b:Person>
            <b:Last>Reuvid</b:Last>
            <b:First>J</b:First>
          </b:Person>
        </b:NameList>
      </b:Author>
    </b:Author>
    <b:Title>Floating Your Company</b:Title>
    <b:Year>2007</b:Year>
    <b:City>London</b:City>
    <b:Publisher>Pearson</b:Publisher>
    <b:Edition>1st</b:Edition>
    <b:RefOrder>9</b:RefOrder>
  </b:Source>
  <b:Source>
    <b:Tag>Ine181</b:Tag>
    <b:SourceType>InternetSite</b:SourceType>
    <b:Guid>{A95A45B0-B588-4AD9-999D-76B88019A320}</b:Guid>
    <b:Title>Markets</b:Title>
    <b:Year>2018</b:Year>
    <b:Author>
      <b:Author>
        <b:Corporate>Ineos</b:Corporate>
      </b:Author>
    </b:Author>
    <b:YearAccessed>2018</b:YearAccessed>
    <b:MonthAccessed>08</b:MonthAccessed>
    <b:DayAccessed>29</b:DayAccessed>
    <b:URL>https://www.ineos.com/markets/</b:URL>
    <b:RefOrder>3</b:RefOrder>
  </b:Source>
  <b:Source>
    <b:Tag>Ine17</b:Tag>
    <b:SourceType>DocumentFromInternetSite</b:SourceType>
    <b:Guid>{5ED5B295-8F10-4D7B-96DF-1A872B0984D6}</b:Guid>
    <b:Title>Ineos Group Holdings Annual Report 2017</b:Title>
    <b:Year>2017</b:Year>
    <b:YearAccessed>2018</b:YearAccessed>
    <b:MonthAccessed>09</b:MonthAccessed>
    <b:DayAccessed>01</b:DayAccessed>
    <b:URL>https://www.ineos.com/globalassets/investor-relations/public/annual-reports/2017-igh-sa-annual-report_final.pdf</b:URL>
    <b:Author>
      <b:Author>
        <b:Corporate>Ineos</b:Corporate>
      </b:Author>
    </b:Author>
    <b:RefOrder>2</b:RefOrder>
  </b:Source>
</b:Sources>
</file>

<file path=customXml/itemProps1.xml><?xml version="1.0" encoding="utf-8"?>
<ds:datastoreItem xmlns:ds="http://schemas.openxmlformats.org/officeDocument/2006/customXml" ds:itemID="{6E593730-5C8E-6E4C-89B6-3E92D961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7404</Words>
  <Characters>42205</Characters>
  <Application>Microsoft Office Word</Application>
  <DocSecurity>0</DocSecurity>
  <Lines>351</Lines>
  <Paragraphs>99</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Executive Summary</vt:lpstr>
      <vt:lpstr>Company Situation</vt:lpstr>
      <vt:lpstr>Strategic Issues</vt:lpstr>
      <vt:lpstr>Analysis and Evaluation</vt:lpstr>
      <vt:lpstr>    Internal Analysis</vt:lpstr>
      <vt:lpstr>        SWOT Analysis</vt:lpstr>
      <vt:lpstr>        Financial Analysis</vt:lpstr>
      <vt:lpstr>External Analysis</vt:lpstr>
      <vt:lpstr>    Porter’s 5 Forces </vt:lpstr>
      <vt:lpstr>        Competitive Rivalry - High</vt:lpstr>
      <vt:lpstr>        Threat of a New Entrant - Low</vt:lpstr>
      <vt:lpstr>        Threat of a Substitute – Medium </vt:lpstr>
      <vt:lpstr>        Bargaining Power of Suppliers – Low</vt:lpstr>
      <vt:lpstr>        Bargaining Power of Buyers - High</vt:lpstr>
      <vt:lpstr>Alternative Approaches </vt:lpstr>
      <vt:lpstr>    Alternative 1: Do Nothing</vt:lpstr>
      <vt:lpstr>        Pros </vt:lpstr>
      <vt:lpstr>        Cons</vt:lpstr>
      <vt:lpstr>    Alternative 2: Float the Stock Market</vt:lpstr>
      <vt:lpstr>        Pros </vt:lpstr>
      <vt:lpstr>        Cons</vt:lpstr>
      <vt:lpstr>    Alternative 3: Related Diversification in Different Markets</vt:lpstr>
      <vt:lpstr>        Pros </vt:lpstr>
      <vt:lpstr>        Cons</vt:lpstr>
      <vt:lpstr>Recommendation</vt:lpstr>
      <vt:lpstr>Action Plan</vt:lpstr>
      <vt:lpstr>    Appoint Advisers</vt:lpstr>
      <vt:lpstr>    Preliminary Steps</vt:lpstr>
      <vt:lpstr>    Preparation for Flotation of Stocks</vt:lpstr>
      <vt:lpstr>    Legal Review, Due Diligence, and Verification</vt:lpstr>
      <vt:lpstr>    Timetable</vt:lpstr>
      <vt:lpstr>    Admission to Trading</vt:lpstr>
      <vt:lpstr>Conclusion</vt:lpstr>
      <vt:lpstr>&lt;References</vt:lpstr>
      <vt:lpstr>    Exhibit 1</vt:lpstr>
      <vt:lpstr>    Exhibit 2</vt:lpstr>
    </vt:vector>
  </TitlesOfParts>
  <Company>TEAM OS</Company>
  <LinksUpToDate>false</LinksUpToDate>
  <CharactersWithSpaces>49510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Shahmeer Baloch</dc:creator>
  <cp:keywords/>
  <dc:description/>
  <cp:lastModifiedBy>Microsoft Office User</cp:lastModifiedBy>
  <cp:revision>3</cp:revision>
  <dcterms:created xsi:type="dcterms:W3CDTF">2018-09-06T14:39:00Z</dcterms:created>
  <dcterms:modified xsi:type="dcterms:W3CDTF">2018-09-06T14:46:00Z</dcterms:modified>
</cp:coreProperties>
</file>