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CC621" w14:textId="77777777" w:rsidR="009A1540" w:rsidRPr="00791D0F" w:rsidRDefault="009A1540">
      <w:pPr>
        <w:jc w:val="center"/>
        <w:rPr>
          <w:rFonts w:ascii="Arial" w:eastAsia="Arial" w:hAnsi="Arial" w:cs="Arial"/>
          <w:b/>
          <w:bCs/>
          <w:sz w:val="22"/>
          <w:szCs w:val="22"/>
          <w:lang w:val="en-GB"/>
        </w:rPr>
      </w:pPr>
    </w:p>
    <w:p w14:paraId="2989A898" w14:textId="20B80F0D" w:rsidR="009A1540" w:rsidRPr="00791D0F" w:rsidRDefault="009A1540">
      <w:pPr>
        <w:jc w:val="center"/>
        <w:rPr>
          <w:rFonts w:ascii="Arial" w:eastAsia="Arial" w:hAnsi="Arial" w:cs="Arial"/>
          <w:b/>
          <w:bCs/>
          <w:sz w:val="28"/>
          <w:szCs w:val="28"/>
          <w:lang w:val="en-GB"/>
        </w:rPr>
      </w:pPr>
    </w:p>
    <w:p w14:paraId="2115A96F" w14:textId="77777777" w:rsidR="009A1540" w:rsidRPr="00791D0F" w:rsidRDefault="00000000">
      <w:pPr>
        <w:spacing w:before="240" w:after="240"/>
        <w:jc w:val="center"/>
        <w:rPr>
          <w:rFonts w:ascii="Arial" w:eastAsia="Arial" w:hAnsi="Arial" w:cs="Arial"/>
          <w:b/>
          <w:bCs/>
          <w:lang w:val="en-GB"/>
        </w:rPr>
      </w:pPr>
      <w:r w:rsidRPr="00791D0F">
        <w:rPr>
          <w:rFonts w:ascii="Arial" w:eastAsia="Arial" w:hAnsi="Arial" w:cs="Arial"/>
          <w:b/>
          <w:bCs/>
          <w:lang w:val="en-GB"/>
        </w:rPr>
        <w:t>Programme:</w:t>
      </w:r>
      <w:r w:rsidRPr="00791D0F">
        <w:rPr>
          <w:rFonts w:ascii="Arial" w:eastAsia="Arial" w:hAnsi="Arial" w:cs="Arial"/>
          <w:b/>
          <w:bCs/>
          <w:lang w:val="en-GB"/>
        </w:rPr>
        <w:tab/>
        <w:t>MSc Public Health and Social Care in Practice</w:t>
      </w:r>
    </w:p>
    <w:p w14:paraId="5711D579" w14:textId="77777777" w:rsidR="009A1540" w:rsidRPr="00791D0F" w:rsidRDefault="00000000">
      <w:pPr>
        <w:spacing w:before="240" w:after="240"/>
        <w:jc w:val="center"/>
        <w:rPr>
          <w:rFonts w:ascii="Arial" w:eastAsia="Arial" w:hAnsi="Arial" w:cs="Arial"/>
          <w:b/>
          <w:bCs/>
          <w:lang w:val="en-GB"/>
        </w:rPr>
      </w:pPr>
      <w:r w:rsidRPr="00791D0F">
        <w:rPr>
          <w:rFonts w:ascii="Arial" w:eastAsia="Arial" w:hAnsi="Arial" w:cs="Arial"/>
          <w:b/>
          <w:bCs/>
          <w:lang w:val="en-GB"/>
        </w:rPr>
        <w:t>Module: Quality Assurance and Service Improvements</w:t>
      </w:r>
    </w:p>
    <w:p w14:paraId="62376E1A" w14:textId="77777777" w:rsidR="009A1540" w:rsidRDefault="00000000">
      <w:pPr>
        <w:spacing w:before="240" w:after="240"/>
        <w:jc w:val="center"/>
        <w:rPr>
          <w:rFonts w:ascii="Arial" w:eastAsia="Arial" w:hAnsi="Arial" w:cs="Arial"/>
          <w:b/>
          <w:bCs/>
          <w:lang w:val="en-GB"/>
        </w:rPr>
      </w:pPr>
      <w:r w:rsidRPr="00791D0F">
        <w:rPr>
          <w:rFonts w:ascii="Arial" w:eastAsia="Arial" w:hAnsi="Arial" w:cs="Arial"/>
          <w:b/>
          <w:bCs/>
          <w:lang w:val="en-GB"/>
        </w:rPr>
        <w:t>Module code: LCHS7006</w:t>
      </w:r>
      <w:r w:rsidRPr="00791D0F">
        <w:rPr>
          <w:rFonts w:ascii="Arial" w:eastAsia="Arial" w:hAnsi="Arial" w:cs="Arial"/>
          <w:b/>
          <w:bCs/>
          <w:lang w:val="en-GB"/>
        </w:rPr>
        <w:tab/>
      </w:r>
    </w:p>
    <w:p w14:paraId="79AF0703" w14:textId="3C436467" w:rsidR="00AA327B" w:rsidRPr="00791D0F" w:rsidRDefault="00AA327B" w:rsidP="00AA327B">
      <w:pPr>
        <w:spacing w:before="240" w:after="240"/>
        <w:jc w:val="center"/>
        <w:rPr>
          <w:rFonts w:ascii="Arial" w:eastAsia="Arial" w:hAnsi="Arial" w:cs="Arial"/>
          <w:b/>
          <w:bCs/>
          <w:lang w:val="en-GB"/>
        </w:rPr>
      </w:pPr>
      <w:r>
        <w:rPr>
          <w:rFonts w:ascii="Arial" w:eastAsia="Arial" w:hAnsi="Arial" w:cs="Arial"/>
          <w:b/>
          <w:bCs/>
          <w:lang w:val="en-GB"/>
        </w:rPr>
        <w:t>Lecturer: Dilhara Mampitiya | Christopher Mafuva</w:t>
      </w:r>
    </w:p>
    <w:p w14:paraId="7A4D0F08" w14:textId="006FA7C0" w:rsidR="00AA327B" w:rsidRPr="00791D0F" w:rsidRDefault="00000000" w:rsidP="00AA327B">
      <w:pPr>
        <w:spacing w:before="240" w:after="240"/>
        <w:jc w:val="center"/>
        <w:rPr>
          <w:rFonts w:ascii="Arial" w:eastAsia="Arial" w:hAnsi="Arial" w:cs="Arial"/>
          <w:b/>
          <w:bCs/>
          <w:lang w:val="en-GB"/>
        </w:rPr>
      </w:pPr>
      <w:r w:rsidRPr="00791D0F">
        <w:rPr>
          <w:rFonts w:ascii="Arial" w:eastAsia="Arial" w:hAnsi="Arial" w:cs="Arial"/>
          <w:b/>
          <w:bCs/>
          <w:lang w:val="en-GB"/>
        </w:rPr>
        <w:t>Assignment Title: Component 2 Service Improvement Report</w:t>
      </w:r>
    </w:p>
    <w:p w14:paraId="0C8C91CB" w14:textId="63DE5F9F" w:rsidR="009A1540" w:rsidRPr="00791D0F" w:rsidRDefault="00000000">
      <w:pPr>
        <w:spacing w:before="240" w:after="240"/>
        <w:jc w:val="center"/>
        <w:rPr>
          <w:rFonts w:ascii="Arial" w:eastAsia="Arial" w:hAnsi="Arial" w:cs="Arial"/>
          <w:b/>
          <w:bCs/>
          <w:lang w:val="en-GB"/>
        </w:rPr>
      </w:pPr>
      <w:r w:rsidRPr="00791D0F">
        <w:rPr>
          <w:rFonts w:ascii="Arial" w:eastAsia="Arial" w:hAnsi="Arial" w:cs="Arial"/>
          <w:b/>
          <w:bCs/>
          <w:lang w:val="en-GB"/>
        </w:rPr>
        <w:t>Student Name:</w:t>
      </w:r>
      <w:r w:rsidR="00AA327B">
        <w:rPr>
          <w:rFonts w:ascii="Arial" w:eastAsia="Arial" w:hAnsi="Arial" w:cs="Arial"/>
          <w:b/>
          <w:bCs/>
          <w:lang w:val="en-GB"/>
        </w:rPr>
        <w:t xml:space="preserve"> Manasvi PATEL</w:t>
      </w:r>
    </w:p>
    <w:p w14:paraId="07C1CA6D" w14:textId="796545F8" w:rsidR="009A1540" w:rsidRPr="00791D0F" w:rsidRDefault="00000000">
      <w:pPr>
        <w:jc w:val="center"/>
        <w:rPr>
          <w:rFonts w:ascii="Arial" w:eastAsia="Arial" w:hAnsi="Arial" w:cs="Arial"/>
          <w:b/>
          <w:bCs/>
          <w:sz w:val="22"/>
          <w:szCs w:val="22"/>
          <w:lang w:val="en-GB"/>
        </w:rPr>
      </w:pPr>
      <w:r w:rsidRPr="00791D0F">
        <w:rPr>
          <w:rFonts w:ascii="Arial" w:eastAsia="Arial" w:hAnsi="Arial" w:cs="Arial"/>
          <w:b/>
          <w:bCs/>
          <w:lang w:val="en-GB"/>
        </w:rPr>
        <w:t>Student ID:</w:t>
      </w:r>
      <w:r w:rsidR="00AA327B">
        <w:rPr>
          <w:rFonts w:ascii="Arial" w:eastAsia="Arial" w:hAnsi="Arial" w:cs="Arial"/>
          <w:b/>
          <w:bCs/>
          <w:lang w:val="en-GB"/>
        </w:rPr>
        <w:t xml:space="preserve"> 2520168</w:t>
      </w:r>
      <w:r w:rsidRPr="00791D0F">
        <w:rPr>
          <w:lang w:val="en-GB"/>
        </w:rPr>
        <w:br w:type="page"/>
      </w:r>
    </w:p>
    <w:p w14:paraId="307F7B7C" w14:textId="77777777" w:rsidR="009A1540" w:rsidRPr="00791D0F" w:rsidRDefault="00000000">
      <w:pPr>
        <w:keepNext/>
        <w:keepLines/>
        <w:spacing w:before="240" w:after="0"/>
        <w:jc w:val="center"/>
        <w:rPr>
          <w:rFonts w:ascii="Arial" w:eastAsia="Arial" w:hAnsi="Arial" w:cs="Arial"/>
          <w:b/>
          <w:bCs/>
          <w:color w:val="000000"/>
          <w:sz w:val="22"/>
          <w:szCs w:val="22"/>
          <w:lang w:val="en-GB"/>
        </w:rPr>
      </w:pPr>
      <w:bookmarkStart w:id="0" w:name="_heading=h.o1jspf3huhew" w:colFirst="0" w:colLast="0"/>
      <w:bookmarkEnd w:id="0"/>
      <w:r w:rsidRPr="00791D0F">
        <w:rPr>
          <w:rFonts w:ascii="Arial" w:eastAsia="Arial" w:hAnsi="Arial" w:cs="Arial"/>
          <w:b/>
          <w:bCs/>
          <w:color w:val="000000"/>
          <w:sz w:val="22"/>
          <w:szCs w:val="22"/>
          <w:lang w:val="en-GB"/>
        </w:rPr>
        <w:lastRenderedPageBreak/>
        <w:t>Table of Contents</w:t>
      </w:r>
    </w:p>
    <w:sdt>
      <w:sdtPr>
        <w:rPr>
          <w:lang w:val="en-GB"/>
        </w:rPr>
        <w:id w:val="544027232"/>
        <w:docPartObj>
          <w:docPartGallery w:val="Table of Contents"/>
          <w:docPartUnique/>
        </w:docPartObj>
      </w:sdtPr>
      <w:sdtContent>
        <w:p w14:paraId="25B10D41" w14:textId="77777777" w:rsidR="009A1540" w:rsidRPr="00791D0F" w:rsidRDefault="00000000">
          <w:pPr>
            <w:tabs>
              <w:tab w:val="right" w:leader="dot" w:pos="9019"/>
            </w:tabs>
            <w:spacing w:after="100"/>
            <w:rPr>
              <w:rFonts w:ascii="Arial" w:eastAsia="Arial" w:hAnsi="Arial" w:cs="Arial"/>
              <w:color w:val="000000"/>
              <w:sz w:val="22"/>
              <w:szCs w:val="22"/>
              <w:lang w:val="en-GB"/>
            </w:rPr>
          </w:pPr>
          <w:r w:rsidRPr="00791D0F">
            <w:rPr>
              <w:lang w:val="en-GB"/>
            </w:rPr>
            <w:fldChar w:fldCharType="begin"/>
          </w:r>
          <w:r w:rsidRPr="00791D0F">
            <w:rPr>
              <w:lang w:val="en-GB"/>
            </w:rPr>
            <w:instrText xml:space="preserve"> TOC \h \u \z \t "Heading 1,1,Heading 2,2,Heading 3,3,"</w:instrText>
          </w:r>
          <w:r w:rsidRPr="00791D0F">
            <w:rPr>
              <w:lang w:val="en-GB"/>
            </w:rPr>
            <w:fldChar w:fldCharType="separate"/>
          </w:r>
          <w:hyperlink w:anchor="_heading=h.5mm8hesda17l">
            <w:r w:rsidR="009A1540" w:rsidRPr="00791D0F">
              <w:rPr>
                <w:rFonts w:ascii="Arial" w:eastAsia="Arial" w:hAnsi="Arial" w:cs="Arial"/>
                <w:color w:val="000000"/>
                <w:sz w:val="22"/>
                <w:szCs w:val="22"/>
                <w:lang w:val="en-GB"/>
              </w:rPr>
              <w:t>1. Introduction</w:t>
            </w:r>
            <w:r w:rsidR="009A1540" w:rsidRPr="00791D0F">
              <w:rPr>
                <w:rFonts w:ascii="Arial" w:eastAsia="Arial" w:hAnsi="Arial" w:cs="Arial"/>
                <w:color w:val="000000"/>
                <w:sz w:val="22"/>
                <w:szCs w:val="22"/>
                <w:lang w:val="en-GB"/>
              </w:rPr>
              <w:tab/>
              <w:t>3</w:t>
            </w:r>
          </w:hyperlink>
        </w:p>
        <w:p w14:paraId="14563BDA"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4om2klxe8osh">
            <w:r w:rsidRPr="00791D0F">
              <w:rPr>
                <w:rFonts w:ascii="Arial" w:eastAsia="Arial" w:hAnsi="Arial" w:cs="Arial"/>
                <w:color w:val="000000"/>
                <w:sz w:val="22"/>
                <w:szCs w:val="22"/>
                <w:lang w:val="en-GB"/>
              </w:rPr>
              <w:t>1.1 Background and organisational setting</w:t>
            </w:r>
            <w:r w:rsidRPr="00791D0F">
              <w:rPr>
                <w:rFonts w:ascii="Arial" w:eastAsia="Arial" w:hAnsi="Arial" w:cs="Arial"/>
                <w:color w:val="000000"/>
                <w:sz w:val="22"/>
                <w:szCs w:val="22"/>
                <w:lang w:val="en-GB"/>
              </w:rPr>
              <w:tab/>
              <w:t>3</w:t>
            </w:r>
          </w:hyperlink>
        </w:p>
        <w:p w14:paraId="4B42C760"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4dsfrobdij97">
            <w:r w:rsidRPr="00791D0F">
              <w:rPr>
                <w:rFonts w:ascii="Arial" w:eastAsia="Arial" w:hAnsi="Arial" w:cs="Arial"/>
                <w:color w:val="000000"/>
                <w:sz w:val="22"/>
                <w:szCs w:val="22"/>
                <w:lang w:val="en-GB"/>
              </w:rPr>
              <w:t>1.2 Nature and significance of the quality concern</w:t>
            </w:r>
            <w:r w:rsidRPr="00791D0F">
              <w:rPr>
                <w:rFonts w:ascii="Arial" w:eastAsia="Arial" w:hAnsi="Arial" w:cs="Arial"/>
                <w:color w:val="000000"/>
                <w:sz w:val="22"/>
                <w:szCs w:val="22"/>
                <w:lang w:val="en-GB"/>
              </w:rPr>
              <w:tab/>
              <w:t>4</w:t>
            </w:r>
          </w:hyperlink>
        </w:p>
        <w:p w14:paraId="5BE79C05"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sbpv534gry79">
            <w:r w:rsidRPr="00791D0F">
              <w:rPr>
                <w:rFonts w:ascii="Arial" w:eastAsia="Arial" w:hAnsi="Arial" w:cs="Arial"/>
                <w:color w:val="000000"/>
                <w:sz w:val="22"/>
                <w:szCs w:val="22"/>
                <w:lang w:val="en-GB"/>
              </w:rPr>
              <w:t>1.3 Scope and purpose</w:t>
            </w:r>
            <w:r w:rsidRPr="00791D0F">
              <w:rPr>
                <w:rFonts w:ascii="Arial" w:eastAsia="Arial" w:hAnsi="Arial" w:cs="Arial"/>
                <w:color w:val="000000"/>
                <w:sz w:val="22"/>
                <w:szCs w:val="22"/>
                <w:lang w:val="en-GB"/>
              </w:rPr>
              <w:tab/>
              <w:t>4</w:t>
            </w:r>
          </w:hyperlink>
        </w:p>
        <w:p w14:paraId="5F59461A" w14:textId="77777777" w:rsidR="009A1540" w:rsidRPr="00791D0F" w:rsidRDefault="009A1540">
          <w:pPr>
            <w:tabs>
              <w:tab w:val="right" w:leader="dot" w:pos="9019"/>
            </w:tabs>
            <w:spacing w:after="100"/>
            <w:rPr>
              <w:rFonts w:ascii="Arial" w:eastAsia="Arial" w:hAnsi="Arial" w:cs="Arial"/>
              <w:color w:val="000000"/>
              <w:sz w:val="22"/>
              <w:szCs w:val="22"/>
              <w:lang w:val="en-GB"/>
            </w:rPr>
          </w:pPr>
          <w:hyperlink w:anchor="_heading=h.fk9veiaebmk6">
            <w:r w:rsidRPr="00791D0F">
              <w:rPr>
                <w:rFonts w:ascii="Arial" w:eastAsia="Arial" w:hAnsi="Arial" w:cs="Arial"/>
                <w:color w:val="000000"/>
                <w:sz w:val="22"/>
                <w:szCs w:val="22"/>
                <w:lang w:val="en-GB"/>
              </w:rPr>
              <w:t>2. Analysis of the Quality Problem</w:t>
            </w:r>
            <w:r w:rsidRPr="00791D0F">
              <w:rPr>
                <w:rFonts w:ascii="Arial" w:eastAsia="Arial" w:hAnsi="Arial" w:cs="Arial"/>
                <w:color w:val="000000"/>
                <w:sz w:val="22"/>
                <w:szCs w:val="22"/>
                <w:lang w:val="en-GB"/>
              </w:rPr>
              <w:tab/>
              <w:t>4</w:t>
            </w:r>
          </w:hyperlink>
        </w:p>
        <w:p w14:paraId="7EE34EEC"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lap68sci41ti">
            <w:r w:rsidRPr="00791D0F">
              <w:rPr>
                <w:rFonts w:ascii="Arial" w:eastAsia="Arial" w:hAnsi="Arial" w:cs="Arial"/>
                <w:color w:val="000000"/>
                <w:sz w:val="22"/>
                <w:szCs w:val="22"/>
                <w:lang w:val="en-GB"/>
              </w:rPr>
              <w:t>2.1 Root-Cause Analysis Using the Fishbone Diagram</w:t>
            </w:r>
            <w:r w:rsidRPr="00791D0F">
              <w:rPr>
                <w:rFonts w:ascii="Arial" w:eastAsia="Arial" w:hAnsi="Arial" w:cs="Arial"/>
                <w:color w:val="000000"/>
                <w:sz w:val="22"/>
                <w:szCs w:val="22"/>
                <w:lang w:val="en-GB"/>
              </w:rPr>
              <w:tab/>
              <w:t>4</w:t>
            </w:r>
          </w:hyperlink>
        </w:p>
        <w:p w14:paraId="7157C11F"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ytd9la8if90x">
            <w:r w:rsidRPr="00791D0F">
              <w:rPr>
                <w:rFonts w:ascii="Arial" w:eastAsia="Arial" w:hAnsi="Arial" w:cs="Arial"/>
                <w:color w:val="000000"/>
                <w:sz w:val="22"/>
                <w:szCs w:val="22"/>
                <w:lang w:val="en-GB"/>
              </w:rPr>
              <w:t>2.2 Five Whys Analysis</w:t>
            </w:r>
            <w:r w:rsidRPr="00791D0F">
              <w:rPr>
                <w:rFonts w:ascii="Arial" w:eastAsia="Arial" w:hAnsi="Arial" w:cs="Arial"/>
                <w:color w:val="000000"/>
                <w:sz w:val="22"/>
                <w:szCs w:val="22"/>
                <w:lang w:val="en-GB"/>
              </w:rPr>
              <w:tab/>
              <w:t>5</w:t>
            </w:r>
          </w:hyperlink>
        </w:p>
        <w:p w14:paraId="4E98B92C"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5am5uukm8x3j">
            <w:r w:rsidRPr="00791D0F">
              <w:rPr>
                <w:rFonts w:ascii="Arial" w:eastAsia="Arial" w:hAnsi="Arial" w:cs="Arial"/>
                <w:color w:val="000000"/>
                <w:sz w:val="22"/>
                <w:szCs w:val="22"/>
                <w:lang w:val="en-GB"/>
              </w:rPr>
              <w:t>2.3 Donabedian Model</w:t>
            </w:r>
            <w:r w:rsidRPr="00791D0F">
              <w:rPr>
                <w:rFonts w:ascii="Arial" w:eastAsia="Arial" w:hAnsi="Arial" w:cs="Arial"/>
                <w:color w:val="000000"/>
                <w:sz w:val="22"/>
                <w:szCs w:val="22"/>
                <w:lang w:val="en-GB"/>
              </w:rPr>
              <w:tab/>
              <w:t>6</w:t>
            </w:r>
          </w:hyperlink>
        </w:p>
        <w:p w14:paraId="5404B103"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rkkmr5cbfme">
            <w:r w:rsidRPr="00791D0F">
              <w:rPr>
                <w:rFonts w:ascii="Arial" w:eastAsia="Arial" w:hAnsi="Arial" w:cs="Arial"/>
                <w:color w:val="000000"/>
                <w:sz w:val="22"/>
                <w:szCs w:val="22"/>
                <w:lang w:val="en-GB"/>
              </w:rPr>
              <w:t>2.4 SWOT Analysis</w:t>
            </w:r>
            <w:r w:rsidRPr="00791D0F">
              <w:rPr>
                <w:rFonts w:ascii="Arial" w:eastAsia="Arial" w:hAnsi="Arial" w:cs="Arial"/>
                <w:color w:val="000000"/>
                <w:sz w:val="22"/>
                <w:szCs w:val="22"/>
                <w:lang w:val="en-GB"/>
              </w:rPr>
              <w:tab/>
              <w:t>7</w:t>
            </w:r>
          </w:hyperlink>
        </w:p>
        <w:p w14:paraId="5307ACBC"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3220dffguy18">
            <w:r w:rsidRPr="00791D0F">
              <w:rPr>
                <w:rFonts w:ascii="Arial" w:eastAsia="Arial" w:hAnsi="Arial" w:cs="Arial"/>
                <w:color w:val="000000"/>
                <w:sz w:val="22"/>
                <w:szCs w:val="22"/>
                <w:lang w:val="en-GB"/>
              </w:rPr>
              <w:t>2.5 Critical Evaluation of Quality-Management Approaches</w:t>
            </w:r>
            <w:r w:rsidRPr="00791D0F">
              <w:rPr>
                <w:rFonts w:ascii="Arial" w:eastAsia="Arial" w:hAnsi="Arial" w:cs="Arial"/>
                <w:color w:val="000000"/>
                <w:sz w:val="22"/>
                <w:szCs w:val="22"/>
                <w:lang w:val="en-GB"/>
              </w:rPr>
              <w:tab/>
              <w:t>8</w:t>
            </w:r>
          </w:hyperlink>
        </w:p>
        <w:p w14:paraId="687A90AB" w14:textId="77777777" w:rsidR="009A1540" w:rsidRPr="00791D0F" w:rsidRDefault="009A1540">
          <w:pPr>
            <w:tabs>
              <w:tab w:val="right" w:leader="dot" w:pos="9019"/>
            </w:tabs>
            <w:spacing w:after="100"/>
            <w:rPr>
              <w:rFonts w:ascii="Arial" w:eastAsia="Arial" w:hAnsi="Arial" w:cs="Arial"/>
              <w:color w:val="000000"/>
              <w:sz w:val="22"/>
              <w:szCs w:val="22"/>
              <w:lang w:val="en-GB"/>
            </w:rPr>
          </w:pPr>
          <w:hyperlink w:anchor="_heading=h.gpse3tq7cc7d">
            <w:r w:rsidRPr="00791D0F">
              <w:rPr>
                <w:rFonts w:ascii="Arial" w:eastAsia="Arial" w:hAnsi="Arial" w:cs="Arial"/>
                <w:color w:val="000000"/>
                <w:sz w:val="22"/>
                <w:szCs w:val="22"/>
                <w:lang w:val="en-GB"/>
              </w:rPr>
              <w:t>3. Recommendations and Implementation Strategy</w:t>
            </w:r>
            <w:r w:rsidRPr="00791D0F">
              <w:rPr>
                <w:rFonts w:ascii="Arial" w:eastAsia="Arial" w:hAnsi="Arial" w:cs="Arial"/>
                <w:color w:val="000000"/>
                <w:sz w:val="22"/>
                <w:szCs w:val="22"/>
                <w:lang w:val="en-GB"/>
              </w:rPr>
              <w:tab/>
              <w:t>9</w:t>
            </w:r>
          </w:hyperlink>
        </w:p>
        <w:p w14:paraId="410CF14C"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bi9vp6vg1zg">
            <w:r w:rsidRPr="00791D0F">
              <w:rPr>
                <w:rFonts w:ascii="Arial" w:eastAsia="Arial" w:hAnsi="Arial" w:cs="Arial"/>
                <w:color w:val="000000"/>
                <w:sz w:val="22"/>
                <w:szCs w:val="22"/>
                <w:lang w:val="en-GB"/>
              </w:rPr>
              <w:t>3.1 Evidence-Based Recommendations</w:t>
            </w:r>
            <w:r w:rsidRPr="00791D0F">
              <w:rPr>
                <w:rFonts w:ascii="Arial" w:eastAsia="Arial" w:hAnsi="Arial" w:cs="Arial"/>
                <w:color w:val="000000"/>
                <w:sz w:val="22"/>
                <w:szCs w:val="22"/>
                <w:lang w:val="en-GB"/>
              </w:rPr>
              <w:tab/>
              <w:t>9</w:t>
            </w:r>
          </w:hyperlink>
        </w:p>
        <w:p w14:paraId="2891D025"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8vbznxk13yuk">
            <w:r w:rsidRPr="00791D0F">
              <w:rPr>
                <w:rFonts w:ascii="Arial" w:eastAsia="Arial" w:hAnsi="Arial" w:cs="Arial"/>
                <w:color w:val="000000"/>
                <w:sz w:val="22"/>
                <w:szCs w:val="22"/>
                <w:lang w:val="en-GB"/>
              </w:rPr>
              <w:t>3.2 PDSA Implementation Plan</w:t>
            </w:r>
            <w:r w:rsidRPr="00791D0F">
              <w:rPr>
                <w:rFonts w:ascii="Arial" w:eastAsia="Arial" w:hAnsi="Arial" w:cs="Arial"/>
                <w:color w:val="000000"/>
                <w:sz w:val="22"/>
                <w:szCs w:val="22"/>
                <w:lang w:val="en-GB"/>
              </w:rPr>
              <w:tab/>
              <w:t>11</w:t>
            </w:r>
          </w:hyperlink>
        </w:p>
        <w:p w14:paraId="7CEAE59E" w14:textId="77777777" w:rsidR="009A1540" w:rsidRPr="00791D0F" w:rsidRDefault="009A1540">
          <w:pPr>
            <w:tabs>
              <w:tab w:val="right" w:leader="dot" w:pos="9019"/>
            </w:tabs>
            <w:spacing w:after="100"/>
            <w:ind w:left="240"/>
            <w:rPr>
              <w:rFonts w:ascii="Arial" w:eastAsia="Arial" w:hAnsi="Arial" w:cs="Arial"/>
              <w:color w:val="000000"/>
              <w:sz w:val="22"/>
              <w:szCs w:val="22"/>
              <w:lang w:val="en-GB"/>
            </w:rPr>
          </w:pPr>
          <w:hyperlink w:anchor="_heading=h.jxskxbiwuz1t">
            <w:r w:rsidRPr="00791D0F">
              <w:rPr>
                <w:rFonts w:ascii="Arial" w:eastAsia="Arial" w:hAnsi="Arial" w:cs="Arial"/>
                <w:color w:val="000000"/>
                <w:sz w:val="22"/>
                <w:szCs w:val="22"/>
                <w:lang w:val="en-GB"/>
              </w:rPr>
              <w:t>3.3 Measurement and Sustainability</w:t>
            </w:r>
            <w:r w:rsidRPr="00791D0F">
              <w:rPr>
                <w:rFonts w:ascii="Arial" w:eastAsia="Arial" w:hAnsi="Arial" w:cs="Arial"/>
                <w:color w:val="000000"/>
                <w:sz w:val="22"/>
                <w:szCs w:val="22"/>
                <w:lang w:val="en-GB"/>
              </w:rPr>
              <w:tab/>
              <w:t>12</w:t>
            </w:r>
          </w:hyperlink>
        </w:p>
        <w:p w14:paraId="5A77D7DB" w14:textId="77777777" w:rsidR="009A1540" w:rsidRPr="00791D0F" w:rsidRDefault="009A1540">
          <w:pPr>
            <w:tabs>
              <w:tab w:val="right" w:leader="dot" w:pos="9019"/>
            </w:tabs>
            <w:spacing w:after="100"/>
            <w:rPr>
              <w:rFonts w:ascii="Arial" w:eastAsia="Arial" w:hAnsi="Arial" w:cs="Arial"/>
              <w:color w:val="000000"/>
              <w:sz w:val="22"/>
              <w:szCs w:val="22"/>
              <w:lang w:val="en-GB"/>
            </w:rPr>
          </w:pPr>
          <w:hyperlink w:anchor="_heading=h.qsy0amg2rzaj">
            <w:r w:rsidRPr="00791D0F">
              <w:rPr>
                <w:rFonts w:ascii="Arial" w:eastAsia="Arial" w:hAnsi="Arial" w:cs="Arial"/>
                <w:color w:val="000000"/>
                <w:sz w:val="22"/>
                <w:szCs w:val="22"/>
                <w:lang w:val="en-GB"/>
              </w:rPr>
              <w:t>4. Conclusion</w:t>
            </w:r>
            <w:r w:rsidRPr="00791D0F">
              <w:rPr>
                <w:rFonts w:ascii="Arial" w:eastAsia="Arial" w:hAnsi="Arial" w:cs="Arial"/>
                <w:color w:val="000000"/>
                <w:sz w:val="22"/>
                <w:szCs w:val="22"/>
                <w:lang w:val="en-GB"/>
              </w:rPr>
              <w:tab/>
              <w:t>12</w:t>
            </w:r>
          </w:hyperlink>
        </w:p>
        <w:p w14:paraId="42A0D755" w14:textId="77777777" w:rsidR="009A1540" w:rsidRPr="00791D0F" w:rsidRDefault="009A1540">
          <w:pPr>
            <w:tabs>
              <w:tab w:val="right" w:leader="dot" w:pos="9019"/>
            </w:tabs>
            <w:spacing w:after="100"/>
            <w:rPr>
              <w:rFonts w:ascii="Arial" w:eastAsia="Arial" w:hAnsi="Arial" w:cs="Arial"/>
              <w:color w:val="000000"/>
              <w:sz w:val="22"/>
              <w:szCs w:val="22"/>
              <w:lang w:val="en-GB"/>
            </w:rPr>
          </w:pPr>
          <w:hyperlink w:anchor="_heading=h.e40hwhyi64xa">
            <w:r w:rsidRPr="00791D0F">
              <w:rPr>
                <w:rFonts w:ascii="Arial" w:eastAsia="Arial" w:hAnsi="Arial" w:cs="Arial"/>
                <w:color w:val="000000"/>
                <w:sz w:val="22"/>
                <w:szCs w:val="22"/>
                <w:lang w:val="en-GB"/>
              </w:rPr>
              <w:t>References</w:t>
            </w:r>
            <w:r w:rsidRPr="00791D0F">
              <w:rPr>
                <w:rFonts w:ascii="Arial" w:eastAsia="Arial" w:hAnsi="Arial" w:cs="Arial"/>
                <w:color w:val="000000"/>
                <w:sz w:val="22"/>
                <w:szCs w:val="22"/>
                <w:lang w:val="en-GB"/>
              </w:rPr>
              <w:tab/>
              <w:t>14</w:t>
            </w:r>
          </w:hyperlink>
        </w:p>
        <w:p w14:paraId="2F71AB80" w14:textId="77777777" w:rsidR="009A1540" w:rsidRPr="00791D0F" w:rsidRDefault="00000000">
          <w:pPr>
            <w:rPr>
              <w:rFonts w:ascii="Arial" w:eastAsia="Arial" w:hAnsi="Arial" w:cs="Arial"/>
              <w:sz w:val="22"/>
              <w:szCs w:val="22"/>
              <w:lang w:val="en-GB"/>
            </w:rPr>
          </w:pPr>
          <w:r w:rsidRPr="00791D0F">
            <w:rPr>
              <w:lang w:val="en-GB"/>
            </w:rPr>
            <w:fldChar w:fldCharType="end"/>
          </w:r>
        </w:p>
      </w:sdtContent>
    </w:sdt>
    <w:p w14:paraId="36CD1C40" w14:textId="77777777" w:rsidR="009A1540" w:rsidRPr="00791D0F" w:rsidRDefault="00000000">
      <w:pPr>
        <w:rPr>
          <w:rFonts w:ascii="Arial" w:eastAsia="Arial" w:hAnsi="Arial" w:cs="Arial"/>
          <w:b/>
          <w:bCs/>
          <w:sz w:val="22"/>
          <w:szCs w:val="22"/>
          <w:lang w:val="en-GB"/>
        </w:rPr>
      </w:pPr>
      <w:r w:rsidRPr="00791D0F">
        <w:rPr>
          <w:lang w:val="en-GB"/>
        </w:rPr>
        <w:br w:type="page"/>
      </w:r>
    </w:p>
    <w:p w14:paraId="75C1996A" w14:textId="77777777" w:rsidR="009A1540" w:rsidRPr="00791D0F" w:rsidRDefault="00000000">
      <w:pPr>
        <w:pStyle w:val="Heading1"/>
        <w:rPr>
          <w:rFonts w:ascii="Arial" w:eastAsia="Arial" w:hAnsi="Arial" w:cs="Arial"/>
          <w:sz w:val="22"/>
          <w:szCs w:val="22"/>
          <w:lang w:val="en-GB"/>
        </w:rPr>
      </w:pPr>
      <w:bookmarkStart w:id="1" w:name="_heading=h.5mm8hesda17l" w:colFirst="0" w:colLast="0"/>
      <w:bookmarkEnd w:id="1"/>
      <w:r w:rsidRPr="00791D0F">
        <w:rPr>
          <w:rFonts w:ascii="Arial" w:eastAsia="Arial" w:hAnsi="Arial" w:cs="Arial"/>
          <w:sz w:val="22"/>
          <w:szCs w:val="22"/>
          <w:lang w:val="en-GB"/>
        </w:rPr>
        <w:lastRenderedPageBreak/>
        <w:t xml:space="preserve">1. Introduction </w:t>
      </w:r>
    </w:p>
    <w:p w14:paraId="1F27735E" w14:textId="77777777" w:rsidR="009A1540" w:rsidRPr="00791D0F" w:rsidRDefault="00000000">
      <w:pPr>
        <w:pStyle w:val="Heading2"/>
        <w:rPr>
          <w:rFonts w:ascii="Arial" w:eastAsia="Arial" w:hAnsi="Arial" w:cs="Arial"/>
          <w:sz w:val="22"/>
          <w:szCs w:val="22"/>
          <w:lang w:val="en-GB"/>
        </w:rPr>
      </w:pPr>
      <w:bookmarkStart w:id="2" w:name="_heading=h.4om2klxe8osh" w:colFirst="0" w:colLast="0"/>
      <w:bookmarkEnd w:id="2"/>
      <w:r w:rsidRPr="00791D0F">
        <w:rPr>
          <w:rFonts w:ascii="Arial" w:eastAsia="Arial" w:hAnsi="Arial" w:cs="Arial"/>
          <w:sz w:val="22"/>
          <w:szCs w:val="22"/>
          <w:lang w:val="en-GB"/>
        </w:rPr>
        <w:t>1.1 Background and organisational setting</w:t>
      </w:r>
    </w:p>
    <w:p w14:paraId="47819A5D"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Bristol Royal Infirmary (BRI) is a large teaching hospital in Bristol and is part of University Hospitals Bristol and Weston NHS Foundation Trust. The Bristol Royal Infirmary Inquiry looked into the management of children being treated for complex heart surgery at the BRI between 1984 and 1995 after problems emerged with poor surgical results and deaths (Bristol, 2001). </w:t>
      </w:r>
    </w:p>
    <w:p w14:paraId="520BCAFC"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noProof/>
          <w:sz w:val="22"/>
          <w:szCs w:val="22"/>
          <w:lang w:val="en-GB"/>
        </w:rPr>
        <w:drawing>
          <wp:inline distT="19050" distB="19050" distL="19050" distR="19050" wp14:anchorId="53DB4513" wp14:editId="1DF5BA87">
            <wp:extent cx="4502785" cy="2674620"/>
            <wp:effectExtent l="25400" t="25400" r="25400" b="25400"/>
            <wp:docPr id="9" name="image2.jpg" descr="NHS England sets up new inquiry into children's heart surgery deaths in  Bristol | The BMJ"/>
            <wp:cNvGraphicFramePr/>
            <a:graphic xmlns:a="http://schemas.openxmlformats.org/drawingml/2006/main">
              <a:graphicData uri="http://schemas.openxmlformats.org/drawingml/2006/picture">
                <pic:pic xmlns:pic="http://schemas.openxmlformats.org/drawingml/2006/picture">
                  <pic:nvPicPr>
                    <pic:cNvPr id="9" name="image2.jpg" descr="NHS England sets up new inquiry into children's heart surgery deaths in  Bristol | The BMJ"/>
                    <pic:cNvPicPr preferRelativeResize="0"/>
                  </pic:nvPicPr>
                  <pic:blipFill>
                    <a:blip r:embed="rId7"/>
                    <a:srcRect/>
                    <a:stretch>
                      <a:fillRect/>
                    </a:stretch>
                  </pic:blipFill>
                  <pic:spPr>
                    <a:xfrm>
                      <a:off x="0" y="0"/>
                      <a:ext cx="4503399" cy="2675019"/>
                    </a:xfrm>
                    <a:prstGeom prst="rect">
                      <a:avLst/>
                    </a:prstGeom>
                    <a:ln w="25400">
                      <a:solidFill>
                        <a:srgbClr val="000000"/>
                      </a:solidFill>
                      <a:prstDash val="solid"/>
                    </a:ln>
                  </pic:spPr>
                </pic:pic>
              </a:graphicData>
            </a:graphic>
          </wp:inline>
        </w:drawing>
      </w:r>
    </w:p>
    <w:p w14:paraId="29770049" w14:textId="77777777" w:rsidR="009A1540" w:rsidRPr="00791D0F" w:rsidRDefault="00000000">
      <w:pPr>
        <w:jc w:val="center"/>
        <w:rPr>
          <w:rFonts w:ascii="Arial" w:eastAsia="Arial" w:hAnsi="Arial" w:cs="Arial"/>
          <w:b/>
          <w:bCs/>
          <w:sz w:val="22"/>
          <w:szCs w:val="22"/>
          <w:lang w:val="en-GB"/>
        </w:rPr>
      </w:pPr>
      <w:r w:rsidRPr="00791D0F">
        <w:rPr>
          <w:rFonts w:ascii="Arial" w:eastAsia="Arial" w:hAnsi="Arial" w:cs="Arial"/>
          <w:b/>
          <w:bCs/>
          <w:sz w:val="22"/>
          <w:szCs w:val="22"/>
          <w:lang w:val="en-GB"/>
        </w:rPr>
        <w:t>Figure 1. Bristol Royal Infirmary (BRI)</w:t>
      </w:r>
    </w:p>
    <w:p w14:paraId="5552C915"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sz w:val="22"/>
          <w:szCs w:val="22"/>
          <w:lang w:val="en-GB"/>
        </w:rPr>
        <w:t>(Source: Bristol, 2001)</w:t>
      </w:r>
    </w:p>
    <w:p w14:paraId="63F91F4A"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Component 1 regarded the Bristol case as a classic example of patient safety failure in the NHS because the issues were not confined to individual practitioners but were also organisational and governance-related. Similarly, Walshe and Offen (2001) note that the Bristol case was an example of organisational failure in the process of health care quality improvement because of poor response to the evidence of poor performance. The modern organisation, in turn, has made patient safety and continuous improvement its key strategy. The University Hospitals Bristol and Weston NHS Foundation Trust (2025) mentions patient safety, innovation and improvement among strategic priorities and claims that the trust operates on 10 sites with over 13,000 employees and more than £1.3 billion turnover annually (University Hospitals Bristol and Weston NHS Foundation Trust, 2025).</w:t>
      </w:r>
    </w:p>
    <w:p w14:paraId="673252F7" w14:textId="77777777" w:rsidR="009A1540" w:rsidRPr="00791D0F" w:rsidRDefault="00000000">
      <w:pPr>
        <w:pStyle w:val="Heading2"/>
        <w:rPr>
          <w:rFonts w:ascii="Arial" w:eastAsia="Arial" w:hAnsi="Arial" w:cs="Arial"/>
          <w:sz w:val="22"/>
          <w:szCs w:val="22"/>
          <w:lang w:val="en-GB"/>
        </w:rPr>
      </w:pPr>
      <w:bookmarkStart w:id="3" w:name="_heading=h.4dsfrobdij97" w:colFirst="0" w:colLast="0"/>
      <w:bookmarkEnd w:id="3"/>
      <w:r w:rsidRPr="00791D0F">
        <w:rPr>
          <w:rFonts w:ascii="Arial" w:eastAsia="Arial" w:hAnsi="Arial" w:cs="Arial"/>
          <w:sz w:val="22"/>
          <w:szCs w:val="22"/>
          <w:lang w:val="en-GB"/>
        </w:rPr>
        <w:t xml:space="preserve">1.2 Nature and significance of the quality concern </w:t>
      </w:r>
    </w:p>
    <w:p w14:paraId="10A5BBF4"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Bristol issue cannot thus be considered as merely an example of clinical error. Clinical leadership, poor communication, limited clinical audit and performance management, delayed </w:t>
      </w:r>
      <w:r w:rsidRPr="00791D0F">
        <w:rPr>
          <w:rFonts w:ascii="Arial" w:eastAsia="Arial" w:hAnsi="Arial" w:cs="Arial"/>
          <w:sz w:val="22"/>
          <w:szCs w:val="22"/>
          <w:lang w:val="en-GB"/>
        </w:rPr>
        <w:lastRenderedPageBreak/>
        <w:t xml:space="preserve">reaction to safety issues, inadequate staffing, and lack of cohesion in pediatric care have been identified by case evidence as interrelated factors contributing to this situation (Bristol, 2001). It shows how system-level issues can result in the failure of risk prevention measures. However, the importance of this problem is still valid in the context of contemporary medicine as patient-safety management implies organisational learning and increased mechanisms of accountability (Hibbert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2023). In addition, Jalilvand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(2024) state the importance of governance and accountability frameworks within health organisations. </w:t>
      </w:r>
    </w:p>
    <w:p w14:paraId="41283A89" w14:textId="77777777" w:rsidR="009A1540" w:rsidRPr="00791D0F" w:rsidRDefault="00000000">
      <w:pPr>
        <w:pStyle w:val="Heading2"/>
        <w:rPr>
          <w:rFonts w:ascii="Arial" w:eastAsia="Arial" w:hAnsi="Arial" w:cs="Arial"/>
          <w:sz w:val="22"/>
          <w:szCs w:val="22"/>
          <w:lang w:val="en-GB"/>
        </w:rPr>
      </w:pPr>
      <w:bookmarkStart w:id="4" w:name="_heading=h.sbpv534gry79" w:colFirst="0" w:colLast="0"/>
      <w:bookmarkEnd w:id="4"/>
      <w:r w:rsidRPr="00791D0F">
        <w:rPr>
          <w:rFonts w:ascii="Arial" w:eastAsia="Arial" w:hAnsi="Arial" w:cs="Arial"/>
          <w:sz w:val="22"/>
          <w:szCs w:val="22"/>
          <w:lang w:val="en-GB"/>
        </w:rPr>
        <w:t>1.3 Scope and purpose</w:t>
      </w:r>
    </w:p>
    <w:p w14:paraId="3F5A6AC4"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report provides a critical analysis of the Bristol case with respect to quality failure using tools such as the Fishbone diagram, Five whys, Donabedian model, and SWOT analysis to determine the systemic causes of failure and what needs to be done. The report formulates recommendations and an action plan based mainly on the PDSA approach. This is the appropriate approach for healthcare improvement since it is systematic as opposed to being focused on corrective actions (Abuzied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w:t>
      </w:r>
    </w:p>
    <w:p w14:paraId="0ABEC89C" w14:textId="77777777" w:rsidR="009A1540" w:rsidRPr="00791D0F" w:rsidRDefault="00000000">
      <w:pPr>
        <w:pStyle w:val="Heading1"/>
        <w:rPr>
          <w:rFonts w:ascii="Arial" w:eastAsia="Arial" w:hAnsi="Arial" w:cs="Arial"/>
          <w:sz w:val="22"/>
          <w:szCs w:val="22"/>
          <w:lang w:val="en-GB"/>
        </w:rPr>
      </w:pPr>
      <w:bookmarkStart w:id="5" w:name="_heading=h.fk9veiaebmk6" w:colFirst="0" w:colLast="0"/>
      <w:bookmarkEnd w:id="5"/>
      <w:r w:rsidRPr="00791D0F">
        <w:rPr>
          <w:rFonts w:ascii="Arial" w:eastAsia="Arial" w:hAnsi="Arial" w:cs="Arial"/>
          <w:sz w:val="22"/>
          <w:szCs w:val="22"/>
          <w:lang w:val="en-GB"/>
        </w:rPr>
        <w:t>2. Analysis of the Quality Problem</w:t>
      </w:r>
    </w:p>
    <w:p w14:paraId="5422AF42" w14:textId="77777777" w:rsidR="009A1540" w:rsidRPr="00791D0F" w:rsidRDefault="00000000">
      <w:pPr>
        <w:pStyle w:val="Heading2"/>
        <w:rPr>
          <w:rFonts w:ascii="Arial" w:eastAsia="Arial" w:hAnsi="Arial" w:cs="Arial"/>
          <w:sz w:val="22"/>
          <w:szCs w:val="22"/>
          <w:lang w:val="en-GB"/>
        </w:rPr>
      </w:pPr>
      <w:bookmarkStart w:id="6" w:name="_heading=h.lap68sci41ti" w:colFirst="0" w:colLast="0"/>
      <w:bookmarkEnd w:id="6"/>
      <w:r w:rsidRPr="00791D0F">
        <w:rPr>
          <w:rFonts w:ascii="Arial" w:eastAsia="Arial" w:hAnsi="Arial" w:cs="Arial"/>
          <w:sz w:val="22"/>
          <w:szCs w:val="22"/>
          <w:lang w:val="en-GB"/>
        </w:rPr>
        <w:t>2.1 Root-Cause Analysis Using the Fishbone Diagram</w:t>
      </w:r>
    </w:p>
    <w:p w14:paraId="51AA65B8"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RCA is suitable in this case as there is more to the problem than merely clinical mistakes made individually. RCA focuses on identifying the factors that make it possible for an adverse event to happen or to keep happening. That is what prevents problems from arising in the first place and not what is blamed after the damage is done (AHRQ, 2024). Singh </w:t>
      </w:r>
      <w:r w:rsidRPr="00791D0F">
        <w:rPr>
          <w:rFonts w:ascii="Arial" w:eastAsia="Arial" w:hAnsi="Arial" w:cs="Arial"/>
          <w:i/>
          <w:iCs/>
          <w:sz w:val="22"/>
          <w:szCs w:val="22"/>
          <w:lang w:val="en-GB"/>
        </w:rPr>
        <w:t xml:space="preserve">et al. </w:t>
      </w:r>
      <w:r w:rsidRPr="00791D0F">
        <w:rPr>
          <w:rFonts w:ascii="Arial" w:eastAsia="Arial" w:hAnsi="Arial" w:cs="Arial"/>
          <w:sz w:val="22"/>
          <w:szCs w:val="22"/>
          <w:lang w:val="en-GB"/>
        </w:rPr>
        <w:t>(2024) also argue that using RCA helps find the system-related causes of medical errors and find ways to intervene in order to prevent such situations from happening again in future. It is pertinent to the situation at Bristol as there were problems with leadership, accountability, communication, auditing and performance measures and not just one isolated cause (Walshe and Offen, 2001).</w:t>
      </w:r>
    </w:p>
    <w:p w14:paraId="110D2F85"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There is the Fishbone or cause-and-effect diagram that allows us to structure these interrelated causes. Kumah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(2024) note that the Fishbone diagram is a very useful quality improvement tool that helps to generate and organise causes of the problem. In the case of Bristol, leadership and management include weak clinical leadership, poor accountability and inefficient management. People and staffing include shortages of staffing, lack of specialists and fragmentation of paediatric services (Walshe and Offen, 2001). The communication dimension entails poor communication among the professionals, inadequate multidisciplinary collaboration, and ineffective communication with the patients and families. The organisational </w:t>
      </w:r>
      <w:r w:rsidRPr="00791D0F">
        <w:rPr>
          <w:rFonts w:ascii="Arial" w:eastAsia="Arial" w:hAnsi="Arial" w:cs="Arial"/>
          <w:sz w:val="22"/>
          <w:szCs w:val="22"/>
          <w:lang w:val="en-GB"/>
        </w:rPr>
        <w:lastRenderedPageBreak/>
        <w:t>culture dimension encompasses resistance to issues, poor safety culture, and failure to respond to warnings, whereas the governance dimension comprises insufficient transparency, accountability and quality assurance (Walshe and Offen, 2001).</w:t>
      </w:r>
    </w:p>
    <w:p w14:paraId="41E4B577"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noProof/>
          <w:sz w:val="22"/>
          <w:szCs w:val="22"/>
          <w:lang w:val="en-GB"/>
        </w:rPr>
        <w:drawing>
          <wp:inline distT="114300" distB="114300" distL="114300" distR="114300" wp14:anchorId="77019199" wp14:editId="123BA281">
            <wp:extent cx="5730875" cy="382270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referRelativeResize="0"/>
                  </pic:nvPicPr>
                  <pic:blipFill>
                    <a:blip r:embed="rId8"/>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7E128040" w14:textId="77777777" w:rsidR="009A1540" w:rsidRPr="00791D0F" w:rsidRDefault="00000000">
      <w:pPr>
        <w:jc w:val="center"/>
        <w:rPr>
          <w:rFonts w:ascii="Arial" w:eastAsia="Arial" w:hAnsi="Arial" w:cs="Arial"/>
          <w:b/>
          <w:bCs/>
          <w:sz w:val="22"/>
          <w:szCs w:val="22"/>
          <w:lang w:val="en-GB"/>
        </w:rPr>
      </w:pPr>
      <w:r w:rsidRPr="00791D0F">
        <w:rPr>
          <w:rFonts w:ascii="Arial" w:eastAsia="Arial" w:hAnsi="Arial" w:cs="Arial"/>
          <w:b/>
          <w:bCs/>
          <w:sz w:val="22"/>
          <w:szCs w:val="22"/>
          <w:lang w:val="en-GB"/>
        </w:rPr>
        <w:t>Figure 2. Fishbone Diagram</w:t>
      </w:r>
    </w:p>
    <w:p w14:paraId="26CF1847"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sz w:val="22"/>
          <w:szCs w:val="22"/>
          <w:lang w:val="en-GB"/>
        </w:rPr>
        <w:t>(Source: Self-Developed)</w:t>
      </w:r>
    </w:p>
    <w:p w14:paraId="71E32D63"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It means that the benefit of the Fishbone method is that it makes the analysis move from asking “who committed the mistake?” to “under what conditions were unsafe practices allowed?” It is true in relation to current University Hospitals Bristol and Weston NHS Foundation Trust practice. In the 2024/25 Annual Report, patient safety and quality are presented as the main organisational risks and the structure of risk management with Board level involvement is highlighted (University Hospitals Bristol and Weston NHS Foundation Trust, 2025). </w:t>
      </w:r>
    </w:p>
    <w:p w14:paraId="335127C0" w14:textId="77777777" w:rsidR="009A1540" w:rsidRPr="00791D0F" w:rsidRDefault="00000000">
      <w:pPr>
        <w:pStyle w:val="Heading2"/>
        <w:rPr>
          <w:rFonts w:ascii="Arial" w:eastAsia="Arial" w:hAnsi="Arial" w:cs="Arial"/>
          <w:sz w:val="22"/>
          <w:szCs w:val="22"/>
          <w:lang w:val="en-GB"/>
        </w:rPr>
      </w:pPr>
      <w:bookmarkStart w:id="7" w:name="_heading=h.ytd9la8if90x" w:colFirst="0" w:colLast="0"/>
      <w:bookmarkEnd w:id="7"/>
      <w:r w:rsidRPr="00791D0F">
        <w:rPr>
          <w:rFonts w:ascii="Arial" w:eastAsia="Arial" w:hAnsi="Arial" w:cs="Arial"/>
          <w:sz w:val="22"/>
          <w:szCs w:val="22"/>
          <w:lang w:val="en-GB"/>
        </w:rPr>
        <w:t xml:space="preserve">2.2 Five Whys Analysis </w:t>
      </w:r>
    </w:p>
    <w:p w14:paraId="4B6EC319"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The application of Five Whys analysis was used to reveal the underlying reasons for the unacceptable outcomes in paediatric cardiac surgery at Bristol Royal Infirmary. The "Why?" questions follow from each other, in accordance with the answers received to the previous "Why?"</w:t>
      </w:r>
    </w:p>
    <w:p w14:paraId="733F6175"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lastRenderedPageBreak/>
        <w:t>Why 1: Why were there unacceptable outcomes in paediatric cardiac surgery at Bristol Royal Infirmary?</w:t>
      </w:r>
    </w:p>
    <w:p w14:paraId="618ABB5D"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Poor outcomes and high mortality rates resulted from the fact that clinical performance was inadequately recognised, monitored, and controlled. In this way, it is possible to conclude that the problem was not identified and solved by means of proper clinical control (Singh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2024). </w:t>
      </w:r>
    </w:p>
    <w:p w14:paraId="2242D45A"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Why 2: Why was clinical performance not adequately recognised, monitored, and controlled?</w:t>
      </w:r>
    </w:p>
    <w:p w14:paraId="78D933F1"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reason for it was that there were ineffective mechanisms for clinical audit, reporting of results and governance. This led to the fact that evidence about the clinical outcomes was not used in order to identify problems and respond to them (Abuzied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w:t>
      </w:r>
    </w:p>
    <w:p w14:paraId="3FAAAE0B"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Why 3: Why were there ineffective mechanisms for clinical audit, reporting and governance?</w:t>
      </w:r>
    </w:p>
    <w:p w14:paraId="11E3C1D4"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Such mechanisms were inefficient because of ineffective accountability and management.</w:t>
      </w:r>
    </w:p>
    <w:p w14:paraId="698F8FB8"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Why 4: What made accountability and management weak?</w:t>
      </w:r>
    </w:p>
    <w:p w14:paraId="43897E67"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weakness in accountability and management was caused by inefficient leadership, communication, and organisational systems. For this reason, the issues related to the clinical performance were not communicated and escalated effectively for prompt intervention (Yang </w:t>
      </w:r>
      <w:r w:rsidRPr="00791D0F">
        <w:rPr>
          <w:rFonts w:ascii="Arial" w:eastAsia="Arial" w:hAnsi="Arial" w:cs="Arial"/>
          <w:i/>
          <w:iCs/>
          <w:sz w:val="22"/>
          <w:szCs w:val="22"/>
          <w:lang w:val="en-GB"/>
        </w:rPr>
        <w:t xml:space="preserve">et al., </w:t>
      </w:r>
      <w:r w:rsidRPr="00791D0F">
        <w:rPr>
          <w:rFonts w:ascii="Arial" w:eastAsia="Arial" w:hAnsi="Arial" w:cs="Arial"/>
          <w:sz w:val="22"/>
          <w:szCs w:val="22"/>
          <w:lang w:val="en-GB"/>
        </w:rPr>
        <w:t>2025).</w:t>
      </w:r>
    </w:p>
    <w:p w14:paraId="0CC3193A"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Why 5: Why could the issues related to leadership, communication, and organisation not be solved effectively?</w:t>
      </w:r>
    </w:p>
    <w:p w14:paraId="33AB7773"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Response: The issues were not solved due to inefficiency of the safety culture of the organisation, which did not allow to identify, communicate and address clinical risks efficiently (Moralee et al., 2025).</w:t>
      </w:r>
    </w:p>
    <w:p w14:paraId="54124527" w14:textId="77777777" w:rsidR="009A1540" w:rsidRPr="00791D0F" w:rsidRDefault="00000000">
      <w:pPr>
        <w:pStyle w:val="Heading2"/>
        <w:rPr>
          <w:rFonts w:ascii="Arial" w:eastAsia="Arial" w:hAnsi="Arial" w:cs="Arial"/>
          <w:sz w:val="22"/>
          <w:szCs w:val="22"/>
          <w:lang w:val="en-GB"/>
        </w:rPr>
      </w:pPr>
      <w:bookmarkStart w:id="8" w:name="_heading=h.5am5uukm8x3j" w:colFirst="0" w:colLast="0"/>
      <w:bookmarkEnd w:id="8"/>
      <w:r w:rsidRPr="00791D0F">
        <w:rPr>
          <w:rFonts w:ascii="Arial" w:eastAsia="Arial" w:hAnsi="Arial" w:cs="Arial"/>
          <w:sz w:val="22"/>
          <w:szCs w:val="22"/>
          <w:lang w:val="en-GB"/>
        </w:rPr>
        <w:t xml:space="preserve">2.3 Donabedian Model </w:t>
      </w:r>
    </w:p>
    <w:p w14:paraId="5BF3C2DB"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This framework is more effective when assessing how organisational factors contributed to negative clinical outcomes since it separates structure, process, and outcome. Modern research shows the ongoing applicability of Donabedian's (1988) framework as an approach for assessing healthcare quality as seen from the study by McCullough</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xml:space="preserve"> (2023) on the use of the framework to assess the quality of healthcare services and the analysis made by Yang </w:t>
      </w:r>
      <w:r w:rsidRPr="00791D0F">
        <w:rPr>
          <w:rFonts w:ascii="Arial" w:eastAsia="Arial" w:hAnsi="Arial" w:cs="Arial"/>
          <w:i/>
          <w:iCs/>
          <w:sz w:val="22"/>
          <w:szCs w:val="22"/>
          <w:lang w:val="en-GB"/>
        </w:rPr>
        <w:t xml:space="preserve">et al. </w:t>
      </w:r>
      <w:r w:rsidRPr="00791D0F">
        <w:rPr>
          <w:rFonts w:ascii="Arial" w:eastAsia="Arial" w:hAnsi="Arial" w:cs="Arial"/>
          <w:sz w:val="22"/>
          <w:szCs w:val="22"/>
          <w:lang w:val="en-GB"/>
        </w:rPr>
        <w:t xml:space="preserve">(2025) showing its current use in assessing quality. </w:t>
      </w:r>
    </w:p>
    <w:p w14:paraId="318735A9"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noProof/>
          <w:sz w:val="22"/>
          <w:szCs w:val="22"/>
          <w:lang w:val="en-GB"/>
        </w:rPr>
        <w:lastRenderedPageBreak/>
        <w:drawing>
          <wp:inline distT="0" distB="0" distL="114300" distR="114300" wp14:anchorId="14D5F560" wp14:editId="6F33146D">
            <wp:extent cx="2813685" cy="2847340"/>
            <wp:effectExtent l="0" t="0" r="0" b="0"/>
            <wp:docPr id="11" name="image3.jpg" descr="IMG_256"/>
            <wp:cNvGraphicFramePr/>
            <a:graphic xmlns:a="http://schemas.openxmlformats.org/drawingml/2006/main">
              <a:graphicData uri="http://schemas.openxmlformats.org/drawingml/2006/picture">
                <pic:pic xmlns:pic="http://schemas.openxmlformats.org/drawingml/2006/picture">
                  <pic:nvPicPr>
                    <pic:cNvPr id="11" name="image3.jpg" descr="IMG_256"/>
                    <pic:cNvPicPr preferRelativeResize="0"/>
                  </pic:nvPicPr>
                  <pic:blipFill>
                    <a:blip r:embed="rId9"/>
                    <a:srcRect/>
                    <a:stretch>
                      <a:fillRect/>
                    </a:stretch>
                  </pic:blipFill>
                  <pic:spPr>
                    <a:xfrm>
                      <a:off x="0" y="0"/>
                      <a:ext cx="2813685" cy="2847340"/>
                    </a:xfrm>
                    <a:prstGeom prst="rect">
                      <a:avLst/>
                    </a:prstGeom>
                  </pic:spPr>
                </pic:pic>
              </a:graphicData>
            </a:graphic>
          </wp:inline>
        </w:drawing>
      </w:r>
    </w:p>
    <w:p w14:paraId="2B224FAA" w14:textId="77777777" w:rsidR="009A1540" w:rsidRPr="00791D0F" w:rsidRDefault="00000000">
      <w:pPr>
        <w:jc w:val="center"/>
        <w:rPr>
          <w:rFonts w:ascii="Arial" w:eastAsia="Arial" w:hAnsi="Arial" w:cs="Arial"/>
          <w:b/>
          <w:bCs/>
          <w:sz w:val="22"/>
          <w:szCs w:val="22"/>
          <w:lang w:val="en-GB"/>
        </w:rPr>
      </w:pPr>
      <w:r w:rsidRPr="00791D0F">
        <w:rPr>
          <w:rFonts w:ascii="Arial" w:eastAsia="Arial" w:hAnsi="Arial" w:cs="Arial"/>
          <w:b/>
          <w:bCs/>
          <w:sz w:val="22"/>
          <w:szCs w:val="22"/>
          <w:lang w:val="en-GB"/>
        </w:rPr>
        <w:t>Figure 3. Donabedian Model</w:t>
      </w:r>
    </w:p>
    <w:p w14:paraId="5E56FA3B" w14:textId="77777777" w:rsidR="009A1540" w:rsidRPr="00791D0F" w:rsidRDefault="00000000">
      <w:pPr>
        <w:jc w:val="center"/>
        <w:rPr>
          <w:rFonts w:ascii="Arial" w:eastAsia="Arial" w:hAnsi="Arial" w:cs="Arial"/>
          <w:b/>
          <w:bCs/>
          <w:sz w:val="22"/>
          <w:szCs w:val="22"/>
          <w:lang w:val="en-GB"/>
        </w:rPr>
      </w:pPr>
      <w:r w:rsidRPr="00791D0F">
        <w:rPr>
          <w:rFonts w:ascii="Arial" w:eastAsia="Arial" w:hAnsi="Arial" w:cs="Arial"/>
          <w:b/>
          <w:bCs/>
          <w:sz w:val="22"/>
          <w:szCs w:val="22"/>
          <w:lang w:val="en-GB"/>
        </w:rPr>
        <w:t xml:space="preserve">Source: </w:t>
      </w:r>
      <w:r w:rsidRPr="00791D0F">
        <w:rPr>
          <w:rFonts w:ascii="Arial" w:eastAsia="Arial" w:hAnsi="Arial" w:cs="Arial"/>
          <w:sz w:val="22"/>
          <w:szCs w:val="22"/>
          <w:lang w:val="en-GB"/>
        </w:rPr>
        <w:t xml:space="preserve"> (McCullough</w:t>
      </w:r>
      <w:r w:rsidRPr="00791D0F">
        <w:rPr>
          <w:rFonts w:ascii="Arial" w:eastAsia="Arial" w:hAnsi="Arial" w:cs="Arial"/>
          <w:i/>
          <w:iCs/>
          <w:sz w:val="22"/>
          <w:szCs w:val="22"/>
          <w:lang w:val="en-GB"/>
        </w:rPr>
        <w:t xml:space="preserve"> et al., </w:t>
      </w:r>
      <w:r w:rsidRPr="00791D0F">
        <w:rPr>
          <w:rFonts w:ascii="Arial" w:eastAsia="Arial" w:hAnsi="Arial" w:cs="Arial"/>
          <w:sz w:val="22"/>
          <w:szCs w:val="22"/>
          <w:lang w:val="en-GB"/>
        </w:rPr>
        <w:t>2023)</w:t>
      </w:r>
    </w:p>
    <w:p w14:paraId="49CAA298"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structure represents the organisational factors where care is provided. Organisational factors applicable to Bristol include leadership, governance, staffing, specialist paediatric cardiac services and organisational and resource factors underlying these services as per McCullough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 Staffing problems and fragmentation of services for children were seen as factors contributing to the problem whereas poor clinical leadership and accountability contributed to organisational weaknesses in terms of recognising the problem and responding to it (Bristol, 2001).</w:t>
      </w:r>
    </w:p>
    <w:p w14:paraId="7DCC700A"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interpretation is also supported by McCullough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 which shows that structural factors play an important role in the ability of health organisations to deliver their services effectively. Governance at contemporary University Hospitals Bristol and Weston NHS Foundation Trust provides the example of how structural problems are dealt with via Board-level risk management process, where patient safety and quality have been recognised as one of the primary organisational risks for 2024/25 (University Hospitals Bristol and Weston NHS Foundation Trust, 2025).</w:t>
      </w:r>
    </w:p>
    <w:p w14:paraId="26F33322"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process dimension deals with what happens when delivering services in terms of decision-making, communication, audit, monitoring and multidisciplinary work. At Bristol, ineffective audit and monitoring of clinical practice made it difficult for staff and managers to react to risks in a timely manner. Communication and lack of cooperation within multidisciplinary teams further contributed to the problem of risk recognition and management </w:t>
      </w:r>
      <w:r w:rsidRPr="00791D0F">
        <w:rPr>
          <w:rFonts w:ascii="Arial" w:eastAsia="Arial" w:hAnsi="Arial" w:cs="Arial"/>
          <w:sz w:val="22"/>
          <w:szCs w:val="22"/>
          <w:lang w:val="en-GB"/>
        </w:rPr>
        <w:lastRenderedPageBreak/>
        <w:t>(Maclean, 2001). The fact is especially important as good processes are needed to transform resources into safe care.</w:t>
      </w:r>
    </w:p>
    <w:p w14:paraId="5AFD70CC"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The current practice of University Hospitals Bristol and Weston NHS Foundation Trust displays a much greater focus on structured learning, which is described in Learning from Deaths processes, mortality review and dissemination of learning to divisional mortality and patient safety leads and clinical teams (University Hospitals Bristol and Weston NHS Foundation Trust, 2025).</w:t>
      </w:r>
    </w:p>
    <w:p w14:paraId="47DD2CF5"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Outcome is a consequence of healthcare delivery, which involves such elements as mortality, morbidity, patient safety and satisfaction (Maclean, 2001). For the Bristol case, it was the negative outcome of paediatric cardiac surgeries and high mortality that made clear that there were some serious shortcomings at the structural and procedural level leading to patient harm (Bristol, 2001). Thus, the main advantage of the Donabedian model lies in the fact that it provides a clear logical connection between organisational structure, care process and patient outcomes. It could include overlapping categories, and it might fail to cover some complicated factors, such as organisational culture, leadership behavior, professional power and external pressure (Yang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2025).</w:t>
      </w:r>
    </w:p>
    <w:p w14:paraId="0B128D99" w14:textId="77777777" w:rsidR="009A1540" w:rsidRPr="00791D0F" w:rsidRDefault="00000000">
      <w:pPr>
        <w:pStyle w:val="Heading2"/>
        <w:rPr>
          <w:rFonts w:ascii="Arial" w:eastAsia="Arial" w:hAnsi="Arial" w:cs="Arial"/>
          <w:sz w:val="22"/>
          <w:szCs w:val="22"/>
          <w:lang w:val="en-GB"/>
        </w:rPr>
      </w:pPr>
      <w:bookmarkStart w:id="9" w:name="_heading=h.rkkmr5cbfme" w:colFirst="0" w:colLast="0"/>
      <w:bookmarkEnd w:id="9"/>
      <w:r w:rsidRPr="00791D0F">
        <w:rPr>
          <w:rFonts w:ascii="Arial" w:eastAsia="Arial" w:hAnsi="Arial" w:cs="Arial"/>
          <w:sz w:val="22"/>
          <w:szCs w:val="22"/>
          <w:lang w:val="en-GB"/>
        </w:rPr>
        <w:t>2.4 SWOT Analysis</w:t>
      </w:r>
    </w:p>
    <w:tbl>
      <w:tblPr>
        <w:tblStyle w:val="Style23"/>
        <w:tblW w:w="9025" w:type="dxa"/>
        <w:tblInd w:w="0" w:type="dxa"/>
        <w:tblLayout w:type="fixed"/>
        <w:tblCellMar>
          <w:top w:w="0" w:type="dxa"/>
          <w:left w:w="108" w:type="dxa"/>
          <w:bottom w:w="0" w:type="dxa"/>
          <w:right w:w="108" w:type="dxa"/>
        </w:tblCellMar>
        <w:tblLook w:val="04A0" w:firstRow="1" w:lastRow="0" w:firstColumn="1" w:lastColumn="0" w:noHBand="0" w:noVBand="1"/>
      </w:tblPr>
      <w:tblGrid>
        <w:gridCol w:w="4865"/>
        <w:gridCol w:w="4160"/>
      </w:tblGrid>
      <w:tr w:rsidR="009A1540" w:rsidRPr="00791D0F" w14:paraId="6295DDD8" w14:textId="77777777">
        <w:trPr>
          <w:trHeight w:val="500"/>
        </w:trPr>
        <w:tc>
          <w:tcPr>
            <w:tcW w:w="4865"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1CECAD8" w14:textId="77777777" w:rsidR="009A1540" w:rsidRPr="00791D0F" w:rsidRDefault="00000000">
            <w:pPr>
              <w:spacing w:before="360" w:after="80"/>
              <w:jc w:val="center"/>
              <w:rPr>
                <w:rFonts w:ascii="Arial" w:eastAsia="Arial" w:hAnsi="Arial" w:cs="Arial"/>
                <w:sz w:val="22"/>
                <w:szCs w:val="22"/>
                <w:lang w:val="en-GB"/>
              </w:rPr>
            </w:pPr>
            <w:r w:rsidRPr="00791D0F">
              <w:rPr>
                <w:rFonts w:ascii="Arial" w:eastAsia="Arial" w:hAnsi="Arial" w:cs="Arial"/>
                <w:b/>
                <w:bCs/>
                <w:sz w:val="22"/>
                <w:szCs w:val="22"/>
                <w:lang w:val="en-GB"/>
              </w:rPr>
              <w:t>Strengths</w:t>
            </w:r>
          </w:p>
        </w:tc>
        <w:tc>
          <w:tcPr>
            <w:tcW w:w="4160"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5548BD60" w14:textId="77777777" w:rsidR="009A1540" w:rsidRPr="00791D0F" w:rsidRDefault="00000000">
            <w:pPr>
              <w:spacing w:before="360" w:after="80"/>
              <w:jc w:val="center"/>
              <w:rPr>
                <w:rFonts w:ascii="Arial" w:eastAsia="Arial" w:hAnsi="Arial" w:cs="Arial"/>
                <w:sz w:val="22"/>
                <w:szCs w:val="22"/>
                <w:lang w:val="en-GB"/>
              </w:rPr>
            </w:pPr>
            <w:r w:rsidRPr="00791D0F">
              <w:rPr>
                <w:rFonts w:ascii="Arial" w:eastAsia="Arial" w:hAnsi="Arial" w:cs="Arial"/>
                <w:b/>
                <w:bCs/>
                <w:sz w:val="22"/>
                <w:szCs w:val="22"/>
                <w:lang w:val="en-GB"/>
              </w:rPr>
              <w:t>Weaknesses</w:t>
            </w:r>
          </w:p>
        </w:tc>
      </w:tr>
      <w:tr w:rsidR="009A1540" w:rsidRPr="00791D0F" w14:paraId="6E19CAE2" w14:textId="77777777">
        <w:trPr>
          <w:trHeight w:val="3470"/>
        </w:trPr>
        <w:tc>
          <w:tcPr>
            <w:tcW w:w="48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6C9CBC" w14:textId="77777777" w:rsidR="009A1540" w:rsidRPr="00791D0F" w:rsidRDefault="00000000">
            <w:pPr>
              <w:spacing w:before="360" w:after="80"/>
              <w:rPr>
                <w:rFonts w:ascii="Arial" w:eastAsia="Arial" w:hAnsi="Arial" w:cs="Arial"/>
                <w:sz w:val="22"/>
                <w:szCs w:val="22"/>
                <w:lang w:val="en-GB"/>
              </w:rPr>
            </w:pPr>
            <w:r w:rsidRPr="00791D0F">
              <w:rPr>
                <w:rFonts w:ascii="Arial" w:eastAsia="Arial" w:hAnsi="Arial" w:cs="Arial"/>
                <w:sz w:val="22"/>
                <w:szCs w:val="22"/>
                <w:lang w:val="en-GB"/>
              </w:rPr>
              <w:t>Specialist expertise and infrastructure: Access to specialist clinical expertise and established healthcare infrastructure provides a foundation for quality improvement. Patient safety priority: University Hospitals Bristol and Weston NHS Foundation Trust identifies patient safety as a strategic priority, with organisational risks reported to the Trust Board (University Hospitals Bristol and Weston NHS Foundation Trust, 2025). Multidisciplinary improvement: Existing multidisciplinary improvement activities provide a basis for collaborative quality management.</w:t>
            </w:r>
          </w:p>
        </w:tc>
        <w:tc>
          <w:tcPr>
            <w:tcW w:w="4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C5960A" w14:textId="77777777" w:rsidR="009A1540" w:rsidRPr="00791D0F" w:rsidRDefault="00000000">
            <w:pPr>
              <w:spacing w:before="360" w:after="80"/>
              <w:rPr>
                <w:rFonts w:ascii="Arial" w:eastAsia="Arial" w:hAnsi="Arial" w:cs="Arial"/>
                <w:sz w:val="22"/>
                <w:szCs w:val="22"/>
                <w:lang w:val="en-GB"/>
              </w:rPr>
            </w:pPr>
            <w:r w:rsidRPr="00791D0F">
              <w:rPr>
                <w:rFonts w:ascii="Arial" w:eastAsia="Arial" w:hAnsi="Arial" w:cs="Arial"/>
                <w:sz w:val="22"/>
                <w:szCs w:val="22"/>
                <w:lang w:val="en-GB"/>
              </w:rPr>
              <w:t>Governance and accountability: The Bristol case demonstrates weaknesses in governance and accountability. Poor monitoring: Inadequate monitoring and clinical oversight contributed to delayed recognition of concerns. Communication and culture: Poor communication and an organisational culture that did not adequately respond to concerns weakened patient-safety processes (Walshe and Offen, 2001).</w:t>
            </w:r>
          </w:p>
        </w:tc>
      </w:tr>
      <w:tr w:rsidR="009A1540" w:rsidRPr="00791D0F" w14:paraId="47AB56F9" w14:textId="77777777">
        <w:trPr>
          <w:trHeight w:val="500"/>
        </w:trPr>
        <w:tc>
          <w:tcPr>
            <w:tcW w:w="4865"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E89245A" w14:textId="77777777" w:rsidR="009A1540" w:rsidRPr="00791D0F" w:rsidRDefault="00000000">
            <w:pPr>
              <w:spacing w:before="360" w:after="80"/>
              <w:rPr>
                <w:rFonts w:ascii="Arial" w:eastAsia="Arial" w:hAnsi="Arial" w:cs="Arial"/>
                <w:sz w:val="22"/>
                <w:szCs w:val="22"/>
                <w:lang w:val="en-GB"/>
              </w:rPr>
            </w:pPr>
            <w:r w:rsidRPr="00791D0F">
              <w:rPr>
                <w:rFonts w:ascii="Arial" w:eastAsia="Arial" w:hAnsi="Arial" w:cs="Arial"/>
                <w:b/>
                <w:bCs/>
                <w:sz w:val="22"/>
                <w:szCs w:val="22"/>
                <w:lang w:val="en-GB"/>
              </w:rPr>
              <w:lastRenderedPageBreak/>
              <w:t>Opportunities</w:t>
            </w:r>
          </w:p>
        </w:tc>
        <w:tc>
          <w:tcPr>
            <w:tcW w:w="4160"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1E449240" w14:textId="77777777" w:rsidR="009A1540" w:rsidRPr="00791D0F" w:rsidRDefault="00000000">
            <w:pPr>
              <w:spacing w:before="360" w:after="80"/>
              <w:rPr>
                <w:rFonts w:ascii="Arial" w:eastAsia="Arial" w:hAnsi="Arial" w:cs="Arial"/>
                <w:sz w:val="22"/>
                <w:szCs w:val="22"/>
                <w:lang w:val="en-GB"/>
              </w:rPr>
            </w:pPr>
            <w:r w:rsidRPr="00791D0F">
              <w:rPr>
                <w:rFonts w:ascii="Arial" w:eastAsia="Arial" w:hAnsi="Arial" w:cs="Arial"/>
                <w:b/>
                <w:bCs/>
                <w:sz w:val="22"/>
                <w:szCs w:val="22"/>
                <w:lang w:val="en-GB"/>
              </w:rPr>
              <w:t>Threats</w:t>
            </w:r>
          </w:p>
        </w:tc>
      </w:tr>
      <w:tr w:rsidR="009A1540" w:rsidRPr="00791D0F" w14:paraId="06F69952" w14:textId="77777777">
        <w:trPr>
          <w:trHeight w:val="1325"/>
        </w:trPr>
        <w:tc>
          <w:tcPr>
            <w:tcW w:w="48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34715E" w14:textId="77777777" w:rsidR="009A1540" w:rsidRPr="00791D0F" w:rsidRDefault="00000000">
            <w:pPr>
              <w:spacing w:before="360" w:after="80"/>
              <w:rPr>
                <w:rFonts w:ascii="Arial" w:eastAsia="Arial" w:hAnsi="Arial" w:cs="Arial"/>
                <w:sz w:val="22"/>
                <w:szCs w:val="22"/>
                <w:lang w:val="en-GB"/>
              </w:rPr>
            </w:pPr>
            <w:r w:rsidRPr="00791D0F">
              <w:rPr>
                <w:rFonts w:ascii="Arial" w:eastAsia="Arial" w:hAnsi="Arial" w:cs="Arial"/>
                <w:sz w:val="22"/>
                <w:szCs w:val="22"/>
                <w:lang w:val="en-GB"/>
              </w:rPr>
              <w:t xml:space="preserve">Patient-safety education: Education can strengthen safety culture (Agbar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 Improved monitoring and governance: Stronger clinical audit, multidisciplinary governance and outcome monitoring can support improvement. Staff involvement: University Hospitals Bristol and Weston NHS Foundation Trust identifies patient-safety education, human factors, Learning from Patient Safety Events and mechanisms for raising concerns as improvement areas (University Hospitals Bristol and Weston NHS Foundation Trust, 2025).</w:t>
            </w:r>
          </w:p>
        </w:tc>
        <w:tc>
          <w:tcPr>
            <w:tcW w:w="416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EDCDA2" w14:textId="77777777" w:rsidR="009A1540" w:rsidRPr="00791D0F" w:rsidRDefault="00000000">
            <w:pPr>
              <w:spacing w:before="360" w:after="80"/>
              <w:rPr>
                <w:rFonts w:ascii="Arial" w:eastAsia="Arial" w:hAnsi="Arial" w:cs="Arial"/>
                <w:sz w:val="22"/>
                <w:szCs w:val="22"/>
                <w:lang w:val="en-GB"/>
              </w:rPr>
            </w:pPr>
            <w:r w:rsidRPr="00791D0F">
              <w:rPr>
                <w:rFonts w:ascii="Arial" w:eastAsia="Arial" w:hAnsi="Arial" w:cs="Arial"/>
                <w:sz w:val="22"/>
                <w:szCs w:val="22"/>
                <w:lang w:val="en-GB"/>
              </w:rPr>
              <w:t xml:space="preserve">Resistance to change: Staff resistance may delay implementation. Disengagement: Poor staff engagement can weaken improvement efforts. Resource constraints: Limited resources may restrict implementation. Poor sustainability: Improvements may not be maintained without effective accountability and governance (Jalilvand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2024).</w:t>
            </w:r>
          </w:p>
        </w:tc>
      </w:tr>
    </w:tbl>
    <w:p w14:paraId="3D648D9F" w14:textId="77777777" w:rsidR="009A1540" w:rsidRPr="00791D0F" w:rsidRDefault="00000000">
      <w:pPr>
        <w:spacing w:before="360" w:after="80"/>
        <w:jc w:val="center"/>
        <w:rPr>
          <w:rFonts w:ascii="Arial" w:eastAsia="Arial" w:hAnsi="Arial" w:cs="Arial"/>
          <w:b/>
          <w:bCs/>
          <w:sz w:val="22"/>
          <w:szCs w:val="22"/>
          <w:lang w:val="en-GB"/>
        </w:rPr>
      </w:pPr>
      <w:r w:rsidRPr="00791D0F">
        <w:rPr>
          <w:rFonts w:ascii="Arial" w:eastAsia="Arial" w:hAnsi="Arial" w:cs="Arial"/>
          <w:b/>
          <w:bCs/>
          <w:sz w:val="22"/>
          <w:szCs w:val="22"/>
          <w:lang w:val="en-GB"/>
        </w:rPr>
        <w:t>Table 1: SWOT analysis of University Hospitals Bristol and Weston NHS Foundation Trust</w:t>
      </w:r>
    </w:p>
    <w:p w14:paraId="5599D464" w14:textId="77777777" w:rsidR="009A1540" w:rsidRPr="00791D0F" w:rsidRDefault="00000000">
      <w:pPr>
        <w:spacing w:before="360" w:after="80"/>
        <w:jc w:val="center"/>
        <w:rPr>
          <w:rFonts w:ascii="Arial" w:eastAsia="Arial" w:hAnsi="Arial" w:cs="Arial"/>
          <w:sz w:val="22"/>
          <w:szCs w:val="22"/>
          <w:lang w:val="en-GB"/>
        </w:rPr>
      </w:pPr>
      <w:r w:rsidRPr="00791D0F">
        <w:rPr>
          <w:rFonts w:ascii="Arial" w:eastAsia="Arial" w:hAnsi="Arial" w:cs="Arial"/>
          <w:sz w:val="22"/>
          <w:szCs w:val="22"/>
          <w:lang w:val="en-GB"/>
        </w:rPr>
        <w:t>Source: Self-developed</w:t>
      </w:r>
    </w:p>
    <w:p w14:paraId="0975F30C" w14:textId="77777777" w:rsidR="009A1540" w:rsidRPr="00791D0F" w:rsidRDefault="00000000">
      <w:pPr>
        <w:pStyle w:val="Heading2"/>
        <w:rPr>
          <w:rFonts w:ascii="Arial" w:eastAsia="Arial" w:hAnsi="Arial" w:cs="Arial"/>
          <w:sz w:val="22"/>
          <w:szCs w:val="22"/>
          <w:lang w:val="en-GB"/>
        </w:rPr>
      </w:pPr>
      <w:bookmarkStart w:id="10" w:name="_heading=h.3220dffguy18" w:colFirst="0" w:colLast="0"/>
      <w:bookmarkEnd w:id="10"/>
      <w:r w:rsidRPr="00791D0F">
        <w:rPr>
          <w:rFonts w:ascii="Arial" w:eastAsia="Arial" w:hAnsi="Arial" w:cs="Arial"/>
          <w:sz w:val="22"/>
          <w:szCs w:val="22"/>
          <w:lang w:val="en-GB"/>
        </w:rPr>
        <w:t>2.5 Critical Evaluation of Quality-Management Approaches</w:t>
      </w:r>
    </w:p>
    <w:p w14:paraId="0CF9CA5C" w14:textId="088E454C"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There are various approaches to quality management, including PDSA, Lean and Six Sigma. Specifically, PDSA can be highly beneficial for Bristol because it involves testing interventions on a smaller scale, studying them and further modifying the interventions based on the evidence. Thus, according to Abuzied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w:t>
      </w:r>
      <w:r w:rsidR="00AA327B">
        <w:rPr>
          <w:rFonts w:ascii="Arial" w:eastAsia="Arial" w:hAnsi="Arial" w:cs="Arial"/>
          <w:sz w:val="22"/>
          <w:szCs w:val="22"/>
          <w:lang w:val="en-GB"/>
        </w:rPr>
        <w:t xml:space="preserve"> </w:t>
      </w:r>
      <w:r w:rsidRPr="00791D0F">
        <w:rPr>
          <w:rFonts w:ascii="Arial" w:eastAsia="Arial" w:hAnsi="Arial" w:cs="Arial"/>
          <w:sz w:val="22"/>
          <w:szCs w:val="22"/>
          <w:lang w:val="en-GB"/>
        </w:rPr>
        <w:t xml:space="preserve">PDSA is applied to healthcare improvement efforts while Bugnitz and Sandberg (2025) underline the importance of developing efficient PDSA cycles. An iterative approach is required if the organisation needs to improve its governance, communication among staff, monitoring and safety procedures, as one intervention cannot solve the complex problem (Jalilvand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2024).</w:t>
      </w:r>
    </w:p>
    <w:p w14:paraId="65D4EB55"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Lean is an approach aimed at eliminating waste and extra steps, and Six Sigma focuses on reducing variation in processes (Barr and Brannan, 2024). They may be helpful for the organisation in question because both approaches may improve workflow and eliminate any possible process delays; however, the approaches' limitations are obvious when it comes to the organisational culture and governance. Reducing waste or variation cannot ensure that </w:t>
      </w:r>
      <w:r w:rsidRPr="00791D0F">
        <w:rPr>
          <w:rFonts w:ascii="Arial" w:eastAsia="Arial" w:hAnsi="Arial" w:cs="Arial"/>
          <w:sz w:val="22"/>
          <w:szCs w:val="22"/>
          <w:lang w:val="en-GB"/>
        </w:rPr>
        <w:lastRenderedPageBreak/>
        <w:t xml:space="preserve">the staff members will express their concerns or that the manager will address the issues (Jalilvand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2024).</w:t>
      </w:r>
    </w:p>
    <w:p w14:paraId="345519C2"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The argument presented by Braithwaite (2018), therefore, is that healthcare improvement must be understood more broadly due to the nature of health organisations being complex adaptive systems as opposed to production systems.</w:t>
      </w:r>
    </w:p>
    <w:p w14:paraId="3FCA074F"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PDSA is the best approach for this situation, whereas Lean and Six Sigma can complement the approach where there is identification of process-related problems. As demonstrated by Harrison</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(2021), change management, improvement and implementation models often overlap in the realm of healthcare, and this means that effective improvement requires both choosing the right method and considering factors such as leadership, employee engagement, communication and organisational preparedness (Hibbert</w:t>
      </w:r>
      <w:r w:rsidRPr="00791D0F">
        <w:rPr>
          <w:rFonts w:ascii="Arial" w:eastAsia="Arial" w:hAnsi="Arial" w:cs="Arial"/>
          <w:i/>
          <w:iCs/>
          <w:sz w:val="22"/>
          <w:szCs w:val="22"/>
          <w:lang w:val="en-GB"/>
        </w:rPr>
        <w:t xml:space="preserve"> et al., </w:t>
      </w:r>
      <w:r w:rsidRPr="00791D0F">
        <w:rPr>
          <w:rFonts w:ascii="Arial" w:eastAsia="Arial" w:hAnsi="Arial" w:cs="Arial"/>
          <w:sz w:val="22"/>
          <w:szCs w:val="22"/>
          <w:lang w:val="en-GB"/>
        </w:rPr>
        <w:t>2023).</w:t>
      </w:r>
    </w:p>
    <w:p w14:paraId="448747C0" w14:textId="77777777" w:rsidR="009A1540" w:rsidRPr="00791D0F" w:rsidRDefault="00000000">
      <w:pPr>
        <w:pStyle w:val="Heading1"/>
        <w:rPr>
          <w:rFonts w:ascii="Arial" w:eastAsia="Arial" w:hAnsi="Arial" w:cs="Arial"/>
          <w:sz w:val="22"/>
          <w:szCs w:val="22"/>
          <w:lang w:val="en-GB"/>
        </w:rPr>
      </w:pPr>
      <w:bookmarkStart w:id="11" w:name="_heading=h.gpse3tq7cc7d" w:colFirst="0" w:colLast="0"/>
      <w:bookmarkEnd w:id="11"/>
      <w:r w:rsidRPr="00791D0F">
        <w:rPr>
          <w:rFonts w:ascii="Arial" w:eastAsia="Arial" w:hAnsi="Arial" w:cs="Arial"/>
          <w:sz w:val="22"/>
          <w:szCs w:val="22"/>
          <w:lang w:val="en-GB"/>
        </w:rPr>
        <w:t>3. Recommendations and Implementation Strategy</w:t>
      </w:r>
    </w:p>
    <w:p w14:paraId="14D879BA" w14:textId="77777777" w:rsidR="009A1540" w:rsidRPr="00791D0F" w:rsidRDefault="00000000">
      <w:pPr>
        <w:pStyle w:val="Heading2"/>
        <w:rPr>
          <w:rFonts w:ascii="Arial" w:eastAsia="Arial" w:hAnsi="Arial" w:cs="Arial"/>
          <w:sz w:val="22"/>
          <w:szCs w:val="22"/>
          <w:lang w:val="en-GB"/>
        </w:rPr>
      </w:pPr>
      <w:bookmarkStart w:id="12" w:name="_heading=h.bi9vp6vg1zg" w:colFirst="0" w:colLast="0"/>
      <w:bookmarkEnd w:id="12"/>
      <w:r w:rsidRPr="00791D0F">
        <w:rPr>
          <w:rFonts w:ascii="Arial" w:eastAsia="Arial" w:hAnsi="Arial" w:cs="Arial"/>
          <w:sz w:val="22"/>
          <w:szCs w:val="22"/>
          <w:lang w:val="en-GB"/>
        </w:rPr>
        <w:t>3.1 Evidence-Based Recommendations</w:t>
      </w:r>
    </w:p>
    <w:p w14:paraId="4FC29A67"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First, it is necessary to improve clinical governance and accountability. A multidisciplinary clinical governance team needs to carry out systematic reviews of outcomes, adverse events, and safety issues associated with paediatric cardiac surgery. It is important to define who will review the variation in outcomes and what procedures are to be carried out in case mortality and/or complication rate exceeds certain values. According to Jalilvand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(2024), it is very important to have good accountability systems in healthcare institutions and Hibbert</w:t>
      </w:r>
      <w:r w:rsidRPr="00791D0F">
        <w:rPr>
          <w:rFonts w:ascii="Arial" w:eastAsia="Arial" w:hAnsi="Arial" w:cs="Arial"/>
          <w:i/>
          <w:iCs/>
          <w:sz w:val="22"/>
          <w:szCs w:val="22"/>
          <w:lang w:val="en-GB"/>
        </w:rPr>
        <w:t xml:space="preserve"> et al. </w:t>
      </w:r>
      <w:r w:rsidRPr="00791D0F">
        <w:rPr>
          <w:rFonts w:ascii="Arial" w:eastAsia="Arial" w:hAnsi="Arial" w:cs="Arial"/>
          <w:sz w:val="22"/>
          <w:szCs w:val="22"/>
          <w:lang w:val="en-GB"/>
        </w:rPr>
        <w:t>(2023) suggest that there should be good systems in place to use safety information for learning and action. It is important to mention that this suggestion is also consistent with contemporary practices of University Hospitals Bristol and Weston NHS Foundation Trust  in terms of Learning from Deaths.</w:t>
      </w:r>
    </w:p>
    <w:p w14:paraId="77AA4658"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Second, a culture of patient safety should be fostered. This includes the implementation of patient safety education, incident reporting, feedback to employees and learning from incidents and near-misses. There should also be mechanisms where concerns could be raised psychologically safely. According to Agbar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(2023), the contribution of patient safety education to safety culture can be seen, while Draganović and Offermanns (2022) stress the importance of evidence-based approach to fostering safety culture. The evidence of University Hospitals Bristol and Weston NHS Foundation Trust (2025) shows some progress in this regard: the percentage of staff reporting that people involved in incidents are treated fairly increased from 65.4% to 66.1%, while the percentage of staff reporting that the organisation </w:t>
      </w:r>
      <w:r w:rsidRPr="00791D0F">
        <w:rPr>
          <w:rFonts w:ascii="Arial" w:eastAsia="Arial" w:hAnsi="Arial" w:cs="Arial"/>
          <w:sz w:val="22"/>
          <w:szCs w:val="22"/>
          <w:lang w:val="en-GB"/>
        </w:rPr>
        <w:lastRenderedPageBreak/>
        <w:t>prevents errors and incidents from occurring again increased from 70.2% to 71.0% (University Hospitals Bristol and Weston NHS Foundation Trust, 2025).</w:t>
      </w:r>
    </w:p>
    <w:p w14:paraId="5A599182"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Third, leadership should incorporate accountability and employee engagement. Leaders should be trained in patient safety leadership, human factors, and compassionate communication while being accountable for handling patient safety concerns. According to Ahmed</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xml:space="preserve">. (2024), there is a connection between leadership and patient safety and quality, while Ystaas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(2023) identify positive associations between transformational leadership, nursing environment, and patient outcomes. Patient safety leadership training needs to be provided to leaders to enable them to recognise risks, promote staff reporting, foster open communication and ensure lessons from errors are acted upon (Ahmed</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2024). The way in which this is achieved is by reinforcing trust, shared responsibility and continuous improvement, which in turn ultimately decreases preventable harm and enhances quality of patient care (Hibbert</w:t>
      </w:r>
      <w:r w:rsidRPr="00791D0F">
        <w:rPr>
          <w:rFonts w:ascii="Arial" w:eastAsia="Arial" w:hAnsi="Arial" w:cs="Arial"/>
          <w:i/>
          <w:iCs/>
          <w:sz w:val="22"/>
          <w:szCs w:val="22"/>
          <w:lang w:val="en-GB"/>
        </w:rPr>
        <w:t xml:space="preserve"> et al., </w:t>
      </w:r>
      <w:r w:rsidRPr="00791D0F">
        <w:rPr>
          <w:rFonts w:ascii="Arial" w:eastAsia="Arial" w:hAnsi="Arial" w:cs="Arial"/>
          <w:sz w:val="22"/>
          <w:szCs w:val="22"/>
          <w:lang w:val="en-GB"/>
        </w:rPr>
        <w:t>2023).</w:t>
      </w:r>
    </w:p>
    <w:p w14:paraId="39300583" w14:textId="77777777" w:rsidR="009A1540" w:rsidRPr="00791D0F" w:rsidRDefault="009A1540">
      <w:pPr>
        <w:rPr>
          <w:rFonts w:ascii="Arial" w:eastAsia="Arial" w:hAnsi="Arial" w:cs="Arial"/>
          <w:sz w:val="22"/>
          <w:szCs w:val="22"/>
          <w:lang w:val="en-GB"/>
        </w:rPr>
      </w:pPr>
    </w:p>
    <w:p w14:paraId="025051E7"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Fourthly, improvements can be made in terms of communication and multidisciplinary working. Multidisciplinary safety meetings, escalation processes and direct lines for patients and families to voice their concerns need to be embedded. According to Kelly</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xml:space="preserve">. (2023), there are human factors and teamwork which play a key role in safe clinical practice. Application of Martha's Rule in University Hospitals Bristol and Weston NHS Foundation Trust contemporary practice is important as well because it gives an opportunity to patients and families to make requests for clinical review in case when deterioration concerns are not sufficiently dealt with. It is crucial in order to learn the lesson of Bristol and make sure that concerns are considered and dealt with before anything bad happens (Osman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2025). Leaders must ensure that good, timely and respectful communication is ensured between doctors, nurses, pharmacists and other healthcare personnel (Kelly</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2023). Shared decision making can be assisted through regular multidisciplinary meetings, safety huddles and the timely identification and resolution of concerns.</w:t>
      </w:r>
    </w:p>
    <w:p w14:paraId="5E62C031" w14:textId="77777777" w:rsidR="009A1540" w:rsidRPr="00791D0F" w:rsidRDefault="00000000">
      <w:pPr>
        <w:pStyle w:val="Heading2"/>
        <w:rPr>
          <w:rFonts w:ascii="Arial" w:eastAsia="Arial" w:hAnsi="Arial" w:cs="Arial"/>
          <w:sz w:val="22"/>
          <w:szCs w:val="22"/>
          <w:lang w:val="en-GB"/>
        </w:rPr>
      </w:pPr>
      <w:bookmarkStart w:id="13" w:name="_heading=h.8vbznxk13yuk" w:colFirst="0" w:colLast="0"/>
      <w:bookmarkEnd w:id="13"/>
      <w:r w:rsidRPr="00791D0F">
        <w:rPr>
          <w:rFonts w:ascii="Arial" w:eastAsia="Arial" w:hAnsi="Arial" w:cs="Arial"/>
          <w:sz w:val="22"/>
          <w:szCs w:val="22"/>
          <w:lang w:val="en-GB"/>
        </w:rPr>
        <w:t>3.2 PDSA Implementation Plan</w:t>
      </w:r>
    </w:p>
    <w:p w14:paraId="0D73F744"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Plan</w:t>
      </w:r>
    </w:p>
    <w:p w14:paraId="34E19F8E" w14:textId="2578AE0C"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Stage one should begin by identifying the baseline data with regards to surgical mortality, incidence of complications, incident reports, the completion of clinical audit and perception of psychological safety amongst the staff members (Hibbert</w:t>
      </w:r>
      <w:r w:rsidRPr="00791D0F">
        <w:rPr>
          <w:rFonts w:ascii="Arial" w:eastAsia="Arial" w:hAnsi="Arial" w:cs="Arial"/>
          <w:i/>
          <w:iCs/>
          <w:sz w:val="22"/>
          <w:szCs w:val="22"/>
          <w:lang w:val="en-GB"/>
        </w:rPr>
        <w:t xml:space="preserve"> et al., </w:t>
      </w:r>
      <w:r w:rsidRPr="00791D0F">
        <w:rPr>
          <w:rFonts w:ascii="Arial" w:eastAsia="Arial" w:hAnsi="Arial" w:cs="Arial"/>
          <w:sz w:val="22"/>
          <w:szCs w:val="22"/>
          <w:lang w:val="en-GB"/>
        </w:rPr>
        <w:t xml:space="preserve">2023). The escalation process needs to be identified in order to determine where delays have occurred. The multidisciplinary </w:t>
      </w:r>
      <w:r w:rsidRPr="00791D0F">
        <w:rPr>
          <w:rFonts w:ascii="Arial" w:eastAsia="Arial" w:hAnsi="Arial" w:cs="Arial"/>
          <w:sz w:val="22"/>
          <w:szCs w:val="22"/>
          <w:lang w:val="en-GB"/>
        </w:rPr>
        <w:lastRenderedPageBreak/>
        <w:t xml:space="preserve">improvement team needs to consist of surgeons, nurses, anaesthetists, governance, management personnel, patients’ safety officers and patient representatives. Targets need to be set which could include 100% compliance with case review and appropriate escalation of the identified safety signals. This process follows the guidelines provided by Abuzied </w:t>
      </w:r>
      <w:r w:rsidRPr="00791D0F">
        <w:rPr>
          <w:rFonts w:ascii="Arial" w:eastAsia="Arial" w:hAnsi="Arial" w:cs="Arial"/>
          <w:i/>
          <w:iCs/>
          <w:sz w:val="22"/>
          <w:szCs w:val="22"/>
          <w:lang w:val="en-GB"/>
        </w:rPr>
        <w:t xml:space="preserve">et al. </w:t>
      </w:r>
      <w:r w:rsidRPr="00791D0F">
        <w:rPr>
          <w:rFonts w:ascii="Arial" w:eastAsia="Arial" w:hAnsi="Arial" w:cs="Arial"/>
          <w:sz w:val="22"/>
          <w:szCs w:val="22"/>
          <w:lang w:val="en-GB"/>
        </w:rPr>
        <w:t>(2023) who highlight the benefit of PDSA in healthcare improvement.</w:t>
      </w:r>
    </w:p>
    <w:p w14:paraId="4EB2D8BC"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Do</w:t>
      </w:r>
    </w:p>
    <w:p w14:paraId="3E318F72"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An initial pilot study should include introduction of a weekly multidisciplinary safety review, development of the standardised outcomes dashboard and implementation of the escalation protocol. Patient safety and human factors education should be provided to the staff and the incident reporting should be tied to feedback in order for the staff members to learn about the results of their concern (Huang</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2025).</w:t>
      </w:r>
    </w:p>
    <w:p w14:paraId="0E58D884"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noProof/>
          <w:sz w:val="22"/>
          <w:szCs w:val="22"/>
          <w:lang w:val="en-GB"/>
        </w:rPr>
        <w:drawing>
          <wp:inline distT="19050" distB="19050" distL="19050" distR="19050" wp14:anchorId="15A38E6A" wp14:editId="3E9B32E1">
            <wp:extent cx="3945255" cy="3390900"/>
            <wp:effectExtent l="25400" t="25400" r="25400" b="25400"/>
            <wp:docPr id="10" name="image4.png" descr="Framework • EIIC"/>
            <wp:cNvGraphicFramePr/>
            <a:graphic xmlns:a="http://schemas.openxmlformats.org/drawingml/2006/main">
              <a:graphicData uri="http://schemas.openxmlformats.org/drawingml/2006/picture">
                <pic:pic xmlns:pic="http://schemas.openxmlformats.org/drawingml/2006/picture">
                  <pic:nvPicPr>
                    <pic:cNvPr id="10" name="image4.png" descr="Framework • EIIC"/>
                    <pic:cNvPicPr preferRelativeResize="0"/>
                  </pic:nvPicPr>
                  <pic:blipFill>
                    <a:blip r:embed="rId10"/>
                    <a:srcRect/>
                    <a:stretch>
                      <a:fillRect/>
                    </a:stretch>
                  </pic:blipFill>
                  <pic:spPr>
                    <a:xfrm>
                      <a:off x="0" y="0"/>
                      <a:ext cx="3945255" cy="3390900"/>
                    </a:xfrm>
                    <a:prstGeom prst="rect">
                      <a:avLst/>
                    </a:prstGeom>
                    <a:ln w="25400">
                      <a:solidFill>
                        <a:srgbClr val="000000"/>
                      </a:solidFill>
                      <a:prstDash val="solid"/>
                    </a:ln>
                  </pic:spPr>
                </pic:pic>
              </a:graphicData>
            </a:graphic>
          </wp:inline>
        </w:drawing>
      </w:r>
    </w:p>
    <w:p w14:paraId="0176FA1A" w14:textId="77777777" w:rsidR="009A1540" w:rsidRPr="00791D0F" w:rsidRDefault="00000000">
      <w:pPr>
        <w:jc w:val="center"/>
        <w:rPr>
          <w:rFonts w:ascii="Arial" w:eastAsia="Arial" w:hAnsi="Arial" w:cs="Arial"/>
          <w:b/>
          <w:bCs/>
          <w:sz w:val="22"/>
          <w:szCs w:val="22"/>
          <w:lang w:val="en-GB"/>
        </w:rPr>
      </w:pPr>
      <w:r w:rsidRPr="00791D0F">
        <w:rPr>
          <w:rFonts w:ascii="Arial" w:eastAsia="Arial" w:hAnsi="Arial" w:cs="Arial"/>
          <w:b/>
          <w:bCs/>
          <w:sz w:val="22"/>
          <w:szCs w:val="22"/>
          <w:lang w:val="en-GB"/>
        </w:rPr>
        <w:t>Figure 4. PDSA Cycle</w:t>
      </w:r>
    </w:p>
    <w:p w14:paraId="4C65691F" w14:textId="77777777" w:rsidR="009A1540" w:rsidRPr="00791D0F" w:rsidRDefault="00000000">
      <w:pPr>
        <w:jc w:val="center"/>
        <w:rPr>
          <w:rFonts w:ascii="Arial" w:eastAsia="Arial" w:hAnsi="Arial" w:cs="Arial"/>
          <w:sz w:val="22"/>
          <w:szCs w:val="22"/>
          <w:lang w:val="en-GB"/>
        </w:rPr>
      </w:pPr>
      <w:r w:rsidRPr="00791D0F">
        <w:rPr>
          <w:rFonts w:ascii="Arial" w:eastAsia="Arial" w:hAnsi="Arial" w:cs="Arial"/>
          <w:sz w:val="22"/>
          <w:szCs w:val="22"/>
          <w:lang w:val="en-GB"/>
        </w:rPr>
        <w:t xml:space="preserve">(Source: Howick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2024)</w:t>
      </w:r>
    </w:p>
    <w:p w14:paraId="697EB482"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Study</w:t>
      </w:r>
    </w:p>
    <w:p w14:paraId="3CDFDA42"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Outcome and process measures should be used to evaluate the intervention. Outcome measures should encompass mortality, trends of adverse events and complications, while process measures should focus on the proportion of reviewed cases, audit completion, training completion and the time between detection and escalation of safety problems (Howick </w:t>
      </w:r>
      <w:r w:rsidRPr="00791D0F">
        <w:rPr>
          <w:rFonts w:ascii="Arial" w:eastAsia="Arial" w:hAnsi="Arial" w:cs="Arial"/>
          <w:i/>
          <w:iCs/>
          <w:sz w:val="22"/>
          <w:szCs w:val="22"/>
          <w:lang w:val="en-GB"/>
        </w:rPr>
        <w:t>et al</w:t>
      </w:r>
      <w:r w:rsidRPr="00791D0F">
        <w:rPr>
          <w:rFonts w:ascii="Arial" w:eastAsia="Arial" w:hAnsi="Arial" w:cs="Arial"/>
          <w:sz w:val="22"/>
          <w:szCs w:val="22"/>
          <w:lang w:val="en-GB"/>
        </w:rPr>
        <w:t xml:space="preserve">., </w:t>
      </w:r>
      <w:r w:rsidRPr="00791D0F">
        <w:rPr>
          <w:rFonts w:ascii="Arial" w:eastAsia="Arial" w:hAnsi="Arial" w:cs="Arial"/>
          <w:sz w:val="22"/>
          <w:szCs w:val="22"/>
          <w:lang w:val="en-GB"/>
        </w:rPr>
        <w:lastRenderedPageBreak/>
        <w:t xml:space="preserve">2024). Feedback regarding staff safety culture should also be obtained in order to determine whether staff members are able to raise any concerns. According to Toulany and Shojania (2025), measurement of improvement is supposed to yield results that allow learning rather than judging the performance. </w:t>
      </w:r>
    </w:p>
    <w:p w14:paraId="72C4F98E" w14:textId="77777777" w:rsidR="009A1540" w:rsidRPr="00791D0F" w:rsidRDefault="00000000">
      <w:pPr>
        <w:rPr>
          <w:rFonts w:ascii="Arial" w:eastAsia="Arial" w:hAnsi="Arial" w:cs="Arial"/>
          <w:b/>
          <w:bCs/>
          <w:sz w:val="22"/>
          <w:szCs w:val="22"/>
          <w:lang w:val="en-GB"/>
        </w:rPr>
      </w:pPr>
      <w:r w:rsidRPr="00791D0F">
        <w:rPr>
          <w:rFonts w:ascii="Arial" w:eastAsia="Arial" w:hAnsi="Arial" w:cs="Arial"/>
          <w:b/>
          <w:bCs/>
          <w:sz w:val="22"/>
          <w:szCs w:val="22"/>
          <w:lang w:val="en-GB"/>
        </w:rPr>
        <w:t>Act</w:t>
      </w:r>
    </w:p>
    <w:p w14:paraId="09A6A5CA"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In case of improvement in the pilot stage, the intervention is to be standardised and integrated into clinical governance routine, with ownership and ongoing monitoring being provided. In case of the failure to achieve the target, the barriers are to be identified, the intervention revised and a new PDSA cycle implemented. Bugnitz and Sandberg (2025) stress that efficient PDSA cycles involve focused aims, proper measurements and learning that helps in further testing. Thus, PDSA has to be viewed as an ongoing improvement cycle rather than a single project (Huang</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2025).</w:t>
      </w:r>
    </w:p>
    <w:p w14:paraId="5932EAC2" w14:textId="77777777" w:rsidR="009A1540" w:rsidRPr="00791D0F" w:rsidRDefault="00000000">
      <w:pPr>
        <w:pStyle w:val="Heading2"/>
        <w:rPr>
          <w:rFonts w:ascii="Arial" w:eastAsia="Arial" w:hAnsi="Arial" w:cs="Arial"/>
          <w:sz w:val="22"/>
          <w:szCs w:val="22"/>
          <w:lang w:val="en-GB"/>
        </w:rPr>
      </w:pPr>
      <w:bookmarkStart w:id="14" w:name="_heading=h.jxskxbiwuz1t" w:colFirst="0" w:colLast="0"/>
      <w:bookmarkEnd w:id="14"/>
      <w:r w:rsidRPr="00791D0F">
        <w:rPr>
          <w:rFonts w:ascii="Arial" w:eastAsia="Arial" w:hAnsi="Arial" w:cs="Arial"/>
          <w:sz w:val="22"/>
          <w:szCs w:val="22"/>
          <w:lang w:val="en-GB"/>
        </w:rPr>
        <w:t>3.3 Measurement and Sustainability</w:t>
      </w:r>
    </w:p>
    <w:p w14:paraId="1164ED0C"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Sustainability depends on a balanced set of SMART indicators. Outcome indicators would involve mortality in paediatric cardiac surgery, rate of adverse events, and complications rate (Huang</w:t>
      </w:r>
      <w:r w:rsidRPr="00791D0F">
        <w:rPr>
          <w:rFonts w:ascii="Arial" w:eastAsia="Arial" w:hAnsi="Arial" w:cs="Arial"/>
          <w:i/>
          <w:iCs/>
          <w:sz w:val="22"/>
          <w:szCs w:val="22"/>
          <w:lang w:val="en-GB"/>
        </w:rPr>
        <w:t xml:space="preserve"> et al.</w:t>
      </w:r>
      <w:r w:rsidRPr="00791D0F">
        <w:rPr>
          <w:rFonts w:ascii="Arial" w:eastAsia="Arial" w:hAnsi="Arial" w:cs="Arial"/>
          <w:sz w:val="22"/>
          <w:szCs w:val="22"/>
          <w:lang w:val="en-GB"/>
        </w:rPr>
        <w:t>, 2025). Process indicators would include percentage of eligible cases audited, percentage of clinical audits completed, percentage of staff training completed, and percentage of safety issues raised and acted on within the agreed timeline. The balancing indicators would measure the workload on staff, administrative burden and staff engagement to ensure that the activities do not create any unintended risks to patients. Toulany and Shojania (2025) advocate for measurement to guide sustainable improvement.</w:t>
      </w:r>
    </w:p>
    <w:p w14:paraId="67E68D4B" w14:textId="77777777" w:rsidR="009A1540" w:rsidRPr="00791D0F" w:rsidRDefault="00000000">
      <w:pPr>
        <w:pStyle w:val="Heading1"/>
        <w:rPr>
          <w:rFonts w:ascii="Arial" w:eastAsia="Arial" w:hAnsi="Arial" w:cs="Arial"/>
          <w:sz w:val="22"/>
          <w:szCs w:val="22"/>
          <w:lang w:val="en-GB"/>
        </w:rPr>
      </w:pPr>
      <w:bookmarkStart w:id="15" w:name="_heading=h.qsy0amg2rzaj" w:colFirst="0" w:colLast="0"/>
      <w:bookmarkEnd w:id="15"/>
      <w:r w:rsidRPr="00791D0F">
        <w:rPr>
          <w:rFonts w:ascii="Arial" w:eastAsia="Arial" w:hAnsi="Arial" w:cs="Arial"/>
          <w:sz w:val="22"/>
          <w:szCs w:val="22"/>
          <w:lang w:val="en-GB"/>
        </w:rPr>
        <w:t>4. Conclusion</w:t>
      </w:r>
    </w:p>
    <w:p w14:paraId="12C76F55" w14:textId="77777777" w:rsidR="009A1540" w:rsidRPr="00791D0F" w:rsidRDefault="00000000">
      <w:pPr>
        <w:rPr>
          <w:rFonts w:ascii="Arial" w:eastAsia="Arial" w:hAnsi="Arial" w:cs="Arial"/>
          <w:sz w:val="22"/>
          <w:szCs w:val="22"/>
          <w:lang w:val="en-GB"/>
        </w:rPr>
      </w:pPr>
      <w:r w:rsidRPr="00791D0F">
        <w:rPr>
          <w:rFonts w:ascii="Arial" w:eastAsia="Arial" w:hAnsi="Arial" w:cs="Arial"/>
          <w:sz w:val="22"/>
          <w:szCs w:val="22"/>
          <w:lang w:val="en-GB"/>
        </w:rPr>
        <w:t xml:space="preserve">The case of Bristol Royal Infirmary shows that significant patient safety problems emerge due to a combination of deficiencies related to governance, leadership, communication, monitoring, and organisational culture. The Fishbone and Five Whys analyses reveal such systemic factors, while the Donabedian Model proves that structural and process issues result in negative outcomes. In addition, the SWOT analysis determines the organisational strengths and limitations that are pertinent to the implementation of change. The proposed report suggests addressing issues of governance and accountability, patient safety culture, leadership and multidisciplinary communication. PDSA is the most suitable method for implementation since measures can be tried out, measured, and perfected prior to their integration into routine practice. Sustained change will depend on leadership responsibility, </w:t>
      </w:r>
      <w:r w:rsidRPr="00791D0F">
        <w:rPr>
          <w:rFonts w:ascii="Arial" w:eastAsia="Arial" w:hAnsi="Arial" w:cs="Arial"/>
          <w:sz w:val="22"/>
          <w:szCs w:val="22"/>
          <w:lang w:val="en-GB"/>
        </w:rPr>
        <w:lastRenderedPageBreak/>
        <w:t>reliable outcome measurement, employee involvement, lessons learned and mechanisms of acting on professionals' and patients' concerns.</w:t>
      </w:r>
    </w:p>
    <w:p w14:paraId="0806D7BD" w14:textId="77777777" w:rsidR="009A1540" w:rsidRPr="00791D0F" w:rsidRDefault="009A1540">
      <w:pPr>
        <w:rPr>
          <w:rFonts w:ascii="Arial" w:eastAsia="Arial" w:hAnsi="Arial" w:cs="Arial"/>
          <w:sz w:val="22"/>
          <w:szCs w:val="22"/>
          <w:lang w:val="en-GB"/>
        </w:rPr>
      </w:pPr>
    </w:p>
    <w:p w14:paraId="098F288F" w14:textId="77777777" w:rsidR="009A1540" w:rsidRPr="00791D0F" w:rsidRDefault="00000000">
      <w:pPr>
        <w:rPr>
          <w:rFonts w:ascii="Arial" w:eastAsia="Arial" w:hAnsi="Arial" w:cs="Arial"/>
          <w:sz w:val="22"/>
          <w:szCs w:val="22"/>
          <w:lang w:val="en-GB"/>
        </w:rPr>
      </w:pPr>
      <w:r w:rsidRPr="00791D0F">
        <w:rPr>
          <w:rFonts w:ascii="Arial" w:hAnsi="Arial" w:cs="Arial"/>
          <w:lang w:val="en-GB"/>
        </w:rPr>
        <w:br w:type="page"/>
      </w:r>
    </w:p>
    <w:p w14:paraId="5413A095" w14:textId="77777777" w:rsidR="009A1540" w:rsidRPr="00791D0F" w:rsidRDefault="00000000">
      <w:pPr>
        <w:pStyle w:val="Heading1"/>
        <w:rPr>
          <w:rFonts w:ascii="Arial" w:eastAsia="Arial" w:hAnsi="Arial" w:cs="Arial"/>
          <w:sz w:val="22"/>
          <w:szCs w:val="22"/>
          <w:lang w:val="en-GB"/>
        </w:rPr>
      </w:pPr>
      <w:bookmarkStart w:id="16" w:name="_heading=h.e40hwhyi64xa" w:colFirst="0" w:colLast="0"/>
      <w:bookmarkEnd w:id="16"/>
      <w:r w:rsidRPr="00791D0F">
        <w:rPr>
          <w:rFonts w:ascii="Arial" w:eastAsia="Arial" w:hAnsi="Arial" w:cs="Arial"/>
          <w:sz w:val="22"/>
          <w:szCs w:val="22"/>
          <w:lang w:val="en-GB"/>
        </w:rPr>
        <w:lastRenderedPageBreak/>
        <w:t>References</w:t>
      </w:r>
    </w:p>
    <w:p w14:paraId="10045B88"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Abuzied, Y., Alshammary, S.A., Alhalahlah, T. and Somduth, S. (2023) ‘Using FOCUS-PDSA quality improvement methodology model in healthcare: process and outcomes’, </w:t>
      </w:r>
      <w:r w:rsidRPr="00791D0F">
        <w:rPr>
          <w:rFonts w:ascii="Arial" w:eastAsia="Arial" w:hAnsi="Arial" w:cs="Arial"/>
          <w:i/>
          <w:iCs/>
          <w:sz w:val="22"/>
          <w:szCs w:val="22"/>
          <w:lang w:val="en-GB"/>
        </w:rPr>
        <w:t>Global Journal on Quality and Safety in Healthcare</w:t>
      </w:r>
      <w:r w:rsidRPr="00791D0F">
        <w:rPr>
          <w:rFonts w:ascii="Arial" w:eastAsia="Arial" w:hAnsi="Arial" w:cs="Arial"/>
          <w:sz w:val="22"/>
          <w:szCs w:val="22"/>
          <w:lang w:val="en-GB"/>
        </w:rPr>
        <w:t>, 6(2), pp.70–72. Available at:</w:t>
      </w:r>
      <w:hyperlink r:id="rId11">
        <w:r w:rsidR="009A1540" w:rsidRPr="00791D0F">
          <w:rPr>
            <w:rFonts w:ascii="Arial" w:eastAsia="Arial" w:hAnsi="Arial" w:cs="Arial"/>
            <w:sz w:val="22"/>
            <w:szCs w:val="22"/>
            <w:lang w:val="en-GB"/>
          </w:rPr>
          <w:t xml:space="preserve"> </w:t>
        </w:r>
      </w:hyperlink>
      <w:hyperlink r:id="rId12">
        <w:r w:rsidR="009A1540" w:rsidRPr="00791D0F">
          <w:rPr>
            <w:rFonts w:ascii="Arial" w:eastAsia="Arial" w:hAnsi="Arial" w:cs="Arial"/>
            <w:color w:val="1155CC"/>
            <w:sz w:val="22"/>
            <w:szCs w:val="22"/>
            <w:u w:val="single"/>
            <w:lang w:val="en-GB"/>
          </w:rPr>
          <w:t>https://doi.org/10.36401/JQSH-22-19</w:t>
        </w:r>
      </w:hyperlink>
    </w:p>
    <w:p w14:paraId="12383D5C"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Agency for Healthcare Research and Quality (AHRQ) (2024) </w:t>
      </w:r>
      <w:r w:rsidRPr="00791D0F">
        <w:rPr>
          <w:rFonts w:ascii="Arial" w:eastAsia="Arial" w:hAnsi="Arial" w:cs="Arial"/>
          <w:i/>
          <w:iCs/>
          <w:sz w:val="22"/>
          <w:szCs w:val="22"/>
          <w:lang w:val="en-GB"/>
        </w:rPr>
        <w:t>Root Cause Analysis</w:t>
      </w:r>
      <w:r w:rsidRPr="00791D0F">
        <w:rPr>
          <w:rFonts w:ascii="Arial" w:eastAsia="Arial" w:hAnsi="Arial" w:cs="Arial"/>
          <w:sz w:val="22"/>
          <w:szCs w:val="22"/>
          <w:lang w:val="en-GB"/>
        </w:rPr>
        <w:t>. Patient Safety Network. Available at:</w:t>
      </w:r>
      <w:hyperlink r:id="rId13">
        <w:r w:rsidR="009A1540" w:rsidRPr="00791D0F">
          <w:rPr>
            <w:rFonts w:ascii="Arial" w:eastAsia="Arial" w:hAnsi="Arial" w:cs="Arial"/>
            <w:sz w:val="22"/>
            <w:szCs w:val="22"/>
            <w:lang w:val="en-GB"/>
          </w:rPr>
          <w:t xml:space="preserve"> </w:t>
        </w:r>
      </w:hyperlink>
      <w:hyperlink r:id="rId14">
        <w:r w:rsidR="009A1540" w:rsidRPr="00791D0F">
          <w:rPr>
            <w:rFonts w:ascii="Arial" w:eastAsia="Arial" w:hAnsi="Arial" w:cs="Arial"/>
            <w:color w:val="1155CC"/>
            <w:sz w:val="22"/>
            <w:szCs w:val="22"/>
            <w:u w:val="single"/>
            <w:lang w:val="en-GB"/>
          </w:rPr>
          <w:t>https://psnet.ahrq.gov/primer/root-cause-analysis</w:t>
        </w:r>
      </w:hyperlink>
      <w:r w:rsidRPr="00791D0F">
        <w:rPr>
          <w:rFonts w:ascii="Arial" w:eastAsia="Arial" w:hAnsi="Arial" w:cs="Arial"/>
          <w:sz w:val="22"/>
          <w:szCs w:val="22"/>
          <w:lang w:val="en-GB"/>
        </w:rPr>
        <w:t xml:space="preserve"> (Accessed: 10 August 2026).</w:t>
      </w:r>
    </w:p>
    <w:p w14:paraId="1296BACE"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Agbar, F., Zhang, S., Wu, Y. and Mustafa, M. (2023) ‘Effect of patient safety education interventions on patient safety culture of health care professionals: Systematic review and meta-analysis’, </w:t>
      </w:r>
      <w:r w:rsidRPr="00791D0F">
        <w:rPr>
          <w:rFonts w:ascii="Arial" w:eastAsia="Arial" w:hAnsi="Arial" w:cs="Arial"/>
          <w:i/>
          <w:iCs/>
          <w:sz w:val="22"/>
          <w:szCs w:val="22"/>
          <w:lang w:val="en-GB"/>
        </w:rPr>
        <w:t>Nurse Education in Practice</w:t>
      </w:r>
      <w:r w:rsidRPr="00791D0F">
        <w:rPr>
          <w:rFonts w:ascii="Arial" w:eastAsia="Arial" w:hAnsi="Arial" w:cs="Arial"/>
          <w:sz w:val="22"/>
          <w:szCs w:val="22"/>
          <w:lang w:val="en-GB"/>
        </w:rPr>
        <w:t>, 67, p.103565.</w:t>
      </w:r>
    </w:p>
    <w:p w14:paraId="3B893625"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Ahmed, Z., Ellahham, S., Soomro, M., Shams, S. and Latif, K. (2024) ‘Exploring the impact of compassion and leadership on patient safety and quality in healthcare systems: A narrative review’, </w:t>
      </w:r>
      <w:r w:rsidRPr="00791D0F">
        <w:rPr>
          <w:rFonts w:ascii="Arial" w:eastAsia="Arial" w:hAnsi="Arial" w:cs="Arial"/>
          <w:i/>
          <w:iCs/>
          <w:sz w:val="22"/>
          <w:szCs w:val="22"/>
          <w:lang w:val="en-GB"/>
        </w:rPr>
        <w:t>BMJ Open Quality</w:t>
      </w:r>
      <w:r w:rsidRPr="00791D0F">
        <w:rPr>
          <w:rFonts w:ascii="Arial" w:eastAsia="Arial" w:hAnsi="Arial" w:cs="Arial"/>
          <w:sz w:val="22"/>
          <w:szCs w:val="22"/>
          <w:lang w:val="en-GB"/>
        </w:rPr>
        <w:t>, 13(Suppl. 2).</w:t>
      </w:r>
    </w:p>
    <w:p w14:paraId="19EF03F5"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Amina, A., Kassem, A. and Sleem, W. (2022) ‘Applying Lewin's change management theory to improve patient's discharge plan’, </w:t>
      </w:r>
      <w:r w:rsidRPr="00791D0F">
        <w:rPr>
          <w:rFonts w:ascii="Arial" w:eastAsia="Arial" w:hAnsi="Arial" w:cs="Arial"/>
          <w:i/>
          <w:iCs/>
          <w:sz w:val="22"/>
          <w:szCs w:val="22"/>
          <w:lang w:val="en-GB"/>
        </w:rPr>
        <w:t>Mansoura Nursing Journal</w:t>
      </w:r>
      <w:r w:rsidRPr="00791D0F">
        <w:rPr>
          <w:rFonts w:ascii="Arial" w:eastAsia="Arial" w:hAnsi="Arial" w:cs="Arial"/>
          <w:sz w:val="22"/>
          <w:szCs w:val="22"/>
          <w:lang w:val="en-GB"/>
        </w:rPr>
        <w:t>, 9(2), pp.335–348. Available at:</w:t>
      </w:r>
      <w:hyperlink r:id="rId15">
        <w:r w:rsidR="009A1540" w:rsidRPr="00791D0F">
          <w:rPr>
            <w:rFonts w:ascii="Arial" w:eastAsia="Arial" w:hAnsi="Arial" w:cs="Arial"/>
            <w:sz w:val="22"/>
            <w:szCs w:val="22"/>
            <w:lang w:val="en-GB"/>
          </w:rPr>
          <w:t xml:space="preserve"> </w:t>
        </w:r>
      </w:hyperlink>
      <w:hyperlink r:id="rId16">
        <w:r w:rsidR="009A1540" w:rsidRPr="00791D0F">
          <w:rPr>
            <w:rFonts w:ascii="Arial" w:eastAsia="Arial" w:hAnsi="Arial" w:cs="Arial"/>
            <w:color w:val="1155CC"/>
            <w:sz w:val="22"/>
            <w:szCs w:val="22"/>
            <w:u w:val="single"/>
            <w:lang w:val="en-GB"/>
          </w:rPr>
          <w:t>https://journals.ekb.eg/article_295591_2e01c440a7769101b9fd53066f06f65c.pdf</w:t>
        </w:r>
      </w:hyperlink>
    </w:p>
    <w:p w14:paraId="017791AB"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Barr, E. and Brannan, G.D. (2024) ‘Quality improvement methods (Lean, PDSA, Six Sigma)’, in </w:t>
      </w:r>
      <w:r w:rsidRPr="00791D0F">
        <w:rPr>
          <w:rFonts w:ascii="Arial" w:eastAsia="Arial" w:hAnsi="Arial" w:cs="Arial"/>
          <w:i/>
          <w:iCs/>
          <w:sz w:val="22"/>
          <w:szCs w:val="22"/>
          <w:lang w:val="en-GB"/>
        </w:rPr>
        <w:t>StatPearls [Internet]</w:t>
      </w:r>
      <w:r w:rsidRPr="00791D0F">
        <w:rPr>
          <w:rFonts w:ascii="Arial" w:eastAsia="Arial" w:hAnsi="Arial" w:cs="Arial"/>
          <w:sz w:val="22"/>
          <w:szCs w:val="22"/>
          <w:lang w:val="en-GB"/>
        </w:rPr>
        <w:t>. Treasure Island, FL: StatPearls Publishing. Available at:</w:t>
      </w:r>
      <w:hyperlink r:id="rId17">
        <w:r w:rsidR="009A1540" w:rsidRPr="00791D0F">
          <w:rPr>
            <w:rFonts w:ascii="Arial" w:eastAsia="Arial" w:hAnsi="Arial" w:cs="Arial"/>
            <w:sz w:val="22"/>
            <w:szCs w:val="22"/>
            <w:lang w:val="en-GB"/>
          </w:rPr>
          <w:t xml:space="preserve"> </w:t>
        </w:r>
      </w:hyperlink>
      <w:hyperlink r:id="rId18">
        <w:r w:rsidR="009A1540" w:rsidRPr="00791D0F">
          <w:rPr>
            <w:rFonts w:ascii="Arial" w:eastAsia="Arial" w:hAnsi="Arial" w:cs="Arial"/>
            <w:color w:val="1155CC"/>
            <w:sz w:val="22"/>
            <w:szCs w:val="22"/>
            <w:u w:val="single"/>
            <w:lang w:val="en-GB"/>
          </w:rPr>
          <w:t>https://www.ncbi.nlm.nih.gov/books/NBK599556/</w:t>
        </w:r>
      </w:hyperlink>
    </w:p>
    <w:p w14:paraId="631C016B"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Braithwaite, J. (2018) ‘Changing how we think about healthcare improvement’, </w:t>
      </w:r>
      <w:r w:rsidRPr="00791D0F">
        <w:rPr>
          <w:rFonts w:ascii="Arial" w:eastAsia="Arial" w:hAnsi="Arial" w:cs="Arial"/>
          <w:i/>
          <w:iCs/>
          <w:sz w:val="22"/>
          <w:szCs w:val="22"/>
          <w:lang w:val="en-GB"/>
        </w:rPr>
        <w:t>BMJ</w:t>
      </w:r>
      <w:r w:rsidRPr="00791D0F">
        <w:rPr>
          <w:rFonts w:ascii="Arial" w:eastAsia="Arial" w:hAnsi="Arial" w:cs="Arial"/>
          <w:sz w:val="22"/>
          <w:szCs w:val="22"/>
          <w:lang w:val="en-GB"/>
        </w:rPr>
        <w:t>, 361.</w:t>
      </w:r>
    </w:p>
    <w:p w14:paraId="446F5DD5"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Bristol (2001) </w:t>
      </w:r>
      <w:r w:rsidRPr="00791D0F">
        <w:rPr>
          <w:rFonts w:ascii="Arial" w:eastAsia="Arial" w:hAnsi="Arial" w:cs="Arial"/>
          <w:i/>
          <w:iCs/>
          <w:sz w:val="22"/>
          <w:szCs w:val="22"/>
          <w:lang w:val="en-GB"/>
        </w:rPr>
        <w:t>Report of the Public Inquiry into children’s heart surgery at the Bristol Royal Infirmary 1984–1995</w:t>
      </w:r>
      <w:r w:rsidRPr="00791D0F">
        <w:rPr>
          <w:rFonts w:ascii="Arial" w:eastAsia="Arial" w:hAnsi="Arial" w:cs="Arial"/>
          <w:sz w:val="22"/>
          <w:szCs w:val="22"/>
          <w:lang w:val="en-GB"/>
        </w:rPr>
        <w:t>. Available at:</w:t>
      </w:r>
      <w:hyperlink r:id="rId19">
        <w:r w:rsidR="009A1540" w:rsidRPr="00791D0F">
          <w:rPr>
            <w:rFonts w:ascii="Arial" w:eastAsia="Arial" w:hAnsi="Arial" w:cs="Arial"/>
            <w:sz w:val="22"/>
            <w:szCs w:val="22"/>
            <w:lang w:val="en-GB"/>
          </w:rPr>
          <w:t xml:space="preserve"> </w:t>
        </w:r>
      </w:hyperlink>
      <w:hyperlink r:id="rId20">
        <w:r w:rsidR="009A1540" w:rsidRPr="00791D0F">
          <w:rPr>
            <w:rFonts w:ascii="Arial" w:eastAsia="Arial" w:hAnsi="Arial" w:cs="Arial"/>
            <w:color w:val="1155CC"/>
            <w:sz w:val="22"/>
            <w:szCs w:val="22"/>
            <w:u w:val="single"/>
            <w:lang w:val="en-GB"/>
          </w:rPr>
          <w:t>https://www.bristol-inquiry.org.uk/final_report/the_report.pdf</w:t>
        </w:r>
      </w:hyperlink>
      <w:r w:rsidRPr="00791D0F">
        <w:rPr>
          <w:rFonts w:ascii="Arial" w:eastAsia="Arial" w:hAnsi="Arial" w:cs="Arial"/>
          <w:sz w:val="22"/>
          <w:szCs w:val="22"/>
          <w:lang w:val="en-GB"/>
        </w:rPr>
        <w:t xml:space="preserve"> (Accessed: 17 July 2026).</w:t>
      </w:r>
    </w:p>
    <w:p w14:paraId="7F6F9243"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Bugnitz, C. and Sandberg, K.C. (2025) ‘Creating effective PDSA cycles’, </w:t>
      </w:r>
      <w:r w:rsidRPr="00791D0F">
        <w:rPr>
          <w:rFonts w:ascii="Arial" w:eastAsia="Arial" w:hAnsi="Arial" w:cs="Arial"/>
          <w:i/>
          <w:iCs/>
          <w:sz w:val="22"/>
          <w:szCs w:val="22"/>
          <w:lang w:val="en-GB"/>
        </w:rPr>
        <w:t>Current Problems in Pediatric and Adolescent Health Care</w:t>
      </w:r>
      <w:r w:rsidRPr="00791D0F">
        <w:rPr>
          <w:rFonts w:ascii="Arial" w:eastAsia="Arial" w:hAnsi="Arial" w:cs="Arial"/>
          <w:sz w:val="22"/>
          <w:szCs w:val="22"/>
          <w:lang w:val="en-GB"/>
        </w:rPr>
        <w:t>, p.101759. Available at:</w:t>
      </w:r>
      <w:hyperlink r:id="rId21">
        <w:r w:rsidR="009A1540" w:rsidRPr="00791D0F">
          <w:rPr>
            <w:rFonts w:ascii="Arial" w:eastAsia="Arial" w:hAnsi="Arial" w:cs="Arial"/>
            <w:sz w:val="22"/>
            <w:szCs w:val="22"/>
            <w:lang w:val="en-GB"/>
          </w:rPr>
          <w:t xml:space="preserve"> </w:t>
        </w:r>
      </w:hyperlink>
      <w:hyperlink r:id="rId22">
        <w:r w:rsidR="009A1540" w:rsidRPr="00791D0F">
          <w:rPr>
            <w:rFonts w:ascii="Arial" w:eastAsia="Arial" w:hAnsi="Arial" w:cs="Arial"/>
            <w:color w:val="1155CC"/>
            <w:sz w:val="22"/>
            <w:szCs w:val="22"/>
            <w:u w:val="single"/>
            <w:lang w:val="en-GB"/>
          </w:rPr>
          <w:t>https://doi.org/10.1016/j.cppeds.2025.101759</w:t>
        </w:r>
      </w:hyperlink>
    </w:p>
    <w:p w14:paraId="764B0507"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Donabedian, A. (1988) ‘The quality of care: How can it be assessed?’, </w:t>
      </w:r>
      <w:r w:rsidRPr="00791D0F">
        <w:rPr>
          <w:rFonts w:ascii="Arial" w:eastAsia="Arial" w:hAnsi="Arial" w:cs="Arial"/>
          <w:i/>
          <w:iCs/>
          <w:sz w:val="22"/>
          <w:szCs w:val="22"/>
          <w:lang w:val="en-GB"/>
        </w:rPr>
        <w:t>JAMA</w:t>
      </w:r>
      <w:r w:rsidRPr="00791D0F">
        <w:rPr>
          <w:rFonts w:ascii="Arial" w:eastAsia="Arial" w:hAnsi="Arial" w:cs="Arial"/>
          <w:sz w:val="22"/>
          <w:szCs w:val="22"/>
          <w:lang w:val="en-GB"/>
        </w:rPr>
        <w:t>, 260(12), pp.1743–1748.</w:t>
      </w:r>
    </w:p>
    <w:p w14:paraId="370CE4F0"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lastRenderedPageBreak/>
        <w:t xml:space="preserve">Drennan, J., Murphy, A., McCarthy, V.J., Ball, J., Duffield, C., Crouch, R., Kelly, G., Draganović, Š. and Offermanns, G. (2022) ‘Patient safety culture in Austria and recommendations of evidence-based instruments for improving patient safety’, </w:t>
      </w:r>
      <w:r w:rsidRPr="00791D0F">
        <w:rPr>
          <w:rFonts w:ascii="Arial" w:eastAsia="Arial" w:hAnsi="Arial" w:cs="Arial"/>
          <w:i/>
          <w:iCs/>
          <w:sz w:val="22"/>
          <w:szCs w:val="22"/>
          <w:lang w:val="en-GB"/>
        </w:rPr>
        <w:t>PLOS ONE</w:t>
      </w:r>
      <w:r w:rsidRPr="00791D0F">
        <w:rPr>
          <w:rFonts w:ascii="Arial" w:eastAsia="Arial" w:hAnsi="Arial" w:cs="Arial"/>
          <w:sz w:val="22"/>
          <w:szCs w:val="22"/>
          <w:lang w:val="en-GB"/>
        </w:rPr>
        <w:t>, 17(10), p.e0274805.</w:t>
      </w:r>
    </w:p>
    <w:p w14:paraId="04B7ADB9"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Harrison, R., Fischer, S., Walpola, R.L., Chauhan, A., Babalola, T., Mears, S. and Le-Dao, H. (2021) ‘Where do models for change management, improvement and implementation meet? A systematic review of the applications of change management models in healthcare’, </w:t>
      </w:r>
      <w:r w:rsidRPr="00791D0F">
        <w:rPr>
          <w:rFonts w:ascii="Arial" w:eastAsia="Arial" w:hAnsi="Arial" w:cs="Arial"/>
          <w:i/>
          <w:iCs/>
          <w:sz w:val="22"/>
          <w:szCs w:val="22"/>
          <w:lang w:val="en-GB"/>
        </w:rPr>
        <w:t>Journal of Healthcare Leadership</w:t>
      </w:r>
      <w:r w:rsidRPr="00791D0F">
        <w:rPr>
          <w:rFonts w:ascii="Arial" w:eastAsia="Arial" w:hAnsi="Arial" w:cs="Arial"/>
          <w:sz w:val="22"/>
          <w:szCs w:val="22"/>
          <w:lang w:val="en-GB"/>
        </w:rPr>
        <w:t>, pp.85–108.</w:t>
      </w:r>
    </w:p>
    <w:p w14:paraId="15904037"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Hibbert, P.D., Stewart, S., Wiles, L.K., Braithwaite, J., Runciman, W.B. and Thomas, M.J. (2023) ‘Improving patient safety governance and systems through learning from successes and failures: Qualitative surveys and interviews with international experts’, </w:t>
      </w:r>
      <w:r w:rsidRPr="00791D0F">
        <w:rPr>
          <w:rFonts w:ascii="Arial" w:eastAsia="Arial" w:hAnsi="Arial" w:cs="Arial"/>
          <w:i/>
          <w:iCs/>
          <w:sz w:val="22"/>
          <w:szCs w:val="22"/>
          <w:lang w:val="en-GB"/>
        </w:rPr>
        <w:t>International Journal for Quality in Health Care</w:t>
      </w:r>
      <w:r w:rsidRPr="00791D0F">
        <w:rPr>
          <w:rFonts w:ascii="Arial" w:eastAsia="Arial" w:hAnsi="Arial" w:cs="Arial"/>
          <w:sz w:val="22"/>
          <w:szCs w:val="22"/>
          <w:lang w:val="en-GB"/>
        </w:rPr>
        <w:t>, 35(4). Available at:</w:t>
      </w:r>
      <w:hyperlink r:id="rId23">
        <w:r w:rsidR="009A1540" w:rsidRPr="00791D0F">
          <w:rPr>
            <w:rFonts w:ascii="Arial" w:eastAsia="Arial" w:hAnsi="Arial" w:cs="Arial"/>
            <w:sz w:val="22"/>
            <w:szCs w:val="22"/>
            <w:lang w:val="en-GB"/>
          </w:rPr>
          <w:t xml:space="preserve"> </w:t>
        </w:r>
      </w:hyperlink>
      <w:hyperlink r:id="rId24">
        <w:r w:rsidR="009A1540" w:rsidRPr="00791D0F">
          <w:rPr>
            <w:rFonts w:ascii="Arial" w:eastAsia="Arial" w:hAnsi="Arial" w:cs="Arial"/>
            <w:color w:val="1155CC"/>
            <w:sz w:val="22"/>
            <w:szCs w:val="22"/>
            <w:u w:val="single"/>
            <w:lang w:val="en-GB"/>
          </w:rPr>
          <w:t>https://pmc.ncbi.nlm.nih.gov/articles/PMC10656601/</w:t>
        </w:r>
      </w:hyperlink>
    </w:p>
    <w:p w14:paraId="59FC45B0"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Howick, J., Bennett-Weston, A., Solomon, J., Nockels, K., Bostock, J. and Keshtkar, L. (2024) ‘How does communication affect patient safety? Protocol for a systematic review and logic model’, </w:t>
      </w:r>
      <w:r w:rsidRPr="00791D0F">
        <w:rPr>
          <w:rFonts w:ascii="Arial" w:eastAsia="Arial" w:hAnsi="Arial" w:cs="Arial"/>
          <w:i/>
          <w:iCs/>
          <w:sz w:val="22"/>
          <w:szCs w:val="22"/>
          <w:lang w:val="en-GB"/>
        </w:rPr>
        <w:t>BMJ Open</w:t>
      </w:r>
      <w:r w:rsidRPr="00791D0F">
        <w:rPr>
          <w:rFonts w:ascii="Arial" w:eastAsia="Arial" w:hAnsi="Arial" w:cs="Arial"/>
          <w:sz w:val="22"/>
          <w:szCs w:val="22"/>
          <w:lang w:val="en-GB"/>
        </w:rPr>
        <w:t>, 14(5), p.e085312. Available at:</w:t>
      </w:r>
      <w:hyperlink r:id="rId25">
        <w:r w:rsidR="009A1540" w:rsidRPr="00791D0F">
          <w:rPr>
            <w:rFonts w:ascii="Arial" w:eastAsia="Arial" w:hAnsi="Arial" w:cs="Arial"/>
            <w:sz w:val="22"/>
            <w:szCs w:val="22"/>
            <w:lang w:val="en-GB"/>
          </w:rPr>
          <w:t xml:space="preserve"> </w:t>
        </w:r>
      </w:hyperlink>
      <w:hyperlink r:id="rId26">
        <w:r w:rsidR="009A1540" w:rsidRPr="00791D0F">
          <w:rPr>
            <w:rFonts w:ascii="Arial" w:eastAsia="Arial" w:hAnsi="Arial" w:cs="Arial"/>
            <w:color w:val="1155CC"/>
            <w:sz w:val="22"/>
            <w:szCs w:val="22"/>
            <w:u w:val="single"/>
            <w:lang w:val="en-GB"/>
          </w:rPr>
          <w:t>https://doi.org/10.1136/bmjopen-2024-085312</w:t>
        </w:r>
      </w:hyperlink>
    </w:p>
    <w:p w14:paraId="3E0A4442"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Huang, Z., Bi, Y., Zhang, K., Hu, B., Su, Z., Tai, C. and Luan, X. (2025) ‘PDSA-FL: A Poisoning-Defense Secure Aggregation in Federated Learning’, </w:t>
      </w:r>
      <w:r w:rsidRPr="00791D0F">
        <w:rPr>
          <w:rFonts w:ascii="Arial" w:eastAsia="Arial" w:hAnsi="Arial" w:cs="Arial"/>
          <w:i/>
          <w:iCs/>
          <w:sz w:val="22"/>
          <w:szCs w:val="22"/>
          <w:lang w:val="en-GB"/>
        </w:rPr>
        <w:t>IEEE Transactions on Information Forensics and Security</w:t>
      </w:r>
      <w:r w:rsidRPr="00791D0F">
        <w:rPr>
          <w:rFonts w:ascii="Arial" w:eastAsia="Arial" w:hAnsi="Arial" w:cs="Arial"/>
          <w:sz w:val="22"/>
          <w:szCs w:val="22"/>
          <w:lang w:val="en-GB"/>
        </w:rPr>
        <w:t>. Available at:</w:t>
      </w:r>
      <w:hyperlink r:id="rId27">
        <w:r w:rsidR="009A1540" w:rsidRPr="00791D0F">
          <w:rPr>
            <w:rFonts w:ascii="Arial" w:eastAsia="Arial" w:hAnsi="Arial" w:cs="Arial"/>
            <w:sz w:val="22"/>
            <w:szCs w:val="22"/>
            <w:lang w:val="en-GB"/>
          </w:rPr>
          <w:t xml:space="preserve"> </w:t>
        </w:r>
      </w:hyperlink>
      <w:hyperlink r:id="rId28">
        <w:r w:rsidR="009A1540" w:rsidRPr="00791D0F">
          <w:rPr>
            <w:rFonts w:ascii="Arial" w:eastAsia="Arial" w:hAnsi="Arial" w:cs="Arial"/>
            <w:color w:val="1155CC"/>
            <w:sz w:val="22"/>
            <w:szCs w:val="22"/>
            <w:u w:val="single"/>
            <w:lang w:val="en-GB"/>
          </w:rPr>
          <w:t>https://doi.org/10.1109/TIFS.2025.3588324</w:t>
        </w:r>
      </w:hyperlink>
    </w:p>
    <w:p w14:paraId="2AE97138"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Jalilvand, M.A., Raeisi, A.R. and Shaarbafchizadeh, N. (2024) ‘Hospital governance accountability structure: A scoping review’, </w:t>
      </w:r>
      <w:r w:rsidRPr="00791D0F">
        <w:rPr>
          <w:rFonts w:ascii="Arial" w:eastAsia="Arial" w:hAnsi="Arial" w:cs="Arial"/>
          <w:i/>
          <w:iCs/>
          <w:sz w:val="22"/>
          <w:szCs w:val="22"/>
          <w:lang w:val="en-GB"/>
        </w:rPr>
        <w:t>BMC Health Services Research</w:t>
      </w:r>
      <w:r w:rsidRPr="00791D0F">
        <w:rPr>
          <w:rFonts w:ascii="Arial" w:eastAsia="Arial" w:hAnsi="Arial" w:cs="Arial"/>
          <w:sz w:val="22"/>
          <w:szCs w:val="22"/>
          <w:lang w:val="en-GB"/>
        </w:rPr>
        <w:t>, 24(1), p.47.</w:t>
      </w:r>
    </w:p>
    <w:p w14:paraId="58A931A2"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Kelly, F.E., Frerk, C., Bailey, C.R., Cook, T.M., Ferguson, K., Flin, R., Fong, K., Groom, P., John, C., Lang, A.R. and Meek, T. (2023) ‘Human factors in anaesthesia: A narrative review’, </w:t>
      </w:r>
      <w:r w:rsidRPr="00791D0F">
        <w:rPr>
          <w:rFonts w:ascii="Arial" w:eastAsia="Arial" w:hAnsi="Arial" w:cs="Arial"/>
          <w:i/>
          <w:iCs/>
          <w:sz w:val="22"/>
          <w:szCs w:val="22"/>
          <w:lang w:val="en-GB"/>
        </w:rPr>
        <w:t>Anaesthesia</w:t>
      </w:r>
      <w:r w:rsidRPr="00791D0F">
        <w:rPr>
          <w:rFonts w:ascii="Arial" w:eastAsia="Arial" w:hAnsi="Arial" w:cs="Arial"/>
          <w:sz w:val="22"/>
          <w:szCs w:val="22"/>
          <w:lang w:val="en-GB"/>
        </w:rPr>
        <w:t>, 78(4), pp.479–490.</w:t>
      </w:r>
    </w:p>
    <w:p w14:paraId="6DE1E7D8"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Kumah, A., Nwogu, C.N., Issah, A.R., Obot, E., Kanamitie, D.T., Sifa, J.S. and Aidoo, L.A. (2024) ‘Cause-and-effect (fishbone) diagram: A tool for generating and organizing quality improvement ideas’, </w:t>
      </w:r>
      <w:r w:rsidRPr="00791D0F">
        <w:rPr>
          <w:rFonts w:ascii="Arial" w:eastAsia="Arial" w:hAnsi="Arial" w:cs="Arial"/>
          <w:i/>
          <w:iCs/>
          <w:sz w:val="22"/>
          <w:szCs w:val="22"/>
          <w:lang w:val="en-GB"/>
        </w:rPr>
        <w:t>Global Journal on Quality and Safety in Healthcare</w:t>
      </w:r>
      <w:r w:rsidRPr="00791D0F">
        <w:rPr>
          <w:rFonts w:ascii="Arial" w:eastAsia="Arial" w:hAnsi="Arial" w:cs="Arial"/>
          <w:sz w:val="22"/>
          <w:szCs w:val="22"/>
          <w:lang w:val="en-GB"/>
        </w:rPr>
        <w:t>, 7(2), pp.85–87.</w:t>
      </w:r>
    </w:p>
    <w:p w14:paraId="0E883B10"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Lee, S.E., Dahinten, V.S. and Lee, J.H. (2023) ‘Testing the association between the enabling and enacting factors of patient safety culture and patient safety: Structural equation modelling’, </w:t>
      </w:r>
      <w:r w:rsidRPr="00791D0F">
        <w:rPr>
          <w:rFonts w:ascii="Arial" w:eastAsia="Arial" w:hAnsi="Arial" w:cs="Arial"/>
          <w:i/>
          <w:iCs/>
          <w:sz w:val="22"/>
          <w:szCs w:val="22"/>
          <w:lang w:val="en-GB"/>
        </w:rPr>
        <w:t>BMC Nursing</w:t>
      </w:r>
      <w:r w:rsidRPr="00791D0F">
        <w:rPr>
          <w:rFonts w:ascii="Arial" w:eastAsia="Arial" w:hAnsi="Arial" w:cs="Arial"/>
          <w:sz w:val="22"/>
          <w:szCs w:val="22"/>
          <w:lang w:val="en-GB"/>
        </w:rPr>
        <w:t>, 22(1), p.32.</w:t>
      </w:r>
    </w:p>
    <w:p w14:paraId="1B4E9661"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lastRenderedPageBreak/>
        <w:t xml:space="preserve">Maclean, M. (2001) ‘Doctors, parents and the law—organ retention after paediatric cardiac surgery at the Bristol Royal Infirmary’, </w:t>
      </w:r>
      <w:r w:rsidRPr="00791D0F">
        <w:rPr>
          <w:rFonts w:ascii="Arial" w:eastAsia="Arial" w:hAnsi="Arial" w:cs="Arial"/>
          <w:i/>
          <w:iCs/>
          <w:sz w:val="22"/>
          <w:szCs w:val="22"/>
          <w:lang w:val="en-GB"/>
        </w:rPr>
        <w:t>Child &amp; Family Law Quarterly</w:t>
      </w:r>
      <w:r w:rsidRPr="00791D0F">
        <w:rPr>
          <w:rFonts w:ascii="Arial" w:eastAsia="Arial" w:hAnsi="Arial" w:cs="Arial"/>
          <w:sz w:val="22"/>
          <w:szCs w:val="22"/>
          <w:lang w:val="en-GB"/>
        </w:rPr>
        <w:t>, 13, p.399. Available at:</w:t>
      </w:r>
      <w:hyperlink r:id="rId29">
        <w:r w:rsidR="009A1540" w:rsidRPr="00791D0F">
          <w:rPr>
            <w:rFonts w:ascii="Arial" w:eastAsia="Arial" w:hAnsi="Arial" w:cs="Arial"/>
            <w:sz w:val="22"/>
            <w:szCs w:val="22"/>
            <w:lang w:val="en-GB"/>
          </w:rPr>
          <w:t xml:space="preserve"> </w:t>
        </w:r>
      </w:hyperlink>
      <w:hyperlink r:id="rId30">
        <w:r w:rsidR="009A1540" w:rsidRPr="00791D0F">
          <w:rPr>
            <w:rFonts w:ascii="Arial" w:eastAsia="Arial" w:hAnsi="Arial" w:cs="Arial"/>
            <w:color w:val="1155CC"/>
            <w:sz w:val="22"/>
            <w:szCs w:val="22"/>
            <w:u w:val="single"/>
            <w:lang w:val="en-GB"/>
          </w:rPr>
          <w:t>https://heinonline.org/hol-cgi-bin/get_pdf.cgi?handle=hein.journals/chilflq13&amp;section=39</w:t>
        </w:r>
      </w:hyperlink>
    </w:p>
    <w:p w14:paraId="30EBB83E"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McCullough, K., Andrew, L., Genoni, A., Dunham, M., Whitehead, L. and Porock, D. (2023) ‘An examination of primary health care nursing service evaluation using the Donabedian model: A systematic review’, </w:t>
      </w:r>
      <w:r w:rsidRPr="00791D0F">
        <w:rPr>
          <w:rFonts w:ascii="Arial" w:eastAsia="Arial" w:hAnsi="Arial" w:cs="Arial"/>
          <w:i/>
          <w:iCs/>
          <w:sz w:val="22"/>
          <w:szCs w:val="22"/>
          <w:lang w:val="en-GB"/>
        </w:rPr>
        <w:t>Research in Nursing &amp; Health</w:t>
      </w:r>
      <w:r w:rsidRPr="00791D0F">
        <w:rPr>
          <w:rFonts w:ascii="Arial" w:eastAsia="Arial" w:hAnsi="Arial" w:cs="Arial"/>
          <w:sz w:val="22"/>
          <w:szCs w:val="22"/>
          <w:lang w:val="en-GB"/>
        </w:rPr>
        <w:t>, 46(1), pp.159–176. Available at:</w:t>
      </w:r>
      <w:hyperlink r:id="rId31">
        <w:r w:rsidR="009A1540" w:rsidRPr="00791D0F">
          <w:rPr>
            <w:rFonts w:ascii="Arial" w:eastAsia="Arial" w:hAnsi="Arial" w:cs="Arial"/>
            <w:sz w:val="22"/>
            <w:szCs w:val="22"/>
            <w:lang w:val="en-GB"/>
          </w:rPr>
          <w:t xml:space="preserve"> </w:t>
        </w:r>
      </w:hyperlink>
      <w:hyperlink r:id="rId32">
        <w:r w:rsidR="009A1540" w:rsidRPr="00791D0F">
          <w:rPr>
            <w:rFonts w:ascii="Arial" w:eastAsia="Arial" w:hAnsi="Arial" w:cs="Arial"/>
            <w:color w:val="1155CC"/>
            <w:sz w:val="22"/>
            <w:szCs w:val="22"/>
            <w:u w:val="single"/>
            <w:lang w:val="en-GB"/>
          </w:rPr>
          <w:t>https://doi.org/10.1002/nur.22291</w:t>
        </w:r>
      </w:hyperlink>
    </w:p>
    <w:p w14:paraId="5E07F46B"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Moralee, S., Sidhu, M., Smith, J. and Walshe, K. (2025) </w:t>
      </w:r>
      <w:r w:rsidRPr="00791D0F">
        <w:rPr>
          <w:rFonts w:ascii="Arial" w:eastAsia="Arial" w:hAnsi="Arial" w:cs="Arial"/>
          <w:i/>
          <w:iCs/>
          <w:sz w:val="22"/>
          <w:szCs w:val="22"/>
          <w:lang w:val="en-GB"/>
        </w:rPr>
        <w:t>Healthcare Management</w:t>
      </w:r>
      <w:r w:rsidRPr="00791D0F">
        <w:rPr>
          <w:rFonts w:ascii="Arial" w:eastAsia="Arial" w:hAnsi="Arial" w:cs="Arial"/>
          <w:sz w:val="22"/>
          <w:szCs w:val="22"/>
          <w:lang w:val="en-GB"/>
        </w:rPr>
        <w:t>. 4th edn. London: McGraw-Hill Education.</w:t>
      </w:r>
    </w:p>
    <w:p w14:paraId="72389B2A"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Osman, C., Twum, F.O., Boateng, P.A. and Owusu, J. (2025) ‘Decision-making speed and organizational effectiveness among West African institutions: A systematic literature review’, </w:t>
      </w:r>
      <w:r w:rsidRPr="00791D0F">
        <w:rPr>
          <w:rFonts w:ascii="Arial" w:eastAsia="Arial" w:hAnsi="Arial" w:cs="Arial"/>
          <w:i/>
          <w:iCs/>
          <w:sz w:val="22"/>
          <w:szCs w:val="22"/>
          <w:lang w:val="en-GB"/>
        </w:rPr>
        <w:t>International Journal of Research in Social Science and Humanities (IJRSS)</w:t>
      </w:r>
      <w:r w:rsidRPr="00791D0F">
        <w:rPr>
          <w:rFonts w:ascii="Arial" w:eastAsia="Arial" w:hAnsi="Arial" w:cs="Arial"/>
          <w:sz w:val="22"/>
          <w:szCs w:val="22"/>
          <w:lang w:val="en-GB"/>
        </w:rPr>
        <w:t>, 6(3), pp.86–99. Available at:</w:t>
      </w:r>
      <w:hyperlink r:id="rId33">
        <w:r w:rsidR="009A1540" w:rsidRPr="00791D0F">
          <w:rPr>
            <w:rFonts w:ascii="Arial" w:eastAsia="Arial" w:hAnsi="Arial" w:cs="Arial"/>
            <w:sz w:val="22"/>
            <w:szCs w:val="22"/>
            <w:lang w:val="en-GB"/>
          </w:rPr>
          <w:t xml:space="preserve"> </w:t>
        </w:r>
      </w:hyperlink>
      <w:hyperlink r:id="rId34">
        <w:r w:rsidR="009A1540" w:rsidRPr="00791D0F">
          <w:rPr>
            <w:rFonts w:ascii="Arial" w:eastAsia="Arial" w:hAnsi="Arial" w:cs="Arial"/>
            <w:color w:val="1155CC"/>
            <w:sz w:val="22"/>
            <w:szCs w:val="22"/>
            <w:u w:val="single"/>
            <w:lang w:val="en-GB"/>
          </w:rPr>
          <w:t>https://doi.org/10.47505/IJRSS.2025.3.9</w:t>
        </w:r>
      </w:hyperlink>
    </w:p>
    <w:p w14:paraId="00A5827D"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Singh, G., Patel, R.H., Vaqar, S. and Boster, J. (2024) ‘Root cause analysis and medical error prevention’, in </w:t>
      </w:r>
      <w:r w:rsidRPr="00791D0F">
        <w:rPr>
          <w:rFonts w:ascii="Arial" w:eastAsia="Arial" w:hAnsi="Arial" w:cs="Arial"/>
          <w:i/>
          <w:iCs/>
          <w:sz w:val="22"/>
          <w:szCs w:val="22"/>
          <w:lang w:val="en-GB"/>
        </w:rPr>
        <w:t>StatPearls [Internet]</w:t>
      </w:r>
      <w:r w:rsidRPr="00791D0F">
        <w:rPr>
          <w:rFonts w:ascii="Arial" w:eastAsia="Arial" w:hAnsi="Arial" w:cs="Arial"/>
          <w:sz w:val="22"/>
          <w:szCs w:val="22"/>
          <w:lang w:val="en-GB"/>
        </w:rPr>
        <w:t>. Treasure Island, FL: StatPearls Publishing.</w:t>
      </w:r>
    </w:p>
    <w:p w14:paraId="688B9BFF"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Toulany, A. and Shojania, K.G. (2025) </w:t>
      </w:r>
      <w:r w:rsidRPr="00791D0F">
        <w:rPr>
          <w:rFonts w:ascii="Arial" w:eastAsia="Arial" w:hAnsi="Arial" w:cs="Arial"/>
          <w:i/>
          <w:iCs/>
          <w:sz w:val="22"/>
          <w:szCs w:val="22"/>
          <w:lang w:val="en-GB"/>
        </w:rPr>
        <w:t>Measurement for Improvement</w:t>
      </w:r>
      <w:r w:rsidRPr="00791D0F">
        <w:rPr>
          <w:rFonts w:ascii="Arial" w:eastAsia="Arial" w:hAnsi="Arial" w:cs="Arial"/>
          <w:sz w:val="22"/>
          <w:szCs w:val="22"/>
          <w:lang w:val="en-GB"/>
        </w:rPr>
        <w:t>. Cambridge: Cambridge University Press.</w:t>
      </w:r>
    </w:p>
    <w:p w14:paraId="4EEC7462"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University Hospitals Bristol and Weston NHS Foundation Trust (2025) </w:t>
      </w:r>
      <w:r w:rsidRPr="00791D0F">
        <w:rPr>
          <w:rFonts w:ascii="Arial" w:eastAsia="Arial" w:hAnsi="Arial" w:cs="Arial"/>
          <w:i/>
          <w:iCs/>
          <w:sz w:val="22"/>
          <w:szCs w:val="22"/>
          <w:lang w:val="en-GB"/>
        </w:rPr>
        <w:t>Annual Report and Accounts 2024/25</w:t>
      </w:r>
      <w:r w:rsidRPr="00791D0F">
        <w:rPr>
          <w:rFonts w:ascii="Arial" w:eastAsia="Arial" w:hAnsi="Arial" w:cs="Arial"/>
          <w:sz w:val="22"/>
          <w:szCs w:val="22"/>
          <w:lang w:val="en-GB"/>
        </w:rPr>
        <w:t>. Bristol: University Hospitals Bristol and Weston NHS Foundation Trust. Available at:</w:t>
      </w:r>
      <w:hyperlink r:id="rId35">
        <w:r w:rsidR="009A1540" w:rsidRPr="00791D0F">
          <w:rPr>
            <w:rFonts w:ascii="Arial" w:eastAsia="Arial" w:hAnsi="Arial" w:cs="Arial"/>
            <w:sz w:val="22"/>
            <w:szCs w:val="22"/>
            <w:lang w:val="en-GB"/>
          </w:rPr>
          <w:t xml:space="preserve"> </w:t>
        </w:r>
      </w:hyperlink>
      <w:hyperlink r:id="rId36">
        <w:r w:rsidR="009A1540" w:rsidRPr="00791D0F">
          <w:rPr>
            <w:rFonts w:ascii="Arial" w:eastAsia="Arial" w:hAnsi="Arial" w:cs="Arial"/>
            <w:color w:val="1155CC"/>
            <w:sz w:val="22"/>
            <w:szCs w:val="22"/>
            <w:u w:val="single"/>
            <w:lang w:val="en-GB"/>
          </w:rPr>
          <w:t>https://www.uhbw.nhs.uk/assets/1/uhbw_annual_report_2024-25_full.pdf</w:t>
        </w:r>
      </w:hyperlink>
      <w:r w:rsidRPr="00791D0F">
        <w:rPr>
          <w:rFonts w:ascii="Arial" w:eastAsia="Arial" w:hAnsi="Arial" w:cs="Arial"/>
          <w:sz w:val="22"/>
          <w:szCs w:val="22"/>
          <w:lang w:val="en-GB"/>
        </w:rPr>
        <w:t xml:space="preserve"> (Accessed: 10 August 2026).</w:t>
      </w:r>
    </w:p>
    <w:p w14:paraId="6039A45F"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Walshe, K. and Offen, N. (2001) ‘A very public failure: lessons for quality improvement in healthcare organisations from the Bristol Royal Infirmary’, </w:t>
      </w:r>
      <w:r w:rsidRPr="00791D0F">
        <w:rPr>
          <w:rFonts w:ascii="Arial" w:eastAsia="Arial" w:hAnsi="Arial" w:cs="Arial"/>
          <w:i/>
          <w:iCs/>
          <w:sz w:val="22"/>
          <w:szCs w:val="22"/>
          <w:lang w:val="en-GB"/>
        </w:rPr>
        <w:t>BMJ Quality &amp; Safety</w:t>
      </w:r>
      <w:r w:rsidRPr="00791D0F">
        <w:rPr>
          <w:rFonts w:ascii="Arial" w:eastAsia="Arial" w:hAnsi="Arial" w:cs="Arial"/>
          <w:sz w:val="22"/>
          <w:szCs w:val="22"/>
          <w:lang w:val="en-GB"/>
        </w:rPr>
        <w:t>, 10(4), pp.250–256. Available at:</w:t>
      </w:r>
      <w:hyperlink r:id="rId37">
        <w:r w:rsidR="009A1540" w:rsidRPr="00791D0F">
          <w:rPr>
            <w:rFonts w:ascii="Arial" w:eastAsia="Arial" w:hAnsi="Arial" w:cs="Arial"/>
            <w:sz w:val="22"/>
            <w:szCs w:val="22"/>
            <w:lang w:val="en-GB"/>
          </w:rPr>
          <w:t xml:space="preserve"> </w:t>
        </w:r>
      </w:hyperlink>
      <w:hyperlink r:id="rId38">
        <w:r w:rsidR="009A1540" w:rsidRPr="00791D0F">
          <w:rPr>
            <w:rFonts w:ascii="Arial" w:eastAsia="Arial" w:hAnsi="Arial" w:cs="Arial"/>
            <w:color w:val="1155CC"/>
            <w:sz w:val="22"/>
            <w:szCs w:val="22"/>
            <w:u w:val="single"/>
            <w:lang w:val="en-GB"/>
          </w:rPr>
          <w:t>https://www.healthaffairs.org/doi/10.1377/hlthaff.23.3.103</w:t>
        </w:r>
      </w:hyperlink>
    </w:p>
    <w:p w14:paraId="1E63C960"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t xml:space="preserve">Western Regional Educator Network (2024) </w:t>
      </w:r>
      <w:r w:rsidRPr="00791D0F">
        <w:rPr>
          <w:rFonts w:ascii="Arial" w:eastAsia="Arial" w:hAnsi="Arial" w:cs="Arial"/>
          <w:i/>
          <w:iCs/>
          <w:sz w:val="22"/>
          <w:szCs w:val="22"/>
          <w:lang w:val="en-GB"/>
        </w:rPr>
        <w:t>The PDSA Cycle</w:t>
      </w:r>
      <w:r w:rsidRPr="00791D0F">
        <w:rPr>
          <w:rFonts w:ascii="Arial" w:eastAsia="Arial" w:hAnsi="Arial" w:cs="Arial"/>
          <w:sz w:val="22"/>
          <w:szCs w:val="22"/>
          <w:lang w:val="en-GB"/>
        </w:rPr>
        <w:t>. Available at:</w:t>
      </w:r>
      <w:hyperlink r:id="rId39">
        <w:r w:rsidR="009A1540" w:rsidRPr="00791D0F">
          <w:rPr>
            <w:rFonts w:ascii="Arial" w:eastAsia="Arial" w:hAnsi="Arial" w:cs="Arial"/>
            <w:sz w:val="22"/>
            <w:szCs w:val="22"/>
            <w:lang w:val="en-GB"/>
          </w:rPr>
          <w:t xml:space="preserve"> </w:t>
        </w:r>
      </w:hyperlink>
      <w:hyperlink r:id="rId40">
        <w:r w:rsidR="009A1540" w:rsidRPr="00791D0F">
          <w:rPr>
            <w:rFonts w:ascii="Arial" w:eastAsia="Arial" w:hAnsi="Arial" w:cs="Arial"/>
            <w:color w:val="1155CC"/>
            <w:sz w:val="22"/>
            <w:szCs w:val="22"/>
            <w:u w:val="single"/>
            <w:lang w:val="en-GB"/>
          </w:rPr>
          <w:t>https://www.westernregionalnetwork.org/post/the-pdsa-cycle</w:t>
        </w:r>
      </w:hyperlink>
      <w:r w:rsidRPr="00791D0F">
        <w:rPr>
          <w:rFonts w:ascii="Arial" w:eastAsia="Arial" w:hAnsi="Arial" w:cs="Arial"/>
          <w:sz w:val="22"/>
          <w:szCs w:val="22"/>
          <w:lang w:val="en-GB"/>
        </w:rPr>
        <w:t xml:space="preserve"> (Accessed: 10 August 2026).</w:t>
      </w:r>
    </w:p>
    <w:p w14:paraId="75311AD3" w14:textId="77777777" w:rsidR="009A1540" w:rsidRPr="00791D0F" w:rsidRDefault="00000000">
      <w:pPr>
        <w:spacing w:before="240" w:after="240"/>
        <w:rPr>
          <w:rFonts w:ascii="Arial" w:eastAsia="Arial" w:hAnsi="Arial" w:cs="Arial"/>
          <w:color w:val="1155CC"/>
          <w:sz w:val="22"/>
          <w:szCs w:val="22"/>
          <w:u w:val="single"/>
          <w:lang w:val="en-GB"/>
        </w:rPr>
      </w:pPr>
      <w:r w:rsidRPr="00791D0F">
        <w:rPr>
          <w:rFonts w:ascii="Arial" w:eastAsia="Arial" w:hAnsi="Arial" w:cs="Arial"/>
          <w:sz w:val="22"/>
          <w:szCs w:val="22"/>
          <w:lang w:val="en-GB"/>
        </w:rPr>
        <w:t xml:space="preserve">Yang, J., Liu, F., Yang, C., Wei, J., Ma, Y., Xu, L., Xie, J. and Wang, J. (2025) ‘Application of Donabedian Three-Dimensional Model in Outpatient Care Quality: A Scoping Review’, </w:t>
      </w:r>
      <w:r w:rsidRPr="00791D0F">
        <w:rPr>
          <w:rFonts w:ascii="Arial" w:eastAsia="Arial" w:hAnsi="Arial" w:cs="Arial"/>
          <w:i/>
          <w:iCs/>
          <w:sz w:val="22"/>
          <w:szCs w:val="22"/>
          <w:lang w:val="en-GB"/>
        </w:rPr>
        <w:t>Journal of Nursing Management</w:t>
      </w:r>
      <w:r w:rsidRPr="00791D0F">
        <w:rPr>
          <w:rFonts w:ascii="Arial" w:eastAsia="Arial" w:hAnsi="Arial" w:cs="Arial"/>
          <w:sz w:val="22"/>
          <w:szCs w:val="22"/>
          <w:lang w:val="en-GB"/>
        </w:rPr>
        <w:t>, 2025(1), p.6893336. Available at:</w:t>
      </w:r>
      <w:hyperlink r:id="rId41">
        <w:r w:rsidR="009A1540" w:rsidRPr="00791D0F">
          <w:rPr>
            <w:rFonts w:ascii="Arial" w:eastAsia="Arial" w:hAnsi="Arial" w:cs="Arial"/>
            <w:sz w:val="22"/>
            <w:szCs w:val="22"/>
            <w:lang w:val="en-GB"/>
          </w:rPr>
          <w:t xml:space="preserve"> </w:t>
        </w:r>
      </w:hyperlink>
      <w:hyperlink r:id="rId42">
        <w:r w:rsidR="009A1540" w:rsidRPr="00791D0F">
          <w:rPr>
            <w:rFonts w:ascii="Arial" w:eastAsia="Arial" w:hAnsi="Arial" w:cs="Arial"/>
            <w:color w:val="1155CC"/>
            <w:sz w:val="22"/>
            <w:szCs w:val="22"/>
            <w:u w:val="single"/>
            <w:lang w:val="en-GB"/>
          </w:rPr>
          <w:t>https://pubmed.ncbi.nlm.nih.gov/40313787/</w:t>
        </w:r>
      </w:hyperlink>
    </w:p>
    <w:p w14:paraId="77DEFE45" w14:textId="77777777" w:rsidR="009A1540" w:rsidRPr="00791D0F" w:rsidRDefault="00000000">
      <w:pPr>
        <w:spacing w:before="240" w:after="240"/>
        <w:rPr>
          <w:rFonts w:ascii="Arial" w:eastAsia="Arial" w:hAnsi="Arial" w:cs="Arial"/>
          <w:sz w:val="22"/>
          <w:szCs w:val="22"/>
          <w:lang w:val="en-GB"/>
        </w:rPr>
      </w:pPr>
      <w:r w:rsidRPr="00791D0F">
        <w:rPr>
          <w:rFonts w:ascii="Arial" w:eastAsia="Arial" w:hAnsi="Arial" w:cs="Arial"/>
          <w:sz w:val="22"/>
          <w:szCs w:val="22"/>
          <w:lang w:val="en-GB"/>
        </w:rPr>
        <w:lastRenderedPageBreak/>
        <w:t xml:space="preserve">Ystaas, L.M.K., Nikitara, M., Ghobrial, S., Latzourakis, E., Polychronis, G. and Constantinou, C.S. (2023) ‘The impact of transformational leadership in the nursing work environment and patients’ outcomes: A systematic review’, </w:t>
      </w:r>
      <w:r w:rsidRPr="00791D0F">
        <w:rPr>
          <w:rFonts w:ascii="Arial" w:eastAsia="Arial" w:hAnsi="Arial" w:cs="Arial"/>
          <w:i/>
          <w:iCs/>
          <w:sz w:val="22"/>
          <w:szCs w:val="22"/>
          <w:lang w:val="en-GB"/>
        </w:rPr>
        <w:t>Nursing Reports</w:t>
      </w:r>
      <w:r w:rsidRPr="00791D0F">
        <w:rPr>
          <w:rFonts w:ascii="Arial" w:eastAsia="Arial" w:hAnsi="Arial" w:cs="Arial"/>
          <w:sz w:val="22"/>
          <w:szCs w:val="22"/>
          <w:lang w:val="en-GB"/>
        </w:rPr>
        <w:t>, 13(3), pp.1271–1290.</w:t>
      </w:r>
    </w:p>
    <w:p w14:paraId="40CD9361" w14:textId="77777777" w:rsidR="009A1540" w:rsidRPr="00791D0F" w:rsidRDefault="009A1540">
      <w:pPr>
        <w:rPr>
          <w:rFonts w:ascii="Arial" w:eastAsia="Arial" w:hAnsi="Arial" w:cs="Arial"/>
          <w:sz w:val="22"/>
          <w:szCs w:val="22"/>
          <w:lang w:val="en-GB"/>
        </w:rPr>
      </w:pPr>
    </w:p>
    <w:sectPr w:rsidR="009A1540" w:rsidRPr="00791D0F">
      <w:footerReference w:type="default" r:id="rId4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D62ED" w14:textId="77777777" w:rsidR="008B7E72" w:rsidRDefault="008B7E72">
      <w:pPr>
        <w:spacing w:line="240" w:lineRule="auto"/>
      </w:pPr>
      <w:r>
        <w:separator/>
      </w:r>
    </w:p>
  </w:endnote>
  <w:endnote w:type="continuationSeparator" w:id="0">
    <w:p w14:paraId="226247EE" w14:textId="77777777" w:rsidR="008B7E72" w:rsidRDefault="008B7E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embedRegular r:id="rId1" w:fontKey="{09DD6307-B8A5-498A-862D-505D410BA49D}"/>
    <w:embedBold r:id="rId2" w:fontKey="{3950CEDF-3083-42DA-B0B5-0E94B3E7ECE4}"/>
    <w:embedItalic r:id="rId3" w:fontKey="{60BD9B58-6283-4DF7-B60B-5C1A285CBF9B}"/>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0F6FA3ED-E6DE-46BD-8F24-49B5AF4959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C85C3" w14:textId="496E7ABE" w:rsidR="009A1540" w:rsidRDefault="00000000">
    <w:pP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91D0F">
      <w:rPr>
        <w:rFonts w:ascii="Arial" w:eastAsia="Arial" w:hAnsi="Arial" w:cs="Arial"/>
        <w:noProof/>
        <w:color w:val="000000"/>
      </w:rPr>
      <w:t>2</w:t>
    </w:r>
    <w:r>
      <w:rPr>
        <w:rFonts w:ascii="Arial" w:eastAsia="Arial" w:hAnsi="Arial" w:cs="Arial"/>
        <w:color w:val="000000"/>
      </w:rPr>
      <w:fldChar w:fldCharType="end"/>
    </w:r>
  </w:p>
  <w:p w14:paraId="3A445BF6" w14:textId="77777777" w:rsidR="009A1540" w:rsidRDefault="009A1540">
    <w:pPr>
      <w:tabs>
        <w:tab w:val="center" w:pos="4513"/>
        <w:tab w:val="right" w:pos="9026"/>
      </w:tabs>
      <w:spacing w:after="0"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4300D" w14:textId="77777777" w:rsidR="008B7E72" w:rsidRDefault="008B7E72">
      <w:pPr>
        <w:spacing w:after="0"/>
      </w:pPr>
      <w:r>
        <w:separator/>
      </w:r>
    </w:p>
  </w:footnote>
  <w:footnote w:type="continuationSeparator" w:id="0">
    <w:p w14:paraId="6D6CB6A3" w14:textId="77777777" w:rsidR="008B7E72" w:rsidRDefault="008B7E72">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embedTrueTypeFont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540"/>
    <w:rsid w:val="00126A85"/>
    <w:rsid w:val="005E3A2F"/>
    <w:rsid w:val="00791D0F"/>
    <w:rsid w:val="008B674A"/>
    <w:rsid w:val="008B7E72"/>
    <w:rsid w:val="009A1540"/>
    <w:rsid w:val="00AA327B"/>
    <w:rsid w:val="00C47054"/>
    <w:rsid w:val="06D33B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4E0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GB" w:bidi="ar-SA"/>
      </w:rPr>
    </w:rPrDefault>
    <w:pPrDefault/>
  </w:docDefaults>
  <w:latentStyles w:defLockedState="0" w:defUIPriority="0" w:defSemiHidden="0" w:defUnhideWhenUsed="0" w:defQFormat="0" w:count="376">
    <w:lsdException w:name="Normal" w:qFormat="1"/>
    <w:lsdException w:name="heading 2" w:qFormat="1"/>
    <w:lsdException w:name="heading 3"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header" w:uiPriority="99" w:unhideWhenUsed="1" w:qFormat="1"/>
    <w:lsdException w:name="footer" w:uiPriority="99" w:unhideWhenUsed="1" w:qFormat="1"/>
    <w:lsdException w:name="caption" w:semiHidden="1" w:unhideWhenUsed="1" w:qFormat="1"/>
    <w:lsdException w:name="Title" w:qFormat="1"/>
    <w:lsdException w:name="Default Paragraph Font" w:semiHidden="1" w:uiPriority="1" w:unhideWhenUsed="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jc w:val="both"/>
    </w:pPr>
    <w:rPr>
      <w:sz w:val="24"/>
      <w:szCs w:val="24"/>
      <w:lang w:val="zh-CN"/>
    </w:rPr>
  </w:style>
  <w:style w:type="paragraph" w:styleId="Heading1">
    <w:name w:val="heading 1"/>
    <w:basedOn w:val="Normal"/>
    <w:next w:val="Normal"/>
    <w:pPr>
      <w:keepNext/>
      <w:keepLines/>
      <w:outlineLvl w:val="0"/>
    </w:pPr>
    <w:rPr>
      <w:b/>
      <w:bCs/>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ListParagraph">
    <w:name w:val="List Paragraph"/>
    <w:basedOn w:val="Normal"/>
    <w:uiPriority w:val="99"/>
    <w:pPr>
      <w:ind w:left="720"/>
      <w:contextualSpacing/>
    </w:pPr>
  </w:style>
  <w:style w:type="table" w:customStyle="1" w:styleId="Style23">
    <w:name w:val="_Style 23"/>
    <w:basedOn w:val="TableNormal0"/>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snet.ahrq.gov/primer/root-cause-analysis" TargetMode="External"/><Relationship Id="rId18" Type="http://schemas.openxmlformats.org/officeDocument/2006/relationships/hyperlink" Target="https://www.ncbi.nlm.nih.gov/books/NBK599556/" TargetMode="External"/><Relationship Id="rId26" Type="http://schemas.openxmlformats.org/officeDocument/2006/relationships/hyperlink" Target="https://doi.org/10.1136/bmjopen-2024-085312" TargetMode="External"/><Relationship Id="rId39" Type="http://schemas.openxmlformats.org/officeDocument/2006/relationships/hyperlink" Target="https://www.westernregionalnetwork.org/post/the-pdsa-cycle" TargetMode="External"/><Relationship Id="rId21" Type="http://schemas.openxmlformats.org/officeDocument/2006/relationships/hyperlink" Target="https://doi.org/10.1016/j.cppeds.2025.101759" TargetMode="External"/><Relationship Id="rId34" Type="http://schemas.openxmlformats.org/officeDocument/2006/relationships/hyperlink" Target="https://doi.org/10.47505/IJRSS.2025.3.9" TargetMode="External"/><Relationship Id="rId42" Type="http://schemas.openxmlformats.org/officeDocument/2006/relationships/hyperlink" Target="https://pubmed.ncbi.nlm.nih.gov/40313787/"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journals.ekb.eg/article_295591_2e01c440a7769101b9fd53066f06f65c.pdf" TargetMode="External"/><Relationship Id="rId29" Type="http://schemas.openxmlformats.org/officeDocument/2006/relationships/hyperlink" Target="https://heinonline.org/hol-cgi-bin/get_pdf.cgi?handle=hein.journals/chilflq13&amp;section=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6401/JQSH-22-19" TargetMode="External"/><Relationship Id="rId24" Type="http://schemas.openxmlformats.org/officeDocument/2006/relationships/hyperlink" Target="https://pmc.ncbi.nlm.nih.gov/articles/PMC10656601/" TargetMode="External"/><Relationship Id="rId32" Type="http://schemas.openxmlformats.org/officeDocument/2006/relationships/hyperlink" Target="https://doi.org/10.1002/nur.22291" TargetMode="External"/><Relationship Id="rId37" Type="http://schemas.openxmlformats.org/officeDocument/2006/relationships/hyperlink" Target="https://www.healthaffairs.org/doi/10.1377/hlthaff.23.3.103" TargetMode="External"/><Relationship Id="rId40" Type="http://schemas.openxmlformats.org/officeDocument/2006/relationships/hyperlink" Target="https://www.westernregionalnetwork.org/post/the-pdsa-cycle"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ekb.eg/article_295591_2e01c440a7769101b9fd53066f06f65c.pdf" TargetMode="External"/><Relationship Id="rId23" Type="http://schemas.openxmlformats.org/officeDocument/2006/relationships/hyperlink" Target="https://pmc.ncbi.nlm.nih.gov/articles/PMC10656601/" TargetMode="External"/><Relationship Id="rId28" Type="http://schemas.openxmlformats.org/officeDocument/2006/relationships/hyperlink" Target="https://doi.org/10.1109/TIFS.2025.3588324" TargetMode="External"/><Relationship Id="rId36" Type="http://schemas.openxmlformats.org/officeDocument/2006/relationships/hyperlink" Target="https://www.uhbw.nhs.uk/assets/1/uhbw_annual_report_2024-25_full.pdf" TargetMode="External"/><Relationship Id="rId10" Type="http://schemas.openxmlformats.org/officeDocument/2006/relationships/image" Target="media/image4.png"/><Relationship Id="rId19" Type="http://schemas.openxmlformats.org/officeDocument/2006/relationships/hyperlink" Target="https://www.bristol-inquiry.org.uk/final_report/the_report.pdf" TargetMode="External"/><Relationship Id="rId31" Type="http://schemas.openxmlformats.org/officeDocument/2006/relationships/hyperlink" Target="https://doi.org/10.1002/nur.2229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psnet.ahrq.gov/primer/root-cause-analysis" TargetMode="External"/><Relationship Id="rId22" Type="http://schemas.openxmlformats.org/officeDocument/2006/relationships/hyperlink" Target="https://doi.org/10.1016/j.cppeds.2025.101759" TargetMode="External"/><Relationship Id="rId27" Type="http://schemas.openxmlformats.org/officeDocument/2006/relationships/hyperlink" Target="https://doi.org/10.1109/TIFS.2025.3588324" TargetMode="External"/><Relationship Id="rId30" Type="http://schemas.openxmlformats.org/officeDocument/2006/relationships/hyperlink" Target="https://heinonline.org/hol-cgi-bin/get_pdf.cgi?handle=hein.journals/chilflq13&amp;section=39" TargetMode="External"/><Relationship Id="rId35" Type="http://schemas.openxmlformats.org/officeDocument/2006/relationships/hyperlink" Target="https://www.uhbw.nhs.uk/assets/1/uhbw_annual_report_2024-25_full.pdf"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36401/JQSH-22-19" TargetMode="External"/><Relationship Id="rId17" Type="http://schemas.openxmlformats.org/officeDocument/2006/relationships/hyperlink" Target="https://www.ncbi.nlm.nih.gov/books/NBK599556/" TargetMode="External"/><Relationship Id="rId25" Type="http://schemas.openxmlformats.org/officeDocument/2006/relationships/hyperlink" Target="https://doi.org/10.1136/bmjopen-2024-085312" TargetMode="External"/><Relationship Id="rId33" Type="http://schemas.openxmlformats.org/officeDocument/2006/relationships/hyperlink" Target="https://doi.org/10.47505/IJRSS.2025.3.9" TargetMode="External"/><Relationship Id="rId38" Type="http://schemas.openxmlformats.org/officeDocument/2006/relationships/hyperlink" Target="https://www.healthaffairs.org/doi/10.1377/hlthaff.23.3.103" TargetMode="External"/><Relationship Id="rId20" Type="http://schemas.openxmlformats.org/officeDocument/2006/relationships/hyperlink" Target="https://www.bristol-inquiry.org.uk/final_report/the_report.pdf" TargetMode="External"/><Relationship Id="rId41" Type="http://schemas.openxmlformats.org/officeDocument/2006/relationships/hyperlink" Target="https://pubmed.ncbi.nlm.nih.gov/4031378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0b/RM1mDoEUwJL+I+zkKS9mS0Q==">CgMxLjAyDmgubzFqc3BmM2h1aGV3Mg5oLjVtbThoZXNkYTE3bDIOaC40b20ya2x4ZThvc2gyDmguNGRzZnJvYmRpajk3Mg5oLnNicHY1MzRncnk3OTIOaC5mazl2ZWlhZWJtazYyDmgubGFwNjhzY2k0MXRpMg5oLnl0ZDlsYThpZjkweDIOaC41YW01dXVrbTh4M2oyDWgucmtrbXI1Y2JmbWUyDmguMzIyMGRmZmd1eTE4Mg5oLmdwc2UzdHE3Y2M3ZDINaC5iaTl2cDZ2ZzF6ZzIOaC44dmJ6bnhrMTN5dWsyDmguanhza3hiaXd1ejF0Mg5oLnFzeTBhbWcycnphajIOaC5lNDBod2h5aTY0eGE4AHIhMUt6LTdvMmVmZVFfN0lLa05BblJEMlpIWkt3YjJ2cWR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18</Pages>
  <Words>5045</Words>
  <Characters>28761</Characters>
  <Application>Microsoft Office Word</Application>
  <DocSecurity>0</DocSecurity>
  <Lines>239</Lines>
  <Paragraphs>67</Paragraphs>
  <ScaleCrop>false</ScaleCrop>
  <Company/>
  <LinksUpToDate>false</LinksUpToDate>
  <CharactersWithSpaces>33739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2026-08-10T11:01:00Z</dcterms:created>
  <dcterms:modified xsi:type="dcterms:W3CDTF">2026-08-13T15:46:00Z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A081EE553410440598F24CF803D5F278_12</vt:lpwstr>
  </property>
</Properties>
</file>